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EF26B7" w14:textId="77777777" w:rsidR="009F7F62" w:rsidRPr="00F908DB" w:rsidRDefault="009F7F62" w:rsidP="00C04F71">
      <w:pPr>
        <w:spacing w:after="0" w:line="276" w:lineRule="auto"/>
        <w:rPr>
          <w:rFonts w:ascii="Arial" w:eastAsia="Arial" w:hAnsi="Arial" w:cs="Arial"/>
          <w:sz w:val="18"/>
          <w:szCs w:val="18"/>
        </w:rPr>
      </w:pPr>
      <w:r w:rsidRPr="00F908DB">
        <w:rPr>
          <w:rFonts w:ascii="Arial" w:eastAsia="Arial" w:hAnsi="Arial" w:cs="Arial"/>
          <w:sz w:val="18"/>
          <w:szCs w:val="18"/>
        </w:rPr>
        <w:t>Maggie Rose Day</w:t>
      </w:r>
      <w:r>
        <w:rPr>
          <w:rFonts w:ascii="Arial" w:eastAsia="Arial" w:hAnsi="Arial" w:cs="Arial"/>
          <w:sz w:val="18"/>
          <w:szCs w:val="18"/>
        </w:rPr>
        <w:t>,</w:t>
      </w:r>
      <w:r w:rsidRPr="00F908DB">
        <w:rPr>
          <w:rFonts w:ascii="Arial" w:eastAsia="Arial" w:hAnsi="Arial" w:cs="Arial"/>
          <w:sz w:val="18"/>
          <w:szCs w:val="18"/>
        </w:rPr>
        <w:t xml:space="preserve"> 2208488</w:t>
      </w:r>
      <w:r>
        <w:rPr>
          <w:rFonts w:ascii="Arial" w:eastAsia="Arial" w:hAnsi="Arial" w:cs="Arial"/>
          <w:sz w:val="18"/>
          <w:szCs w:val="18"/>
        </w:rPr>
        <w:t>,</w:t>
      </w:r>
      <w:r w:rsidRPr="00F908DB">
        <w:rPr>
          <w:rFonts w:ascii="Arial" w:eastAsia="Arial" w:hAnsi="Arial" w:cs="Arial"/>
          <w:sz w:val="18"/>
          <w:szCs w:val="18"/>
        </w:rPr>
        <w:t xml:space="preserve"> ECY4002</w:t>
      </w:r>
    </w:p>
    <w:p w14:paraId="46AD2601" w14:textId="77777777" w:rsidR="009F7F62" w:rsidRDefault="009F7F62" w:rsidP="00C04F71">
      <w:pPr>
        <w:spacing w:after="240" w:line="276" w:lineRule="auto"/>
        <w:jc w:val="center"/>
        <w:rPr>
          <w:rFonts w:ascii="Arial" w:eastAsia="Arial" w:hAnsi="Arial" w:cs="Arial"/>
          <w:b/>
          <w:bCs/>
          <w:sz w:val="24"/>
          <w:szCs w:val="24"/>
          <w:u w:val="single"/>
        </w:rPr>
      </w:pPr>
      <w:r w:rsidRPr="7936F710">
        <w:rPr>
          <w:rFonts w:ascii="Arial" w:eastAsia="Arial" w:hAnsi="Arial" w:cs="Arial"/>
          <w:b/>
          <w:bCs/>
          <w:sz w:val="24"/>
          <w:szCs w:val="24"/>
          <w:u w:val="single"/>
        </w:rPr>
        <w:t>The importance of reflective practice as a professional practitioner</w:t>
      </w:r>
    </w:p>
    <w:p w14:paraId="7B97C0F0" w14:textId="77777777" w:rsidR="009F7F62" w:rsidRDefault="009F7F62" w:rsidP="00C04F71">
      <w:pPr>
        <w:spacing w:line="276" w:lineRule="auto"/>
        <w:jc w:val="both"/>
        <w:rPr>
          <w:rFonts w:ascii="Arial" w:eastAsia="Arial" w:hAnsi="Arial" w:cs="Arial"/>
          <w:sz w:val="16"/>
          <w:szCs w:val="16"/>
        </w:rPr>
      </w:pPr>
      <w:r w:rsidRPr="6D4DA212">
        <w:rPr>
          <w:rFonts w:ascii="Arial" w:eastAsia="Arial" w:hAnsi="Arial" w:cs="Arial"/>
          <w:sz w:val="16"/>
          <w:szCs w:val="16"/>
          <w:u w:val="single"/>
        </w:rPr>
        <w:t>What is reflection and reflective practice?</w:t>
      </w:r>
      <w:r w:rsidRPr="6D4DA212">
        <w:rPr>
          <w:rFonts w:ascii="Arial" w:eastAsia="Arial" w:hAnsi="Arial" w:cs="Arial"/>
          <w:sz w:val="16"/>
          <w:szCs w:val="16"/>
        </w:rPr>
        <w:t xml:space="preserve"> </w:t>
      </w:r>
    </w:p>
    <w:p w14:paraId="07D1A975" w14:textId="77777777" w:rsidR="009F7F62" w:rsidRDefault="009F7F62" w:rsidP="00C04F71">
      <w:pPr>
        <w:spacing w:before="240" w:line="276" w:lineRule="auto"/>
        <w:jc w:val="both"/>
        <w:rPr>
          <w:rFonts w:ascii="Arial" w:eastAsia="Arial" w:hAnsi="Arial" w:cs="Arial"/>
          <w:sz w:val="16"/>
          <w:szCs w:val="16"/>
        </w:rPr>
      </w:pPr>
      <w:r w:rsidRPr="6D4DA212">
        <w:rPr>
          <w:rFonts w:ascii="Arial" w:eastAsia="Arial" w:hAnsi="Arial" w:cs="Arial"/>
          <w:sz w:val="16"/>
          <w:szCs w:val="16"/>
        </w:rPr>
        <w:t xml:space="preserve">Schon (2007, quoted in </w:t>
      </w:r>
      <w:proofErr w:type="spellStart"/>
      <w:r w:rsidRPr="6D4DA212">
        <w:rPr>
          <w:rFonts w:ascii="Arial" w:eastAsia="Arial" w:hAnsi="Arial" w:cs="Arial"/>
          <w:sz w:val="16"/>
          <w:szCs w:val="16"/>
        </w:rPr>
        <w:t>Hallet</w:t>
      </w:r>
      <w:proofErr w:type="spellEnd"/>
      <w:r w:rsidRPr="6D4DA212">
        <w:rPr>
          <w:rFonts w:ascii="Arial" w:eastAsia="Arial" w:hAnsi="Arial" w:cs="Arial"/>
          <w:sz w:val="16"/>
          <w:szCs w:val="16"/>
        </w:rPr>
        <w:t xml:space="preserve">, 2012 p. 29) states that the idea of reflective practice and what it means to be a ‘reflective practitioner’ has to do with how professionals think while they are practising. Reflective practice is a process that helps practitioners improve, develop, or change the way they provide for children, and can also expand their understanding of the profession. According to Forde et al (2006, quoted in Brock 2015, p. 8), to deliver a truly inclusive curriculum, early childhood educators must be able to identify not only their educational and psychological goals but also their own personal values. </w:t>
      </w:r>
      <w:bookmarkStart w:id="0" w:name="_Int_hIP9dnss"/>
      <w:r w:rsidRPr="6D4DA212">
        <w:rPr>
          <w:rFonts w:ascii="Arial" w:eastAsia="Arial" w:hAnsi="Arial" w:cs="Arial"/>
          <w:sz w:val="16"/>
          <w:szCs w:val="16"/>
        </w:rPr>
        <w:t>Only then can they reflect on how these values shape their actions and responses.</w:t>
      </w:r>
      <w:bookmarkEnd w:id="0"/>
      <w:r w:rsidRPr="6D4DA212">
        <w:rPr>
          <w:rFonts w:ascii="Arial" w:eastAsia="Arial" w:hAnsi="Arial" w:cs="Arial"/>
          <w:sz w:val="16"/>
          <w:szCs w:val="16"/>
        </w:rPr>
        <w:t xml:space="preserve"> Tarrant (2013, p. 2) believes that the influence of reflection on professionalism is one of its key advantages. Practitioners can better identify their strengths and areas for improvement by reflecting on their practice. This is beneficial to increasing their awareness, control, and ability. Campbell-Barr and Leeson (2015) say that practitioners can reflect on their practice in a variety of ways, and there are many models of reflection that are deeply ingrained in the reflective landscape. Examples include Kolb's (1984) cyclical model of experience, reflect, conceptualise, experiment, experience, and Gibbs' (1988) model, which is also cyclical and includes description, feeling, evaluation, analysis, conclusion, and action plan. </w:t>
      </w:r>
    </w:p>
    <w:p w14:paraId="115EA122" w14:textId="77777777" w:rsidR="009F7F62" w:rsidRDefault="009F7F62" w:rsidP="00C04F71">
      <w:pPr>
        <w:spacing w:line="276" w:lineRule="auto"/>
        <w:jc w:val="both"/>
        <w:rPr>
          <w:rFonts w:ascii="Arial" w:eastAsia="Arial" w:hAnsi="Arial" w:cs="Arial"/>
          <w:sz w:val="16"/>
          <w:szCs w:val="16"/>
          <w:u w:val="single"/>
        </w:rPr>
      </w:pPr>
      <w:r w:rsidRPr="6D4DA212">
        <w:rPr>
          <w:rFonts w:ascii="Arial" w:eastAsia="Arial" w:hAnsi="Arial" w:cs="Arial"/>
          <w:sz w:val="16"/>
          <w:szCs w:val="16"/>
          <w:u w:val="single"/>
        </w:rPr>
        <w:t>Reflection and Professional Practice</w:t>
      </w:r>
    </w:p>
    <w:p w14:paraId="76584E98" w14:textId="77777777" w:rsidR="009F7F62" w:rsidRDefault="009F7F62" w:rsidP="00C04F71">
      <w:pPr>
        <w:spacing w:line="276" w:lineRule="auto"/>
        <w:jc w:val="both"/>
        <w:rPr>
          <w:rFonts w:ascii="Arial" w:eastAsia="Arial" w:hAnsi="Arial" w:cs="Arial"/>
          <w:sz w:val="16"/>
          <w:szCs w:val="16"/>
        </w:rPr>
      </w:pPr>
      <w:r w:rsidRPr="6D4DA212">
        <w:rPr>
          <w:rFonts w:ascii="Arial" w:eastAsia="Arial" w:hAnsi="Arial" w:cs="Arial"/>
          <w:sz w:val="16"/>
          <w:szCs w:val="16"/>
        </w:rPr>
        <w:t xml:space="preserve">Reflection can have a variety of impacts on practice. It is important for professional practitioners to reflect on their practice to enable them to develop their professionalism. Tarrant (2013, p. 13) suggests that by using reflective approaches in practice, professionals should be able to advance their knowledge and expertise. Reflection can prompt searches for educated opinions through professional reading and it can inspire practitioners to experiment with their own education in order to develop their practice. It can also prompt them to ask a peer, colleague, or senior professional for guidance or support. Hargreaves and Page (2013, p. 21-23) point out that reflecting on one's professional practice can be rewarding. The reflection strategy chosen may aid practitioners in getting through a difficult or stressful period at work and make practice more meaningful and sustainable. Additionally, it will strengthen their interactions with the individuals they work with and those for whom they are responsible. Reflection provides practitioners with a foundation on which to construct future learning. It also frequently enables practitioners to identify their strongest areas of expertise and discover previously unanticipated talents. Daniels et al (2022, p. 5) believe that reflecting on practice can influence the progress of professional development and is used as a strategy to maintain or improve teacher effectiveness across a variety of fields. Professional development can take many different forms, such as participating in classes or workshops, seminars, watching other instructors in action, team projects, or professional learning communities. According to Abou (2007, quoted in </w:t>
      </w:r>
      <w:proofErr w:type="spellStart"/>
      <w:r w:rsidRPr="6D4DA212">
        <w:rPr>
          <w:rFonts w:ascii="Arial" w:eastAsia="Arial" w:hAnsi="Arial" w:cs="Arial"/>
          <w:sz w:val="16"/>
          <w:szCs w:val="16"/>
        </w:rPr>
        <w:t>Korrko</w:t>
      </w:r>
      <w:proofErr w:type="spellEnd"/>
      <w:r w:rsidRPr="6D4DA212">
        <w:rPr>
          <w:rFonts w:ascii="Arial" w:eastAsia="Arial" w:hAnsi="Arial" w:cs="Arial"/>
          <w:sz w:val="16"/>
          <w:szCs w:val="16"/>
        </w:rPr>
        <w:t xml:space="preserve">, </w:t>
      </w:r>
      <w:proofErr w:type="spellStart"/>
      <w:r w:rsidRPr="6D4DA212">
        <w:rPr>
          <w:rFonts w:ascii="Arial" w:eastAsia="Arial" w:hAnsi="Arial" w:cs="Arial"/>
          <w:sz w:val="16"/>
          <w:szCs w:val="16"/>
        </w:rPr>
        <w:t>Kyrö-Ämmälä</w:t>
      </w:r>
      <w:proofErr w:type="spellEnd"/>
      <w:r w:rsidRPr="6D4DA212">
        <w:rPr>
          <w:rFonts w:ascii="Arial" w:eastAsia="Arial" w:hAnsi="Arial" w:cs="Arial"/>
          <w:sz w:val="16"/>
          <w:szCs w:val="16"/>
        </w:rPr>
        <w:t xml:space="preserve"> and Turunen 2016, p. 199), through their reflection on their practicum experiences, practitioners improve their practical theories. </w:t>
      </w:r>
      <w:bookmarkStart w:id="1" w:name="_Int_ka12HP4V"/>
      <w:r w:rsidRPr="6D4DA212">
        <w:rPr>
          <w:rFonts w:ascii="Arial" w:eastAsia="Arial" w:hAnsi="Arial" w:cs="Arial"/>
          <w:sz w:val="16"/>
          <w:szCs w:val="16"/>
        </w:rPr>
        <w:t>Reflection has been regarded as both a necessity for a teacher's thinking and as a goal for programmes of teacher education.</w:t>
      </w:r>
      <w:bookmarkEnd w:id="1"/>
      <w:r w:rsidRPr="6D4DA212">
        <w:rPr>
          <w:rFonts w:ascii="Arial" w:eastAsia="Arial" w:hAnsi="Arial" w:cs="Arial"/>
          <w:sz w:val="16"/>
          <w:szCs w:val="16"/>
        </w:rPr>
        <w:t xml:space="preserve"> In order to better understand their feelings, ideas, and presumptions and to develop an analytical view of their experiences, practitioners s reflect on, assess, and conceptualise their experiences and views (Kolb, 1984, quoted in </w:t>
      </w:r>
      <w:proofErr w:type="spellStart"/>
      <w:r w:rsidRPr="6D4DA212">
        <w:rPr>
          <w:rFonts w:ascii="Arial" w:eastAsia="Arial" w:hAnsi="Arial" w:cs="Arial"/>
          <w:sz w:val="16"/>
          <w:szCs w:val="16"/>
        </w:rPr>
        <w:t>Korrko</w:t>
      </w:r>
      <w:proofErr w:type="spellEnd"/>
      <w:r w:rsidRPr="6D4DA212">
        <w:rPr>
          <w:rFonts w:ascii="Arial" w:eastAsia="Arial" w:hAnsi="Arial" w:cs="Arial"/>
          <w:sz w:val="16"/>
          <w:szCs w:val="16"/>
        </w:rPr>
        <w:t xml:space="preserve">, </w:t>
      </w:r>
      <w:proofErr w:type="spellStart"/>
      <w:r w:rsidRPr="6D4DA212">
        <w:rPr>
          <w:rFonts w:ascii="Arial" w:eastAsia="Arial" w:hAnsi="Arial" w:cs="Arial"/>
          <w:sz w:val="16"/>
          <w:szCs w:val="16"/>
        </w:rPr>
        <w:t>Kyrö-Ämmälä</w:t>
      </w:r>
      <w:proofErr w:type="spellEnd"/>
      <w:r w:rsidRPr="6D4DA212">
        <w:rPr>
          <w:rFonts w:ascii="Arial" w:eastAsia="Arial" w:hAnsi="Arial" w:cs="Arial"/>
          <w:sz w:val="16"/>
          <w:szCs w:val="16"/>
        </w:rPr>
        <w:t xml:space="preserve"> and Turunen, 2016, p. 199). </w:t>
      </w:r>
    </w:p>
    <w:p w14:paraId="34CC14BB" w14:textId="77777777" w:rsidR="009F7F62" w:rsidRDefault="009F7F62" w:rsidP="00C04F71">
      <w:pPr>
        <w:spacing w:line="276" w:lineRule="auto"/>
        <w:jc w:val="both"/>
        <w:rPr>
          <w:rFonts w:ascii="Arial" w:eastAsia="Arial" w:hAnsi="Arial" w:cs="Arial"/>
          <w:sz w:val="16"/>
          <w:szCs w:val="16"/>
          <w:u w:val="single"/>
        </w:rPr>
      </w:pPr>
      <w:r w:rsidRPr="6D4DA212">
        <w:rPr>
          <w:rFonts w:ascii="Arial" w:eastAsia="Arial" w:hAnsi="Arial" w:cs="Arial"/>
          <w:sz w:val="16"/>
          <w:szCs w:val="16"/>
          <w:u w:val="single"/>
        </w:rPr>
        <w:t>Reflection within Early Years settings</w:t>
      </w:r>
      <w:r w:rsidRPr="6D4DA212">
        <w:rPr>
          <w:rFonts w:ascii="Arial" w:eastAsia="Arial" w:hAnsi="Arial" w:cs="Arial"/>
          <w:sz w:val="16"/>
          <w:szCs w:val="16"/>
        </w:rPr>
        <w:t xml:space="preserve"> </w:t>
      </w:r>
    </w:p>
    <w:p w14:paraId="144418FC" w14:textId="77777777" w:rsidR="009F7F62" w:rsidRDefault="009F7F62" w:rsidP="00C04F71">
      <w:pPr>
        <w:spacing w:line="276" w:lineRule="auto"/>
        <w:jc w:val="both"/>
        <w:rPr>
          <w:rFonts w:ascii="Arial" w:eastAsia="Arial" w:hAnsi="Arial" w:cs="Arial"/>
          <w:sz w:val="16"/>
          <w:szCs w:val="16"/>
        </w:rPr>
      </w:pPr>
      <w:r w:rsidRPr="6D4DA212">
        <w:rPr>
          <w:rFonts w:ascii="Arial" w:eastAsia="Arial" w:hAnsi="Arial" w:cs="Arial"/>
          <w:sz w:val="16"/>
          <w:szCs w:val="16"/>
        </w:rPr>
        <w:t xml:space="preserve">The importance of practitioners reflecting in groups is covered by </w:t>
      </w:r>
      <w:proofErr w:type="spellStart"/>
      <w:r w:rsidRPr="6D4DA212">
        <w:rPr>
          <w:rFonts w:ascii="Arial" w:eastAsia="Arial" w:hAnsi="Arial" w:cs="Arial"/>
          <w:sz w:val="16"/>
          <w:szCs w:val="16"/>
        </w:rPr>
        <w:t>Bassot</w:t>
      </w:r>
      <w:proofErr w:type="spellEnd"/>
      <w:r w:rsidRPr="6D4DA212">
        <w:rPr>
          <w:rFonts w:ascii="Arial" w:eastAsia="Arial" w:hAnsi="Arial" w:cs="Arial"/>
          <w:sz w:val="16"/>
          <w:szCs w:val="16"/>
        </w:rPr>
        <w:t xml:space="preserve"> (2016, pp. 105). If reflection were solely a solitary experience, practitioners would lose themselves in their own point of view and only observe things from that perspective, which is typically limited, biased, and narrow. Professionals can learn and challenge their beliefs and behaviours by considering feedback through reflecting with others, such as peers and co-workers. Cowie and Wallace (2000, quoted in </w:t>
      </w:r>
      <w:proofErr w:type="spellStart"/>
      <w:r w:rsidRPr="6D4DA212">
        <w:rPr>
          <w:rFonts w:ascii="Arial" w:eastAsia="Arial" w:hAnsi="Arial" w:cs="Arial"/>
          <w:sz w:val="16"/>
          <w:szCs w:val="16"/>
        </w:rPr>
        <w:t>Bassot</w:t>
      </w:r>
      <w:proofErr w:type="spellEnd"/>
      <w:r w:rsidRPr="6D4DA212">
        <w:rPr>
          <w:rFonts w:ascii="Arial" w:eastAsia="Arial" w:hAnsi="Arial" w:cs="Arial"/>
          <w:sz w:val="16"/>
          <w:szCs w:val="16"/>
        </w:rPr>
        <w:t xml:space="preserve">, 2016, p. 106) say that peer support groups are a useful tool for team reflection in Early Years settings. They provide a space where practitioners can interact on an equal basis and talk about their practice. Members arrive prepared to discuss topics with their peers and provide insights rather than solutions. </w:t>
      </w:r>
      <w:proofErr w:type="spellStart"/>
      <w:r w:rsidRPr="6D4DA212">
        <w:rPr>
          <w:rFonts w:ascii="Arial" w:eastAsia="Arial" w:hAnsi="Arial" w:cs="Arial"/>
          <w:sz w:val="16"/>
          <w:szCs w:val="16"/>
        </w:rPr>
        <w:t>Bassot</w:t>
      </w:r>
      <w:proofErr w:type="spellEnd"/>
      <w:r w:rsidRPr="6D4DA212">
        <w:rPr>
          <w:rFonts w:ascii="Arial" w:eastAsia="Arial" w:hAnsi="Arial" w:cs="Arial"/>
          <w:sz w:val="16"/>
          <w:szCs w:val="16"/>
        </w:rPr>
        <w:t xml:space="preserve"> states some of the benefits of reflecting with others. She believes that having the chance to reflect in groups can help prevent feelings of isolation and burnout by giving one the space to "offload" and communicate thoughts and feelings. It can also aid in the development of a better understanding of practice because talking about problems with others can help one gain a fresh perspective on what constitutes effective work in providing support to people. Skilling (2001) suggests that young children can benefit from developing their reflective learning skills. There are various chances to include reflective learning in the primary curriculum so that children can begin practising it at a young age in a planned and continuous manner. By including them in lessons, practitioners can help students become aware of their value and help them build strong work habits that are both domain-specific and universally relevant. Reflective exercises help students develop self-awareness of their own experiences and help others. </w:t>
      </w:r>
      <w:proofErr w:type="spellStart"/>
      <w:r w:rsidRPr="6D4DA212">
        <w:rPr>
          <w:rFonts w:ascii="Arial" w:eastAsia="Arial" w:hAnsi="Arial" w:cs="Arial"/>
          <w:sz w:val="16"/>
          <w:szCs w:val="16"/>
        </w:rPr>
        <w:t>Hallet</w:t>
      </w:r>
      <w:proofErr w:type="spellEnd"/>
      <w:r w:rsidRPr="6D4DA212">
        <w:rPr>
          <w:rFonts w:ascii="Arial" w:eastAsia="Arial" w:hAnsi="Arial" w:cs="Arial"/>
          <w:sz w:val="16"/>
          <w:szCs w:val="16"/>
        </w:rPr>
        <w:t xml:space="preserve"> (2013, p. 26) claims that discussing reflections with parents, families, and other professionals can help children grow and develop. Early intervention techniques' integrated approach to working with children and families recognises that each child has unique needs for their well-being. To address these needs, a team of practitioners is assembled around the child to tackle their educational, health, and social requirements.</w:t>
      </w:r>
    </w:p>
    <w:p w14:paraId="137F473A" w14:textId="77777777" w:rsidR="009F7F62" w:rsidRDefault="009F7F62" w:rsidP="00C04F71">
      <w:pPr>
        <w:spacing w:line="276" w:lineRule="auto"/>
        <w:rPr>
          <w:rFonts w:ascii="Arial" w:eastAsia="Arial" w:hAnsi="Arial" w:cs="Arial"/>
          <w:sz w:val="16"/>
          <w:szCs w:val="16"/>
        </w:rPr>
      </w:pPr>
      <w:r w:rsidRPr="6D4DA212">
        <w:rPr>
          <w:rFonts w:ascii="Arial" w:eastAsia="Arial" w:hAnsi="Arial" w:cs="Arial"/>
          <w:sz w:val="16"/>
          <w:szCs w:val="16"/>
          <w:u w:val="single"/>
        </w:rPr>
        <w:t>Theories and models of reflection</w:t>
      </w:r>
      <w:r w:rsidRPr="6D4DA212">
        <w:rPr>
          <w:rFonts w:ascii="Arial" w:eastAsia="Arial" w:hAnsi="Arial" w:cs="Arial"/>
          <w:sz w:val="16"/>
          <w:szCs w:val="16"/>
        </w:rPr>
        <w:t xml:space="preserve"> </w:t>
      </w:r>
    </w:p>
    <w:p w14:paraId="5CF70CFF" w14:textId="3A7B3C0A" w:rsidR="00257A5F" w:rsidRDefault="00BB03D0" w:rsidP="00C04F71">
      <w:pPr>
        <w:spacing w:line="276" w:lineRule="auto"/>
        <w:rPr>
          <w:rFonts w:ascii="Arial" w:eastAsia="Arial" w:hAnsi="Arial" w:cs="Arial"/>
          <w:sz w:val="16"/>
          <w:szCs w:val="16"/>
        </w:rPr>
      </w:pPr>
      <w:r w:rsidRPr="00BB03D0">
        <w:rPr>
          <w:rFonts w:ascii="Arial" w:eastAsia="Arial" w:hAnsi="Arial" w:cs="Arial"/>
          <w:sz w:val="16"/>
          <w:szCs w:val="16"/>
        </w:rPr>
        <w:t>Numerous theories and reflective practice models, including those of Schon, Gibbs, and Kolb, will be covered in this section. The ability to reflect on one's practice, according to Schon, is a critical aspect of professional activity and is required in order to participate in a process of continuous learning. In Schon's theories of reflection, making sense of an action after it has happened—possibly as a subconscious activity—is discussed, along with reflective conversation in which continual re-adjustment and appropriate change happen, criticism, reflection, articulation of understanding, and application. Reflection is also seen as a useful tool for enhancing professional performance, and underlying assumptions are challenged</w:t>
      </w:r>
      <w:r>
        <w:rPr>
          <w:rFonts w:ascii="Arial" w:eastAsia="Arial" w:hAnsi="Arial" w:cs="Arial"/>
          <w:sz w:val="16"/>
          <w:szCs w:val="16"/>
        </w:rPr>
        <w:t xml:space="preserve"> (Brock, 2015, p. 11)</w:t>
      </w:r>
      <w:r w:rsidR="00C37965">
        <w:rPr>
          <w:rFonts w:ascii="Arial" w:eastAsia="Arial" w:hAnsi="Arial" w:cs="Arial"/>
          <w:sz w:val="16"/>
          <w:szCs w:val="16"/>
        </w:rPr>
        <w:t>.</w:t>
      </w:r>
      <w:r>
        <w:rPr>
          <w:rFonts w:ascii="Arial" w:eastAsia="Arial" w:hAnsi="Arial" w:cs="Arial"/>
          <w:sz w:val="16"/>
          <w:szCs w:val="16"/>
        </w:rPr>
        <w:t xml:space="preserve"> </w:t>
      </w:r>
      <w:proofErr w:type="spellStart"/>
      <w:r w:rsidR="00C1765B">
        <w:rPr>
          <w:rFonts w:ascii="Arial" w:eastAsia="Arial" w:hAnsi="Arial" w:cs="Arial"/>
          <w:sz w:val="16"/>
          <w:szCs w:val="16"/>
        </w:rPr>
        <w:t>Atchia</w:t>
      </w:r>
      <w:proofErr w:type="spellEnd"/>
      <w:r w:rsidR="00C1765B">
        <w:rPr>
          <w:rFonts w:ascii="Arial" w:eastAsia="Arial" w:hAnsi="Arial" w:cs="Arial"/>
          <w:sz w:val="16"/>
          <w:szCs w:val="16"/>
        </w:rPr>
        <w:t xml:space="preserve"> (2021) describes Schon’s model</w:t>
      </w:r>
      <w:r w:rsidR="003D7113">
        <w:rPr>
          <w:rFonts w:ascii="Arial" w:eastAsia="Arial" w:hAnsi="Arial" w:cs="Arial"/>
          <w:sz w:val="16"/>
          <w:szCs w:val="16"/>
        </w:rPr>
        <w:t xml:space="preserve"> and says a </w:t>
      </w:r>
      <w:r w:rsidR="008C6DD4" w:rsidRPr="008C6DD4">
        <w:rPr>
          <w:rFonts w:ascii="Arial" w:eastAsia="Arial" w:hAnsi="Arial" w:cs="Arial"/>
          <w:sz w:val="16"/>
          <w:szCs w:val="16"/>
        </w:rPr>
        <w:t>reflection cycle rather than a one-time, unidirectional reflection is produced by the model that includes "reflection in action" and "reflection on action," or reflection before and after an occurrence. It enables a critical assessment of the effectiveness of the educational adjustments and the determination of the necessity for additional changes. Making change a continuous component of one's journey to develop as a reflective practitioner helps to improve students' learning engagement.  The contextualization of Schon's model is an additional advantage. It places a focus on reflection that begins in one's practice or own context, where professionals are faced with difficult circumstances. </w:t>
      </w:r>
      <w:r w:rsidR="00BD560D" w:rsidRPr="00BD560D">
        <w:rPr>
          <w:rFonts w:ascii="Arial" w:eastAsia="Arial" w:hAnsi="Arial" w:cs="Arial"/>
          <w:sz w:val="16"/>
          <w:szCs w:val="16"/>
        </w:rPr>
        <w:t xml:space="preserve">Analysis of a critical </w:t>
      </w:r>
      <w:r w:rsidR="00BD560D" w:rsidRPr="00BD560D">
        <w:rPr>
          <w:rFonts w:ascii="Arial" w:eastAsia="Arial" w:hAnsi="Arial" w:cs="Arial"/>
          <w:sz w:val="16"/>
          <w:szCs w:val="16"/>
        </w:rPr>
        <w:lastRenderedPageBreak/>
        <w:t xml:space="preserve">occurrence places a practitioner in an uncomfortable space that tests their professional identity and, as a result, opens </w:t>
      </w:r>
      <w:r w:rsidR="00BD560D">
        <w:rPr>
          <w:rFonts w:ascii="Arial" w:eastAsia="Arial" w:hAnsi="Arial" w:cs="Arial"/>
          <w:sz w:val="16"/>
          <w:szCs w:val="16"/>
        </w:rPr>
        <w:t>a</w:t>
      </w:r>
      <w:r w:rsidR="00BD560D" w:rsidRPr="00BD560D">
        <w:rPr>
          <w:rFonts w:ascii="Arial" w:eastAsia="Arial" w:hAnsi="Arial" w:cs="Arial"/>
          <w:sz w:val="16"/>
          <w:szCs w:val="16"/>
        </w:rPr>
        <w:t xml:space="preserve"> universe of potential for professional growth. This model also offers options for including professional opinions in the reflection process. An outsider who participates at various stages of the transformative process offers crucial outsider perspectives that validate, clarify, and track developments.</w:t>
      </w:r>
      <w:r w:rsidR="00987270">
        <w:rPr>
          <w:rFonts w:ascii="Arial" w:eastAsia="Arial" w:hAnsi="Arial" w:cs="Arial"/>
          <w:sz w:val="16"/>
          <w:szCs w:val="16"/>
        </w:rPr>
        <w:t xml:space="preserve"> </w:t>
      </w:r>
      <w:proofErr w:type="spellStart"/>
      <w:r w:rsidR="00F068B5">
        <w:rPr>
          <w:rFonts w:ascii="Arial" w:eastAsia="Arial" w:hAnsi="Arial" w:cs="Arial"/>
          <w:sz w:val="16"/>
          <w:szCs w:val="16"/>
        </w:rPr>
        <w:t>Oviawe</w:t>
      </w:r>
      <w:proofErr w:type="spellEnd"/>
      <w:r w:rsidR="00F068B5">
        <w:rPr>
          <w:rFonts w:ascii="Arial" w:eastAsia="Arial" w:hAnsi="Arial" w:cs="Arial"/>
          <w:sz w:val="16"/>
          <w:szCs w:val="16"/>
        </w:rPr>
        <w:t xml:space="preserve"> (2020) points out that a</w:t>
      </w:r>
      <w:r w:rsidR="00987270" w:rsidRPr="00987270">
        <w:rPr>
          <w:rFonts w:ascii="Arial" w:eastAsia="Arial" w:hAnsi="Arial" w:cs="Arial"/>
          <w:sz w:val="16"/>
          <w:szCs w:val="16"/>
        </w:rPr>
        <w:t>nother well-liked model employed by practitioners is the cycle model of reflection proposed by Gibbs (1988). In that Gibb's model specifically refers to the key processes within reflection itself, as opposed to reflection as a process within general learning, its application represents a fundamental departure from Kolb's ideas (which have a four-staged cyclical framework; concrete experience; observation and reflection; forming abstract concepts and testing in new situations). Gibb's model framework divides the setting of repeating experiential experiences into six essential stages: description of the event, feelings and ideas, evaluation, analysis, a conclusion, and a plan of action.</w:t>
      </w:r>
      <w:r w:rsidR="008E1BA1">
        <w:rPr>
          <w:rFonts w:ascii="Arial" w:eastAsia="Arial" w:hAnsi="Arial" w:cs="Arial"/>
          <w:sz w:val="16"/>
          <w:szCs w:val="16"/>
        </w:rPr>
        <w:t xml:space="preserve"> </w:t>
      </w:r>
      <w:r w:rsidR="008E1BA1" w:rsidRPr="008E1BA1">
        <w:rPr>
          <w:rFonts w:ascii="Arial" w:eastAsia="Arial" w:hAnsi="Arial" w:cs="Arial"/>
          <w:sz w:val="16"/>
          <w:szCs w:val="16"/>
        </w:rPr>
        <w:t>The cycle is supposedly completed, and it implies that if the same situation happened again, it will be the subject of another round of reflection. The reflective approach aids in bridging the theory-practice divide. The capacity to identify what works and what doesn't during the teaching process determines how effective a practitioner is. Only structured reflection, such as Gibb's model, may show this. This process will enhance teaching abilities in such a way in the first stage, that the practitioner begins reflecting on such things as who they are as a person, why they </w:t>
      </w:r>
      <w:r w:rsidR="008E1BA1">
        <w:rPr>
          <w:rFonts w:ascii="Arial" w:eastAsia="Arial" w:hAnsi="Arial" w:cs="Arial"/>
          <w:sz w:val="16"/>
          <w:szCs w:val="16"/>
        </w:rPr>
        <w:t>want</w:t>
      </w:r>
      <w:r w:rsidR="008E1BA1" w:rsidRPr="008E1BA1">
        <w:rPr>
          <w:rFonts w:ascii="Arial" w:eastAsia="Arial" w:hAnsi="Arial" w:cs="Arial"/>
          <w:sz w:val="16"/>
          <w:szCs w:val="16"/>
        </w:rPr>
        <w:t> to be in that profession, what the profession entails, and what role they will play, among other things.</w:t>
      </w:r>
      <w:r w:rsidR="008E1BA1">
        <w:rPr>
          <w:rFonts w:ascii="Arial" w:eastAsia="Arial" w:hAnsi="Arial" w:cs="Arial"/>
          <w:sz w:val="16"/>
          <w:szCs w:val="16"/>
        </w:rPr>
        <w:t xml:space="preserve"> </w:t>
      </w:r>
      <w:r w:rsidR="00103DB7">
        <w:rPr>
          <w:rFonts w:ascii="Arial" w:eastAsia="Arial" w:hAnsi="Arial" w:cs="Arial"/>
          <w:sz w:val="16"/>
          <w:szCs w:val="16"/>
        </w:rPr>
        <w:t>I</w:t>
      </w:r>
      <w:r w:rsidR="00103DB7" w:rsidRPr="00103DB7">
        <w:rPr>
          <w:rFonts w:ascii="Arial" w:eastAsia="Arial" w:hAnsi="Arial" w:cs="Arial"/>
          <w:sz w:val="16"/>
          <w:szCs w:val="16"/>
        </w:rPr>
        <w:t>n the second stage, the practitioner determines what went right or wrong in the process and how they contributed to it by reflecting on how they felt following the delivery of the instruction (whether satisfied or not). The answers to these queries will aid in concluding the entire experience; the practitioner will understand what was right and incorrect about it. Finally, they will make plans for what they would do differently if this situation arose again, knowing the strengths and limitations. Teacher effectiveness can only be attained through reflection, which is the only way the teacher may consider their practice.</w:t>
      </w:r>
      <w:r w:rsidR="00103DB7">
        <w:rPr>
          <w:rFonts w:ascii="Arial" w:eastAsia="Arial" w:hAnsi="Arial" w:cs="Arial"/>
          <w:sz w:val="16"/>
          <w:szCs w:val="16"/>
        </w:rPr>
        <w:t xml:space="preserve"> </w:t>
      </w:r>
      <w:r w:rsidR="00740A21">
        <w:rPr>
          <w:rFonts w:ascii="Arial" w:eastAsia="Arial" w:hAnsi="Arial" w:cs="Arial"/>
          <w:sz w:val="16"/>
          <w:szCs w:val="16"/>
        </w:rPr>
        <w:t>Bassot (2016</w:t>
      </w:r>
      <w:r w:rsidR="00227B06">
        <w:rPr>
          <w:rFonts w:ascii="Arial" w:eastAsia="Arial" w:hAnsi="Arial" w:cs="Arial"/>
          <w:sz w:val="16"/>
          <w:szCs w:val="16"/>
        </w:rPr>
        <w:t>, p. 43-44</w:t>
      </w:r>
      <w:r w:rsidR="00740A21">
        <w:rPr>
          <w:rFonts w:ascii="Arial" w:eastAsia="Arial" w:hAnsi="Arial" w:cs="Arial"/>
          <w:sz w:val="16"/>
          <w:szCs w:val="16"/>
        </w:rPr>
        <w:t xml:space="preserve">) </w:t>
      </w:r>
      <w:r w:rsidR="00E71D99">
        <w:rPr>
          <w:rFonts w:ascii="Arial" w:eastAsia="Arial" w:hAnsi="Arial" w:cs="Arial"/>
          <w:sz w:val="16"/>
          <w:szCs w:val="16"/>
        </w:rPr>
        <w:t>states</w:t>
      </w:r>
      <w:r w:rsidR="00740A21">
        <w:rPr>
          <w:rFonts w:ascii="Arial" w:eastAsia="Arial" w:hAnsi="Arial" w:cs="Arial"/>
          <w:sz w:val="16"/>
          <w:szCs w:val="16"/>
        </w:rPr>
        <w:t xml:space="preserve"> that </w:t>
      </w:r>
      <w:r w:rsidR="00740A21" w:rsidRPr="00740A21">
        <w:rPr>
          <w:rFonts w:ascii="Arial" w:eastAsia="Arial" w:hAnsi="Arial" w:cs="Arial"/>
          <w:sz w:val="16"/>
          <w:szCs w:val="16"/>
        </w:rPr>
        <w:t>in</w:t>
      </w:r>
      <w:r w:rsidR="00740A21" w:rsidRPr="00740A21">
        <w:rPr>
          <w:rFonts w:ascii="Arial" w:eastAsia="Arial" w:hAnsi="Arial" w:cs="Arial"/>
          <w:sz w:val="16"/>
          <w:szCs w:val="16"/>
        </w:rPr>
        <w:t xml:space="preserve"> order to assist practitioners in learning how to learn from experience, Kolb created his experiential learning cycle in 1984. He was concerned </w:t>
      </w:r>
      <w:r w:rsidR="00740A21">
        <w:rPr>
          <w:rFonts w:ascii="Arial" w:eastAsia="Arial" w:hAnsi="Arial" w:cs="Arial"/>
          <w:sz w:val="16"/>
          <w:szCs w:val="16"/>
        </w:rPr>
        <w:t>with</w:t>
      </w:r>
      <w:r w:rsidR="00740A21" w:rsidRPr="00740A21">
        <w:rPr>
          <w:rFonts w:ascii="Arial" w:eastAsia="Arial" w:hAnsi="Arial" w:cs="Arial"/>
          <w:sz w:val="16"/>
          <w:szCs w:val="16"/>
        </w:rPr>
        <w:t xml:space="preserve"> how people acquire knowledge at work and interpret their interactions in an organisation. The cycle's four stages are portrayed as occurring in order, one after the other. Kolb believes that while the cycle might start at any point, it frequently does so after a concrete event. This is a relatively unremarkable change or difference from what one may typically anticipate.</w:t>
      </w:r>
      <w:r w:rsidR="00740A21">
        <w:rPr>
          <w:rFonts w:ascii="Arial" w:eastAsia="Arial" w:hAnsi="Arial" w:cs="Arial"/>
          <w:sz w:val="16"/>
          <w:szCs w:val="16"/>
        </w:rPr>
        <w:t xml:space="preserve"> </w:t>
      </w:r>
      <w:r w:rsidR="00C62D0F" w:rsidRPr="00C62D0F">
        <w:rPr>
          <w:rFonts w:ascii="Arial" w:eastAsia="Arial" w:hAnsi="Arial" w:cs="Arial"/>
          <w:sz w:val="16"/>
          <w:szCs w:val="16"/>
        </w:rPr>
        <w:t xml:space="preserve">Reflective observation is the next step in the cycle that comes after the experience. At this point, professionals reflect on what has happened and start to analyse it. Following this is the third step, known as abstract conceptualization, where practitioners start to generalise from their experiences and broaden their understanding of certain circumstances and methods. The cycle then restarts when practitioners </w:t>
      </w:r>
      <w:r w:rsidR="00C17260" w:rsidRPr="00C62D0F">
        <w:rPr>
          <w:rFonts w:ascii="Arial" w:eastAsia="Arial" w:hAnsi="Arial" w:cs="Arial"/>
          <w:sz w:val="16"/>
          <w:szCs w:val="16"/>
        </w:rPr>
        <w:t>can</w:t>
      </w:r>
      <w:r w:rsidR="00C62D0F" w:rsidRPr="00C62D0F">
        <w:rPr>
          <w:rFonts w:ascii="Arial" w:eastAsia="Arial" w:hAnsi="Arial" w:cs="Arial"/>
          <w:sz w:val="16"/>
          <w:szCs w:val="16"/>
        </w:rPr>
        <w:t xml:space="preserve"> start applying the </w:t>
      </w:r>
      <w:r w:rsidR="00C17260" w:rsidRPr="00C62D0F">
        <w:rPr>
          <w:rFonts w:ascii="Arial" w:eastAsia="Arial" w:hAnsi="Arial" w:cs="Arial"/>
          <w:sz w:val="16"/>
          <w:szCs w:val="16"/>
        </w:rPr>
        <w:t>knowledge,</w:t>
      </w:r>
      <w:r w:rsidR="00C62D0F" w:rsidRPr="00C62D0F">
        <w:rPr>
          <w:rFonts w:ascii="Arial" w:eastAsia="Arial" w:hAnsi="Arial" w:cs="Arial"/>
          <w:sz w:val="16"/>
          <w:szCs w:val="16"/>
        </w:rPr>
        <w:t xml:space="preserve"> they have learned to new circumstances and the subsequent experience in the last stage, known as active experimentation.</w:t>
      </w:r>
      <w:r w:rsidR="00C62D0F">
        <w:rPr>
          <w:rFonts w:ascii="Arial" w:eastAsia="Arial" w:hAnsi="Arial" w:cs="Arial"/>
          <w:sz w:val="16"/>
          <w:szCs w:val="16"/>
        </w:rPr>
        <w:t xml:space="preserve"> </w:t>
      </w:r>
    </w:p>
    <w:p w14:paraId="5D7F2469" w14:textId="6A57964B" w:rsidR="00257A5F" w:rsidRDefault="007007D4" w:rsidP="00C04F71">
      <w:pPr>
        <w:spacing w:line="276" w:lineRule="auto"/>
        <w:rPr>
          <w:rFonts w:ascii="Arial" w:eastAsia="Arial" w:hAnsi="Arial" w:cs="Arial"/>
          <w:sz w:val="16"/>
          <w:szCs w:val="16"/>
        </w:rPr>
      </w:pPr>
      <w:r>
        <w:rPr>
          <w:rFonts w:ascii="Arial" w:eastAsia="Arial" w:hAnsi="Arial" w:cs="Arial"/>
          <w:noProof/>
          <w:sz w:val="24"/>
          <w:szCs w:val="24"/>
          <w:u w:val="single"/>
        </w:rPr>
        <w:drawing>
          <wp:anchor distT="0" distB="0" distL="114300" distR="114300" simplePos="0" relativeHeight="251659264" behindDoc="0" locked="0" layoutInCell="1" allowOverlap="1" wp14:anchorId="0515382C" wp14:editId="685AEA27">
            <wp:simplePos x="0" y="0"/>
            <wp:positionH relativeFrom="column">
              <wp:posOffset>4429760</wp:posOffset>
            </wp:positionH>
            <wp:positionV relativeFrom="paragraph">
              <wp:posOffset>173990</wp:posOffset>
            </wp:positionV>
            <wp:extent cx="2474595" cy="1818005"/>
            <wp:effectExtent l="0" t="0" r="1905" b="0"/>
            <wp:wrapSquare wrapText="bothSides"/>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4" cstate="print">
                      <a:extLst>
                        <a:ext uri="{28A0092B-C50C-407E-A947-70E740481C1C}">
                          <a14:useLocalDpi xmlns:a14="http://schemas.microsoft.com/office/drawing/2010/main" val="0"/>
                        </a:ext>
                      </a:extLst>
                    </a:blip>
                    <a:srcRect l="8712" t="44882" r="59019" b="17189"/>
                    <a:stretch/>
                  </pic:blipFill>
                  <pic:spPr bwMode="auto">
                    <a:xfrm>
                      <a:off x="0" y="0"/>
                      <a:ext cx="2474595" cy="1818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Arial" w:hAnsi="Arial" w:cs="Arial"/>
          <w:noProof/>
          <w:sz w:val="24"/>
          <w:szCs w:val="24"/>
          <w:u w:val="single"/>
        </w:rPr>
        <w:drawing>
          <wp:anchor distT="0" distB="0" distL="114300" distR="114300" simplePos="0" relativeHeight="251658240" behindDoc="1" locked="0" layoutInCell="1" allowOverlap="1" wp14:anchorId="1DBF3A07" wp14:editId="3625835F">
            <wp:simplePos x="0" y="0"/>
            <wp:positionH relativeFrom="column">
              <wp:posOffset>73025</wp:posOffset>
            </wp:positionH>
            <wp:positionV relativeFrom="paragraph">
              <wp:posOffset>193321</wp:posOffset>
            </wp:positionV>
            <wp:extent cx="2372995" cy="17907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5" cstate="print">
                      <a:extLst>
                        <a:ext uri="{28A0092B-C50C-407E-A947-70E740481C1C}">
                          <a14:useLocalDpi xmlns:a14="http://schemas.microsoft.com/office/drawing/2010/main" val="0"/>
                        </a:ext>
                      </a:extLst>
                    </a:blip>
                    <a:srcRect l="15029" t="37916" r="63170" b="28619"/>
                    <a:stretch/>
                  </pic:blipFill>
                  <pic:spPr bwMode="auto">
                    <a:xfrm>
                      <a:off x="0" y="0"/>
                      <a:ext cx="2372995" cy="1790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4D355C" w14:textId="09FFC16F" w:rsidR="00257A5F" w:rsidRDefault="00257A5F" w:rsidP="00C04F71">
      <w:pPr>
        <w:spacing w:line="276" w:lineRule="auto"/>
        <w:rPr>
          <w:rFonts w:ascii="Arial" w:eastAsia="Arial" w:hAnsi="Arial" w:cs="Arial"/>
          <w:sz w:val="16"/>
          <w:szCs w:val="16"/>
        </w:rPr>
      </w:pPr>
    </w:p>
    <w:p w14:paraId="49DD972E" w14:textId="362A9909" w:rsidR="00257A5F" w:rsidRDefault="00377D65" w:rsidP="00C04F71">
      <w:pPr>
        <w:spacing w:line="276" w:lineRule="auto"/>
        <w:rPr>
          <w:rFonts w:ascii="Arial" w:eastAsia="Arial" w:hAnsi="Arial" w:cs="Arial"/>
          <w:sz w:val="16"/>
          <w:szCs w:val="16"/>
        </w:rPr>
      </w:pPr>
      <w:r>
        <w:rPr>
          <w:rFonts w:ascii="Arial" w:eastAsia="Arial" w:hAnsi="Arial" w:cs="Arial"/>
          <w:noProof/>
          <w:sz w:val="16"/>
          <w:szCs w:val="16"/>
        </w:rPr>
        <mc:AlternateContent>
          <mc:Choice Requires="wps">
            <w:drawing>
              <wp:anchor distT="0" distB="0" distL="114300" distR="114300" simplePos="0" relativeHeight="251660288" behindDoc="0" locked="0" layoutInCell="1" allowOverlap="1" wp14:anchorId="5EB2AD20" wp14:editId="68426D5E">
                <wp:simplePos x="0" y="0"/>
                <wp:positionH relativeFrom="column">
                  <wp:posOffset>6998970</wp:posOffset>
                </wp:positionH>
                <wp:positionV relativeFrom="paragraph">
                  <wp:posOffset>114694</wp:posOffset>
                </wp:positionV>
                <wp:extent cx="1734207" cy="725214"/>
                <wp:effectExtent l="0" t="0" r="18415" b="11430"/>
                <wp:wrapNone/>
                <wp:docPr id="3" name="Text Box 3"/>
                <wp:cNvGraphicFramePr/>
                <a:graphic xmlns:a="http://schemas.openxmlformats.org/drawingml/2006/main">
                  <a:graphicData uri="http://schemas.microsoft.com/office/word/2010/wordprocessingShape">
                    <wps:wsp>
                      <wps:cNvSpPr txBox="1"/>
                      <wps:spPr>
                        <a:xfrm>
                          <a:off x="0" y="0"/>
                          <a:ext cx="1734207" cy="725214"/>
                        </a:xfrm>
                        <a:prstGeom prst="rect">
                          <a:avLst/>
                        </a:prstGeom>
                        <a:solidFill>
                          <a:schemeClr val="lt1"/>
                        </a:solidFill>
                        <a:ln w="6350">
                          <a:solidFill>
                            <a:schemeClr val="bg1"/>
                          </a:solidFill>
                        </a:ln>
                      </wps:spPr>
                      <wps:txbx>
                        <w:txbxContent>
                          <w:p w14:paraId="6755630A" w14:textId="6AB0EDDD" w:rsidR="00C17260" w:rsidRPr="00094F83" w:rsidRDefault="00C17260" w:rsidP="00094F83">
                            <w:pPr>
                              <w:rPr>
                                <w:rFonts w:ascii="Arial" w:hAnsi="Arial" w:cs="Arial"/>
                                <w:sz w:val="16"/>
                                <w:szCs w:val="16"/>
                              </w:rPr>
                            </w:pPr>
                            <w:r w:rsidRPr="00094F83">
                              <w:rPr>
                                <w:rFonts w:ascii="Arial" w:hAnsi="Arial" w:cs="Arial"/>
                                <w:sz w:val="16"/>
                                <w:szCs w:val="16"/>
                              </w:rPr>
                              <w:t xml:space="preserve">Kolb’s </w:t>
                            </w:r>
                            <w:r w:rsidR="00240E29" w:rsidRPr="00094F83">
                              <w:rPr>
                                <w:rFonts w:ascii="Arial" w:hAnsi="Arial" w:cs="Arial"/>
                                <w:sz w:val="16"/>
                                <w:szCs w:val="16"/>
                              </w:rPr>
                              <w:t xml:space="preserve">experiential learning cycle </w:t>
                            </w:r>
                          </w:p>
                          <w:p w14:paraId="20A23491" w14:textId="4A338168" w:rsidR="007B59EF" w:rsidRPr="00094F83" w:rsidRDefault="007B59EF" w:rsidP="00094F83">
                            <w:pPr>
                              <w:rPr>
                                <w:rFonts w:ascii="Arial" w:hAnsi="Arial" w:cs="Arial"/>
                                <w:sz w:val="16"/>
                                <w:szCs w:val="16"/>
                              </w:rPr>
                            </w:pPr>
                            <w:r w:rsidRPr="00094F83">
                              <w:rPr>
                                <w:rFonts w:ascii="Arial" w:hAnsi="Arial" w:cs="Arial"/>
                                <w:sz w:val="16"/>
                                <w:szCs w:val="16"/>
                              </w:rPr>
                              <w:t>(Bassot</w:t>
                            </w:r>
                            <w:r w:rsidR="00227B06" w:rsidRPr="00094F83">
                              <w:rPr>
                                <w:rFonts w:ascii="Arial" w:hAnsi="Arial" w:cs="Arial"/>
                                <w:sz w:val="16"/>
                                <w:szCs w:val="16"/>
                              </w:rPr>
                              <w:t>,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B2AD20" id="_x0000_t202" coordsize="21600,21600" o:spt="202" path="m,l,21600r21600,l21600,xe">
                <v:stroke joinstyle="miter"/>
                <v:path gradientshapeok="t" o:connecttype="rect"/>
              </v:shapetype>
              <v:shape id="Text Box 3" o:spid="_x0000_s1026" type="#_x0000_t202" style="position:absolute;margin-left:551.1pt;margin-top:9.05pt;width:136.55pt;height:57.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" fillcolor="white [3201]" strokecolor="white [3212]" strokeweight=".5pt">
                <v:textbox>
                  <w:txbxContent>
                    <w:p w14:paraId="6755630A" w14:textId="6AB0EDDD" w:rsidR="00C17260" w:rsidRPr="00094F83" w:rsidRDefault="00C17260" w:rsidP="00094F83">
                      <w:pPr>
                        <w:rPr>
                          <w:rFonts w:ascii="Arial" w:hAnsi="Arial" w:cs="Arial"/>
                          <w:sz w:val="16"/>
                          <w:szCs w:val="16"/>
                        </w:rPr>
                      </w:pPr>
                      <w:r w:rsidRPr="00094F83">
                        <w:rPr>
                          <w:rFonts w:ascii="Arial" w:hAnsi="Arial" w:cs="Arial"/>
                          <w:sz w:val="16"/>
                          <w:szCs w:val="16"/>
                        </w:rPr>
                        <w:t xml:space="preserve">Kolb’s </w:t>
                      </w:r>
                      <w:r w:rsidR="00240E29" w:rsidRPr="00094F83">
                        <w:rPr>
                          <w:rFonts w:ascii="Arial" w:hAnsi="Arial" w:cs="Arial"/>
                          <w:sz w:val="16"/>
                          <w:szCs w:val="16"/>
                        </w:rPr>
                        <w:t xml:space="preserve">experiential learning cycle </w:t>
                      </w:r>
                    </w:p>
                    <w:p w14:paraId="20A23491" w14:textId="4A338168" w:rsidR="007B59EF" w:rsidRPr="00094F83" w:rsidRDefault="007B59EF" w:rsidP="00094F83">
                      <w:pPr>
                        <w:rPr>
                          <w:rFonts w:ascii="Arial" w:hAnsi="Arial" w:cs="Arial"/>
                          <w:sz w:val="16"/>
                          <w:szCs w:val="16"/>
                        </w:rPr>
                      </w:pPr>
                      <w:r w:rsidRPr="00094F83">
                        <w:rPr>
                          <w:rFonts w:ascii="Arial" w:hAnsi="Arial" w:cs="Arial"/>
                          <w:sz w:val="16"/>
                          <w:szCs w:val="16"/>
                        </w:rPr>
                        <w:t>(Bassot</w:t>
                      </w:r>
                      <w:r w:rsidR="00227B06" w:rsidRPr="00094F83">
                        <w:rPr>
                          <w:rFonts w:ascii="Arial" w:hAnsi="Arial" w:cs="Arial"/>
                          <w:sz w:val="16"/>
                          <w:szCs w:val="16"/>
                        </w:rPr>
                        <w:t>, 2016)</w:t>
                      </w:r>
                    </w:p>
                  </w:txbxContent>
                </v:textbox>
              </v:shape>
            </w:pict>
          </mc:Fallback>
        </mc:AlternateContent>
      </w:r>
    </w:p>
    <w:p w14:paraId="2CC8C9E3" w14:textId="7B56CE13" w:rsidR="009F7F62" w:rsidRPr="00372CF5" w:rsidRDefault="00DC17D1" w:rsidP="00C04F71">
      <w:pPr>
        <w:spacing w:line="276" w:lineRule="auto"/>
        <w:rPr>
          <w:rFonts w:ascii="Arial" w:eastAsia="Arial" w:hAnsi="Arial" w:cs="Arial"/>
          <w:sz w:val="16"/>
          <w:szCs w:val="16"/>
        </w:rPr>
      </w:pPr>
      <w:r w:rsidRPr="00372CF5">
        <w:rPr>
          <w:rFonts w:ascii="Arial" w:eastAsia="Arial" w:hAnsi="Arial" w:cs="Arial"/>
          <w:sz w:val="16"/>
          <w:szCs w:val="16"/>
        </w:rPr>
        <w:t xml:space="preserve">Gibbs Reflective Cycle </w:t>
      </w:r>
    </w:p>
    <w:p w14:paraId="2AA8F686" w14:textId="30F722EC" w:rsidR="00BD560D" w:rsidRPr="00257A5F" w:rsidRDefault="00DC17D1" w:rsidP="00C04F71">
      <w:pPr>
        <w:spacing w:line="276" w:lineRule="auto"/>
        <w:rPr>
          <w:rFonts w:ascii="Arial" w:eastAsia="Arial" w:hAnsi="Arial" w:cs="Arial"/>
          <w:sz w:val="16"/>
          <w:szCs w:val="16"/>
        </w:rPr>
      </w:pPr>
      <w:r w:rsidRPr="00372CF5">
        <w:rPr>
          <w:rFonts w:ascii="Arial" w:eastAsia="Arial" w:hAnsi="Arial" w:cs="Arial"/>
          <w:sz w:val="16"/>
          <w:szCs w:val="16"/>
        </w:rPr>
        <w:t>(</w:t>
      </w:r>
      <w:r w:rsidR="008A0E10" w:rsidRPr="00372CF5">
        <w:rPr>
          <w:rFonts w:ascii="Arial" w:eastAsia="Arial" w:hAnsi="Arial" w:cs="Arial"/>
          <w:sz w:val="16"/>
          <w:szCs w:val="16"/>
        </w:rPr>
        <w:t>Crowe Associates Ltd, no date)</w:t>
      </w:r>
    </w:p>
    <w:p w14:paraId="1C1D653F" w14:textId="2B074614" w:rsidR="00BD560D" w:rsidRDefault="00BD560D" w:rsidP="00C04F71">
      <w:pPr>
        <w:spacing w:line="276" w:lineRule="auto"/>
        <w:rPr>
          <w:rFonts w:ascii="Arial" w:eastAsia="Arial" w:hAnsi="Arial" w:cs="Arial"/>
          <w:sz w:val="24"/>
          <w:szCs w:val="24"/>
          <w:u w:val="single"/>
        </w:rPr>
      </w:pPr>
    </w:p>
    <w:p w14:paraId="5E9BB184" w14:textId="42D9D8D9" w:rsidR="00BD560D" w:rsidRDefault="00BD560D" w:rsidP="00C04F71">
      <w:pPr>
        <w:spacing w:line="276" w:lineRule="auto"/>
        <w:rPr>
          <w:rFonts w:ascii="Arial" w:eastAsia="Arial" w:hAnsi="Arial" w:cs="Arial"/>
          <w:sz w:val="24"/>
          <w:szCs w:val="24"/>
          <w:u w:val="single"/>
        </w:rPr>
      </w:pPr>
    </w:p>
    <w:p w14:paraId="165B18FB" w14:textId="2C11B5C7" w:rsidR="00BD560D" w:rsidRPr="00377D65" w:rsidRDefault="00BD560D" w:rsidP="00C04F71">
      <w:pPr>
        <w:spacing w:line="276" w:lineRule="auto"/>
        <w:rPr>
          <w:rFonts w:ascii="Arial" w:eastAsia="Arial" w:hAnsi="Arial" w:cs="Arial"/>
          <w:sz w:val="18"/>
          <w:szCs w:val="18"/>
          <w:u w:val="single"/>
        </w:rPr>
      </w:pPr>
    </w:p>
    <w:p w14:paraId="01069264" w14:textId="77777777" w:rsidR="004D733E" w:rsidRDefault="004D733E" w:rsidP="00C04F71">
      <w:pPr>
        <w:spacing w:line="276" w:lineRule="auto"/>
        <w:rPr>
          <w:rFonts w:ascii="Arial" w:eastAsia="Arial" w:hAnsi="Arial" w:cs="Arial"/>
          <w:sz w:val="16"/>
          <w:szCs w:val="16"/>
          <w:u w:val="single"/>
        </w:rPr>
      </w:pPr>
    </w:p>
    <w:p w14:paraId="2E0904D9" w14:textId="7314D399" w:rsidR="00BD560D" w:rsidRDefault="00377D65" w:rsidP="00C04F71">
      <w:pPr>
        <w:spacing w:line="276" w:lineRule="auto"/>
        <w:rPr>
          <w:rFonts w:ascii="Arial" w:eastAsia="Arial" w:hAnsi="Arial" w:cs="Arial"/>
          <w:sz w:val="16"/>
          <w:szCs w:val="16"/>
          <w:u w:val="single"/>
        </w:rPr>
      </w:pPr>
      <w:r w:rsidRPr="00377D65">
        <w:rPr>
          <w:rFonts w:ascii="Arial" w:eastAsia="Arial" w:hAnsi="Arial" w:cs="Arial"/>
          <w:sz w:val="16"/>
          <w:szCs w:val="16"/>
          <w:u w:val="single"/>
        </w:rPr>
        <w:t>Conclusion</w:t>
      </w:r>
    </w:p>
    <w:p w14:paraId="3A1CA313" w14:textId="527F0355" w:rsidR="00377D65" w:rsidRPr="00377D65" w:rsidRDefault="00E121FE" w:rsidP="00C04F71">
      <w:pPr>
        <w:spacing w:line="276" w:lineRule="auto"/>
        <w:rPr>
          <w:rFonts w:ascii="Arial" w:eastAsia="Arial" w:hAnsi="Arial" w:cs="Arial"/>
          <w:sz w:val="16"/>
          <w:szCs w:val="16"/>
        </w:rPr>
      </w:pPr>
      <w:r>
        <w:rPr>
          <w:rFonts w:ascii="Arial" w:eastAsia="Arial" w:hAnsi="Arial" w:cs="Arial"/>
          <w:sz w:val="16"/>
          <w:szCs w:val="16"/>
        </w:rPr>
        <w:t xml:space="preserve">In conclusion, </w:t>
      </w:r>
      <w:r w:rsidR="00D66D39">
        <w:rPr>
          <w:rFonts w:ascii="Arial" w:eastAsia="Arial" w:hAnsi="Arial" w:cs="Arial"/>
          <w:sz w:val="16"/>
          <w:szCs w:val="16"/>
        </w:rPr>
        <w:t xml:space="preserve">the methods and theories that have been discussed in this briefing paper </w:t>
      </w:r>
      <w:r w:rsidR="00BF2A3F">
        <w:rPr>
          <w:rFonts w:ascii="Arial" w:eastAsia="Arial" w:hAnsi="Arial" w:cs="Arial"/>
          <w:sz w:val="16"/>
          <w:szCs w:val="16"/>
        </w:rPr>
        <w:t>show</w:t>
      </w:r>
      <w:r w:rsidR="00D66D39">
        <w:rPr>
          <w:rFonts w:ascii="Arial" w:eastAsia="Arial" w:hAnsi="Arial" w:cs="Arial"/>
          <w:sz w:val="16"/>
          <w:szCs w:val="16"/>
        </w:rPr>
        <w:t xml:space="preserve"> many ways of</w:t>
      </w:r>
      <w:r w:rsidR="001E0899">
        <w:rPr>
          <w:rFonts w:ascii="Arial" w:eastAsia="Arial" w:hAnsi="Arial" w:cs="Arial"/>
          <w:sz w:val="16"/>
          <w:szCs w:val="16"/>
        </w:rPr>
        <w:t xml:space="preserve"> how practitioners and professionals can</w:t>
      </w:r>
      <w:r w:rsidR="00D66D39">
        <w:rPr>
          <w:rFonts w:ascii="Arial" w:eastAsia="Arial" w:hAnsi="Arial" w:cs="Arial"/>
          <w:sz w:val="16"/>
          <w:szCs w:val="16"/>
        </w:rPr>
        <w:t xml:space="preserve"> implement reflection into practice</w:t>
      </w:r>
      <w:r w:rsidR="009B7D55">
        <w:rPr>
          <w:rFonts w:ascii="Arial" w:eastAsia="Arial" w:hAnsi="Arial" w:cs="Arial"/>
          <w:sz w:val="16"/>
          <w:szCs w:val="16"/>
        </w:rPr>
        <w:t xml:space="preserve">. Reflection is an important aspect of </w:t>
      </w:r>
      <w:r w:rsidR="00B874D3">
        <w:rPr>
          <w:rFonts w:ascii="Arial" w:eastAsia="Arial" w:hAnsi="Arial" w:cs="Arial"/>
          <w:sz w:val="16"/>
          <w:szCs w:val="16"/>
        </w:rPr>
        <w:t>professional</w:t>
      </w:r>
      <w:r w:rsidR="001E0899">
        <w:rPr>
          <w:rFonts w:ascii="Arial" w:eastAsia="Arial" w:hAnsi="Arial" w:cs="Arial"/>
          <w:sz w:val="16"/>
          <w:szCs w:val="16"/>
        </w:rPr>
        <w:t xml:space="preserve"> practice</w:t>
      </w:r>
      <w:r w:rsidR="00B874D3">
        <w:rPr>
          <w:rFonts w:ascii="Arial" w:eastAsia="Arial" w:hAnsi="Arial" w:cs="Arial"/>
          <w:sz w:val="16"/>
          <w:szCs w:val="16"/>
        </w:rPr>
        <w:t>, and by using different methods, a pr</w:t>
      </w:r>
      <w:r w:rsidR="00BF2A3F">
        <w:rPr>
          <w:rFonts w:ascii="Arial" w:eastAsia="Arial" w:hAnsi="Arial" w:cs="Arial"/>
          <w:sz w:val="16"/>
          <w:szCs w:val="16"/>
        </w:rPr>
        <w:t>actitioner can</w:t>
      </w:r>
      <w:r w:rsidR="00B874D3">
        <w:rPr>
          <w:rFonts w:ascii="Arial" w:eastAsia="Arial" w:hAnsi="Arial" w:cs="Arial"/>
          <w:sz w:val="16"/>
          <w:szCs w:val="16"/>
        </w:rPr>
        <w:t xml:space="preserve"> develop their knowledge</w:t>
      </w:r>
      <w:r w:rsidR="00BF2A3F">
        <w:rPr>
          <w:rFonts w:ascii="Arial" w:eastAsia="Arial" w:hAnsi="Arial" w:cs="Arial"/>
          <w:sz w:val="16"/>
          <w:szCs w:val="16"/>
        </w:rPr>
        <w:t xml:space="preserve"> and skills</w:t>
      </w:r>
      <w:r w:rsidR="001E0899">
        <w:rPr>
          <w:rFonts w:ascii="Arial" w:eastAsia="Arial" w:hAnsi="Arial" w:cs="Arial"/>
          <w:sz w:val="16"/>
          <w:szCs w:val="16"/>
        </w:rPr>
        <w:t xml:space="preserve">, aiding </w:t>
      </w:r>
      <w:r w:rsidR="00AA35E5">
        <w:rPr>
          <w:rFonts w:ascii="Arial" w:eastAsia="Arial" w:hAnsi="Arial" w:cs="Arial"/>
          <w:sz w:val="16"/>
          <w:szCs w:val="16"/>
        </w:rPr>
        <w:t>this professionalism as a result. Many individuals can benefit from active reflection, including children</w:t>
      </w:r>
      <w:r w:rsidR="00DC044D">
        <w:rPr>
          <w:rFonts w:ascii="Arial" w:eastAsia="Arial" w:hAnsi="Arial" w:cs="Arial"/>
          <w:sz w:val="16"/>
          <w:szCs w:val="16"/>
        </w:rPr>
        <w:t xml:space="preserve">, as it allows the professional to understand the child’s </w:t>
      </w:r>
      <w:r w:rsidR="0008500E">
        <w:rPr>
          <w:rFonts w:ascii="Arial" w:eastAsia="Arial" w:hAnsi="Arial" w:cs="Arial"/>
          <w:sz w:val="16"/>
          <w:szCs w:val="16"/>
        </w:rPr>
        <w:t xml:space="preserve">ways of </w:t>
      </w:r>
      <w:r w:rsidR="00DC044D">
        <w:rPr>
          <w:rFonts w:ascii="Arial" w:eastAsia="Arial" w:hAnsi="Arial" w:cs="Arial"/>
          <w:sz w:val="16"/>
          <w:szCs w:val="16"/>
        </w:rPr>
        <w:t>learning</w:t>
      </w:r>
      <w:r w:rsidR="0008500E">
        <w:rPr>
          <w:rFonts w:ascii="Arial" w:eastAsia="Arial" w:hAnsi="Arial" w:cs="Arial"/>
          <w:sz w:val="16"/>
          <w:szCs w:val="16"/>
        </w:rPr>
        <w:t xml:space="preserve"> and </w:t>
      </w:r>
      <w:r w:rsidR="00DC044D">
        <w:rPr>
          <w:rFonts w:ascii="Arial" w:eastAsia="Arial" w:hAnsi="Arial" w:cs="Arial"/>
          <w:sz w:val="16"/>
          <w:szCs w:val="16"/>
        </w:rPr>
        <w:t>development</w:t>
      </w:r>
      <w:r w:rsidR="0008500E">
        <w:rPr>
          <w:rFonts w:ascii="Arial" w:eastAsia="Arial" w:hAnsi="Arial" w:cs="Arial"/>
          <w:sz w:val="16"/>
          <w:szCs w:val="16"/>
        </w:rPr>
        <w:t>.</w:t>
      </w:r>
      <w:r w:rsidR="00AA35E5">
        <w:rPr>
          <w:rFonts w:ascii="Arial" w:eastAsia="Arial" w:hAnsi="Arial" w:cs="Arial"/>
          <w:sz w:val="16"/>
          <w:szCs w:val="16"/>
        </w:rPr>
        <w:t xml:space="preserve"> By reflecting</w:t>
      </w:r>
      <w:r w:rsidR="004D733E">
        <w:rPr>
          <w:rFonts w:ascii="Arial" w:eastAsia="Arial" w:hAnsi="Arial" w:cs="Arial"/>
          <w:sz w:val="16"/>
          <w:szCs w:val="16"/>
        </w:rPr>
        <w:t>,</w:t>
      </w:r>
      <w:r w:rsidR="00AA35E5">
        <w:rPr>
          <w:rFonts w:ascii="Arial" w:eastAsia="Arial" w:hAnsi="Arial" w:cs="Arial"/>
          <w:sz w:val="16"/>
          <w:szCs w:val="16"/>
        </w:rPr>
        <w:t xml:space="preserve"> it ensures professionals are providing the </w:t>
      </w:r>
      <w:r w:rsidR="0008500E">
        <w:rPr>
          <w:rFonts w:ascii="Arial" w:eastAsia="Arial" w:hAnsi="Arial" w:cs="Arial"/>
          <w:sz w:val="16"/>
          <w:szCs w:val="16"/>
        </w:rPr>
        <w:t xml:space="preserve">best care and education available to children, allowing them to progress and develop to their greatest potential possible. </w:t>
      </w:r>
    </w:p>
    <w:p w14:paraId="057DF8CB" w14:textId="77777777" w:rsidR="00377D65" w:rsidRDefault="00377D65" w:rsidP="009F7F62">
      <w:pPr>
        <w:rPr>
          <w:rFonts w:ascii="Arial" w:eastAsia="Arial" w:hAnsi="Arial" w:cs="Arial"/>
          <w:sz w:val="24"/>
          <w:szCs w:val="24"/>
          <w:u w:val="single"/>
        </w:rPr>
      </w:pPr>
    </w:p>
    <w:p w14:paraId="7D33DDF5" w14:textId="49D7036E" w:rsidR="00BD560D" w:rsidRDefault="00BD560D" w:rsidP="009F7F62">
      <w:pPr>
        <w:rPr>
          <w:rFonts w:ascii="Arial" w:eastAsia="Arial" w:hAnsi="Arial" w:cs="Arial"/>
          <w:sz w:val="24"/>
          <w:szCs w:val="24"/>
          <w:u w:val="single"/>
        </w:rPr>
      </w:pPr>
    </w:p>
    <w:p w14:paraId="58AB5D83" w14:textId="412F6087" w:rsidR="00BD560D" w:rsidRDefault="00BD560D" w:rsidP="009F7F62">
      <w:pPr>
        <w:rPr>
          <w:rFonts w:ascii="Arial" w:eastAsia="Arial" w:hAnsi="Arial" w:cs="Arial"/>
          <w:sz w:val="24"/>
          <w:szCs w:val="24"/>
          <w:u w:val="single"/>
        </w:rPr>
      </w:pPr>
    </w:p>
    <w:p w14:paraId="316AE60E" w14:textId="77777777" w:rsidR="007007D4" w:rsidRDefault="007007D4" w:rsidP="009F7F62">
      <w:pPr>
        <w:rPr>
          <w:rFonts w:ascii="Arial" w:eastAsia="Arial" w:hAnsi="Arial" w:cs="Arial"/>
          <w:sz w:val="24"/>
          <w:szCs w:val="24"/>
          <w:u w:val="single"/>
        </w:rPr>
      </w:pPr>
    </w:p>
    <w:p w14:paraId="25BD5057" w14:textId="3C3DFEF6" w:rsidR="009F7F62" w:rsidRDefault="009F7F62" w:rsidP="009F7F62">
      <w:pPr>
        <w:rPr>
          <w:rFonts w:ascii="Arial" w:eastAsia="Arial" w:hAnsi="Arial" w:cs="Arial"/>
          <w:sz w:val="24"/>
          <w:szCs w:val="24"/>
        </w:rPr>
      </w:pPr>
      <w:r w:rsidRPr="6D4DA212">
        <w:rPr>
          <w:rFonts w:ascii="Arial" w:eastAsia="Arial" w:hAnsi="Arial" w:cs="Arial"/>
          <w:sz w:val="24"/>
          <w:szCs w:val="24"/>
          <w:u w:val="single"/>
        </w:rPr>
        <w:lastRenderedPageBreak/>
        <w:t>Reference List</w:t>
      </w:r>
      <w:r w:rsidRPr="6D4DA212">
        <w:rPr>
          <w:rFonts w:ascii="Arial" w:eastAsia="Arial" w:hAnsi="Arial" w:cs="Arial"/>
          <w:sz w:val="24"/>
          <w:szCs w:val="24"/>
        </w:rPr>
        <w:t xml:space="preserve"> </w:t>
      </w:r>
    </w:p>
    <w:p w14:paraId="4A128D79" w14:textId="02786381" w:rsidR="00C6679D" w:rsidRPr="0095688C" w:rsidRDefault="00C6679D" w:rsidP="009F7F62">
      <w:pPr>
        <w:rPr>
          <w:rFonts w:ascii="Arial" w:eastAsia="Arial" w:hAnsi="Arial" w:cs="Arial"/>
          <w:sz w:val="18"/>
          <w:szCs w:val="18"/>
        </w:rPr>
      </w:pPr>
      <w:proofErr w:type="spellStart"/>
      <w:r w:rsidRPr="00C6679D">
        <w:rPr>
          <w:rFonts w:ascii="Arial" w:eastAsia="Arial" w:hAnsi="Arial" w:cs="Arial"/>
          <w:sz w:val="18"/>
          <w:szCs w:val="18"/>
        </w:rPr>
        <w:t>Atchia</w:t>
      </w:r>
      <w:proofErr w:type="spellEnd"/>
      <w:r w:rsidRPr="00C6679D">
        <w:rPr>
          <w:rFonts w:ascii="Arial" w:eastAsia="Arial" w:hAnsi="Arial" w:cs="Arial"/>
          <w:sz w:val="18"/>
          <w:szCs w:val="18"/>
        </w:rPr>
        <w:t>, S</w:t>
      </w:r>
      <w:r w:rsidR="00CC626C">
        <w:rPr>
          <w:rFonts w:ascii="Arial" w:eastAsia="Arial" w:hAnsi="Arial" w:cs="Arial"/>
          <w:sz w:val="18"/>
          <w:szCs w:val="18"/>
        </w:rPr>
        <w:t>.</w:t>
      </w:r>
      <w:r w:rsidRPr="00C6679D">
        <w:rPr>
          <w:rFonts w:ascii="Arial" w:eastAsia="Arial" w:hAnsi="Arial" w:cs="Arial"/>
          <w:sz w:val="18"/>
          <w:szCs w:val="18"/>
        </w:rPr>
        <w:t xml:space="preserve"> (2021) </w:t>
      </w:r>
      <w:r w:rsidR="002D7A63">
        <w:rPr>
          <w:rFonts w:ascii="Arial" w:eastAsia="Arial" w:hAnsi="Arial" w:cs="Arial"/>
          <w:sz w:val="18"/>
          <w:szCs w:val="18"/>
        </w:rPr>
        <w:t xml:space="preserve">Integration of ‘design thinking’ in a reflection model to enhance the teaching of biology, </w:t>
      </w:r>
      <w:r w:rsidR="002D7A63">
        <w:rPr>
          <w:rFonts w:ascii="Arial" w:eastAsia="Arial" w:hAnsi="Arial" w:cs="Arial"/>
          <w:i/>
          <w:iCs/>
          <w:sz w:val="18"/>
          <w:szCs w:val="18"/>
        </w:rPr>
        <w:t xml:space="preserve">Journal </w:t>
      </w:r>
      <w:r w:rsidR="0095688C">
        <w:rPr>
          <w:rFonts w:ascii="Arial" w:eastAsia="Arial" w:hAnsi="Arial" w:cs="Arial"/>
          <w:i/>
          <w:iCs/>
          <w:sz w:val="18"/>
          <w:szCs w:val="18"/>
        </w:rPr>
        <w:t xml:space="preserve">of Biological Education, </w:t>
      </w:r>
      <w:r w:rsidR="0095688C">
        <w:rPr>
          <w:rFonts w:ascii="Arial" w:eastAsia="Arial" w:hAnsi="Arial" w:cs="Arial"/>
          <w:sz w:val="18"/>
          <w:szCs w:val="18"/>
        </w:rPr>
        <w:t xml:space="preserve">31(1), pp. 1-15. Available at: </w:t>
      </w:r>
      <w:hyperlink r:id="rId6" w:history="1">
        <w:r w:rsidR="00273738" w:rsidRPr="003D5393">
          <w:rPr>
            <w:rStyle w:val="Hyperlink"/>
            <w:rFonts w:ascii="Arial" w:eastAsia="Arial" w:hAnsi="Arial" w:cs="Arial"/>
            <w:sz w:val="18"/>
            <w:szCs w:val="18"/>
          </w:rPr>
          <w:t>https://www-tandfonline-com.ezproxy.uwtsd.ac.uk/doi/full/10.1080/00219266.2021.1909642</w:t>
        </w:r>
      </w:hyperlink>
      <w:r w:rsidR="00273738">
        <w:rPr>
          <w:rFonts w:ascii="Arial" w:eastAsia="Arial" w:hAnsi="Arial" w:cs="Arial"/>
          <w:sz w:val="18"/>
          <w:szCs w:val="18"/>
        </w:rPr>
        <w:t xml:space="preserve"> (Accessed: 17</w:t>
      </w:r>
      <w:r w:rsidR="00273738" w:rsidRPr="00273738">
        <w:rPr>
          <w:rFonts w:ascii="Arial" w:eastAsia="Arial" w:hAnsi="Arial" w:cs="Arial"/>
          <w:sz w:val="18"/>
          <w:szCs w:val="18"/>
          <w:vertAlign w:val="superscript"/>
        </w:rPr>
        <w:t>th</w:t>
      </w:r>
      <w:r w:rsidR="00273738">
        <w:rPr>
          <w:rFonts w:ascii="Arial" w:eastAsia="Arial" w:hAnsi="Arial" w:cs="Arial"/>
          <w:sz w:val="18"/>
          <w:szCs w:val="18"/>
        </w:rPr>
        <w:t xml:space="preserve"> October 2022)</w:t>
      </w:r>
    </w:p>
    <w:p w14:paraId="6ABFF1B8" w14:textId="13C44C96" w:rsidR="009F7F62" w:rsidRDefault="009F7F62" w:rsidP="009F7F62">
      <w:pPr>
        <w:rPr>
          <w:rFonts w:ascii="Arial" w:eastAsia="Arial" w:hAnsi="Arial" w:cs="Arial"/>
          <w:sz w:val="18"/>
          <w:szCs w:val="18"/>
        </w:rPr>
      </w:pPr>
      <w:proofErr w:type="spellStart"/>
      <w:r w:rsidRPr="6D4DA212">
        <w:rPr>
          <w:rFonts w:ascii="Arial" w:eastAsia="Arial" w:hAnsi="Arial" w:cs="Arial"/>
          <w:sz w:val="18"/>
          <w:szCs w:val="18"/>
        </w:rPr>
        <w:t>Bassot</w:t>
      </w:r>
      <w:proofErr w:type="spellEnd"/>
      <w:r w:rsidRPr="6D4DA212">
        <w:rPr>
          <w:rFonts w:ascii="Arial" w:eastAsia="Arial" w:hAnsi="Arial" w:cs="Arial"/>
          <w:sz w:val="18"/>
          <w:szCs w:val="18"/>
        </w:rPr>
        <w:t xml:space="preserve">, B. (2016) </w:t>
      </w:r>
      <w:r w:rsidRPr="6D4DA212">
        <w:rPr>
          <w:rFonts w:ascii="Arial" w:eastAsia="Arial" w:hAnsi="Arial" w:cs="Arial"/>
          <w:i/>
          <w:iCs/>
          <w:sz w:val="18"/>
          <w:szCs w:val="18"/>
        </w:rPr>
        <w:t xml:space="preserve">Reflective Practice Guide: An Interdisciplinary to Critical Reflection. </w:t>
      </w:r>
      <w:r w:rsidRPr="6D4DA212">
        <w:rPr>
          <w:rFonts w:ascii="Arial" w:eastAsia="Arial" w:hAnsi="Arial" w:cs="Arial"/>
          <w:sz w:val="18"/>
          <w:szCs w:val="18"/>
        </w:rPr>
        <w:t>London: Routledge</w:t>
      </w:r>
    </w:p>
    <w:p w14:paraId="6CBAE4B7" w14:textId="061ED263" w:rsidR="007007D4" w:rsidRDefault="007007D4" w:rsidP="009F7F62">
      <w:pPr>
        <w:rPr>
          <w:rFonts w:ascii="Arial" w:eastAsia="Arial" w:hAnsi="Arial" w:cs="Arial"/>
          <w:i/>
          <w:iCs/>
          <w:sz w:val="18"/>
          <w:szCs w:val="18"/>
        </w:rPr>
      </w:pPr>
      <w:proofErr w:type="spellStart"/>
      <w:r>
        <w:rPr>
          <w:rFonts w:ascii="Arial" w:eastAsia="Arial" w:hAnsi="Arial" w:cs="Arial"/>
          <w:sz w:val="18"/>
          <w:szCs w:val="18"/>
        </w:rPr>
        <w:t>Bassot</w:t>
      </w:r>
      <w:proofErr w:type="spellEnd"/>
      <w:r>
        <w:rPr>
          <w:rFonts w:ascii="Arial" w:eastAsia="Arial" w:hAnsi="Arial" w:cs="Arial"/>
          <w:sz w:val="18"/>
          <w:szCs w:val="18"/>
        </w:rPr>
        <w:t>, B. (2</w:t>
      </w:r>
      <w:r w:rsidR="00336886">
        <w:rPr>
          <w:rFonts w:ascii="Arial" w:eastAsia="Arial" w:hAnsi="Arial" w:cs="Arial"/>
          <w:sz w:val="18"/>
          <w:szCs w:val="18"/>
        </w:rPr>
        <w:t xml:space="preserve">016) </w:t>
      </w:r>
      <w:r w:rsidR="00336886" w:rsidRPr="6D4DA212">
        <w:rPr>
          <w:rFonts w:ascii="Arial" w:eastAsia="Arial" w:hAnsi="Arial" w:cs="Arial"/>
          <w:i/>
          <w:iCs/>
          <w:sz w:val="18"/>
          <w:szCs w:val="18"/>
        </w:rPr>
        <w:t>Reflective Practice Guide: An Interdisciplinary to Critical Reflection</w:t>
      </w:r>
      <w:r w:rsidR="00336886" w:rsidRPr="00336886">
        <w:rPr>
          <w:rFonts w:ascii="Arial" w:eastAsia="Arial" w:hAnsi="Arial" w:cs="Arial"/>
          <w:sz w:val="18"/>
          <w:szCs w:val="18"/>
        </w:rPr>
        <w:t>. [image] London: Routledge</w:t>
      </w:r>
    </w:p>
    <w:p w14:paraId="60A9110F" w14:textId="77777777" w:rsidR="009F7F62" w:rsidRDefault="009F7F62" w:rsidP="009F7F62">
      <w:pPr>
        <w:rPr>
          <w:rFonts w:ascii="Arial" w:eastAsia="Arial" w:hAnsi="Arial" w:cs="Arial"/>
          <w:sz w:val="16"/>
          <w:szCs w:val="16"/>
        </w:rPr>
      </w:pPr>
      <w:r w:rsidRPr="496D4D94">
        <w:rPr>
          <w:rFonts w:ascii="Arial" w:eastAsia="Arial" w:hAnsi="Arial" w:cs="Arial"/>
          <w:sz w:val="18"/>
          <w:szCs w:val="18"/>
        </w:rPr>
        <w:t xml:space="preserve">Brock, A. (2015) </w:t>
      </w:r>
      <w:r w:rsidRPr="496D4D94">
        <w:rPr>
          <w:rFonts w:ascii="Arial" w:eastAsia="Arial" w:hAnsi="Arial" w:cs="Arial"/>
          <w:i/>
          <w:iCs/>
          <w:sz w:val="18"/>
          <w:szCs w:val="18"/>
        </w:rPr>
        <w:t xml:space="preserve">The early years reflective practice handbook. </w:t>
      </w:r>
      <w:r w:rsidRPr="496D4D94">
        <w:rPr>
          <w:rFonts w:ascii="Arial" w:eastAsia="Arial" w:hAnsi="Arial" w:cs="Arial"/>
          <w:sz w:val="18"/>
          <w:szCs w:val="18"/>
        </w:rPr>
        <w:t xml:space="preserve">London: Routledge </w:t>
      </w:r>
    </w:p>
    <w:p w14:paraId="510057E5" w14:textId="69B96440" w:rsidR="009F7F62" w:rsidRDefault="009F7F62" w:rsidP="009F7F62">
      <w:pPr>
        <w:rPr>
          <w:rFonts w:ascii="Arial" w:eastAsia="Arial" w:hAnsi="Arial" w:cs="Arial"/>
          <w:sz w:val="18"/>
          <w:szCs w:val="18"/>
        </w:rPr>
      </w:pPr>
      <w:r w:rsidRPr="6D4DA212">
        <w:rPr>
          <w:rFonts w:ascii="Arial" w:eastAsia="Arial" w:hAnsi="Arial" w:cs="Arial"/>
          <w:sz w:val="18"/>
          <w:szCs w:val="18"/>
        </w:rPr>
        <w:t xml:space="preserve">Campbell-Barr, V. and Leeson, C. (2015) </w:t>
      </w:r>
      <w:r w:rsidRPr="6D4DA212">
        <w:rPr>
          <w:rFonts w:ascii="Arial" w:eastAsia="Arial" w:hAnsi="Arial" w:cs="Arial"/>
          <w:i/>
          <w:iCs/>
          <w:sz w:val="18"/>
          <w:szCs w:val="18"/>
        </w:rPr>
        <w:t xml:space="preserve">Quality and Leadership in the Early Years: Research, Theory and Practice. </w:t>
      </w:r>
      <w:r w:rsidRPr="6D4DA212">
        <w:rPr>
          <w:rFonts w:ascii="Arial" w:eastAsia="Arial" w:hAnsi="Arial" w:cs="Arial"/>
          <w:sz w:val="18"/>
          <w:szCs w:val="18"/>
        </w:rPr>
        <w:t>London: SAGE Publications Ltd</w:t>
      </w:r>
    </w:p>
    <w:p w14:paraId="0847D068" w14:textId="670FC821" w:rsidR="0075267E" w:rsidRPr="00A0205E" w:rsidRDefault="0075267E" w:rsidP="009F7F62">
      <w:pPr>
        <w:rPr>
          <w:rFonts w:ascii="Arial" w:eastAsia="Arial" w:hAnsi="Arial" w:cs="Arial"/>
          <w:sz w:val="18"/>
          <w:szCs w:val="18"/>
        </w:rPr>
      </w:pPr>
      <w:r>
        <w:rPr>
          <w:rFonts w:ascii="Arial" w:eastAsia="Arial" w:hAnsi="Arial" w:cs="Arial"/>
          <w:sz w:val="18"/>
          <w:szCs w:val="18"/>
        </w:rPr>
        <w:t xml:space="preserve">Crowe Associates </w:t>
      </w:r>
      <w:r w:rsidR="00B7419E">
        <w:rPr>
          <w:rFonts w:ascii="Arial" w:eastAsia="Arial" w:hAnsi="Arial" w:cs="Arial"/>
          <w:sz w:val="18"/>
          <w:szCs w:val="18"/>
        </w:rPr>
        <w:t xml:space="preserve">Ltd. (no date) </w:t>
      </w:r>
      <w:r w:rsidR="00B7419E">
        <w:rPr>
          <w:rFonts w:ascii="Arial" w:eastAsia="Arial" w:hAnsi="Arial" w:cs="Arial"/>
          <w:i/>
          <w:iCs/>
          <w:sz w:val="18"/>
          <w:szCs w:val="18"/>
        </w:rPr>
        <w:t>Gibbs’ Reflective Cycle</w:t>
      </w:r>
      <w:r w:rsidR="00A0205E">
        <w:rPr>
          <w:rFonts w:ascii="Arial" w:eastAsia="Arial" w:hAnsi="Arial" w:cs="Arial"/>
          <w:i/>
          <w:iCs/>
          <w:sz w:val="18"/>
          <w:szCs w:val="18"/>
        </w:rPr>
        <w:t xml:space="preserve">. </w:t>
      </w:r>
      <w:r w:rsidR="00A0205E">
        <w:rPr>
          <w:rFonts w:ascii="Arial" w:eastAsia="Arial" w:hAnsi="Arial" w:cs="Arial"/>
          <w:sz w:val="18"/>
          <w:szCs w:val="18"/>
        </w:rPr>
        <w:t xml:space="preserve">[image] </w:t>
      </w:r>
      <w:r w:rsidR="00544664">
        <w:rPr>
          <w:rFonts w:ascii="Arial" w:eastAsia="Arial" w:hAnsi="Arial" w:cs="Arial"/>
          <w:sz w:val="18"/>
          <w:szCs w:val="18"/>
        </w:rPr>
        <w:t>Oxford</w:t>
      </w:r>
    </w:p>
    <w:p w14:paraId="1538D82A" w14:textId="77777777" w:rsidR="009F7F62" w:rsidRDefault="009F7F62" w:rsidP="009F7F62">
      <w:pPr>
        <w:rPr>
          <w:rFonts w:ascii="Arial" w:eastAsia="Arial" w:hAnsi="Arial" w:cs="Arial"/>
          <w:sz w:val="18"/>
          <w:szCs w:val="18"/>
        </w:rPr>
      </w:pPr>
      <w:r w:rsidRPr="6D4DA212">
        <w:rPr>
          <w:rFonts w:ascii="Arial" w:eastAsia="Arial" w:hAnsi="Arial" w:cs="Arial"/>
          <w:sz w:val="18"/>
          <w:szCs w:val="18"/>
        </w:rPr>
        <w:t xml:space="preserve">Daniels, L., Chazan, D., </w:t>
      </w:r>
      <w:proofErr w:type="spellStart"/>
      <w:r w:rsidRPr="6D4DA212">
        <w:rPr>
          <w:rFonts w:ascii="Arial" w:eastAsia="Arial" w:hAnsi="Arial" w:cs="Arial"/>
          <w:sz w:val="18"/>
          <w:szCs w:val="18"/>
        </w:rPr>
        <w:t>Goegan</w:t>
      </w:r>
      <w:proofErr w:type="spellEnd"/>
      <w:r w:rsidRPr="6D4DA212">
        <w:rPr>
          <w:rFonts w:ascii="Arial" w:eastAsia="Arial" w:hAnsi="Arial" w:cs="Arial"/>
          <w:sz w:val="18"/>
          <w:szCs w:val="18"/>
        </w:rPr>
        <w:t xml:space="preserve">, L. and Farmer, J. (2022) ‘Conventionality and Evidence: two elements of professional development that could matter to teachers’, </w:t>
      </w:r>
      <w:r w:rsidRPr="6D4DA212">
        <w:rPr>
          <w:rFonts w:ascii="Arial" w:eastAsia="Arial" w:hAnsi="Arial" w:cs="Arial"/>
          <w:i/>
          <w:iCs/>
          <w:sz w:val="18"/>
          <w:szCs w:val="18"/>
        </w:rPr>
        <w:t xml:space="preserve">Professional Development in education, </w:t>
      </w:r>
      <w:r w:rsidRPr="6D4DA212">
        <w:rPr>
          <w:rFonts w:ascii="Arial" w:eastAsia="Arial" w:hAnsi="Arial" w:cs="Arial"/>
          <w:sz w:val="18"/>
          <w:szCs w:val="18"/>
        </w:rPr>
        <w:t xml:space="preserve">48(5), pp. 3-22. Available at: </w:t>
      </w:r>
      <w:hyperlink r:id="rId7">
        <w:r w:rsidRPr="6D4DA212">
          <w:rPr>
            <w:rStyle w:val="Hyperlink"/>
            <w:rFonts w:ascii="Arial" w:eastAsia="Arial" w:hAnsi="Arial" w:cs="Arial"/>
            <w:sz w:val="18"/>
            <w:szCs w:val="18"/>
          </w:rPr>
          <w:t>https://www-tandfonline-com.ezproxy.uwtsd.ac.uk/doi/full/10.1080/19415257.2020.1763432?scroll=top&amp;needAccess=true</w:t>
        </w:r>
      </w:hyperlink>
      <w:r w:rsidRPr="6D4DA212">
        <w:rPr>
          <w:rFonts w:ascii="Arial" w:eastAsia="Arial" w:hAnsi="Arial" w:cs="Arial"/>
          <w:sz w:val="18"/>
          <w:szCs w:val="18"/>
        </w:rPr>
        <w:t xml:space="preserve"> (Accessed: 15</w:t>
      </w:r>
      <w:r w:rsidRPr="6D4DA212">
        <w:rPr>
          <w:rFonts w:ascii="Arial" w:eastAsia="Arial" w:hAnsi="Arial" w:cs="Arial"/>
          <w:sz w:val="18"/>
          <w:szCs w:val="18"/>
          <w:vertAlign w:val="superscript"/>
        </w:rPr>
        <w:t>th</w:t>
      </w:r>
      <w:r w:rsidRPr="6D4DA212">
        <w:rPr>
          <w:rFonts w:ascii="Arial" w:eastAsia="Arial" w:hAnsi="Arial" w:cs="Arial"/>
          <w:sz w:val="18"/>
          <w:szCs w:val="18"/>
        </w:rPr>
        <w:t xml:space="preserve"> October 2022)</w:t>
      </w:r>
    </w:p>
    <w:p w14:paraId="40C99348" w14:textId="77777777" w:rsidR="009F7F62" w:rsidRDefault="009F7F62" w:rsidP="009F7F62">
      <w:pPr>
        <w:rPr>
          <w:rFonts w:ascii="Arial" w:eastAsia="Arial" w:hAnsi="Arial" w:cs="Arial"/>
          <w:i/>
          <w:iCs/>
          <w:sz w:val="18"/>
          <w:szCs w:val="18"/>
        </w:rPr>
      </w:pPr>
      <w:proofErr w:type="spellStart"/>
      <w:r w:rsidRPr="496D4D94">
        <w:rPr>
          <w:rFonts w:ascii="Arial" w:eastAsia="Arial" w:hAnsi="Arial" w:cs="Arial"/>
          <w:sz w:val="18"/>
          <w:szCs w:val="18"/>
        </w:rPr>
        <w:t>Hallet</w:t>
      </w:r>
      <w:proofErr w:type="spellEnd"/>
      <w:r w:rsidRPr="496D4D94">
        <w:rPr>
          <w:rFonts w:ascii="Arial" w:eastAsia="Arial" w:hAnsi="Arial" w:cs="Arial"/>
          <w:sz w:val="18"/>
          <w:szCs w:val="18"/>
        </w:rPr>
        <w:t xml:space="preserve">, E. (2012) </w:t>
      </w:r>
      <w:r w:rsidRPr="496D4D94">
        <w:rPr>
          <w:rFonts w:ascii="Arial" w:eastAsia="Arial" w:hAnsi="Arial" w:cs="Arial"/>
          <w:i/>
          <w:iCs/>
          <w:sz w:val="18"/>
          <w:szCs w:val="18"/>
        </w:rPr>
        <w:t xml:space="preserve">The Reflective Early Years Practitioner. </w:t>
      </w:r>
      <w:r w:rsidRPr="496D4D94">
        <w:rPr>
          <w:rFonts w:ascii="Arial" w:eastAsia="Arial" w:hAnsi="Arial" w:cs="Arial"/>
          <w:sz w:val="18"/>
          <w:szCs w:val="18"/>
        </w:rPr>
        <w:t xml:space="preserve">London: SAGE Publications Ltd </w:t>
      </w:r>
    </w:p>
    <w:p w14:paraId="10240AB3" w14:textId="77777777" w:rsidR="009F7F62" w:rsidRDefault="009F7F62" w:rsidP="009F7F62">
      <w:pPr>
        <w:rPr>
          <w:rFonts w:ascii="Arial" w:eastAsia="Arial" w:hAnsi="Arial" w:cs="Arial"/>
          <w:sz w:val="18"/>
          <w:szCs w:val="18"/>
        </w:rPr>
      </w:pPr>
      <w:r w:rsidRPr="6D4DA212">
        <w:rPr>
          <w:rFonts w:ascii="Arial" w:eastAsia="Arial" w:hAnsi="Arial" w:cs="Arial"/>
          <w:sz w:val="18"/>
          <w:szCs w:val="18"/>
        </w:rPr>
        <w:t xml:space="preserve">Hargreaves, J. and Page, L. (2013) </w:t>
      </w:r>
      <w:r w:rsidRPr="6D4DA212">
        <w:rPr>
          <w:rFonts w:ascii="Arial" w:eastAsia="Arial" w:hAnsi="Arial" w:cs="Arial"/>
          <w:i/>
          <w:iCs/>
          <w:sz w:val="18"/>
          <w:szCs w:val="18"/>
        </w:rPr>
        <w:t xml:space="preserve">Reflective Practice. </w:t>
      </w:r>
      <w:r w:rsidRPr="6D4DA212">
        <w:rPr>
          <w:rFonts w:ascii="Arial" w:eastAsia="Arial" w:hAnsi="Arial" w:cs="Arial"/>
          <w:sz w:val="18"/>
          <w:szCs w:val="18"/>
        </w:rPr>
        <w:t>Cambridge: Polity Press</w:t>
      </w:r>
    </w:p>
    <w:p w14:paraId="5AF568DA" w14:textId="77777777" w:rsidR="007007D4" w:rsidRDefault="009F7F62" w:rsidP="007007D4">
      <w:pPr>
        <w:rPr>
          <w:rFonts w:ascii="Arial" w:eastAsia="Arial" w:hAnsi="Arial" w:cs="Arial"/>
          <w:color w:val="3A3A3A"/>
          <w:sz w:val="18"/>
          <w:szCs w:val="18"/>
        </w:rPr>
      </w:pPr>
      <w:proofErr w:type="spellStart"/>
      <w:r w:rsidRPr="6D4DA212">
        <w:rPr>
          <w:rFonts w:ascii="Arial" w:eastAsia="Arial" w:hAnsi="Arial" w:cs="Arial"/>
          <w:color w:val="3A3A3A"/>
          <w:sz w:val="18"/>
          <w:szCs w:val="18"/>
        </w:rPr>
        <w:t>Körkkö</w:t>
      </w:r>
      <w:proofErr w:type="spellEnd"/>
      <w:r w:rsidRPr="6D4DA212">
        <w:rPr>
          <w:rFonts w:ascii="Arial" w:eastAsia="Arial" w:hAnsi="Arial" w:cs="Arial"/>
          <w:color w:val="3A3A3A"/>
          <w:sz w:val="18"/>
          <w:szCs w:val="18"/>
        </w:rPr>
        <w:t xml:space="preserve">, M., </w:t>
      </w:r>
      <w:proofErr w:type="spellStart"/>
      <w:r w:rsidRPr="6D4DA212">
        <w:rPr>
          <w:rFonts w:ascii="Arial" w:eastAsia="Arial" w:hAnsi="Arial" w:cs="Arial"/>
          <w:color w:val="3A3A3A"/>
          <w:sz w:val="18"/>
          <w:szCs w:val="18"/>
        </w:rPr>
        <w:t>Kyrö-Ämmälä</w:t>
      </w:r>
      <w:proofErr w:type="spellEnd"/>
      <w:r w:rsidRPr="6D4DA212">
        <w:rPr>
          <w:rFonts w:ascii="Arial" w:eastAsia="Arial" w:hAnsi="Arial" w:cs="Arial"/>
          <w:color w:val="3A3A3A"/>
          <w:sz w:val="18"/>
          <w:szCs w:val="18"/>
        </w:rPr>
        <w:t xml:space="preserve">, O. and Turunen, T. (2016) ‘Professional development through reflection in teacher </w:t>
      </w:r>
      <w:r>
        <w:rPr>
          <w:rFonts w:ascii="Arial" w:eastAsia="Arial" w:hAnsi="Arial" w:cs="Arial"/>
          <w:color w:val="3A3A3A"/>
          <w:sz w:val="18"/>
          <w:szCs w:val="18"/>
        </w:rPr>
        <w:t>education’</w:t>
      </w:r>
      <w:r w:rsidRPr="6D4DA212">
        <w:rPr>
          <w:rFonts w:ascii="Arial" w:eastAsia="Arial" w:hAnsi="Arial" w:cs="Arial"/>
          <w:color w:val="3A3A3A"/>
          <w:sz w:val="18"/>
          <w:szCs w:val="18"/>
        </w:rPr>
        <w:t xml:space="preserve">, </w:t>
      </w:r>
      <w:r w:rsidRPr="6D4DA212">
        <w:rPr>
          <w:rFonts w:ascii="Arial" w:eastAsia="Arial" w:hAnsi="Arial" w:cs="Arial"/>
          <w:i/>
          <w:iCs/>
          <w:color w:val="3A3A3A"/>
          <w:sz w:val="18"/>
          <w:szCs w:val="18"/>
        </w:rPr>
        <w:t xml:space="preserve">Teaching and Teacher Education, </w:t>
      </w:r>
      <w:r w:rsidRPr="6D4DA212">
        <w:rPr>
          <w:rFonts w:ascii="Arial" w:eastAsia="Arial" w:hAnsi="Arial" w:cs="Arial"/>
          <w:color w:val="3A3A3A"/>
          <w:sz w:val="18"/>
          <w:szCs w:val="18"/>
        </w:rPr>
        <w:t xml:space="preserve">48, pp. 198-206. Available at: </w:t>
      </w:r>
      <w:hyperlink r:id="rId8" w:anchor="sec3">
        <w:r w:rsidRPr="6D4DA212">
          <w:rPr>
            <w:rStyle w:val="Hyperlink"/>
            <w:rFonts w:ascii="Arial" w:eastAsia="Arial" w:hAnsi="Arial" w:cs="Arial"/>
            <w:sz w:val="18"/>
            <w:szCs w:val="18"/>
          </w:rPr>
          <w:t>https://www-sciencedirect-com.ezproxy.uwtsd.ac.uk/science/article/pii/S0742051X16300142#sec3</w:t>
        </w:r>
      </w:hyperlink>
      <w:r w:rsidRPr="6D4DA212">
        <w:rPr>
          <w:rFonts w:ascii="Arial" w:eastAsia="Arial" w:hAnsi="Arial" w:cs="Arial"/>
          <w:color w:val="3A3A3A"/>
          <w:sz w:val="18"/>
          <w:szCs w:val="18"/>
        </w:rPr>
        <w:t xml:space="preserve"> (Accessed: 15</w:t>
      </w:r>
      <w:r w:rsidRPr="6D4DA212">
        <w:rPr>
          <w:rFonts w:ascii="Arial" w:eastAsia="Arial" w:hAnsi="Arial" w:cs="Arial"/>
          <w:color w:val="3A3A3A"/>
          <w:sz w:val="18"/>
          <w:szCs w:val="18"/>
          <w:vertAlign w:val="superscript"/>
        </w:rPr>
        <w:t>th</w:t>
      </w:r>
      <w:r w:rsidRPr="6D4DA212">
        <w:rPr>
          <w:rFonts w:ascii="Arial" w:eastAsia="Arial" w:hAnsi="Arial" w:cs="Arial"/>
          <w:color w:val="3A3A3A"/>
          <w:sz w:val="18"/>
          <w:szCs w:val="18"/>
        </w:rPr>
        <w:t xml:space="preserve"> October 2022) </w:t>
      </w:r>
    </w:p>
    <w:p w14:paraId="5AE834BE" w14:textId="3D896506" w:rsidR="00044837" w:rsidRPr="007007D4" w:rsidRDefault="00044837" w:rsidP="007007D4">
      <w:pPr>
        <w:rPr>
          <w:rFonts w:ascii="Arial" w:eastAsia="Arial" w:hAnsi="Arial" w:cs="Arial"/>
          <w:color w:val="3A3A3A"/>
          <w:sz w:val="18"/>
          <w:szCs w:val="18"/>
        </w:rPr>
      </w:pPr>
      <w:proofErr w:type="spellStart"/>
      <w:r>
        <w:rPr>
          <w:rFonts w:ascii="Arial" w:eastAsia="Arial" w:hAnsi="Arial" w:cs="Arial"/>
          <w:color w:val="3A3A3A"/>
          <w:sz w:val="18"/>
          <w:szCs w:val="18"/>
        </w:rPr>
        <w:t>O</w:t>
      </w:r>
      <w:r w:rsidR="00CC626C">
        <w:rPr>
          <w:rFonts w:ascii="Arial" w:eastAsia="Arial" w:hAnsi="Arial" w:cs="Arial"/>
          <w:color w:val="3A3A3A"/>
          <w:sz w:val="18"/>
          <w:szCs w:val="18"/>
        </w:rPr>
        <w:t>viawe</w:t>
      </w:r>
      <w:proofErr w:type="spellEnd"/>
      <w:r w:rsidR="00CC626C">
        <w:rPr>
          <w:rFonts w:ascii="Arial" w:eastAsia="Arial" w:hAnsi="Arial" w:cs="Arial"/>
          <w:color w:val="3A3A3A"/>
          <w:sz w:val="18"/>
          <w:szCs w:val="18"/>
        </w:rPr>
        <w:t xml:space="preserve">, J. (2020) </w:t>
      </w:r>
      <w:r w:rsidR="00CC626C" w:rsidRPr="00CC626C">
        <w:rPr>
          <w:rFonts w:ascii="Arial" w:hAnsi="Arial" w:cs="Arial"/>
          <w:sz w:val="18"/>
          <w:szCs w:val="18"/>
        </w:rPr>
        <w:t xml:space="preserve">Application of Graham Gibbs Model of Reflection to Improve Teaching Understanding among Technical Education Students in Ambrose Alli University </w:t>
      </w:r>
      <w:proofErr w:type="spellStart"/>
      <w:r w:rsidR="00CC626C" w:rsidRPr="00CC626C">
        <w:rPr>
          <w:rFonts w:ascii="Arial" w:hAnsi="Arial" w:cs="Arial"/>
          <w:sz w:val="18"/>
          <w:szCs w:val="18"/>
        </w:rPr>
        <w:t>Ekpoma</w:t>
      </w:r>
      <w:proofErr w:type="spellEnd"/>
      <w:r w:rsidR="00CC626C" w:rsidRPr="00CC626C">
        <w:rPr>
          <w:rFonts w:ascii="Arial" w:hAnsi="Arial" w:cs="Arial"/>
          <w:sz w:val="18"/>
          <w:szCs w:val="18"/>
        </w:rPr>
        <w:t xml:space="preserve"> Edo State</w:t>
      </w:r>
      <w:r w:rsidR="00CC626C">
        <w:rPr>
          <w:rFonts w:ascii="Arial" w:hAnsi="Arial" w:cs="Arial"/>
          <w:sz w:val="18"/>
          <w:szCs w:val="18"/>
        </w:rPr>
        <w:t xml:space="preserve">, </w:t>
      </w:r>
      <w:proofErr w:type="spellStart"/>
      <w:r w:rsidR="00CC626C" w:rsidRPr="00347717">
        <w:rPr>
          <w:rFonts w:ascii="Arial" w:hAnsi="Arial" w:cs="Arial"/>
          <w:i/>
          <w:iCs/>
          <w:sz w:val="18"/>
          <w:szCs w:val="18"/>
        </w:rPr>
        <w:t>Sum</w:t>
      </w:r>
      <w:r w:rsidR="00EB6F6F">
        <w:rPr>
          <w:rFonts w:ascii="Arial" w:hAnsi="Arial" w:cs="Arial"/>
          <w:i/>
          <w:iCs/>
          <w:sz w:val="18"/>
          <w:szCs w:val="18"/>
        </w:rPr>
        <w:t>eri</w:t>
      </w:r>
      <w:r w:rsidR="00347717" w:rsidRPr="00347717">
        <w:rPr>
          <w:rFonts w:ascii="Arial" w:hAnsi="Arial" w:cs="Arial"/>
          <w:i/>
          <w:iCs/>
          <w:sz w:val="18"/>
          <w:szCs w:val="18"/>
        </w:rPr>
        <w:t>anz</w:t>
      </w:r>
      <w:proofErr w:type="spellEnd"/>
      <w:r w:rsidR="00347717" w:rsidRPr="00347717">
        <w:rPr>
          <w:rFonts w:ascii="Arial" w:hAnsi="Arial" w:cs="Arial"/>
          <w:i/>
          <w:iCs/>
          <w:sz w:val="18"/>
          <w:szCs w:val="18"/>
        </w:rPr>
        <w:t xml:space="preserve"> education, linguistics and literature</w:t>
      </w:r>
      <w:r w:rsidR="00347717">
        <w:rPr>
          <w:rFonts w:ascii="Arial" w:hAnsi="Arial" w:cs="Arial"/>
          <w:sz w:val="18"/>
          <w:szCs w:val="18"/>
        </w:rPr>
        <w:t xml:space="preserve">, 3(2), pp. 8-15. </w:t>
      </w:r>
      <w:r w:rsidR="002B34BF">
        <w:rPr>
          <w:rFonts w:ascii="Arial" w:hAnsi="Arial" w:cs="Arial"/>
          <w:sz w:val="18"/>
          <w:szCs w:val="18"/>
        </w:rPr>
        <w:t xml:space="preserve">Accessed at: </w:t>
      </w:r>
      <w:hyperlink r:id="rId9" w:history="1">
        <w:r w:rsidR="002B34BF" w:rsidRPr="003D5393">
          <w:rPr>
            <w:rStyle w:val="Hyperlink"/>
            <w:rFonts w:ascii="Arial" w:hAnsi="Arial" w:cs="Arial"/>
            <w:sz w:val="18"/>
            <w:szCs w:val="18"/>
          </w:rPr>
          <w: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w:t>
        </w:r>
      </w:hyperlink>
      <w:r w:rsidR="002B34BF">
        <w:rPr>
          <w:rFonts w:ascii="Arial" w:hAnsi="Arial" w:cs="Arial"/>
          <w:sz w:val="18"/>
          <w:szCs w:val="18"/>
        </w:rPr>
        <w:t xml:space="preserve"> (Accessed: 17</w:t>
      </w:r>
      <w:r w:rsidR="002B34BF" w:rsidRPr="002B34BF">
        <w:rPr>
          <w:rFonts w:ascii="Arial" w:hAnsi="Arial" w:cs="Arial"/>
          <w:sz w:val="18"/>
          <w:szCs w:val="18"/>
          <w:vertAlign w:val="superscript"/>
        </w:rPr>
        <w:t>th</w:t>
      </w:r>
      <w:r w:rsidR="002B34BF">
        <w:rPr>
          <w:rFonts w:ascii="Arial" w:hAnsi="Arial" w:cs="Arial"/>
          <w:sz w:val="18"/>
          <w:szCs w:val="18"/>
        </w:rPr>
        <w:t xml:space="preserve"> October 2022) </w:t>
      </w:r>
    </w:p>
    <w:p w14:paraId="1466CA87" w14:textId="77777777" w:rsidR="009F7F62" w:rsidRDefault="009F7F62" w:rsidP="009F7F62">
      <w:pPr>
        <w:rPr>
          <w:rFonts w:ascii="Arial" w:eastAsia="Arial" w:hAnsi="Arial" w:cs="Arial"/>
          <w:color w:val="3A3A3A"/>
          <w:sz w:val="18"/>
          <w:szCs w:val="18"/>
        </w:rPr>
      </w:pPr>
      <w:r w:rsidRPr="6D4DA212">
        <w:rPr>
          <w:rFonts w:ascii="Arial" w:eastAsia="Arial" w:hAnsi="Arial" w:cs="Arial"/>
          <w:color w:val="3A3A3A"/>
          <w:sz w:val="18"/>
          <w:szCs w:val="18"/>
        </w:rPr>
        <w:t xml:space="preserve">Skilling, K (2001) ‘It’s time to reflect on the benefits of reflective practice’, </w:t>
      </w:r>
      <w:r w:rsidRPr="6D4DA212">
        <w:rPr>
          <w:rFonts w:ascii="Arial" w:eastAsia="Arial" w:hAnsi="Arial" w:cs="Arial"/>
          <w:i/>
          <w:iCs/>
          <w:color w:val="3A3A3A"/>
          <w:sz w:val="18"/>
          <w:szCs w:val="18"/>
        </w:rPr>
        <w:t xml:space="preserve">The Primary Educator, </w:t>
      </w:r>
      <w:r w:rsidRPr="6D4DA212">
        <w:rPr>
          <w:rFonts w:ascii="Arial" w:eastAsia="Arial" w:hAnsi="Arial" w:cs="Arial"/>
          <w:color w:val="3A3A3A"/>
          <w:sz w:val="18"/>
          <w:szCs w:val="18"/>
        </w:rPr>
        <w:t xml:space="preserve">7(3), pp. 7-11. Available at: </w:t>
      </w:r>
      <w:hyperlink r:id="rId10" w:anchor="db=eue&amp;AN=5791238&amp;anchor=AN0005791238-6">
        <w:r w:rsidRPr="6D4DA212">
          <w:rPr>
            <w:rStyle w:val="Hyperlink"/>
            <w:rFonts w:ascii="Arial" w:eastAsia="Arial" w:hAnsi="Arial" w:cs="Arial"/>
            <w:sz w:val="18"/>
            <w:szCs w:val="18"/>
          </w:rPr>
          <w:t>https://web-p-ebscohost-com.ezproxy.uwtsd.ac.uk/ehost/detail/detail?vid=0&amp;sid=7d256f83-5f2a-439b-849c-41560ddccb56%40redis&amp;bdata=JnNpdGU9ZWhvc3QtbGl2ZQ%3d%3d#db=eue&amp;AN=5791238&amp;anchor=AN0005791238-6</w:t>
        </w:r>
      </w:hyperlink>
      <w:r w:rsidRPr="6D4DA212">
        <w:rPr>
          <w:rFonts w:ascii="Arial" w:eastAsia="Arial" w:hAnsi="Arial" w:cs="Arial"/>
          <w:color w:val="3A3A3A"/>
          <w:sz w:val="18"/>
          <w:szCs w:val="18"/>
        </w:rPr>
        <w:t xml:space="preserve"> (Accessed: 15</w:t>
      </w:r>
      <w:r w:rsidRPr="6D4DA212">
        <w:rPr>
          <w:rFonts w:ascii="Arial" w:eastAsia="Arial" w:hAnsi="Arial" w:cs="Arial"/>
          <w:color w:val="3A3A3A"/>
          <w:sz w:val="18"/>
          <w:szCs w:val="18"/>
          <w:vertAlign w:val="superscript"/>
        </w:rPr>
        <w:t>th</w:t>
      </w:r>
      <w:r w:rsidRPr="6D4DA212">
        <w:rPr>
          <w:rFonts w:ascii="Arial" w:eastAsia="Arial" w:hAnsi="Arial" w:cs="Arial"/>
          <w:color w:val="3A3A3A"/>
          <w:sz w:val="18"/>
          <w:szCs w:val="18"/>
        </w:rPr>
        <w:t xml:space="preserve"> October 2022)</w:t>
      </w:r>
    </w:p>
    <w:p w14:paraId="467469C5" w14:textId="77777777" w:rsidR="009F7F62" w:rsidRDefault="009F7F62" w:rsidP="009F7F62">
      <w:pPr>
        <w:rPr>
          <w:rFonts w:ascii="Arial" w:eastAsia="Arial" w:hAnsi="Arial" w:cs="Arial"/>
          <w:i/>
          <w:iCs/>
          <w:sz w:val="18"/>
          <w:szCs w:val="18"/>
        </w:rPr>
      </w:pPr>
      <w:r w:rsidRPr="6D4DA212">
        <w:rPr>
          <w:rFonts w:ascii="Arial" w:eastAsia="Arial" w:hAnsi="Arial" w:cs="Arial"/>
          <w:sz w:val="18"/>
          <w:szCs w:val="18"/>
        </w:rPr>
        <w:t xml:space="preserve">Tarrant, P. (2013) </w:t>
      </w:r>
      <w:r w:rsidRPr="6D4DA212">
        <w:rPr>
          <w:rFonts w:ascii="Arial" w:eastAsia="Arial" w:hAnsi="Arial" w:cs="Arial"/>
          <w:i/>
          <w:iCs/>
          <w:sz w:val="18"/>
          <w:szCs w:val="18"/>
        </w:rPr>
        <w:t xml:space="preserve">Reflective practice and professional development. </w:t>
      </w:r>
      <w:r w:rsidRPr="6D4DA212">
        <w:rPr>
          <w:rFonts w:ascii="Arial" w:eastAsia="Arial" w:hAnsi="Arial" w:cs="Arial"/>
          <w:sz w:val="18"/>
          <w:szCs w:val="18"/>
        </w:rPr>
        <w:t>London: SAGE Publications Ltd</w:t>
      </w:r>
    </w:p>
    <w:p w14:paraId="2D32E08D" w14:textId="77777777" w:rsidR="009F7F62" w:rsidRDefault="009F7F62"/>
    <w:sectPr w:rsidR="009F7F62" w:rsidSect="009F7F62">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F62"/>
    <w:rsid w:val="00044837"/>
    <w:rsid w:val="0008500E"/>
    <w:rsid w:val="00094F83"/>
    <w:rsid w:val="00103DB7"/>
    <w:rsid w:val="001E0899"/>
    <w:rsid w:val="00227B06"/>
    <w:rsid w:val="00240E29"/>
    <w:rsid w:val="00257A5F"/>
    <w:rsid w:val="00273738"/>
    <w:rsid w:val="002A75A5"/>
    <w:rsid w:val="002B11FE"/>
    <w:rsid w:val="002B34BF"/>
    <w:rsid w:val="002D7A63"/>
    <w:rsid w:val="00336886"/>
    <w:rsid w:val="00347717"/>
    <w:rsid w:val="00372CF5"/>
    <w:rsid w:val="00377D65"/>
    <w:rsid w:val="003D7113"/>
    <w:rsid w:val="004D733E"/>
    <w:rsid w:val="00544664"/>
    <w:rsid w:val="007007D4"/>
    <w:rsid w:val="00740A21"/>
    <w:rsid w:val="0075267E"/>
    <w:rsid w:val="007B59EF"/>
    <w:rsid w:val="00875B2A"/>
    <w:rsid w:val="008A0E10"/>
    <w:rsid w:val="008C6DD4"/>
    <w:rsid w:val="008E1BA1"/>
    <w:rsid w:val="008F1042"/>
    <w:rsid w:val="009516C4"/>
    <w:rsid w:val="0095688C"/>
    <w:rsid w:val="00987270"/>
    <w:rsid w:val="009B769E"/>
    <w:rsid w:val="009B7D55"/>
    <w:rsid w:val="009F7F62"/>
    <w:rsid w:val="00A0205E"/>
    <w:rsid w:val="00AA35E5"/>
    <w:rsid w:val="00AD671E"/>
    <w:rsid w:val="00B55965"/>
    <w:rsid w:val="00B7419E"/>
    <w:rsid w:val="00B874D3"/>
    <w:rsid w:val="00B9015F"/>
    <w:rsid w:val="00BB03D0"/>
    <w:rsid w:val="00BD560D"/>
    <w:rsid w:val="00BF2A3F"/>
    <w:rsid w:val="00C04F71"/>
    <w:rsid w:val="00C17260"/>
    <w:rsid w:val="00C1765B"/>
    <w:rsid w:val="00C37965"/>
    <w:rsid w:val="00C62D0F"/>
    <w:rsid w:val="00C6679D"/>
    <w:rsid w:val="00C95FAE"/>
    <w:rsid w:val="00CC34C3"/>
    <w:rsid w:val="00CC626C"/>
    <w:rsid w:val="00D66D39"/>
    <w:rsid w:val="00DC044D"/>
    <w:rsid w:val="00DC17D1"/>
    <w:rsid w:val="00E121FE"/>
    <w:rsid w:val="00E71D99"/>
    <w:rsid w:val="00EA266D"/>
    <w:rsid w:val="00EB6F6F"/>
    <w:rsid w:val="00F06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0D051"/>
  <w15:chartTrackingRefBased/>
  <w15:docId w15:val="{FF933B84-0C72-4145-B0B7-EBBCBCBB5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F62"/>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7F62"/>
    <w:rPr>
      <w:color w:val="0563C1" w:themeColor="hyperlink"/>
      <w:u w:val="single"/>
    </w:rPr>
  </w:style>
  <w:style w:type="character" w:styleId="UnresolvedMention">
    <w:name w:val="Unresolved Mention"/>
    <w:basedOn w:val="DefaultParagraphFont"/>
    <w:uiPriority w:val="99"/>
    <w:semiHidden/>
    <w:unhideWhenUsed/>
    <w:rsid w:val="00273738"/>
    <w:rPr>
      <w:color w:val="605E5C"/>
      <w:shd w:val="clear" w:color="auto" w:fill="E1DFDD"/>
    </w:rPr>
  </w:style>
  <w:style w:type="paragraph" w:styleId="NormalWeb">
    <w:name w:val="Normal (Web)"/>
    <w:basedOn w:val="Normal"/>
    <w:uiPriority w:val="99"/>
    <w:unhideWhenUsed/>
    <w:rsid w:val="00CC626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5897">
      <w:bodyDiv w:val="1"/>
      <w:marLeft w:val="0"/>
      <w:marRight w:val="0"/>
      <w:marTop w:val="0"/>
      <w:marBottom w:val="0"/>
      <w:divBdr>
        <w:top w:val="none" w:sz="0" w:space="0" w:color="auto"/>
        <w:left w:val="none" w:sz="0" w:space="0" w:color="auto"/>
        <w:bottom w:val="none" w:sz="0" w:space="0" w:color="auto"/>
        <w:right w:val="none" w:sz="0" w:space="0" w:color="auto"/>
      </w:divBdr>
      <w:divsChild>
        <w:div w:id="1307853041">
          <w:marLeft w:val="0"/>
          <w:marRight w:val="0"/>
          <w:marTop w:val="0"/>
          <w:marBottom w:val="0"/>
          <w:divBdr>
            <w:top w:val="none" w:sz="0" w:space="0" w:color="auto"/>
            <w:left w:val="none" w:sz="0" w:space="0" w:color="auto"/>
            <w:bottom w:val="none" w:sz="0" w:space="0" w:color="auto"/>
            <w:right w:val="none" w:sz="0" w:space="0" w:color="auto"/>
          </w:divBdr>
          <w:divsChild>
            <w:div w:id="2083092250">
              <w:marLeft w:val="0"/>
              <w:marRight w:val="0"/>
              <w:marTop w:val="0"/>
              <w:marBottom w:val="0"/>
              <w:divBdr>
                <w:top w:val="none" w:sz="0" w:space="0" w:color="auto"/>
                <w:left w:val="none" w:sz="0" w:space="0" w:color="auto"/>
                <w:bottom w:val="none" w:sz="0" w:space="0" w:color="auto"/>
                <w:right w:val="none" w:sz="0" w:space="0" w:color="auto"/>
              </w:divBdr>
              <w:divsChild>
                <w:div w:id="90953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742051X16300142" TargetMode="External"/><Relationship Id="rId3" Type="http://schemas.openxmlformats.org/officeDocument/2006/relationships/webSettings" Target="webSettings.xml"/><Relationship Id="rId7" Type="http://schemas.openxmlformats.org/officeDocument/2006/relationships/hyperlink" Target="https://www-tandfonline-com.ezproxy.uwtsd.ac.uk/doi/full/10.1080/19415257.2020.1763432?scroll=top&amp;needAccess=true"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andfonline-com.ezproxy.uwtsd.ac.uk/doi/full/10.1080/00219266.2021.1909642" TargetMode="External"/><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hyperlink" Target="https://web-p-ebscohost-com.ezproxy.uwtsd.ac.uk/ehost/detail/detail?vid=0&amp;sid=7d256f83-5f2a-439b-849c-41560ddccb56%40redis&amp;bdata=JnNpdGU9ZWhvc3QtbGl2ZQ%3d%3d" TargetMode="External"/><Relationship Id="rId4" Type="http://schemas.openxmlformats.org/officeDocument/2006/relationships/image" Target="media/image1.jpeg"/><Relationship Id="rId9" Type="http://schemas.openxmlformats.org/officeDocument/2006/relationships/hyperlink" Target="https://www.researchgate.net/profile/Jane-Oviawe/publication/342106724_Application_of_Graham_Gibbs_Model_of_Reflection_to_Improve_Teaching_Understanding_among_Technical_Education_Students_in_Ambrose_Alli_University_Ekpoma_Edo_State/links/5ee24e07299bf1faac4b244b/Application-of-Graham-Gibbs-Model-of-Reflection-to-Improve-Teaching-Understanding-among-Technical-Education-Students-in-Ambrose-Alli-University-Ekpoma-Edo-Sta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2395</Words>
  <Characters>13654</Characters>
  <Application>Microsoft Office Word</Application>
  <DocSecurity>0</DocSecurity>
  <Lines>113</Lines>
  <Paragraphs>32</Paragraphs>
  <ScaleCrop>false</ScaleCrop>
  <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Day (2208488)</dc:creator>
  <cp:keywords/>
  <dc:description/>
  <cp:lastModifiedBy>Maggie Day (2208488)</cp:lastModifiedBy>
  <cp:revision>61</cp:revision>
  <dcterms:created xsi:type="dcterms:W3CDTF">2022-10-15T15:26:00Z</dcterms:created>
  <dcterms:modified xsi:type="dcterms:W3CDTF">2022-10-18T16:13:00Z</dcterms:modified>
</cp:coreProperties>
</file>