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472828" w14:textId="77777777" w:rsidR="00B21AE3" w:rsidRPr="002E3FDE" w:rsidRDefault="00B21AE3" w:rsidP="002E3FDE">
      <w:pPr>
        <w:pStyle w:val="Normal1"/>
        <w:jc w:val="both"/>
        <w:rPr>
          <w:rFonts w:ascii="Times New Roman" w:hAnsi="Times New Roman" w:cs="Times New Roman"/>
          <w:sz w:val="24"/>
          <w:szCs w:val="24"/>
        </w:rPr>
      </w:pPr>
    </w:p>
    <w:p w14:paraId="29DC5D73" w14:textId="77777777" w:rsidR="00AC461A" w:rsidRDefault="00AC461A" w:rsidP="00AC461A">
      <w:pPr>
        <w:jc w:val="center"/>
        <w:rPr>
          <w:b/>
          <w:sz w:val="32"/>
        </w:rPr>
      </w:pPr>
    </w:p>
    <w:p w14:paraId="05F9D33B" w14:textId="77777777" w:rsidR="00AC461A" w:rsidRDefault="00AC461A" w:rsidP="00AC461A">
      <w:pPr>
        <w:jc w:val="center"/>
        <w:rPr>
          <w:b/>
          <w:sz w:val="32"/>
        </w:rPr>
      </w:pPr>
    </w:p>
    <w:p w14:paraId="5C2938BA" w14:textId="77777777" w:rsidR="008B77C9" w:rsidRDefault="008B77C9" w:rsidP="00AC461A">
      <w:pPr>
        <w:jc w:val="center"/>
        <w:rPr>
          <w:b/>
          <w:sz w:val="32"/>
        </w:rPr>
      </w:pPr>
    </w:p>
    <w:p w14:paraId="34721D8C" w14:textId="77777777" w:rsidR="008B77C9" w:rsidRDefault="00357ABC" w:rsidP="00AC461A">
      <w:pPr>
        <w:jc w:val="center"/>
        <w:rPr>
          <w:b/>
          <w:sz w:val="32"/>
        </w:rPr>
      </w:pPr>
      <w:r>
        <w:rPr>
          <w:noProof/>
          <w:lang w:val="en-US"/>
        </w:rPr>
        <w:drawing>
          <wp:inline distT="0" distB="0" distL="0" distR="0" wp14:anchorId="06C805AF" wp14:editId="428EC4DE">
            <wp:extent cx="1676400" cy="8953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8"/>
                    <a:stretch>
                      <a:fillRect/>
                    </a:stretch>
                  </pic:blipFill>
                  <pic:spPr>
                    <a:xfrm>
                      <a:off x="0" y="0"/>
                      <a:ext cx="1676400" cy="895350"/>
                    </a:xfrm>
                    <a:prstGeom prst="rect">
                      <a:avLst/>
                    </a:prstGeom>
                  </pic:spPr>
                </pic:pic>
              </a:graphicData>
            </a:graphic>
          </wp:inline>
        </w:drawing>
      </w:r>
    </w:p>
    <w:p w14:paraId="18E465DE" w14:textId="77777777" w:rsidR="00AC461A" w:rsidRPr="00AC461A" w:rsidRDefault="00357ABC" w:rsidP="00AC461A">
      <w:pPr>
        <w:jc w:val="center"/>
        <w:rPr>
          <w:b/>
          <w:sz w:val="32"/>
        </w:rPr>
      </w:pPr>
      <w:r w:rsidRPr="00AC461A">
        <w:rPr>
          <w:b/>
          <w:sz w:val="32"/>
        </w:rPr>
        <w:t>Module Name: Financial Management</w:t>
      </w:r>
    </w:p>
    <w:p w14:paraId="0D24BF9B" w14:textId="77777777" w:rsidR="00AC461A" w:rsidRPr="00AC461A" w:rsidRDefault="00357ABC" w:rsidP="00AC461A">
      <w:pPr>
        <w:jc w:val="center"/>
        <w:rPr>
          <w:b/>
          <w:sz w:val="32"/>
        </w:rPr>
      </w:pPr>
      <w:r w:rsidRPr="00AC461A">
        <w:rPr>
          <w:b/>
          <w:sz w:val="32"/>
        </w:rPr>
        <w:t>Module Code: LCMB7002</w:t>
      </w:r>
    </w:p>
    <w:p w14:paraId="55D75B80" w14:textId="2AFC48F0" w:rsidR="00AC461A" w:rsidRPr="00AC461A" w:rsidRDefault="00357ABC" w:rsidP="00AC461A">
      <w:pPr>
        <w:jc w:val="center"/>
        <w:rPr>
          <w:b/>
        </w:rPr>
      </w:pPr>
      <w:r w:rsidRPr="00AC461A">
        <w:rPr>
          <w:b/>
        </w:rPr>
        <w:t>Chosen company: Shell PLC</w:t>
      </w:r>
    </w:p>
    <w:p w14:paraId="41DE0E33" w14:textId="1DE50067" w:rsidR="00AC461A" w:rsidRPr="00AC461A" w:rsidRDefault="00357ABC" w:rsidP="00AC461A">
      <w:pPr>
        <w:jc w:val="center"/>
        <w:rPr>
          <w:b/>
        </w:rPr>
      </w:pPr>
      <w:r w:rsidRPr="00AC461A">
        <w:rPr>
          <w:b/>
        </w:rPr>
        <w:t>Student Name:</w:t>
      </w:r>
      <w:r w:rsidR="00127B36">
        <w:rPr>
          <w:b/>
        </w:rPr>
        <w:t xml:space="preserve"> </w:t>
      </w:r>
      <w:r w:rsidR="00515605">
        <w:rPr>
          <w:b/>
        </w:rPr>
        <w:t>Jawahar Raj Golla</w:t>
      </w:r>
    </w:p>
    <w:p w14:paraId="13CAA486" w14:textId="3375B508" w:rsidR="00AC461A" w:rsidRDefault="00357ABC" w:rsidP="00127B36">
      <w:pPr>
        <w:jc w:val="center"/>
        <w:rPr>
          <w:b/>
        </w:rPr>
      </w:pPr>
      <w:r w:rsidRPr="00AC461A">
        <w:rPr>
          <w:b/>
        </w:rPr>
        <w:t>Student ID:</w:t>
      </w:r>
      <w:r w:rsidR="00515605">
        <w:rPr>
          <w:b/>
        </w:rPr>
        <w:t xml:space="preserve"> 2331515</w:t>
      </w:r>
    </w:p>
    <w:p w14:paraId="60166FA3" w14:textId="5EFA0B42" w:rsidR="00514B27" w:rsidRPr="00AC461A" w:rsidRDefault="00514B27" w:rsidP="00AC461A">
      <w:pPr>
        <w:jc w:val="center"/>
        <w:rPr>
          <w:b/>
        </w:rPr>
      </w:pPr>
      <w:r>
        <w:rPr>
          <w:b/>
        </w:rPr>
        <w:t xml:space="preserve">Word count: </w:t>
      </w:r>
      <w:r w:rsidR="000A7F10">
        <w:rPr>
          <w:b/>
        </w:rPr>
        <w:t>4</w:t>
      </w:r>
      <w:r w:rsidR="00CE7A21">
        <w:rPr>
          <w:b/>
        </w:rPr>
        <w:t>909</w:t>
      </w:r>
    </w:p>
    <w:p w14:paraId="57C59A94" w14:textId="77777777" w:rsidR="002E3FDE" w:rsidRDefault="00357ABC" w:rsidP="00515605">
      <w:pPr>
        <w:rPr>
          <w:shd w:val="clear" w:color="auto" w:fill="F4CCCC"/>
        </w:rPr>
      </w:pPr>
      <w:r>
        <w:rPr>
          <w:shd w:val="clear" w:color="auto" w:fill="F4CCCC"/>
        </w:rPr>
        <w:br w:type="page"/>
      </w:r>
    </w:p>
    <w:sdt>
      <w:sdtPr>
        <w:rPr>
          <w:rFonts w:ascii="Times New Roman" w:eastAsia="Arial" w:hAnsi="Times New Roman" w:cs="Arial"/>
          <w:b w:val="0"/>
          <w:bCs w:val="0"/>
          <w:color w:val="auto"/>
          <w:sz w:val="24"/>
          <w:szCs w:val="22"/>
          <w:lang w:val="en-IN" w:eastAsia="en-US"/>
        </w:rPr>
        <w:id w:val="-359513826"/>
        <w:docPartObj>
          <w:docPartGallery w:val="Table of Contents"/>
          <w:docPartUnique/>
        </w:docPartObj>
      </w:sdtPr>
      <w:sdtEndPr>
        <w:rPr>
          <w:noProof/>
          <w:lang w:val=""/>
        </w:rPr>
      </w:sdtEndPr>
      <w:sdtContent>
        <w:p w14:paraId="52C7FBDA" w14:textId="77777777" w:rsidR="00A33FEC" w:rsidRPr="00A33FEC" w:rsidRDefault="00357ABC" w:rsidP="00A33FEC">
          <w:pPr>
            <w:pStyle w:val="TOCHeading"/>
            <w:jc w:val="center"/>
            <w:rPr>
              <w:rFonts w:ascii="Times New Roman" w:hAnsi="Times New Roman" w:cs="Times New Roman"/>
              <w:color w:val="auto"/>
            </w:rPr>
          </w:pPr>
          <w:r w:rsidRPr="00A33FEC">
            <w:rPr>
              <w:rFonts w:ascii="Times New Roman" w:hAnsi="Times New Roman" w:cs="Times New Roman"/>
              <w:color w:val="auto"/>
            </w:rPr>
            <w:t>Table of Contents</w:t>
          </w:r>
        </w:p>
        <w:p w14:paraId="5D15BD19" w14:textId="77777777" w:rsidR="00F07D6A" w:rsidRDefault="009974AF">
          <w:pPr>
            <w:pStyle w:val="TOC1"/>
            <w:tabs>
              <w:tab w:val="right" w:leader="dot" w:pos="9019"/>
            </w:tabs>
            <w:rPr>
              <w:rFonts w:asciiTheme="minorHAnsi" w:eastAsiaTheme="minorEastAsia" w:hAnsiTheme="minorHAnsi" w:cstheme="minorBidi"/>
              <w:noProof/>
              <w:sz w:val="22"/>
              <w:lang w:eastAsia="en-IN"/>
            </w:rPr>
          </w:pPr>
          <w:r>
            <w:fldChar w:fldCharType="begin"/>
          </w:r>
          <w:r w:rsidR="00A33FEC">
            <w:instrText xml:space="preserve"> TOC \o "1-3" \h \z \u </w:instrText>
          </w:r>
          <w:r>
            <w:fldChar w:fldCharType="separate"/>
          </w:r>
          <w:hyperlink w:anchor="_Toc171618589" w:history="1">
            <w:r w:rsidR="00357ABC" w:rsidRPr="009E1F60">
              <w:rPr>
                <w:rStyle w:val="Hyperlink"/>
                <w:noProof/>
              </w:rPr>
              <w:t>Part A: Introduction</w:t>
            </w:r>
            <w:r w:rsidR="00357ABC">
              <w:rPr>
                <w:noProof/>
                <w:webHidden/>
              </w:rPr>
              <w:tab/>
            </w:r>
            <w:r>
              <w:rPr>
                <w:noProof/>
                <w:webHidden/>
              </w:rPr>
              <w:fldChar w:fldCharType="begin"/>
            </w:r>
            <w:r w:rsidR="00357ABC">
              <w:rPr>
                <w:noProof/>
                <w:webHidden/>
              </w:rPr>
              <w:instrText xml:space="preserve"> PAGEREF _Toc171618589 \h </w:instrText>
            </w:r>
            <w:r>
              <w:rPr>
                <w:noProof/>
                <w:webHidden/>
              </w:rPr>
            </w:r>
            <w:r>
              <w:rPr>
                <w:noProof/>
                <w:webHidden/>
              </w:rPr>
              <w:fldChar w:fldCharType="separate"/>
            </w:r>
            <w:r w:rsidR="00357ABC">
              <w:rPr>
                <w:noProof/>
                <w:webHidden/>
              </w:rPr>
              <w:t>4</w:t>
            </w:r>
            <w:r>
              <w:rPr>
                <w:noProof/>
                <w:webHidden/>
              </w:rPr>
              <w:fldChar w:fldCharType="end"/>
            </w:r>
          </w:hyperlink>
        </w:p>
        <w:p w14:paraId="26045F4B" w14:textId="77777777" w:rsidR="00F07D6A" w:rsidRDefault="00000000">
          <w:pPr>
            <w:pStyle w:val="TOC2"/>
            <w:tabs>
              <w:tab w:val="right" w:leader="dot" w:pos="9019"/>
            </w:tabs>
            <w:rPr>
              <w:rFonts w:asciiTheme="minorHAnsi" w:eastAsiaTheme="minorEastAsia" w:hAnsiTheme="minorHAnsi" w:cstheme="minorBidi"/>
              <w:noProof/>
              <w:sz w:val="22"/>
              <w:lang w:eastAsia="en-IN"/>
            </w:rPr>
          </w:pPr>
          <w:hyperlink w:anchor="_Toc171618590" w:history="1">
            <w:r w:rsidR="00357ABC" w:rsidRPr="009E1F60">
              <w:rPr>
                <w:rStyle w:val="Hyperlink"/>
                <w:noProof/>
              </w:rPr>
              <w:t>Company Overview</w:t>
            </w:r>
            <w:r w:rsidR="00357ABC">
              <w:rPr>
                <w:noProof/>
                <w:webHidden/>
              </w:rPr>
              <w:tab/>
            </w:r>
            <w:r w:rsidR="009974AF">
              <w:rPr>
                <w:noProof/>
                <w:webHidden/>
              </w:rPr>
              <w:fldChar w:fldCharType="begin"/>
            </w:r>
            <w:r w:rsidR="00357ABC">
              <w:rPr>
                <w:noProof/>
                <w:webHidden/>
              </w:rPr>
              <w:instrText xml:space="preserve"> PAGEREF _Toc171618590 \h </w:instrText>
            </w:r>
            <w:r w:rsidR="009974AF">
              <w:rPr>
                <w:noProof/>
                <w:webHidden/>
              </w:rPr>
            </w:r>
            <w:r w:rsidR="009974AF">
              <w:rPr>
                <w:noProof/>
                <w:webHidden/>
              </w:rPr>
              <w:fldChar w:fldCharType="separate"/>
            </w:r>
            <w:r w:rsidR="00357ABC">
              <w:rPr>
                <w:noProof/>
                <w:webHidden/>
              </w:rPr>
              <w:t>4</w:t>
            </w:r>
            <w:r w:rsidR="009974AF">
              <w:rPr>
                <w:noProof/>
                <w:webHidden/>
              </w:rPr>
              <w:fldChar w:fldCharType="end"/>
            </w:r>
          </w:hyperlink>
        </w:p>
        <w:p w14:paraId="10C899B7" w14:textId="77777777" w:rsidR="00F07D6A" w:rsidRDefault="00000000">
          <w:pPr>
            <w:pStyle w:val="TOC2"/>
            <w:tabs>
              <w:tab w:val="right" w:leader="dot" w:pos="9019"/>
            </w:tabs>
            <w:rPr>
              <w:rFonts w:asciiTheme="minorHAnsi" w:eastAsiaTheme="minorEastAsia" w:hAnsiTheme="minorHAnsi" w:cstheme="minorBidi"/>
              <w:noProof/>
              <w:sz w:val="22"/>
              <w:lang w:eastAsia="en-IN"/>
            </w:rPr>
          </w:pPr>
          <w:hyperlink w:anchor="_Toc171618591" w:history="1">
            <w:r w:rsidR="00357ABC" w:rsidRPr="009E1F60">
              <w:rPr>
                <w:rStyle w:val="Hyperlink"/>
                <w:noProof/>
              </w:rPr>
              <w:t>Business Model</w:t>
            </w:r>
            <w:r w:rsidR="00357ABC">
              <w:rPr>
                <w:noProof/>
                <w:webHidden/>
              </w:rPr>
              <w:tab/>
            </w:r>
            <w:r w:rsidR="009974AF">
              <w:rPr>
                <w:noProof/>
                <w:webHidden/>
              </w:rPr>
              <w:fldChar w:fldCharType="begin"/>
            </w:r>
            <w:r w:rsidR="00357ABC">
              <w:rPr>
                <w:noProof/>
                <w:webHidden/>
              </w:rPr>
              <w:instrText xml:space="preserve"> PAGEREF _Toc171618591 \h </w:instrText>
            </w:r>
            <w:r w:rsidR="009974AF">
              <w:rPr>
                <w:noProof/>
                <w:webHidden/>
              </w:rPr>
            </w:r>
            <w:r w:rsidR="009974AF">
              <w:rPr>
                <w:noProof/>
                <w:webHidden/>
              </w:rPr>
              <w:fldChar w:fldCharType="separate"/>
            </w:r>
            <w:r w:rsidR="00357ABC">
              <w:rPr>
                <w:noProof/>
                <w:webHidden/>
              </w:rPr>
              <w:t>4</w:t>
            </w:r>
            <w:r w:rsidR="009974AF">
              <w:rPr>
                <w:noProof/>
                <w:webHidden/>
              </w:rPr>
              <w:fldChar w:fldCharType="end"/>
            </w:r>
          </w:hyperlink>
        </w:p>
        <w:p w14:paraId="7ABDB04F" w14:textId="77777777" w:rsidR="00F07D6A" w:rsidRDefault="00000000">
          <w:pPr>
            <w:pStyle w:val="TOC2"/>
            <w:tabs>
              <w:tab w:val="right" w:leader="dot" w:pos="9019"/>
            </w:tabs>
            <w:rPr>
              <w:rFonts w:asciiTheme="minorHAnsi" w:eastAsiaTheme="minorEastAsia" w:hAnsiTheme="minorHAnsi" w:cstheme="minorBidi"/>
              <w:noProof/>
              <w:sz w:val="22"/>
              <w:lang w:eastAsia="en-IN"/>
            </w:rPr>
          </w:pPr>
          <w:hyperlink w:anchor="_Toc171618592" w:history="1">
            <w:r w:rsidR="00357ABC" w:rsidRPr="009E1F60">
              <w:rPr>
                <w:rStyle w:val="Hyperlink"/>
                <w:noProof/>
              </w:rPr>
              <w:t>Marketplace and Major Competitors</w:t>
            </w:r>
            <w:r w:rsidR="00357ABC">
              <w:rPr>
                <w:noProof/>
                <w:webHidden/>
              </w:rPr>
              <w:tab/>
            </w:r>
            <w:r w:rsidR="009974AF">
              <w:rPr>
                <w:noProof/>
                <w:webHidden/>
              </w:rPr>
              <w:fldChar w:fldCharType="begin"/>
            </w:r>
            <w:r w:rsidR="00357ABC">
              <w:rPr>
                <w:noProof/>
                <w:webHidden/>
              </w:rPr>
              <w:instrText xml:space="preserve"> PAGEREF _Toc171618592 \h </w:instrText>
            </w:r>
            <w:r w:rsidR="009974AF">
              <w:rPr>
                <w:noProof/>
                <w:webHidden/>
              </w:rPr>
            </w:r>
            <w:r w:rsidR="009974AF">
              <w:rPr>
                <w:noProof/>
                <w:webHidden/>
              </w:rPr>
              <w:fldChar w:fldCharType="separate"/>
            </w:r>
            <w:r w:rsidR="00357ABC">
              <w:rPr>
                <w:noProof/>
                <w:webHidden/>
              </w:rPr>
              <w:t>5</w:t>
            </w:r>
            <w:r w:rsidR="009974AF">
              <w:rPr>
                <w:noProof/>
                <w:webHidden/>
              </w:rPr>
              <w:fldChar w:fldCharType="end"/>
            </w:r>
          </w:hyperlink>
        </w:p>
        <w:p w14:paraId="5A21B4B1" w14:textId="77777777" w:rsidR="00F07D6A" w:rsidRDefault="00000000">
          <w:pPr>
            <w:pStyle w:val="TOC2"/>
            <w:tabs>
              <w:tab w:val="right" w:leader="dot" w:pos="9019"/>
            </w:tabs>
            <w:rPr>
              <w:rFonts w:asciiTheme="minorHAnsi" w:eastAsiaTheme="minorEastAsia" w:hAnsiTheme="minorHAnsi" w:cstheme="minorBidi"/>
              <w:noProof/>
              <w:sz w:val="22"/>
              <w:lang w:eastAsia="en-IN"/>
            </w:rPr>
          </w:pPr>
          <w:hyperlink w:anchor="_Toc171618593" w:history="1">
            <w:r w:rsidR="00357ABC" w:rsidRPr="009E1F60">
              <w:rPr>
                <w:rStyle w:val="Hyperlink"/>
                <w:noProof/>
              </w:rPr>
              <w:t>Recent Events</w:t>
            </w:r>
            <w:r w:rsidR="00357ABC">
              <w:rPr>
                <w:noProof/>
                <w:webHidden/>
              </w:rPr>
              <w:tab/>
            </w:r>
            <w:r w:rsidR="009974AF">
              <w:rPr>
                <w:noProof/>
                <w:webHidden/>
              </w:rPr>
              <w:fldChar w:fldCharType="begin"/>
            </w:r>
            <w:r w:rsidR="00357ABC">
              <w:rPr>
                <w:noProof/>
                <w:webHidden/>
              </w:rPr>
              <w:instrText xml:space="preserve"> PAGEREF _Toc171618593 \h </w:instrText>
            </w:r>
            <w:r w:rsidR="009974AF">
              <w:rPr>
                <w:noProof/>
                <w:webHidden/>
              </w:rPr>
            </w:r>
            <w:r w:rsidR="009974AF">
              <w:rPr>
                <w:noProof/>
                <w:webHidden/>
              </w:rPr>
              <w:fldChar w:fldCharType="separate"/>
            </w:r>
            <w:r w:rsidR="00357ABC">
              <w:rPr>
                <w:noProof/>
                <w:webHidden/>
              </w:rPr>
              <w:t>5</w:t>
            </w:r>
            <w:r w:rsidR="009974AF">
              <w:rPr>
                <w:noProof/>
                <w:webHidden/>
              </w:rPr>
              <w:fldChar w:fldCharType="end"/>
            </w:r>
          </w:hyperlink>
        </w:p>
        <w:p w14:paraId="5A1DDD04" w14:textId="77777777" w:rsidR="00F07D6A" w:rsidRDefault="00000000">
          <w:pPr>
            <w:pStyle w:val="TOC1"/>
            <w:tabs>
              <w:tab w:val="right" w:leader="dot" w:pos="9019"/>
            </w:tabs>
            <w:rPr>
              <w:rFonts w:asciiTheme="minorHAnsi" w:eastAsiaTheme="minorEastAsia" w:hAnsiTheme="minorHAnsi" w:cstheme="minorBidi"/>
              <w:noProof/>
              <w:sz w:val="22"/>
              <w:lang w:eastAsia="en-IN"/>
            </w:rPr>
          </w:pPr>
          <w:hyperlink w:anchor="_Toc171618594" w:history="1">
            <w:r w:rsidR="00357ABC" w:rsidRPr="009E1F60">
              <w:rPr>
                <w:rStyle w:val="Hyperlink"/>
                <w:noProof/>
              </w:rPr>
              <w:t>Part B</w:t>
            </w:r>
            <w:r w:rsidR="00357ABC">
              <w:rPr>
                <w:noProof/>
                <w:webHidden/>
              </w:rPr>
              <w:tab/>
            </w:r>
            <w:r w:rsidR="009974AF">
              <w:rPr>
                <w:noProof/>
                <w:webHidden/>
              </w:rPr>
              <w:fldChar w:fldCharType="begin"/>
            </w:r>
            <w:r w:rsidR="00357ABC">
              <w:rPr>
                <w:noProof/>
                <w:webHidden/>
              </w:rPr>
              <w:instrText xml:space="preserve"> PAGEREF _Toc171618594 \h </w:instrText>
            </w:r>
            <w:r w:rsidR="009974AF">
              <w:rPr>
                <w:noProof/>
                <w:webHidden/>
              </w:rPr>
            </w:r>
            <w:r w:rsidR="009974AF">
              <w:rPr>
                <w:noProof/>
                <w:webHidden/>
              </w:rPr>
              <w:fldChar w:fldCharType="separate"/>
            </w:r>
            <w:r w:rsidR="00357ABC">
              <w:rPr>
                <w:noProof/>
                <w:webHidden/>
              </w:rPr>
              <w:t>6</w:t>
            </w:r>
            <w:r w:rsidR="009974AF">
              <w:rPr>
                <w:noProof/>
                <w:webHidden/>
              </w:rPr>
              <w:fldChar w:fldCharType="end"/>
            </w:r>
          </w:hyperlink>
        </w:p>
        <w:p w14:paraId="46B4BFD0" w14:textId="77777777" w:rsidR="00F07D6A" w:rsidRDefault="00000000">
          <w:pPr>
            <w:pStyle w:val="TOC2"/>
            <w:tabs>
              <w:tab w:val="right" w:leader="dot" w:pos="9019"/>
            </w:tabs>
            <w:rPr>
              <w:rFonts w:asciiTheme="minorHAnsi" w:eastAsiaTheme="minorEastAsia" w:hAnsiTheme="minorHAnsi" w:cstheme="minorBidi"/>
              <w:noProof/>
              <w:sz w:val="22"/>
              <w:lang w:eastAsia="en-IN"/>
            </w:rPr>
          </w:pPr>
          <w:hyperlink w:anchor="_Toc171618595" w:history="1">
            <w:r w:rsidR="00357ABC" w:rsidRPr="009E1F60">
              <w:rPr>
                <w:rStyle w:val="Hyperlink"/>
                <w:noProof/>
              </w:rPr>
              <w:t>Profitability ratio</w:t>
            </w:r>
            <w:r w:rsidR="00357ABC">
              <w:rPr>
                <w:noProof/>
                <w:webHidden/>
              </w:rPr>
              <w:tab/>
            </w:r>
            <w:r w:rsidR="009974AF">
              <w:rPr>
                <w:noProof/>
                <w:webHidden/>
              </w:rPr>
              <w:fldChar w:fldCharType="begin"/>
            </w:r>
            <w:r w:rsidR="00357ABC">
              <w:rPr>
                <w:noProof/>
                <w:webHidden/>
              </w:rPr>
              <w:instrText xml:space="preserve"> PAGEREF _Toc171618595 \h </w:instrText>
            </w:r>
            <w:r w:rsidR="009974AF">
              <w:rPr>
                <w:noProof/>
                <w:webHidden/>
              </w:rPr>
            </w:r>
            <w:r w:rsidR="009974AF">
              <w:rPr>
                <w:noProof/>
                <w:webHidden/>
              </w:rPr>
              <w:fldChar w:fldCharType="separate"/>
            </w:r>
            <w:r w:rsidR="00357ABC">
              <w:rPr>
                <w:noProof/>
                <w:webHidden/>
              </w:rPr>
              <w:t>6</w:t>
            </w:r>
            <w:r w:rsidR="009974AF">
              <w:rPr>
                <w:noProof/>
                <w:webHidden/>
              </w:rPr>
              <w:fldChar w:fldCharType="end"/>
            </w:r>
          </w:hyperlink>
        </w:p>
        <w:p w14:paraId="1F2F74D8" w14:textId="77777777" w:rsidR="00F07D6A" w:rsidRDefault="00000000">
          <w:pPr>
            <w:pStyle w:val="TOC2"/>
            <w:tabs>
              <w:tab w:val="right" w:leader="dot" w:pos="9019"/>
            </w:tabs>
            <w:rPr>
              <w:rFonts w:asciiTheme="minorHAnsi" w:eastAsiaTheme="minorEastAsia" w:hAnsiTheme="minorHAnsi" w:cstheme="minorBidi"/>
              <w:noProof/>
              <w:sz w:val="22"/>
              <w:lang w:eastAsia="en-IN"/>
            </w:rPr>
          </w:pPr>
          <w:hyperlink w:anchor="_Toc171618596" w:history="1">
            <w:r w:rsidR="00357ABC" w:rsidRPr="009E1F60">
              <w:rPr>
                <w:rStyle w:val="Hyperlink"/>
                <w:noProof/>
              </w:rPr>
              <w:t>Efficiency ratio</w:t>
            </w:r>
            <w:r w:rsidR="00357ABC">
              <w:rPr>
                <w:noProof/>
                <w:webHidden/>
              </w:rPr>
              <w:tab/>
            </w:r>
            <w:r w:rsidR="009974AF">
              <w:rPr>
                <w:noProof/>
                <w:webHidden/>
              </w:rPr>
              <w:fldChar w:fldCharType="begin"/>
            </w:r>
            <w:r w:rsidR="00357ABC">
              <w:rPr>
                <w:noProof/>
                <w:webHidden/>
              </w:rPr>
              <w:instrText xml:space="preserve"> PAGEREF _Toc171618596 \h </w:instrText>
            </w:r>
            <w:r w:rsidR="009974AF">
              <w:rPr>
                <w:noProof/>
                <w:webHidden/>
              </w:rPr>
            </w:r>
            <w:r w:rsidR="009974AF">
              <w:rPr>
                <w:noProof/>
                <w:webHidden/>
              </w:rPr>
              <w:fldChar w:fldCharType="separate"/>
            </w:r>
            <w:r w:rsidR="00357ABC">
              <w:rPr>
                <w:noProof/>
                <w:webHidden/>
              </w:rPr>
              <w:t>8</w:t>
            </w:r>
            <w:r w:rsidR="009974AF">
              <w:rPr>
                <w:noProof/>
                <w:webHidden/>
              </w:rPr>
              <w:fldChar w:fldCharType="end"/>
            </w:r>
          </w:hyperlink>
        </w:p>
        <w:p w14:paraId="7AA2339E" w14:textId="77777777" w:rsidR="00F07D6A" w:rsidRDefault="00000000">
          <w:pPr>
            <w:pStyle w:val="TOC2"/>
            <w:tabs>
              <w:tab w:val="right" w:leader="dot" w:pos="9019"/>
            </w:tabs>
            <w:rPr>
              <w:rFonts w:asciiTheme="minorHAnsi" w:eastAsiaTheme="minorEastAsia" w:hAnsiTheme="minorHAnsi" w:cstheme="minorBidi"/>
              <w:noProof/>
              <w:sz w:val="22"/>
              <w:lang w:eastAsia="en-IN"/>
            </w:rPr>
          </w:pPr>
          <w:hyperlink w:anchor="_Toc171618597" w:history="1">
            <w:r w:rsidR="00357ABC" w:rsidRPr="009E1F60">
              <w:rPr>
                <w:rStyle w:val="Hyperlink"/>
                <w:noProof/>
              </w:rPr>
              <w:t>Liquidity ratio</w:t>
            </w:r>
            <w:r w:rsidR="00357ABC">
              <w:rPr>
                <w:noProof/>
                <w:webHidden/>
              </w:rPr>
              <w:tab/>
            </w:r>
            <w:r w:rsidR="009974AF">
              <w:rPr>
                <w:noProof/>
                <w:webHidden/>
              </w:rPr>
              <w:fldChar w:fldCharType="begin"/>
            </w:r>
            <w:r w:rsidR="00357ABC">
              <w:rPr>
                <w:noProof/>
                <w:webHidden/>
              </w:rPr>
              <w:instrText xml:space="preserve"> PAGEREF _Toc171618597 \h </w:instrText>
            </w:r>
            <w:r w:rsidR="009974AF">
              <w:rPr>
                <w:noProof/>
                <w:webHidden/>
              </w:rPr>
            </w:r>
            <w:r w:rsidR="009974AF">
              <w:rPr>
                <w:noProof/>
                <w:webHidden/>
              </w:rPr>
              <w:fldChar w:fldCharType="separate"/>
            </w:r>
            <w:r w:rsidR="00357ABC">
              <w:rPr>
                <w:noProof/>
                <w:webHidden/>
              </w:rPr>
              <w:t>9</w:t>
            </w:r>
            <w:r w:rsidR="009974AF">
              <w:rPr>
                <w:noProof/>
                <w:webHidden/>
              </w:rPr>
              <w:fldChar w:fldCharType="end"/>
            </w:r>
          </w:hyperlink>
        </w:p>
        <w:p w14:paraId="3BA33A98" w14:textId="77777777" w:rsidR="00F07D6A" w:rsidRDefault="00000000">
          <w:pPr>
            <w:pStyle w:val="TOC2"/>
            <w:tabs>
              <w:tab w:val="right" w:leader="dot" w:pos="9019"/>
            </w:tabs>
            <w:rPr>
              <w:rFonts w:asciiTheme="minorHAnsi" w:eastAsiaTheme="minorEastAsia" w:hAnsiTheme="minorHAnsi" w:cstheme="minorBidi"/>
              <w:noProof/>
              <w:sz w:val="22"/>
              <w:lang w:eastAsia="en-IN"/>
            </w:rPr>
          </w:pPr>
          <w:hyperlink w:anchor="_Toc171618598" w:history="1">
            <w:r w:rsidR="00357ABC" w:rsidRPr="009E1F60">
              <w:rPr>
                <w:rStyle w:val="Hyperlink"/>
                <w:noProof/>
              </w:rPr>
              <w:t>Gearing ratio</w:t>
            </w:r>
            <w:r w:rsidR="00357ABC">
              <w:rPr>
                <w:noProof/>
                <w:webHidden/>
              </w:rPr>
              <w:tab/>
            </w:r>
            <w:r w:rsidR="009974AF">
              <w:rPr>
                <w:noProof/>
                <w:webHidden/>
              </w:rPr>
              <w:fldChar w:fldCharType="begin"/>
            </w:r>
            <w:r w:rsidR="00357ABC">
              <w:rPr>
                <w:noProof/>
                <w:webHidden/>
              </w:rPr>
              <w:instrText xml:space="preserve"> PAGEREF _Toc171618598 \h </w:instrText>
            </w:r>
            <w:r w:rsidR="009974AF">
              <w:rPr>
                <w:noProof/>
                <w:webHidden/>
              </w:rPr>
            </w:r>
            <w:r w:rsidR="009974AF">
              <w:rPr>
                <w:noProof/>
                <w:webHidden/>
              </w:rPr>
              <w:fldChar w:fldCharType="separate"/>
            </w:r>
            <w:r w:rsidR="00357ABC">
              <w:rPr>
                <w:noProof/>
                <w:webHidden/>
              </w:rPr>
              <w:t>11</w:t>
            </w:r>
            <w:r w:rsidR="009974AF">
              <w:rPr>
                <w:noProof/>
                <w:webHidden/>
              </w:rPr>
              <w:fldChar w:fldCharType="end"/>
            </w:r>
          </w:hyperlink>
        </w:p>
        <w:p w14:paraId="000BBF5A" w14:textId="77777777" w:rsidR="00F07D6A" w:rsidRDefault="00000000">
          <w:pPr>
            <w:pStyle w:val="TOC2"/>
            <w:tabs>
              <w:tab w:val="right" w:leader="dot" w:pos="9019"/>
            </w:tabs>
            <w:rPr>
              <w:rFonts w:asciiTheme="minorHAnsi" w:eastAsiaTheme="minorEastAsia" w:hAnsiTheme="minorHAnsi" w:cstheme="minorBidi"/>
              <w:noProof/>
              <w:sz w:val="22"/>
              <w:lang w:eastAsia="en-IN"/>
            </w:rPr>
          </w:pPr>
          <w:hyperlink w:anchor="_Toc171618599" w:history="1">
            <w:r w:rsidR="00357ABC" w:rsidRPr="009E1F60">
              <w:rPr>
                <w:rStyle w:val="Hyperlink"/>
                <w:noProof/>
              </w:rPr>
              <w:t>Comparison with the significant competitors</w:t>
            </w:r>
            <w:r w:rsidR="00357ABC">
              <w:rPr>
                <w:noProof/>
                <w:webHidden/>
              </w:rPr>
              <w:tab/>
            </w:r>
            <w:r w:rsidR="009974AF">
              <w:rPr>
                <w:noProof/>
                <w:webHidden/>
              </w:rPr>
              <w:fldChar w:fldCharType="begin"/>
            </w:r>
            <w:r w:rsidR="00357ABC">
              <w:rPr>
                <w:noProof/>
                <w:webHidden/>
              </w:rPr>
              <w:instrText xml:space="preserve"> PAGEREF _Toc171618599 \h </w:instrText>
            </w:r>
            <w:r w:rsidR="009974AF">
              <w:rPr>
                <w:noProof/>
                <w:webHidden/>
              </w:rPr>
            </w:r>
            <w:r w:rsidR="009974AF">
              <w:rPr>
                <w:noProof/>
                <w:webHidden/>
              </w:rPr>
              <w:fldChar w:fldCharType="separate"/>
            </w:r>
            <w:r w:rsidR="00357ABC">
              <w:rPr>
                <w:noProof/>
                <w:webHidden/>
              </w:rPr>
              <w:t>12</w:t>
            </w:r>
            <w:r w:rsidR="009974AF">
              <w:rPr>
                <w:noProof/>
                <w:webHidden/>
              </w:rPr>
              <w:fldChar w:fldCharType="end"/>
            </w:r>
          </w:hyperlink>
        </w:p>
        <w:p w14:paraId="5DB882E9" w14:textId="77777777" w:rsidR="00F07D6A" w:rsidRDefault="00000000">
          <w:pPr>
            <w:pStyle w:val="TOC2"/>
            <w:tabs>
              <w:tab w:val="right" w:leader="dot" w:pos="9019"/>
            </w:tabs>
            <w:rPr>
              <w:rFonts w:asciiTheme="minorHAnsi" w:eastAsiaTheme="minorEastAsia" w:hAnsiTheme="minorHAnsi" w:cstheme="minorBidi"/>
              <w:noProof/>
              <w:sz w:val="22"/>
              <w:lang w:eastAsia="en-IN"/>
            </w:rPr>
          </w:pPr>
          <w:hyperlink w:anchor="_Toc171618600" w:history="1">
            <w:r w:rsidR="00357ABC" w:rsidRPr="009E1F60">
              <w:rPr>
                <w:rStyle w:val="Hyperlink"/>
                <w:noProof/>
              </w:rPr>
              <w:t>Recommendations</w:t>
            </w:r>
            <w:r w:rsidR="00357ABC">
              <w:rPr>
                <w:noProof/>
                <w:webHidden/>
              </w:rPr>
              <w:tab/>
            </w:r>
            <w:r w:rsidR="009974AF">
              <w:rPr>
                <w:noProof/>
                <w:webHidden/>
              </w:rPr>
              <w:fldChar w:fldCharType="begin"/>
            </w:r>
            <w:r w:rsidR="00357ABC">
              <w:rPr>
                <w:noProof/>
                <w:webHidden/>
              </w:rPr>
              <w:instrText xml:space="preserve"> PAGEREF _Toc171618600 \h </w:instrText>
            </w:r>
            <w:r w:rsidR="009974AF">
              <w:rPr>
                <w:noProof/>
                <w:webHidden/>
              </w:rPr>
            </w:r>
            <w:r w:rsidR="009974AF">
              <w:rPr>
                <w:noProof/>
                <w:webHidden/>
              </w:rPr>
              <w:fldChar w:fldCharType="separate"/>
            </w:r>
            <w:r w:rsidR="00357ABC">
              <w:rPr>
                <w:noProof/>
                <w:webHidden/>
              </w:rPr>
              <w:t>15</w:t>
            </w:r>
            <w:r w:rsidR="009974AF">
              <w:rPr>
                <w:noProof/>
                <w:webHidden/>
              </w:rPr>
              <w:fldChar w:fldCharType="end"/>
            </w:r>
          </w:hyperlink>
        </w:p>
        <w:p w14:paraId="0A830CBA" w14:textId="77777777" w:rsidR="00F07D6A" w:rsidRDefault="00000000">
          <w:pPr>
            <w:pStyle w:val="TOC1"/>
            <w:tabs>
              <w:tab w:val="right" w:leader="dot" w:pos="9019"/>
            </w:tabs>
            <w:rPr>
              <w:rFonts w:asciiTheme="minorHAnsi" w:eastAsiaTheme="minorEastAsia" w:hAnsiTheme="minorHAnsi" w:cstheme="minorBidi"/>
              <w:noProof/>
              <w:sz w:val="22"/>
              <w:lang w:eastAsia="en-IN"/>
            </w:rPr>
          </w:pPr>
          <w:hyperlink w:anchor="_Toc171618601" w:history="1">
            <w:r w:rsidR="00357ABC" w:rsidRPr="009E1F60">
              <w:rPr>
                <w:rStyle w:val="Hyperlink"/>
                <w:noProof/>
              </w:rPr>
              <w:t>Part C</w:t>
            </w:r>
            <w:r w:rsidR="00357ABC">
              <w:rPr>
                <w:noProof/>
                <w:webHidden/>
              </w:rPr>
              <w:tab/>
            </w:r>
            <w:r w:rsidR="009974AF">
              <w:rPr>
                <w:noProof/>
                <w:webHidden/>
              </w:rPr>
              <w:fldChar w:fldCharType="begin"/>
            </w:r>
            <w:r w:rsidR="00357ABC">
              <w:rPr>
                <w:noProof/>
                <w:webHidden/>
              </w:rPr>
              <w:instrText xml:space="preserve"> PAGEREF _Toc171618601 \h </w:instrText>
            </w:r>
            <w:r w:rsidR="009974AF">
              <w:rPr>
                <w:noProof/>
                <w:webHidden/>
              </w:rPr>
            </w:r>
            <w:r w:rsidR="009974AF">
              <w:rPr>
                <w:noProof/>
                <w:webHidden/>
              </w:rPr>
              <w:fldChar w:fldCharType="separate"/>
            </w:r>
            <w:r w:rsidR="00357ABC">
              <w:rPr>
                <w:noProof/>
                <w:webHidden/>
              </w:rPr>
              <w:t>17</w:t>
            </w:r>
            <w:r w:rsidR="009974AF">
              <w:rPr>
                <w:noProof/>
                <w:webHidden/>
              </w:rPr>
              <w:fldChar w:fldCharType="end"/>
            </w:r>
          </w:hyperlink>
        </w:p>
        <w:p w14:paraId="608BE1C8" w14:textId="77777777" w:rsidR="00F07D6A" w:rsidRDefault="00000000">
          <w:pPr>
            <w:pStyle w:val="TOC2"/>
            <w:tabs>
              <w:tab w:val="right" w:leader="dot" w:pos="9019"/>
            </w:tabs>
            <w:rPr>
              <w:rFonts w:asciiTheme="minorHAnsi" w:eastAsiaTheme="minorEastAsia" w:hAnsiTheme="minorHAnsi" w:cstheme="minorBidi"/>
              <w:noProof/>
              <w:sz w:val="22"/>
              <w:lang w:eastAsia="en-IN"/>
            </w:rPr>
          </w:pPr>
          <w:hyperlink w:anchor="_Toc171618602" w:history="1">
            <w:r w:rsidR="00357ABC" w:rsidRPr="009E1F60">
              <w:rPr>
                <w:rStyle w:val="Hyperlink"/>
                <w:noProof/>
              </w:rPr>
              <w:t>Project A</w:t>
            </w:r>
            <w:r w:rsidR="00357ABC">
              <w:rPr>
                <w:noProof/>
                <w:webHidden/>
              </w:rPr>
              <w:tab/>
            </w:r>
            <w:r w:rsidR="009974AF">
              <w:rPr>
                <w:noProof/>
                <w:webHidden/>
              </w:rPr>
              <w:fldChar w:fldCharType="begin"/>
            </w:r>
            <w:r w:rsidR="00357ABC">
              <w:rPr>
                <w:noProof/>
                <w:webHidden/>
              </w:rPr>
              <w:instrText xml:space="preserve"> PAGEREF _Toc171618602 \h </w:instrText>
            </w:r>
            <w:r w:rsidR="009974AF">
              <w:rPr>
                <w:noProof/>
                <w:webHidden/>
              </w:rPr>
            </w:r>
            <w:r w:rsidR="009974AF">
              <w:rPr>
                <w:noProof/>
                <w:webHidden/>
              </w:rPr>
              <w:fldChar w:fldCharType="separate"/>
            </w:r>
            <w:r w:rsidR="00357ABC">
              <w:rPr>
                <w:noProof/>
                <w:webHidden/>
              </w:rPr>
              <w:t>17</w:t>
            </w:r>
            <w:r w:rsidR="009974AF">
              <w:rPr>
                <w:noProof/>
                <w:webHidden/>
              </w:rPr>
              <w:fldChar w:fldCharType="end"/>
            </w:r>
          </w:hyperlink>
        </w:p>
        <w:p w14:paraId="7161A7EB" w14:textId="77777777" w:rsidR="00F07D6A" w:rsidRDefault="00000000">
          <w:pPr>
            <w:pStyle w:val="TOC2"/>
            <w:tabs>
              <w:tab w:val="right" w:leader="dot" w:pos="9019"/>
            </w:tabs>
            <w:rPr>
              <w:rFonts w:asciiTheme="minorHAnsi" w:eastAsiaTheme="minorEastAsia" w:hAnsiTheme="minorHAnsi" w:cstheme="minorBidi"/>
              <w:noProof/>
              <w:sz w:val="22"/>
              <w:lang w:eastAsia="en-IN"/>
            </w:rPr>
          </w:pPr>
          <w:hyperlink w:anchor="_Toc171618603" w:history="1">
            <w:r w:rsidR="00357ABC" w:rsidRPr="009E1F60">
              <w:rPr>
                <w:rStyle w:val="Hyperlink"/>
                <w:noProof/>
              </w:rPr>
              <w:t>Project B</w:t>
            </w:r>
            <w:r w:rsidR="00357ABC">
              <w:rPr>
                <w:noProof/>
                <w:webHidden/>
              </w:rPr>
              <w:tab/>
            </w:r>
            <w:r w:rsidR="009974AF">
              <w:rPr>
                <w:noProof/>
                <w:webHidden/>
              </w:rPr>
              <w:fldChar w:fldCharType="begin"/>
            </w:r>
            <w:r w:rsidR="00357ABC">
              <w:rPr>
                <w:noProof/>
                <w:webHidden/>
              </w:rPr>
              <w:instrText xml:space="preserve"> PAGEREF _Toc171618603 \h </w:instrText>
            </w:r>
            <w:r w:rsidR="009974AF">
              <w:rPr>
                <w:noProof/>
                <w:webHidden/>
              </w:rPr>
            </w:r>
            <w:r w:rsidR="009974AF">
              <w:rPr>
                <w:noProof/>
                <w:webHidden/>
              </w:rPr>
              <w:fldChar w:fldCharType="separate"/>
            </w:r>
            <w:r w:rsidR="00357ABC">
              <w:rPr>
                <w:noProof/>
                <w:webHidden/>
              </w:rPr>
              <w:t>18</w:t>
            </w:r>
            <w:r w:rsidR="009974AF">
              <w:rPr>
                <w:noProof/>
                <w:webHidden/>
              </w:rPr>
              <w:fldChar w:fldCharType="end"/>
            </w:r>
          </w:hyperlink>
        </w:p>
        <w:p w14:paraId="4A73E2A6" w14:textId="77777777" w:rsidR="00F07D6A" w:rsidRDefault="00000000">
          <w:pPr>
            <w:pStyle w:val="TOC2"/>
            <w:tabs>
              <w:tab w:val="right" w:leader="dot" w:pos="9019"/>
            </w:tabs>
            <w:rPr>
              <w:rFonts w:asciiTheme="minorHAnsi" w:eastAsiaTheme="minorEastAsia" w:hAnsiTheme="minorHAnsi" w:cstheme="minorBidi"/>
              <w:noProof/>
              <w:sz w:val="22"/>
              <w:lang w:eastAsia="en-IN"/>
            </w:rPr>
          </w:pPr>
          <w:hyperlink w:anchor="_Toc171618604" w:history="1">
            <w:r w:rsidR="00357ABC" w:rsidRPr="009E1F60">
              <w:rPr>
                <w:rStyle w:val="Hyperlink"/>
                <w:noProof/>
              </w:rPr>
              <w:t>Justification</w:t>
            </w:r>
            <w:r w:rsidR="00357ABC">
              <w:rPr>
                <w:noProof/>
                <w:webHidden/>
              </w:rPr>
              <w:tab/>
            </w:r>
            <w:r w:rsidR="009974AF">
              <w:rPr>
                <w:noProof/>
                <w:webHidden/>
              </w:rPr>
              <w:fldChar w:fldCharType="begin"/>
            </w:r>
            <w:r w:rsidR="00357ABC">
              <w:rPr>
                <w:noProof/>
                <w:webHidden/>
              </w:rPr>
              <w:instrText xml:space="preserve"> PAGEREF _Toc171618604 \h </w:instrText>
            </w:r>
            <w:r w:rsidR="009974AF">
              <w:rPr>
                <w:noProof/>
                <w:webHidden/>
              </w:rPr>
            </w:r>
            <w:r w:rsidR="009974AF">
              <w:rPr>
                <w:noProof/>
                <w:webHidden/>
              </w:rPr>
              <w:fldChar w:fldCharType="separate"/>
            </w:r>
            <w:r w:rsidR="00357ABC">
              <w:rPr>
                <w:noProof/>
                <w:webHidden/>
              </w:rPr>
              <w:t>18</w:t>
            </w:r>
            <w:r w:rsidR="009974AF">
              <w:rPr>
                <w:noProof/>
                <w:webHidden/>
              </w:rPr>
              <w:fldChar w:fldCharType="end"/>
            </w:r>
          </w:hyperlink>
        </w:p>
        <w:p w14:paraId="5ACAD2F2" w14:textId="77777777" w:rsidR="00F07D6A" w:rsidRDefault="00000000">
          <w:pPr>
            <w:pStyle w:val="TOC2"/>
            <w:tabs>
              <w:tab w:val="right" w:leader="dot" w:pos="9019"/>
            </w:tabs>
            <w:rPr>
              <w:rFonts w:asciiTheme="minorHAnsi" w:eastAsiaTheme="minorEastAsia" w:hAnsiTheme="minorHAnsi" w:cstheme="minorBidi"/>
              <w:noProof/>
              <w:sz w:val="22"/>
              <w:lang w:eastAsia="en-IN"/>
            </w:rPr>
          </w:pPr>
          <w:hyperlink w:anchor="_Toc171618605" w:history="1">
            <w:r w:rsidR="00357ABC" w:rsidRPr="009E1F60">
              <w:rPr>
                <w:rStyle w:val="Hyperlink"/>
                <w:noProof/>
              </w:rPr>
              <w:t>Advantages and shortcomings of the investment appraisal techniques</w:t>
            </w:r>
            <w:r w:rsidR="00357ABC">
              <w:rPr>
                <w:noProof/>
                <w:webHidden/>
              </w:rPr>
              <w:tab/>
            </w:r>
            <w:r w:rsidR="009974AF">
              <w:rPr>
                <w:noProof/>
                <w:webHidden/>
              </w:rPr>
              <w:fldChar w:fldCharType="begin"/>
            </w:r>
            <w:r w:rsidR="00357ABC">
              <w:rPr>
                <w:noProof/>
                <w:webHidden/>
              </w:rPr>
              <w:instrText xml:space="preserve"> PAGEREF _Toc171618605 \h </w:instrText>
            </w:r>
            <w:r w:rsidR="009974AF">
              <w:rPr>
                <w:noProof/>
                <w:webHidden/>
              </w:rPr>
            </w:r>
            <w:r w:rsidR="009974AF">
              <w:rPr>
                <w:noProof/>
                <w:webHidden/>
              </w:rPr>
              <w:fldChar w:fldCharType="separate"/>
            </w:r>
            <w:r w:rsidR="00357ABC">
              <w:rPr>
                <w:noProof/>
                <w:webHidden/>
              </w:rPr>
              <w:t>19</w:t>
            </w:r>
            <w:r w:rsidR="009974AF">
              <w:rPr>
                <w:noProof/>
                <w:webHidden/>
              </w:rPr>
              <w:fldChar w:fldCharType="end"/>
            </w:r>
          </w:hyperlink>
        </w:p>
        <w:p w14:paraId="320B632F" w14:textId="77777777" w:rsidR="00F07D6A" w:rsidRDefault="00000000">
          <w:pPr>
            <w:pStyle w:val="TOC2"/>
            <w:tabs>
              <w:tab w:val="right" w:leader="dot" w:pos="9019"/>
            </w:tabs>
            <w:rPr>
              <w:rFonts w:asciiTheme="minorHAnsi" w:eastAsiaTheme="minorEastAsia" w:hAnsiTheme="minorHAnsi" w:cstheme="minorBidi"/>
              <w:noProof/>
              <w:sz w:val="22"/>
              <w:lang w:eastAsia="en-IN"/>
            </w:rPr>
          </w:pPr>
          <w:hyperlink w:anchor="_Toc171618606" w:history="1">
            <w:r w:rsidR="00357ABC" w:rsidRPr="009E1F60">
              <w:rPr>
                <w:rStyle w:val="Hyperlink"/>
                <w:noProof/>
              </w:rPr>
              <w:t>Non-financial factors that should be considered</w:t>
            </w:r>
            <w:r w:rsidR="00357ABC">
              <w:rPr>
                <w:noProof/>
                <w:webHidden/>
              </w:rPr>
              <w:tab/>
            </w:r>
            <w:r w:rsidR="009974AF">
              <w:rPr>
                <w:noProof/>
                <w:webHidden/>
              </w:rPr>
              <w:fldChar w:fldCharType="begin"/>
            </w:r>
            <w:r w:rsidR="00357ABC">
              <w:rPr>
                <w:noProof/>
                <w:webHidden/>
              </w:rPr>
              <w:instrText xml:space="preserve"> PAGEREF _Toc171618606 \h </w:instrText>
            </w:r>
            <w:r w:rsidR="009974AF">
              <w:rPr>
                <w:noProof/>
                <w:webHidden/>
              </w:rPr>
            </w:r>
            <w:r w:rsidR="009974AF">
              <w:rPr>
                <w:noProof/>
                <w:webHidden/>
              </w:rPr>
              <w:fldChar w:fldCharType="separate"/>
            </w:r>
            <w:r w:rsidR="00357ABC">
              <w:rPr>
                <w:noProof/>
                <w:webHidden/>
              </w:rPr>
              <w:t>21</w:t>
            </w:r>
            <w:r w:rsidR="009974AF">
              <w:rPr>
                <w:noProof/>
                <w:webHidden/>
              </w:rPr>
              <w:fldChar w:fldCharType="end"/>
            </w:r>
          </w:hyperlink>
        </w:p>
        <w:p w14:paraId="79E8D0AC" w14:textId="77777777" w:rsidR="00F07D6A" w:rsidRDefault="00000000">
          <w:pPr>
            <w:pStyle w:val="TOC1"/>
            <w:tabs>
              <w:tab w:val="right" w:leader="dot" w:pos="9019"/>
            </w:tabs>
            <w:rPr>
              <w:rFonts w:asciiTheme="minorHAnsi" w:eastAsiaTheme="minorEastAsia" w:hAnsiTheme="minorHAnsi" w:cstheme="minorBidi"/>
              <w:noProof/>
              <w:sz w:val="22"/>
              <w:lang w:eastAsia="en-IN"/>
            </w:rPr>
          </w:pPr>
          <w:hyperlink w:anchor="_Toc171618607" w:history="1">
            <w:r w:rsidR="00357ABC" w:rsidRPr="009E1F60">
              <w:rPr>
                <w:rStyle w:val="Hyperlink"/>
                <w:noProof/>
              </w:rPr>
              <w:t>Conclusion</w:t>
            </w:r>
            <w:r w:rsidR="00357ABC">
              <w:rPr>
                <w:noProof/>
                <w:webHidden/>
              </w:rPr>
              <w:tab/>
            </w:r>
            <w:r w:rsidR="009974AF">
              <w:rPr>
                <w:noProof/>
                <w:webHidden/>
              </w:rPr>
              <w:fldChar w:fldCharType="begin"/>
            </w:r>
            <w:r w:rsidR="00357ABC">
              <w:rPr>
                <w:noProof/>
                <w:webHidden/>
              </w:rPr>
              <w:instrText xml:space="preserve"> PAGEREF _Toc171618607 \h </w:instrText>
            </w:r>
            <w:r w:rsidR="009974AF">
              <w:rPr>
                <w:noProof/>
                <w:webHidden/>
              </w:rPr>
            </w:r>
            <w:r w:rsidR="009974AF">
              <w:rPr>
                <w:noProof/>
                <w:webHidden/>
              </w:rPr>
              <w:fldChar w:fldCharType="separate"/>
            </w:r>
            <w:r w:rsidR="00357ABC">
              <w:rPr>
                <w:noProof/>
                <w:webHidden/>
              </w:rPr>
              <w:t>22</w:t>
            </w:r>
            <w:r w:rsidR="009974AF">
              <w:rPr>
                <w:noProof/>
                <w:webHidden/>
              </w:rPr>
              <w:fldChar w:fldCharType="end"/>
            </w:r>
          </w:hyperlink>
        </w:p>
        <w:p w14:paraId="739A4513" w14:textId="77777777" w:rsidR="00F07D6A" w:rsidRDefault="00000000">
          <w:pPr>
            <w:pStyle w:val="TOC1"/>
            <w:tabs>
              <w:tab w:val="right" w:leader="dot" w:pos="9019"/>
            </w:tabs>
            <w:rPr>
              <w:rFonts w:asciiTheme="minorHAnsi" w:eastAsiaTheme="minorEastAsia" w:hAnsiTheme="minorHAnsi" w:cstheme="minorBidi"/>
              <w:noProof/>
              <w:sz w:val="22"/>
              <w:lang w:eastAsia="en-IN"/>
            </w:rPr>
          </w:pPr>
          <w:hyperlink w:anchor="_Toc171618608" w:history="1">
            <w:r w:rsidR="00357ABC" w:rsidRPr="009E1F60">
              <w:rPr>
                <w:rStyle w:val="Hyperlink"/>
                <w:noProof/>
              </w:rPr>
              <w:t>Reference list</w:t>
            </w:r>
            <w:r w:rsidR="00357ABC">
              <w:rPr>
                <w:noProof/>
                <w:webHidden/>
              </w:rPr>
              <w:tab/>
            </w:r>
            <w:r w:rsidR="009974AF">
              <w:rPr>
                <w:noProof/>
                <w:webHidden/>
              </w:rPr>
              <w:fldChar w:fldCharType="begin"/>
            </w:r>
            <w:r w:rsidR="00357ABC">
              <w:rPr>
                <w:noProof/>
                <w:webHidden/>
              </w:rPr>
              <w:instrText xml:space="preserve"> PAGEREF _Toc171618608 \h </w:instrText>
            </w:r>
            <w:r w:rsidR="009974AF">
              <w:rPr>
                <w:noProof/>
                <w:webHidden/>
              </w:rPr>
            </w:r>
            <w:r w:rsidR="009974AF">
              <w:rPr>
                <w:noProof/>
                <w:webHidden/>
              </w:rPr>
              <w:fldChar w:fldCharType="separate"/>
            </w:r>
            <w:r w:rsidR="00357ABC">
              <w:rPr>
                <w:noProof/>
                <w:webHidden/>
              </w:rPr>
              <w:t>24</w:t>
            </w:r>
            <w:r w:rsidR="009974AF">
              <w:rPr>
                <w:noProof/>
                <w:webHidden/>
              </w:rPr>
              <w:fldChar w:fldCharType="end"/>
            </w:r>
          </w:hyperlink>
        </w:p>
        <w:p w14:paraId="0058EE01" w14:textId="77777777" w:rsidR="00F07D6A" w:rsidRDefault="00000000">
          <w:pPr>
            <w:pStyle w:val="TOC1"/>
            <w:tabs>
              <w:tab w:val="right" w:leader="dot" w:pos="9019"/>
            </w:tabs>
            <w:rPr>
              <w:rFonts w:asciiTheme="minorHAnsi" w:eastAsiaTheme="minorEastAsia" w:hAnsiTheme="minorHAnsi" w:cstheme="minorBidi"/>
              <w:noProof/>
              <w:sz w:val="22"/>
              <w:lang w:eastAsia="en-IN"/>
            </w:rPr>
          </w:pPr>
          <w:hyperlink w:anchor="_Toc171618609" w:history="1">
            <w:r w:rsidR="00357ABC" w:rsidRPr="009E1F60">
              <w:rPr>
                <w:rStyle w:val="Hyperlink"/>
                <w:noProof/>
              </w:rPr>
              <w:t>Appendix</w:t>
            </w:r>
            <w:r w:rsidR="00357ABC">
              <w:rPr>
                <w:noProof/>
                <w:webHidden/>
              </w:rPr>
              <w:tab/>
            </w:r>
            <w:r w:rsidR="009974AF">
              <w:rPr>
                <w:noProof/>
                <w:webHidden/>
              </w:rPr>
              <w:fldChar w:fldCharType="begin"/>
            </w:r>
            <w:r w:rsidR="00357ABC">
              <w:rPr>
                <w:noProof/>
                <w:webHidden/>
              </w:rPr>
              <w:instrText xml:space="preserve"> PAGEREF _Toc171618609 \h </w:instrText>
            </w:r>
            <w:r w:rsidR="009974AF">
              <w:rPr>
                <w:noProof/>
                <w:webHidden/>
              </w:rPr>
            </w:r>
            <w:r w:rsidR="009974AF">
              <w:rPr>
                <w:noProof/>
                <w:webHidden/>
              </w:rPr>
              <w:fldChar w:fldCharType="separate"/>
            </w:r>
            <w:r w:rsidR="00357ABC">
              <w:rPr>
                <w:noProof/>
                <w:webHidden/>
              </w:rPr>
              <w:t>29</w:t>
            </w:r>
            <w:r w:rsidR="009974AF">
              <w:rPr>
                <w:noProof/>
                <w:webHidden/>
              </w:rPr>
              <w:fldChar w:fldCharType="end"/>
            </w:r>
          </w:hyperlink>
        </w:p>
        <w:p w14:paraId="6EAF58D4" w14:textId="77777777" w:rsidR="00A33FEC" w:rsidRDefault="009974AF">
          <w:r>
            <w:rPr>
              <w:b/>
              <w:bCs/>
              <w:noProof/>
            </w:rPr>
            <w:fldChar w:fldCharType="end"/>
          </w:r>
        </w:p>
      </w:sdtContent>
    </w:sdt>
    <w:p w14:paraId="57EFAD42" w14:textId="77777777" w:rsidR="002E3FDE" w:rsidRDefault="00357ABC">
      <w:pPr>
        <w:rPr>
          <w:rFonts w:cs="Times New Roman"/>
          <w:szCs w:val="24"/>
          <w:shd w:val="clear" w:color="auto" w:fill="F4CCCC"/>
        </w:rPr>
      </w:pPr>
      <w:r>
        <w:rPr>
          <w:rFonts w:cs="Times New Roman"/>
          <w:szCs w:val="24"/>
          <w:shd w:val="clear" w:color="auto" w:fill="F4CCCC"/>
        </w:rPr>
        <w:br w:type="page"/>
      </w:r>
    </w:p>
    <w:p w14:paraId="20D6A8F3" w14:textId="77777777" w:rsidR="00B21AE3" w:rsidRPr="00425290" w:rsidRDefault="00357ABC" w:rsidP="002E3FDE">
      <w:pPr>
        <w:pStyle w:val="Heading1"/>
        <w:rPr>
          <w:sz w:val="32"/>
        </w:rPr>
      </w:pPr>
      <w:bookmarkStart w:id="0" w:name="_Toc171618589"/>
      <w:r w:rsidRPr="00425290">
        <w:rPr>
          <w:sz w:val="32"/>
        </w:rPr>
        <w:lastRenderedPageBreak/>
        <w:t>Part A: Introduction</w:t>
      </w:r>
      <w:bookmarkEnd w:id="0"/>
    </w:p>
    <w:p w14:paraId="661C424C" w14:textId="77777777" w:rsidR="00B21AE3" w:rsidRPr="00425290" w:rsidRDefault="00357ABC" w:rsidP="002E3FDE">
      <w:pPr>
        <w:pStyle w:val="Heading2"/>
        <w:rPr>
          <w:sz w:val="28"/>
        </w:rPr>
      </w:pPr>
      <w:bookmarkStart w:id="1" w:name="_Toc171618590"/>
      <w:r w:rsidRPr="00425290">
        <w:rPr>
          <w:sz w:val="28"/>
        </w:rPr>
        <w:t>Company Overview</w:t>
      </w:r>
      <w:bookmarkEnd w:id="1"/>
    </w:p>
    <w:p w14:paraId="65285D83" w14:textId="77777777" w:rsidR="0044406A" w:rsidRPr="00425290" w:rsidRDefault="00357ABC" w:rsidP="0044406A">
      <w:pPr>
        <w:rPr>
          <w:sz w:val="28"/>
        </w:rPr>
      </w:pPr>
      <w:r w:rsidRPr="00425290">
        <w:rPr>
          <w:sz w:val="28"/>
        </w:rPr>
        <w:t xml:space="preserve">Shell plc is an energy and petrochemical company which specializes in the refining, production, marketing and extraction of natural gas and fossil fuels. Shell started to exist as a business establishment in April 1907 due to the partnership of the Royal Dutch Petroleum Company of the Netherlands and the "Shell'' Transport and Trading Company in the UK. </w:t>
      </w:r>
      <w:r w:rsidRPr="00425290">
        <w:rPr>
          <w:sz w:val="28"/>
          <w:highlight w:val="yellow"/>
        </w:rPr>
        <w:t xml:space="preserve">They became the leading oil company in </w:t>
      </w:r>
      <w:proofErr w:type="gramStart"/>
      <w:r w:rsidRPr="00425290">
        <w:rPr>
          <w:sz w:val="28"/>
          <w:highlight w:val="yellow"/>
        </w:rPr>
        <w:t>America</w:t>
      </w:r>
      <w:r w:rsidR="00C15D93" w:rsidRPr="00425290">
        <w:rPr>
          <w:color w:val="000000"/>
          <w:sz w:val="28"/>
          <w:highlight w:val="yellow"/>
        </w:rPr>
        <w:t>(</w:t>
      </w:r>
      <w:proofErr w:type="gramEnd"/>
      <w:r w:rsidR="00C15D93" w:rsidRPr="00425290">
        <w:rPr>
          <w:color w:val="000000"/>
          <w:sz w:val="28"/>
          <w:highlight w:val="yellow"/>
        </w:rPr>
        <w:t>Shell Global 2024)</w:t>
      </w:r>
      <w:r w:rsidRPr="00425290">
        <w:rPr>
          <w:sz w:val="28"/>
          <w:highlight w:val="yellow"/>
        </w:rPr>
        <w:t xml:space="preserve">. By 1920, they were </w:t>
      </w:r>
      <w:r w:rsidRPr="00425290">
        <w:rPr>
          <w:sz w:val="28"/>
        </w:rPr>
        <w:t xml:space="preserve">the most massive company in the world. In the 1930s, it entered the chemical industry to tap a new market. Shell PLC was considered one of the </w:t>
      </w:r>
      <w:proofErr w:type="gramStart"/>
      <w:r w:rsidRPr="00425290">
        <w:rPr>
          <w:sz w:val="28"/>
        </w:rPr>
        <w:t>“ seven</w:t>
      </w:r>
      <w:proofErr w:type="gramEnd"/>
      <w:r w:rsidRPr="00425290">
        <w:rPr>
          <w:sz w:val="28"/>
        </w:rPr>
        <w:t xml:space="preserve"> sisters" that dominated global petroleum in the middle of the 1960s.In the next decade, it partnered with a mining enterprise called </w:t>
      </w:r>
      <w:proofErr w:type="spellStart"/>
      <w:r w:rsidRPr="00425290">
        <w:rPr>
          <w:sz w:val="28"/>
        </w:rPr>
        <w:t>Billton</w:t>
      </w:r>
      <w:proofErr w:type="spellEnd"/>
      <w:r w:rsidRPr="00425290">
        <w:rPr>
          <w:sz w:val="28"/>
        </w:rPr>
        <w:t xml:space="preserve">. Finally, in 2016, it acquired the BG group. The model which Shell follows is vertical integration. It has included refining, transport, distribution, power generation, trading and so </w:t>
      </w:r>
      <w:proofErr w:type="spellStart"/>
      <w:proofErr w:type="gramStart"/>
      <w:r w:rsidRPr="00425290">
        <w:rPr>
          <w:sz w:val="28"/>
        </w:rPr>
        <w:t>on.Shell</w:t>
      </w:r>
      <w:proofErr w:type="spellEnd"/>
      <w:proofErr w:type="gramEnd"/>
      <w:r w:rsidRPr="00425290">
        <w:rPr>
          <w:sz w:val="28"/>
        </w:rPr>
        <w:t>, officially known as Royal Dutch Shell plc, is a global group of energy and petrochemical companies headquartered in The Hague, Netherlands, and incorporated in the United Kingdom. Founded in 1907 through the merger of Royal Dutch Petroleum Company and Shell Transport and Trading Company, Shell has grown to become one of the world's largest and most influential corporations in the energy sector.</w:t>
      </w:r>
    </w:p>
    <w:p w14:paraId="589846C0" w14:textId="77777777" w:rsidR="00081D25" w:rsidRPr="00425290" w:rsidRDefault="00357ABC" w:rsidP="0044406A">
      <w:pPr>
        <w:rPr>
          <w:sz w:val="28"/>
        </w:rPr>
      </w:pPr>
      <w:r w:rsidRPr="00425290">
        <w:rPr>
          <w:sz w:val="28"/>
        </w:rPr>
        <w:t xml:space="preserve">The exploration, production, refining, and marketing of oil and natural gas, in addition to the production and sale of chemicals, are all parts of Shell's operations. </w:t>
      </w:r>
      <w:r w:rsidRPr="00425290">
        <w:rPr>
          <w:sz w:val="28"/>
          <w:highlight w:val="yellow"/>
        </w:rPr>
        <w:t xml:space="preserve">As a sign of its commitment to a future powered by renewable energy, the business is also actively involved in hydrogen, wind, and solar </w:t>
      </w:r>
      <w:proofErr w:type="gramStart"/>
      <w:r w:rsidRPr="00425290">
        <w:rPr>
          <w:sz w:val="28"/>
          <w:highlight w:val="yellow"/>
        </w:rPr>
        <w:t>projects</w:t>
      </w:r>
      <w:r w:rsidR="00C15D93" w:rsidRPr="00425290">
        <w:rPr>
          <w:color w:val="000000"/>
          <w:sz w:val="28"/>
          <w:highlight w:val="yellow"/>
        </w:rPr>
        <w:t>(</w:t>
      </w:r>
      <w:proofErr w:type="gramEnd"/>
      <w:r w:rsidR="00C15D93" w:rsidRPr="00425290">
        <w:rPr>
          <w:color w:val="000000"/>
          <w:sz w:val="28"/>
          <w:highlight w:val="yellow"/>
        </w:rPr>
        <w:t>Shell Global 2024)</w:t>
      </w:r>
      <w:r w:rsidRPr="00425290">
        <w:rPr>
          <w:sz w:val="28"/>
          <w:highlight w:val="yellow"/>
        </w:rPr>
        <w:t>.</w:t>
      </w:r>
      <w:r w:rsidRPr="00425290">
        <w:rPr>
          <w:sz w:val="28"/>
        </w:rPr>
        <w:t xml:space="preserve"> Shell's coordinated plan of action guarantees significant areas of strength throughout the whole energy esteem chain, from upstream investigation to downstream buyer items. Shell is dedicated to </w:t>
      </w:r>
      <w:r w:rsidRPr="00425290">
        <w:rPr>
          <w:sz w:val="28"/>
        </w:rPr>
        <w:lastRenderedPageBreak/>
        <w:t xml:space="preserve">providing energy solutions that meet the growing demands of the world while addressing environmental and social issues. </w:t>
      </w:r>
    </w:p>
    <w:p w14:paraId="64DF1D9F" w14:textId="77777777" w:rsidR="0044406A" w:rsidRPr="00425290" w:rsidRDefault="00357ABC" w:rsidP="0044406A">
      <w:pPr>
        <w:rPr>
          <w:sz w:val="28"/>
        </w:rPr>
      </w:pPr>
      <w:r w:rsidRPr="00425290">
        <w:rPr>
          <w:sz w:val="28"/>
        </w:rPr>
        <w:t xml:space="preserve">The company employs over 80,000 people in over 70 countries. The company's strategic focus on technology and innovation drives ongoing efficiency and sustainability improvements. </w:t>
      </w:r>
      <w:r w:rsidRPr="00425290">
        <w:rPr>
          <w:sz w:val="28"/>
          <w:highlight w:val="yellow"/>
        </w:rPr>
        <w:t>Shell aims to play a vital role in the transition to a lower-carbon energy system, striving to achieve net-zero emissions by 2050 and supporting global efforts to combat climate change</w:t>
      </w:r>
      <w:r w:rsidR="00C15D93" w:rsidRPr="00425290">
        <w:rPr>
          <w:sz w:val="28"/>
          <w:highlight w:val="yellow"/>
        </w:rPr>
        <w:t xml:space="preserve"> (</w:t>
      </w:r>
      <w:r w:rsidR="00C15D93" w:rsidRPr="00425290">
        <w:rPr>
          <w:rFonts w:cs="Times New Roman"/>
          <w:color w:val="222222"/>
          <w:sz w:val="28"/>
          <w:szCs w:val="24"/>
          <w:highlight w:val="yellow"/>
          <w:shd w:val="clear" w:color="auto" w:fill="FFFFFF"/>
        </w:rPr>
        <w:t>Saputra, 2022)</w:t>
      </w:r>
      <w:r w:rsidRPr="00425290">
        <w:rPr>
          <w:sz w:val="28"/>
          <w:highlight w:val="yellow"/>
        </w:rPr>
        <w:t>.</w:t>
      </w:r>
    </w:p>
    <w:p w14:paraId="5E804FDA" w14:textId="77777777" w:rsidR="00F07D6A" w:rsidRPr="00425290" w:rsidRDefault="00357ABC" w:rsidP="00F07D6A">
      <w:pPr>
        <w:rPr>
          <w:sz w:val="28"/>
        </w:rPr>
      </w:pPr>
      <w:r w:rsidRPr="00425290">
        <w:rPr>
          <w:sz w:val="28"/>
        </w:rPr>
        <w:t>.</w:t>
      </w:r>
    </w:p>
    <w:p w14:paraId="7B843808" w14:textId="77777777" w:rsidR="00B21AE3" w:rsidRPr="00425290" w:rsidRDefault="00357ABC" w:rsidP="002E3FDE">
      <w:pPr>
        <w:pStyle w:val="Heading2"/>
        <w:rPr>
          <w:sz w:val="28"/>
        </w:rPr>
      </w:pPr>
      <w:bookmarkStart w:id="2" w:name="_Toc171618591"/>
      <w:r w:rsidRPr="00425290">
        <w:rPr>
          <w:sz w:val="28"/>
        </w:rPr>
        <w:t>Business Model</w:t>
      </w:r>
      <w:bookmarkEnd w:id="2"/>
    </w:p>
    <w:p w14:paraId="1A6682F2" w14:textId="77777777" w:rsidR="00F07D6A" w:rsidRPr="00425290" w:rsidRDefault="00357ABC" w:rsidP="00F07D6A">
      <w:pPr>
        <w:rPr>
          <w:color w:val="1155CC"/>
          <w:sz w:val="36"/>
          <w:szCs w:val="32"/>
          <w:highlight w:val="white"/>
          <w:vertAlign w:val="superscript"/>
        </w:rPr>
      </w:pPr>
      <w:r w:rsidRPr="00425290">
        <w:rPr>
          <w:color w:val="202122"/>
          <w:sz w:val="28"/>
          <w:szCs w:val="24"/>
          <w:highlight w:val="white"/>
        </w:rPr>
        <w:t>Shell is organized into four major business groupings:</w:t>
      </w:r>
    </w:p>
    <w:p w14:paraId="69BA3116" w14:textId="77777777" w:rsidR="00F07D6A" w:rsidRPr="00425290" w:rsidRDefault="00357ABC" w:rsidP="00F07D6A">
      <w:pPr>
        <w:rPr>
          <w:sz w:val="28"/>
          <w:highlight w:val="white"/>
        </w:rPr>
      </w:pPr>
      <w:r w:rsidRPr="00425290">
        <w:rPr>
          <w:b/>
          <w:color w:val="202122"/>
          <w:sz w:val="28"/>
          <w:szCs w:val="24"/>
          <w:highlight w:val="white"/>
        </w:rPr>
        <w:t>Upstream</w:t>
      </w:r>
      <w:r w:rsidRPr="00425290">
        <w:rPr>
          <w:color w:val="202122"/>
          <w:sz w:val="28"/>
          <w:szCs w:val="24"/>
          <w:highlight w:val="white"/>
        </w:rPr>
        <w:t xml:space="preserve"> – The company looks after the upstream business. It tracks the presence of oil and natural gas sources and operates the upstream and midstream infrastructure which is required to deliver oil and gas to the global market. Its functioning is organized primarily within a geographic milieu. </w:t>
      </w:r>
      <w:proofErr w:type="gramStart"/>
      <w:r w:rsidRPr="00425290">
        <w:rPr>
          <w:color w:val="202122"/>
          <w:sz w:val="28"/>
          <w:szCs w:val="24"/>
          <w:highlight w:val="white"/>
        </w:rPr>
        <w:t>However</w:t>
      </w:r>
      <w:proofErr w:type="gramEnd"/>
      <w:r w:rsidRPr="00425290">
        <w:rPr>
          <w:color w:val="202122"/>
          <w:sz w:val="28"/>
          <w:szCs w:val="24"/>
          <w:highlight w:val="white"/>
        </w:rPr>
        <w:t xml:space="preserve"> some activities need to be taken under the charge throughout the business establishments.</w:t>
      </w:r>
    </w:p>
    <w:p w14:paraId="26FA1B85" w14:textId="77777777" w:rsidR="00F07D6A" w:rsidRPr="00425290" w:rsidRDefault="00357ABC" w:rsidP="00F07D6A">
      <w:pPr>
        <w:rPr>
          <w:sz w:val="28"/>
          <w:highlight w:val="white"/>
        </w:rPr>
      </w:pPr>
      <w:r w:rsidRPr="00425290">
        <w:rPr>
          <w:b/>
          <w:color w:val="202122"/>
          <w:sz w:val="28"/>
          <w:szCs w:val="24"/>
          <w:highlight w:val="white"/>
        </w:rPr>
        <w:t>Integrated Gas and New Energies</w:t>
      </w:r>
      <w:r w:rsidRPr="00425290">
        <w:rPr>
          <w:color w:val="202122"/>
          <w:sz w:val="28"/>
          <w:szCs w:val="24"/>
          <w:highlight w:val="white"/>
        </w:rPr>
        <w:t xml:space="preserve"> – This segment presides over the liquefaction of natural gas by transforming gas into liquids and low-carbon compounds.</w:t>
      </w:r>
    </w:p>
    <w:p w14:paraId="63FE80D3" w14:textId="77777777" w:rsidR="00F07D6A" w:rsidRPr="00425290" w:rsidRDefault="00357ABC" w:rsidP="00F07D6A">
      <w:pPr>
        <w:rPr>
          <w:sz w:val="28"/>
          <w:highlight w:val="white"/>
        </w:rPr>
      </w:pPr>
      <w:r w:rsidRPr="00425290">
        <w:rPr>
          <w:b/>
          <w:color w:val="202122"/>
          <w:sz w:val="28"/>
          <w:szCs w:val="24"/>
          <w:highlight w:val="white"/>
        </w:rPr>
        <w:t>Downstream</w:t>
      </w:r>
      <w:r w:rsidRPr="00425290">
        <w:rPr>
          <w:color w:val="202122"/>
          <w:sz w:val="28"/>
          <w:szCs w:val="24"/>
          <w:highlight w:val="white"/>
        </w:rPr>
        <w:t xml:space="preserve"> – This department works for the distribution, and marketing of oil products and chemicals. Manufacturing and supply include refinery, supply, and shipping of crude oil.</w:t>
      </w:r>
    </w:p>
    <w:p w14:paraId="35A111BE" w14:textId="77777777" w:rsidR="00F07D6A" w:rsidRPr="00425290" w:rsidRDefault="00357ABC" w:rsidP="00F07D6A">
      <w:pPr>
        <w:rPr>
          <w:sz w:val="28"/>
          <w:highlight w:val="white"/>
        </w:rPr>
      </w:pPr>
      <w:r w:rsidRPr="00425290">
        <w:rPr>
          <w:b/>
          <w:color w:val="202122"/>
          <w:sz w:val="28"/>
          <w:szCs w:val="24"/>
          <w:highlight w:val="white"/>
        </w:rPr>
        <w:t>Projects and technology</w:t>
      </w:r>
      <w:r w:rsidRPr="00425290">
        <w:rPr>
          <w:color w:val="202122"/>
          <w:sz w:val="28"/>
          <w:szCs w:val="24"/>
          <w:highlight w:val="yellow"/>
        </w:rPr>
        <w:t xml:space="preserve">– It </w:t>
      </w:r>
      <w:proofErr w:type="gramStart"/>
      <w:r w:rsidRPr="00425290">
        <w:rPr>
          <w:color w:val="202122"/>
          <w:sz w:val="28"/>
          <w:szCs w:val="24"/>
          <w:highlight w:val="yellow"/>
        </w:rPr>
        <w:t>is</w:t>
      </w:r>
      <w:proofErr w:type="gramEnd"/>
      <w:r w:rsidRPr="00425290">
        <w:rPr>
          <w:color w:val="202122"/>
          <w:sz w:val="28"/>
          <w:szCs w:val="24"/>
          <w:highlight w:val="yellow"/>
        </w:rPr>
        <w:t xml:space="preserve"> responsible for providing functional leadership across Shell, which covers arenas such as </w:t>
      </w:r>
      <w:r w:rsidR="00411920" w:rsidRPr="00425290">
        <w:rPr>
          <w:color w:val="202122"/>
          <w:sz w:val="28"/>
          <w:szCs w:val="24"/>
          <w:highlight w:val="yellow"/>
        </w:rPr>
        <w:t>- health</w:t>
      </w:r>
      <w:r w:rsidRPr="00425290">
        <w:rPr>
          <w:color w:val="202122"/>
          <w:sz w:val="28"/>
          <w:szCs w:val="24"/>
          <w:highlight w:val="yellow"/>
        </w:rPr>
        <w:t>, safety, environment and so on</w:t>
      </w:r>
      <w:r w:rsidR="00C15D93" w:rsidRPr="00425290">
        <w:rPr>
          <w:color w:val="202122"/>
          <w:sz w:val="28"/>
          <w:szCs w:val="24"/>
          <w:highlight w:val="yellow"/>
        </w:rPr>
        <w:t xml:space="preserve"> (</w:t>
      </w:r>
      <w:r w:rsidR="00C15D93" w:rsidRPr="00425290">
        <w:rPr>
          <w:rFonts w:cs="Times New Roman"/>
          <w:color w:val="222222"/>
          <w:sz w:val="28"/>
          <w:szCs w:val="24"/>
          <w:highlight w:val="yellow"/>
          <w:shd w:val="clear" w:color="auto" w:fill="FFFFFF"/>
        </w:rPr>
        <w:t>Saputra, 2022)</w:t>
      </w:r>
      <w:r w:rsidRPr="00425290">
        <w:rPr>
          <w:color w:val="202122"/>
          <w:sz w:val="28"/>
          <w:szCs w:val="24"/>
          <w:highlight w:val="yellow"/>
        </w:rPr>
        <w:t>.</w:t>
      </w:r>
    </w:p>
    <w:p w14:paraId="7F327FDC" w14:textId="77777777" w:rsidR="00B21AE3" w:rsidRPr="00425290" w:rsidRDefault="00357ABC" w:rsidP="002E3FDE">
      <w:pPr>
        <w:pStyle w:val="Heading2"/>
        <w:rPr>
          <w:sz w:val="28"/>
        </w:rPr>
      </w:pPr>
      <w:bookmarkStart w:id="3" w:name="_Toc171618592"/>
      <w:r w:rsidRPr="00425290">
        <w:rPr>
          <w:sz w:val="28"/>
        </w:rPr>
        <w:lastRenderedPageBreak/>
        <w:t>Marketplace and Major competitors</w:t>
      </w:r>
      <w:bookmarkEnd w:id="3"/>
    </w:p>
    <w:p w14:paraId="4F6012F5" w14:textId="77777777" w:rsidR="00F07D6A" w:rsidRPr="00425290" w:rsidRDefault="00357ABC" w:rsidP="00F07D6A">
      <w:pPr>
        <w:rPr>
          <w:color w:val="000000" w:themeColor="text1"/>
          <w:sz w:val="28"/>
          <w:highlight w:val="white"/>
        </w:rPr>
      </w:pPr>
      <w:r w:rsidRPr="00425290">
        <w:rPr>
          <w:color w:val="000000" w:themeColor="text1"/>
          <w:sz w:val="28"/>
          <w:highlight w:val="white"/>
        </w:rPr>
        <w:t xml:space="preserve">Major competitors of Shell PLC are as </w:t>
      </w:r>
      <w:r w:rsidR="00411920" w:rsidRPr="00425290">
        <w:rPr>
          <w:color w:val="000000" w:themeColor="text1"/>
          <w:sz w:val="28"/>
          <w:highlight w:val="white"/>
        </w:rPr>
        <w:t>follows:</w:t>
      </w:r>
    </w:p>
    <w:p w14:paraId="33C41A8B" w14:textId="77777777" w:rsidR="00F07D6A" w:rsidRPr="00425290" w:rsidRDefault="00357ABC" w:rsidP="00F07D6A">
      <w:pPr>
        <w:rPr>
          <w:color w:val="000000" w:themeColor="text1"/>
          <w:sz w:val="28"/>
          <w:highlight w:val="white"/>
        </w:rPr>
      </w:pPr>
      <w:r w:rsidRPr="00425290">
        <w:rPr>
          <w:color w:val="000000" w:themeColor="text1"/>
          <w:sz w:val="28"/>
          <w:highlight w:val="white"/>
        </w:rPr>
        <w:t>China Petroleum and Chemical Corp- The headquarters of this company is located in China and consists of 386,009 employe</w:t>
      </w:r>
      <w:r w:rsidR="00C15D93" w:rsidRPr="00425290">
        <w:rPr>
          <w:color w:val="000000" w:themeColor="text1"/>
          <w:sz w:val="28"/>
          <w:highlight w:val="white"/>
        </w:rPr>
        <w:t xml:space="preserve">es. They draw revenue of about </w:t>
      </w:r>
      <w:r w:rsidR="00C15D93" w:rsidRPr="00425290">
        <w:rPr>
          <w:sz w:val="28"/>
        </w:rPr>
        <w:t>£</w:t>
      </w:r>
      <w:r w:rsidRPr="00425290">
        <w:rPr>
          <w:color w:val="000000" w:themeColor="text1"/>
          <w:sz w:val="28"/>
          <w:highlight w:val="white"/>
        </w:rPr>
        <w:t xml:space="preserve"> 454.2B. Their entity type is public. </w:t>
      </w:r>
    </w:p>
    <w:p w14:paraId="053B22A9" w14:textId="77777777" w:rsidR="00F07D6A" w:rsidRPr="00425290" w:rsidRDefault="00357ABC" w:rsidP="00F07D6A">
      <w:pPr>
        <w:rPr>
          <w:color w:val="000000" w:themeColor="text1"/>
          <w:sz w:val="28"/>
          <w:highlight w:val="white"/>
        </w:rPr>
      </w:pPr>
      <w:r w:rsidRPr="00425290">
        <w:rPr>
          <w:color w:val="000000" w:themeColor="text1"/>
          <w:sz w:val="28"/>
          <w:highlight w:val="white"/>
        </w:rPr>
        <w:t>Exxon Mobil Corp- The headquarters is located in the USA. The entity type is pub</w:t>
      </w:r>
      <w:r w:rsidR="00C15D93" w:rsidRPr="00425290">
        <w:rPr>
          <w:color w:val="000000" w:themeColor="text1"/>
          <w:sz w:val="28"/>
          <w:highlight w:val="white"/>
        </w:rPr>
        <w:t xml:space="preserve">lic. It draws revenue of about </w:t>
      </w:r>
      <w:r w:rsidR="00C15D93" w:rsidRPr="00425290">
        <w:rPr>
          <w:sz w:val="28"/>
        </w:rPr>
        <w:t>£</w:t>
      </w:r>
      <w:r w:rsidRPr="00425290">
        <w:rPr>
          <w:color w:val="000000" w:themeColor="text1"/>
          <w:sz w:val="28"/>
          <w:highlight w:val="white"/>
        </w:rPr>
        <w:t>334.7B. Presently, it has around 62,000 employees working.</w:t>
      </w:r>
    </w:p>
    <w:p w14:paraId="48AD70E8" w14:textId="77777777" w:rsidR="00F07D6A" w:rsidRPr="00425290" w:rsidRDefault="00357ABC" w:rsidP="00F07D6A">
      <w:pPr>
        <w:rPr>
          <w:color w:val="000000" w:themeColor="text1"/>
          <w:sz w:val="28"/>
        </w:rPr>
      </w:pPr>
      <w:r w:rsidRPr="00425290">
        <w:rPr>
          <w:color w:val="000000" w:themeColor="text1"/>
          <w:sz w:val="28"/>
          <w:highlight w:val="white"/>
        </w:rPr>
        <w:t xml:space="preserve">BP PLC - </w:t>
      </w:r>
      <w:r w:rsidR="00634EEE" w:rsidRPr="00425290">
        <w:rPr>
          <w:color w:val="000000" w:themeColor="text1"/>
          <w:sz w:val="28"/>
          <w:highlight w:val="white"/>
        </w:rPr>
        <w:t xml:space="preserve">Its headquarters is </w:t>
      </w:r>
      <w:r w:rsidRPr="00425290">
        <w:rPr>
          <w:color w:val="000000" w:themeColor="text1"/>
          <w:sz w:val="28"/>
          <w:highlight w:val="white"/>
        </w:rPr>
        <w:t>in the UK. The entity type of this company is public. It has 87,800 employees working presently. It draws revenue of abou</w:t>
      </w:r>
      <w:r w:rsidR="00C15D93" w:rsidRPr="00425290">
        <w:rPr>
          <w:color w:val="000000" w:themeColor="text1"/>
          <w:sz w:val="28"/>
          <w:highlight w:val="white"/>
        </w:rPr>
        <w:t xml:space="preserve">t </w:t>
      </w:r>
      <w:r w:rsidR="00C15D93" w:rsidRPr="00425290">
        <w:rPr>
          <w:sz w:val="28"/>
        </w:rPr>
        <w:t>£</w:t>
      </w:r>
      <w:r w:rsidRPr="00425290">
        <w:rPr>
          <w:color w:val="000000" w:themeColor="text1"/>
          <w:sz w:val="28"/>
          <w:highlight w:val="white"/>
        </w:rPr>
        <w:t>210.1B annually.</w:t>
      </w:r>
    </w:p>
    <w:p w14:paraId="40D14102" w14:textId="77777777" w:rsidR="00B21AE3" w:rsidRPr="00425290" w:rsidRDefault="00357ABC" w:rsidP="002E3FDE">
      <w:pPr>
        <w:pStyle w:val="Heading2"/>
        <w:rPr>
          <w:sz w:val="28"/>
        </w:rPr>
      </w:pPr>
      <w:bookmarkStart w:id="4" w:name="_Toc171618593"/>
      <w:r w:rsidRPr="00425290">
        <w:rPr>
          <w:sz w:val="28"/>
        </w:rPr>
        <w:t>Recent events</w:t>
      </w:r>
      <w:bookmarkEnd w:id="4"/>
    </w:p>
    <w:p w14:paraId="36B7C391" w14:textId="77777777" w:rsidR="00F07D6A" w:rsidRPr="00425290" w:rsidRDefault="00357ABC" w:rsidP="00F07D6A">
      <w:pPr>
        <w:rPr>
          <w:sz w:val="28"/>
        </w:rPr>
      </w:pPr>
      <w:r w:rsidRPr="00425290">
        <w:rPr>
          <w:sz w:val="28"/>
          <w:highlight w:val="white"/>
        </w:rPr>
        <w:t xml:space="preserve">Recently, Shell Overseas has invested a lot </w:t>
      </w:r>
      <w:r w:rsidRPr="00425290">
        <w:rPr>
          <w:color w:val="040C28"/>
          <w:sz w:val="28"/>
          <w:highlight w:val="white"/>
        </w:rPr>
        <w:t>in India, completing the takeover of renewable ene</w:t>
      </w:r>
      <w:r w:rsidR="00C15D93" w:rsidRPr="00425290">
        <w:rPr>
          <w:color w:val="040C28"/>
          <w:sz w:val="28"/>
          <w:highlight w:val="white"/>
        </w:rPr>
        <w:t xml:space="preserve">rgy producer Spring Energy for </w:t>
      </w:r>
      <w:r w:rsidR="00C15D93" w:rsidRPr="00425290">
        <w:rPr>
          <w:sz w:val="28"/>
        </w:rPr>
        <w:t>£</w:t>
      </w:r>
      <w:r w:rsidRPr="00425290">
        <w:rPr>
          <w:color w:val="040C28"/>
          <w:sz w:val="28"/>
          <w:highlight w:val="white"/>
        </w:rPr>
        <w:t>1.55bn</w:t>
      </w:r>
      <w:r w:rsidRPr="00425290">
        <w:rPr>
          <w:sz w:val="28"/>
          <w:highlight w:val="white"/>
        </w:rPr>
        <w:t xml:space="preserve">. The company has 2.1GW of operating and 0.8GW contracted capacity, with up to 7.5GW of renewable </w:t>
      </w:r>
      <w:r w:rsidRPr="00425290">
        <w:rPr>
          <w:sz w:val="28"/>
          <w:szCs w:val="24"/>
          <w:highlight w:val="white"/>
        </w:rPr>
        <w:t xml:space="preserve">energy projects in the pipeline. Since 2020, it has received more than 75 DEI awards across 17 countries. </w:t>
      </w:r>
    </w:p>
    <w:p w14:paraId="42D66359" w14:textId="77777777" w:rsidR="00F07D6A" w:rsidRPr="00425290" w:rsidRDefault="00357ABC" w:rsidP="00F07D6A">
      <w:pPr>
        <w:rPr>
          <w:sz w:val="28"/>
        </w:rPr>
      </w:pPr>
      <w:r w:rsidRPr="00425290">
        <w:rPr>
          <w:sz w:val="28"/>
          <w:szCs w:val="24"/>
          <w:highlight w:val="white"/>
        </w:rPr>
        <w:t>In 2024, SHELL has signed an agreement to invest in Abu Dhabi.</w:t>
      </w:r>
    </w:p>
    <w:p w14:paraId="35AE26B9" w14:textId="77777777" w:rsidR="00B21AE3" w:rsidRPr="00425290" w:rsidRDefault="00B21AE3" w:rsidP="002E3FDE">
      <w:pPr>
        <w:pStyle w:val="Normal1"/>
        <w:jc w:val="both"/>
        <w:rPr>
          <w:rFonts w:ascii="Times New Roman" w:hAnsi="Times New Roman" w:cs="Times New Roman"/>
          <w:sz w:val="28"/>
          <w:szCs w:val="24"/>
        </w:rPr>
      </w:pPr>
    </w:p>
    <w:p w14:paraId="7510556E" w14:textId="77777777" w:rsidR="00A33FEC" w:rsidRPr="00425290" w:rsidRDefault="00357ABC">
      <w:pPr>
        <w:spacing w:before="0" w:after="0" w:line="276" w:lineRule="auto"/>
        <w:jc w:val="left"/>
        <w:rPr>
          <w:b/>
          <w:sz w:val="32"/>
          <w:szCs w:val="40"/>
        </w:rPr>
      </w:pPr>
      <w:r w:rsidRPr="00425290">
        <w:rPr>
          <w:sz w:val="28"/>
        </w:rPr>
        <w:br w:type="page"/>
      </w:r>
    </w:p>
    <w:p w14:paraId="0EAA4F14" w14:textId="77777777" w:rsidR="00B21AE3" w:rsidRPr="00425290" w:rsidRDefault="00357ABC" w:rsidP="00D01A94">
      <w:pPr>
        <w:pStyle w:val="Heading1"/>
        <w:rPr>
          <w:sz w:val="32"/>
        </w:rPr>
      </w:pPr>
      <w:bookmarkStart w:id="5" w:name="_Toc171618594"/>
      <w:r w:rsidRPr="00425290">
        <w:rPr>
          <w:sz w:val="32"/>
        </w:rPr>
        <w:lastRenderedPageBreak/>
        <w:t>Part B</w:t>
      </w:r>
      <w:bookmarkEnd w:id="5"/>
    </w:p>
    <w:p w14:paraId="36A87E52" w14:textId="77777777" w:rsidR="00B21AE3" w:rsidRPr="00425290" w:rsidRDefault="00357ABC" w:rsidP="002E3FDE">
      <w:pPr>
        <w:pStyle w:val="Heading2"/>
        <w:rPr>
          <w:sz w:val="28"/>
        </w:rPr>
      </w:pPr>
      <w:bookmarkStart w:id="6" w:name="_Toc171618595"/>
      <w:r w:rsidRPr="00425290">
        <w:rPr>
          <w:sz w:val="28"/>
        </w:rPr>
        <w:t>Profitability ratio</w:t>
      </w:r>
      <w:bookmarkEnd w:id="6"/>
    </w:p>
    <w:p w14:paraId="7902D146" w14:textId="77777777" w:rsidR="00D01A94" w:rsidRPr="00425290" w:rsidRDefault="00357ABC" w:rsidP="00D01A94">
      <w:pPr>
        <w:rPr>
          <w:sz w:val="28"/>
        </w:rPr>
      </w:pPr>
      <w:r w:rsidRPr="00425290">
        <w:rPr>
          <w:sz w:val="28"/>
        </w:rPr>
        <w:t xml:space="preserve">Profitability ratios are used within accounting to determine </w:t>
      </w:r>
      <w:r w:rsidR="00425290">
        <w:rPr>
          <w:sz w:val="28"/>
        </w:rPr>
        <w:t xml:space="preserve">the company's financial health </w:t>
      </w:r>
      <w:r w:rsidRPr="00425290">
        <w:rPr>
          <w:sz w:val="28"/>
        </w:rPr>
        <w:t>(</w:t>
      </w:r>
      <w:proofErr w:type="spellStart"/>
      <w:r w:rsidRPr="00425290">
        <w:rPr>
          <w:rFonts w:cs="Times New Roman"/>
          <w:color w:val="222222"/>
          <w:sz w:val="28"/>
          <w:szCs w:val="24"/>
          <w:shd w:val="clear" w:color="auto" w:fill="FFFFFF"/>
        </w:rPr>
        <w:t>Choiriyah</w:t>
      </w:r>
      <w:proofErr w:type="spellEnd"/>
      <w:r w:rsidRPr="00425290">
        <w:rPr>
          <w:rFonts w:cs="Times New Roman"/>
          <w:color w:val="222222"/>
          <w:sz w:val="28"/>
          <w:szCs w:val="24"/>
          <w:shd w:val="clear" w:color="auto" w:fill="FFFFFF"/>
        </w:rPr>
        <w:t xml:space="preserve"> et al., 2020)</w:t>
      </w:r>
      <w:r w:rsidRPr="00425290">
        <w:rPr>
          <w:sz w:val="28"/>
        </w:rPr>
        <w:t xml:space="preserve">. The primary ratios used for assessing the profit-earning ability of Shell Plc company include Gross Margin and Return on Capital Employed. </w:t>
      </w:r>
    </w:p>
    <w:p w14:paraId="7C236130" w14:textId="77777777" w:rsidR="00D01A94" w:rsidRPr="00425290" w:rsidRDefault="00357ABC" w:rsidP="00D01A94">
      <w:pPr>
        <w:rPr>
          <w:sz w:val="28"/>
        </w:rPr>
      </w:pPr>
      <w:r w:rsidRPr="00425290">
        <w:rPr>
          <w:sz w:val="28"/>
        </w:rPr>
        <w:t>Gross margin is considered to be the profitability ratio that is being used for determining the profit earned from their operat</w:t>
      </w:r>
      <w:r w:rsidR="00425290">
        <w:rPr>
          <w:sz w:val="28"/>
        </w:rPr>
        <w:t xml:space="preserve">ional activities </w:t>
      </w:r>
      <w:r w:rsidRPr="00425290">
        <w:rPr>
          <w:sz w:val="28"/>
        </w:rPr>
        <w:t>(</w:t>
      </w:r>
      <w:r w:rsidRPr="00425290">
        <w:rPr>
          <w:rFonts w:cs="Times New Roman"/>
          <w:color w:val="222222"/>
          <w:sz w:val="28"/>
          <w:szCs w:val="24"/>
          <w:shd w:val="clear" w:color="auto" w:fill="FFFFFF"/>
        </w:rPr>
        <w:t xml:space="preserve">Bustani, </w:t>
      </w:r>
      <w:proofErr w:type="spellStart"/>
      <w:r w:rsidRPr="00425290">
        <w:rPr>
          <w:rFonts w:cs="Times New Roman"/>
          <w:color w:val="222222"/>
          <w:sz w:val="28"/>
          <w:szCs w:val="24"/>
          <w:shd w:val="clear" w:color="auto" w:fill="FFFFFF"/>
        </w:rPr>
        <w:t>Kurniaty</w:t>
      </w:r>
      <w:proofErr w:type="spellEnd"/>
      <w:r w:rsidRPr="00425290">
        <w:rPr>
          <w:rFonts w:cs="Times New Roman"/>
          <w:color w:val="222222"/>
          <w:sz w:val="28"/>
          <w:szCs w:val="24"/>
          <w:shd w:val="clear" w:color="auto" w:fill="FFFFFF"/>
        </w:rPr>
        <w:t xml:space="preserve"> and </w:t>
      </w:r>
      <w:proofErr w:type="spellStart"/>
      <w:r w:rsidRPr="00425290">
        <w:rPr>
          <w:rFonts w:cs="Times New Roman"/>
          <w:color w:val="222222"/>
          <w:sz w:val="28"/>
          <w:szCs w:val="24"/>
          <w:shd w:val="clear" w:color="auto" w:fill="FFFFFF"/>
        </w:rPr>
        <w:t>Widyanti</w:t>
      </w:r>
      <w:proofErr w:type="spellEnd"/>
      <w:r w:rsidRPr="00425290">
        <w:rPr>
          <w:rFonts w:cs="Times New Roman"/>
          <w:color w:val="222222"/>
          <w:sz w:val="28"/>
          <w:szCs w:val="24"/>
          <w:shd w:val="clear" w:color="auto" w:fill="FFFFFF"/>
        </w:rPr>
        <w:t>, 2021)</w:t>
      </w:r>
      <w:r w:rsidRPr="00425290">
        <w:rPr>
          <w:sz w:val="28"/>
        </w:rPr>
        <w:t>. The gross margin of Shell plc has depicted an increasing pattern within the ratio, which has shifted from 9.56% to 12.65% over the last 5years, among which the company has experienced the lowest drop in the year 2020, where the gross margin has been around 1.00%, which might have been caused due to the Covid restrictions. The trend observed for the changes in the gross margin of Shell plc company shows that its profit earned increased steadily from 2021 to 2022 while it further experienced a decline in the final year of 2023 (</w:t>
      </w:r>
      <w:proofErr w:type="spellStart"/>
      <w:r w:rsidRPr="00425290">
        <w:rPr>
          <w:rFonts w:cs="Times New Roman"/>
          <w:sz w:val="28"/>
          <w:szCs w:val="24"/>
        </w:rPr>
        <w:t>Wsj</w:t>
      </w:r>
      <w:proofErr w:type="spellEnd"/>
      <w:r w:rsidRPr="00425290">
        <w:rPr>
          <w:rFonts w:cs="Times New Roman"/>
          <w:sz w:val="28"/>
          <w:szCs w:val="24"/>
        </w:rPr>
        <w:t>, 2024)</w:t>
      </w:r>
      <w:r w:rsidRPr="00425290">
        <w:rPr>
          <w:sz w:val="28"/>
        </w:rPr>
        <w:t>.  This has been mainly caused due to the significant decrease in the revenue level for 2020, while the expense level has increased substantially, which has caused the profit margin to fall. The revenue level has shown a constant rise from 2021 to 2022, while it has further lost in the last year, 2023, resulting in a significant decline within the gross margin ratio.</w:t>
      </w:r>
    </w:p>
    <w:p w14:paraId="74546AE4" w14:textId="77777777" w:rsidR="00D01A94" w:rsidRPr="00425290" w:rsidRDefault="00357ABC" w:rsidP="00D01A94">
      <w:pPr>
        <w:jc w:val="center"/>
        <w:rPr>
          <w:sz w:val="28"/>
        </w:rPr>
      </w:pPr>
      <w:r w:rsidRPr="00425290">
        <w:rPr>
          <w:noProof/>
          <w:sz w:val="28"/>
          <w:lang w:val="en-US"/>
        </w:rPr>
        <w:lastRenderedPageBreak/>
        <w:drawing>
          <wp:inline distT="0" distB="0" distL="0" distR="0" wp14:anchorId="7A235E9F" wp14:editId="39F20222">
            <wp:extent cx="4562475" cy="2578100"/>
            <wp:effectExtent l="0" t="0" r="9525" b="12700"/>
            <wp:docPr id="6" name="Chart 6">
              <a:extLst xmlns:a="http://schemas.openxmlformats.org/drawingml/2006/main">
                <a:ext uri="{FF2B5EF4-FFF2-40B4-BE49-F238E27FC236}">
                  <a16:creationId xmlns:a16="http://schemas.microsoft.com/office/drawing/2014/main" id="{64D83C6A-FFA1-4367-AEA9-A8C9964500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595A1CA" w14:textId="77777777" w:rsidR="00D01A94" w:rsidRPr="00425290" w:rsidRDefault="00357ABC" w:rsidP="00D01A94">
      <w:pPr>
        <w:jc w:val="center"/>
        <w:rPr>
          <w:b/>
          <w:bCs/>
          <w:sz w:val="28"/>
        </w:rPr>
      </w:pPr>
      <w:r w:rsidRPr="00425290">
        <w:rPr>
          <w:b/>
          <w:bCs/>
          <w:sz w:val="28"/>
        </w:rPr>
        <w:t>Figure 1: Profitability Ratio</w:t>
      </w:r>
    </w:p>
    <w:p w14:paraId="386CB10D" w14:textId="77777777" w:rsidR="00D01A94" w:rsidRPr="00425290" w:rsidRDefault="00357ABC" w:rsidP="00D01A94">
      <w:pPr>
        <w:jc w:val="center"/>
        <w:rPr>
          <w:sz w:val="28"/>
        </w:rPr>
      </w:pPr>
      <w:r w:rsidRPr="00425290">
        <w:rPr>
          <w:sz w:val="28"/>
        </w:rPr>
        <w:t>(Source: Self-developed)</w:t>
      </w:r>
    </w:p>
    <w:p w14:paraId="3CD1246D" w14:textId="77777777" w:rsidR="00D01A94" w:rsidRPr="00425290" w:rsidRDefault="00357ABC" w:rsidP="00D01A94">
      <w:pPr>
        <w:rPr>
          <w:sz w:val="28"/>
        </w:rPr>
      </w:pPr>
      <w:r w:rsidRPr="00425290">
        <w:rPr>
          <w:sz w:val="28"/>
        </w:rPr>
        <w:t>On the other hand, the ROCE level of the Shell company is being used as a significant baseline for interpreting the performance level of the company (</w:t>
      </w:r>
      <w:r w:rsidRPr="00425290">
        <w:rPr>
          <w:rFonts w:cs="Times New Roman"/>
          <w:color w:val="222222"/>
          <w:sz w:val="28"/>
          <w:szCs w:val="24"/>
          <w:shd w:val="clear" w:color="auto" w:fill="FFFFFF"/>
        </w:rPr>
        <w:t xml:space="preserve">Husain and </w:t>
      </w:r>
      <w:proofErr w:type="spellStart"/>
      <w:r w:rsidRPr="00425290">
        <w:rPr>
          <w:rFonts w:cs="Times New Roman"/>
          <w:color w:val="222222"/>
          <w:sz w:val="28"/>
          <w:szCs w:val="24"/>
          <w:shd w:val="clear" w:color="auto" w:fill="FFFFFF"/>
        </w:rPr>
        <w:t>Sunardi</w:t>
      </w:r>
      <w:proofErr w:type="spellEnd"/>
      <w:r w:rsidRPr="00425290">
        <w:rPr>
          <w:rFonts w:cs="Times New Roman"/>
          <w:color w:val="222222"/>
          <w:sz w:val="28"/>
          <w:szCs w:val="24"/>
          <w:shd w:val="clear" w:color="auto" w:fill="FFFFFF"/>
        </w:rPr>
        <w:t>, 2020)</w:t>
      </w:r>
      <w:r w:rsidRPr="00425290">
        <w:rPr>
          <w:sz w:val="28"/>
        </w:rPr>
        <w:t>. Hence the financial ratio helps depict whether the business organisation has been performing its duty correctly in generating profit from the employed capital. The ROCE level of Shell Plc company initially fell from 6.73% in 2019 to 1.00% in 2020. The company has experienced a further rise in the ROCE level, which has increased to 8.19% and 14.32%, respectively, in 2021 and 2022, while the ROCE further shrank to 7.74%, which shows that the company has demonstrated deterioration in their overall profit earned (</w:t>
      </w:r>
      <w:proofErr w:type="spellStart"/>
      <w:r w:rsidRPr="00425290">
        <w:rPr>
          <w:rFonts w:cs="Times New Roman"/>
          <w:sz w:val="28"/>
          <w:szCs w:val="24"/>
        </w:rPr>
        <w:t>Wsj</w:t>
      </w:r>
      <w:proofErr w:type="spellEnd"/>
      <w:r w:rsidRPr="00425290">
        <w:rPr>
          <w:rFonts w:cs="Times New Roman"/>
          <w:sz w:val="28"/>
          <w:szCs w:val="24"/>
        </w:rPr>
        <w:t>, 2024)</w:t>
      </w:r>
      <w:r w:rsidRPr="00425290">
        <w:rPr>
          <w:sz w:val="28"/>
        </w:rPr>
        <w:t>. As per industry margin, 20% of the ROCE level is a good sign that the Shell company has been residing in a well-off position regarding financial earnings (</w:t>
      </w:r>
      <w:r w:rsidRPr="00425290">
        <w:rPr>
          <w:rFonts w:cs="Times New Roman"/>
          <w:color w:val="222222"/>
          <w:sz w:val="28"/>
          <w:szCs w:val="24"/>
          <w:shd w:val="clear" w:color="auto" w:fill="FFFFFF"/>
        </w:rPr>
        <w:t>Saputra, 2022)</w:t>
      </w:r>
      <w:r w:rsidRPr="00425290">
        <w:rPr>
          <w:sz w:val="28"/>
        </w:rPr>
        <w:t>.</w:t>
      </w:r>
    </w:p>
    <w:p w14:paraId="3E6F483C" w14:textId="77777777" w:rsidR="00D01A94" w:rsidRPr="00425290" w:rsidRDefault="00357ABC" w:rsidP="00D01A94">
      <w:pPr>
        <w:rPr>
          <w:sz w:val="28"/>
        </w:rPr>
      </w:pPr>
      <w:r w:rsidRPr="00425290">
        <w:rPr>
          <w:sz w:val="28"/>
        </w:rPr>
        <w:t>In comparison, the ROCE level of Shell plc company has been lower than 20%, which shows that it will need to focus on enhancing its operating profit or EBIT level. This will help the internationally operating oil company to enjoy appropriate profitability conditions (</w:t>
      </w:r>
      <w:proofErr w:type="spellStart"/>
      <w:r w:rsidRPr="00425290">
        <w:rPr>
          <w:rFonts w:cs="Times New Roman"/>
          <w:sz w:val="28"/>
          <w:szCs w:val="24"/>
        </w:rPr>
        <w:t>Wsj</w:t>
      </w:r>
      <w:proofErr w:type="spellEnd"/>
      <w:r w:rsidRPr="00425290">
        <w:rPr>
          <w:rFonts w:cs="Times New Roman"/>
          <w:sz w:val="28"/>
          <w:szCs w:val="24"/>
        </w:rPr>
        <w:t>, 2024)</w:t>
      </w:r>
      <w:r w:rsidRPr="00425290">
        <w:rPr>
          <w:sz w:val="28"/>
        </w:rPr>
        <w:t xml:space="preserve">.  The profitability ratio of the </w:t>
      </w:r>
      <w:r w:rsidRPr="00425290">
        <w:rPr>
          <w:sz w:val="28"/>
        </w:rPr>
        <w:lastRenderedPageBreak/>
        <w:t>Shell plc company over the past five years shows that the company has experienced a significant amount of loss in the year 2020, after which it has taken measures which have enabled the company to earn positive returns, which has further dropped in the final year of 2023.</w:t>
      </w:r>
    </w:p>
    <w:p w14:paraId="4E32E915" w14:textId="77777777" w:rsidR="00B21AE3" w:rsidRPr="00425290" w:rsidRDefault="00357ABC" w:rsidP="002E3FDE">
      <w:pPr>
        <w:pStyle w:val="Heading2"/>
        <w:rPr>
          <w:sz w:val="28"/>
        </w:rPr>
      </w:pPr>
      <w:bookmarkStart w:id="7" w:name="_Toc171618596"/>
      <w:r w:rsidRPr="00425290">
        <w:rPr>
          <w:sz w:val="28"/>
        </w:rPr>
        <w:t>Efficiency ratio</w:t>
      </w:r>
      <w:bookmarkEnd w:id="7"/>
    </w:p>
    <w:p w14:paraId="1224A8D1" w14:textId="77777777" w:rsidR="00D01A94" w:rsidRPr="00425290" w:rsidRDefault="00357ABC" w:rsidP="00D01A94">
      <w:pPr>
        <w:rPr>
          <w:sz w:val="28"/>
        </w:rPr>
      </w:pPr>
      <w:r w:rsidRPr="00425290">
        <w:rPr>
          <w:sz w:val="28"/>
        </w:rPr>
        <w:t>The efficiency ratio is used while assessing the company's financial performance since it helps in understanding how effectively the company has been using their existing assets (</w:t>
      </w:r>
      <w:proofErr w:type="spellStart"/>
      <w:r w:rsidRPr="00425290">
        <w:rPr>
          <w:rFonts w:cs="Times New Roman"/>
          <w:color w:val="222222"/>
          <w:sz w:val="28"/>
          <w:szCs w:val="24"/>
          <w:shd w:val="clear" w:color="auto" w:fill="FFFFFF"/>
        </w:rPr>
        <w:t>Binsaddig</w:t>
      </w:r>
      <w:proofErr w:type="spellEnd"/>
      <w:r w:rsidRPr="00425290">
        <w:rPr>
          <w:rFonts w:cs="Times New Roman"/>
          <w:color w:val="222222"/>
          <w:sz w:val="28"/>
          <w:szCs w:val="24"/>
          <w:shd w:val="clear" w:color="auto" w:fill="FFFFFF"/>
        </w:rPr>
        <w:t xml:space="preserve"> et al.</w:t>
      </w:r>
      <w:proofErr w:type="gramStart"/>
      <w:r w:rsidRPr="00425290">
        <w:rPr>
          <w:rFonts w:cs="Times New Roman"/>
          <w:color w:val="222222"/>
          <w:sz w:val="28"/>
          <w:szCs w:val="24"/>
          <w:shd w:val="clear" w:color="auto" w:fill="FFFFFF"/>
        </w:rPr>
        <w:t>,  2023</w:t>
      </w:r>
      <w:proofErr w:type="gramEnd"/>
      <w:r w:rsidRPr="00425290">
        <w:rPr>
          <w:rFonts w:cs="Times New Roman"/>
          <w:color w:val="222222"/>
          <w:sz w:val="28"/>
          <w:szCs w:val="24"/>
          <w:shd w:val="clear" w:color="auto" w:fill="FFFFFF"/>
        </w:rPr>
        <w:t>)</w:t>
      </w:r>
      <w:r w:rsidRPr="00425290">
        <w:rPr>
          <w:sz w:val="28"/>
        </w:rPr>
        <w:t xml:space="preserve">. Hence, by utilising the efficiency ratios, the business organisations can assess the company receivable turnover, repaying the liabilities, the utility of the equity and the quantity in which they are being used while also evaluating the machinery usage and the inventory level. For this purpose, the trade receivable and trade payable turnover are being considered in this analysis. </w:t>
      </w:r>
    </w:p>
    <w:p w14:paraId="236D19C4" w14:textId="77777777" w:rsidR="00D01A94" w:rsidRPr="00425290" w:rsidRDefault="00357ABC" w:rsidP="00D01A94">
      <w:pPr>
        <w:rPr>
          <w:sz w:val="28"/>
        </w:rPr>
      </w:pPr>
      <w:r w:rsidRPr="00425290">
        <w:rPr>
          <w:sz w:val="28"/>
        </w:rPr>
        <w:t>The company's financial statement depicts that the trade receivable of Shell plc initially declined from 2019 to 2020, which was caused due to the adverse effect of the pandemic situation, which reduced the customers' disposable income, thereby reducing the ability to pay off their credit debts</w:t>
      </w:r>
      <w:r w:rsidR="007D2307" w:rsidRPr="00425290">
        <w:rPr>
          <w:sz w:val="28"/>
        </w:rPr>
        <w:t xml:space="preserve"> (</w:t>
      </w:r>
      <w:proofErr w:type="spellStart"/>
      <w:r w:rsidR="007D2307" w:rsidRPr="00425290">
        <w:rPr>
          <w:rFonts w:cs="Times New Roman"/>
          <w:color w:val="222222"/>
          <w:sz w:val="28"/>
          <w:szCs w:val="24"/>
          <w:shd w:val="clear" w:color="auto" w:fill="FFFFFF"/>
        </w:rPr>
        <w:t>Eryatna</w:t>
      </w:r>
      <w:proofErr w:type="spellEnd"/>
      <w:r w:rsidR="007D2307" w:rsidRPr="00425290">
        <w:rPr>
          <w:rFonts w:cs="Times New Roman"/>
          <w:color w:val="222222"/>
          <w:sz w:val="28"/>
          <w:szCs w:val="24"/>
          <w:shd w:val="clear" w:color="auto" w:fill="FFFFFF"/>
        </w:rPr>
        <w:t xml:space="preserve">, </w:t>
      </w:r>
      <w:proofErr w:type="spellStart"/>
      <w:r w:rsidR="007D2307" w:rsidRPr="00425290">
        <w:rPr>
          <w:rFonts w:cs="Times New Roman"/>
          <w:color w:val="222222"/>
          <w:sz w:val="28"/>
          <w:szCs w:val="24"/>
          <w:shd w:val="clear" w:color="auto" w:fill="FFFFFF"/>
        </w:rPr>
        <w:t>Eltivia</w:t>
      </w:r>
      <w:proofErr w:type="spellEnd"/>
      <w:r w:rsidR="007D2307" w:rsidRPr="00425290">
        <w:rPr>
          <w:rFonts w:cs="Times New Roman"/>
          <w:color w:val="222222"/>
          <w:sz w:val="28"/>
          <w:szCs w:val="24"/>
          <w:shd w:val="clear" w:color="auto" w:fill="FFFFFF"/>
        </w:rPr>
        <w:t xml:space="preserve"> and </w:t>
      </w:r>
      <w:proofErr w:type="spellStart"/>
      <w:r w:rsidR="007D2307" w:rsidRPr="00425290">
        <w:rPr>
          <w:rFonts w:cs="Times New Roman"/>
          <w:color w:val="222222"/>
          <w:sz w:val="28"/>
          <w:szCs w:val="24"/>
          <w:shd w:val="clear" w:color="auto" w:fill="FFFFFF"/>
        </w:rPr>
        <w:t>Handayawati</w:t>
      </w:r>
      <w:proofErr w:type="spellEnd"/>
      <w:r w:rsidR="007D2307" w:rsidRPr="00425290">
        <w:rPr>
          <w:rFonts w:cs="Times New Roman"/>
          <w:color w:val="222222"/>
          <w:sz w:val="28"/>
          <w:szCs w:val="24"/>
          <w:shd w:val="clear" w:color="auto" w:fill="FFFFFF"/>
        </w:rPr>
        <w:t>, 2021).</w:t>
      </w:r>
      <w:r w:rsidRPr="00425290">
        <w:rPr>
          <w:sz w:val="28"/>
        </w:rPr>
        <w:t xml:space="preserve"> Further, the company has experienced a fall in their collected receivables from 2022 to 2023, showing that it has maintained its stability over the past five years (</w:t>
      </w:r>
      <w:proofErr w:type="spellStart"/>
      <w:r w:rsidRPr="00425290">
        <w:rPr>
          <w:rFonts w:cs="Times New Roman"/>
          <w:sz w:val="28"/>
          <w:szCs w:val="24"/>
        </w:rPr>
        <w:t>Wsj</w:t>
      </w:r>
      <w:proofErr w:type="spellEnd"/>
      <w:r w:rsidRPr="00425290">
        <w:rPr>
          <w:rFonts w:cs="Times New Roman"/>
          <w:sz w:val="28"/>
          <w:szCs w:val="24"/>
        </w:rPr>
        <w:t>, 2024)</w:t>
      </w:r>
      <w:r w:rsidRPr="00425290">
        <w:rPr>
          <w:sz w:val="28"/>
        </w:rPr>
        <w:t xml:space="preserve">. </w:t>
      </w:r>
    </w:p>
    <w:p w14:paraId="2B8244C1" w14:textId="77777777" w:rsidR="007D2307" w:rsidRPr="00425290" w:rsidRDefault="007D2307" w:rsidP="007D2307">
      <w:pPr>
        <w:rPr>
          <w:sz w:val="28"/>
        </w:rPr>
      </w:pPr>
      <w:r w:rsidRPr="00425290">
        <w:rPr>
          <w:sz w:val="28"/>
          <w:highlight w:val="yellow"/>
        </w:rPr>
        <w:t xml:space="preserve">The high margin of the trade receivable turnover shows that the company has been following accurate corporate collection practices, which are in proper alignment with the customers having the ability to pay off their debts smoothly. The trade receivable ratio of Shell plc company has declined from 8.13 to 5.8, which indicates that the oil company has been extending their credits towards the less efficient customers there, by delaying the credit collection process or </w:t>
      </w:r>
      <w:r w:rsidRPr="00425290">
        <w:rPr>
          <w:sz w:val="28"/>
          <w:highlight w:val="yellow"/>
        </w:rPr>
        <w:lastRenderedPageBreak/>
        <w:t>that the company has been lenient in terms of their payment terms which thereby reflects clearly upon its financial health (</w:t>
      </w:r>
      <w:proofErr w:type="spellStart"/>
      <w:r w:rsidRPr="00425290">
        <w:rPr>
          <w:rFonts w:cs="Times New Roman"/>
          <w:sz w:val="28"/>
          <w:szCs w:val="24"/>
          <w:highlight w:val="yellow"/>
        </w:rPr>
        <w:t>Wsj</w:t>
      </w:r>
      <w:proofErr w:type="spellEnd"/>
      <w:r w:rsidRPr="00425290">
        <w:rPr>
          <w:rFonts w:cs="Times New Roman"/>
          <w:sz w:val="28"/>
          <w:szCs w:val="24"/>
          <w:highlight w:val="yellow"/>
        </w:rPr>
        <w:t>, 2024)</w:t>
      </w:r>
      <w:r w:rsidRPr="00425290">
        <w:rPr>
          <w:sz w:val="28"/>
          <w:highlight w:val="yellow"/>
        </w:rPr>
        <w:t>.</w:t>
      </w:r>
    </w:p>
    <w:p w14:paraId="3F945DB4" w14:textId="77777777" w:rsidR="00D01A94" w:rsidRPr="00425290" w:rsidRDefault="00357ABC" w:rsidP="00D01A94">
      <w:pPr>
        <w:jc w:val="center"/>
        <w:rPr>
          <w:sz w:val="28"/>
        </w:rPr>
      </w:pPr>
      <w:r w:rsidRPr="00425290">
        <w:rPr>
          <w:noProof/>
          <w:sz w:val="28"/>
          <w:lang w:val="en-US"/>
        </w:rPr>
        <w:drawing>
          <wp:inline distT="0" distB="0" distL="0" distR="0" wp14:anchorId="14489C4F" wp14:editId="40A140E4">
            <wp:extent cx="4559300" cy="2565400"/>
            <wp:effectExtent l="0" t="0" r="12700" b="6350"/>
            <wp:docPr id="7" name="Chart 7">
              <a:extLst xmlns:a="http://schemas.openxmlformats.org/drawingml/2006/main">
                <a:ext uri="{FF2B5EF4-FFF2-40B4-BE49-F238E27FC236}">
                  <a16:creationId xmlns:a16="http://schemas.microsoft.com/office/drawing/2014/main" id="{EB3F78FA-4E0F-4790-8C4D-8785EAF79E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9DBA812" w14:textId="77777777" w:rsidR="00D01A94" w:rsidRPr="00425290" w:rsidRDefault="00357ABC" w:rsidP="00D01A94">
      <w:pPr>
        <w:jc w:val="center"/>
        <w:rPr>
          <w:b/>
          <w:bCs/>
          <w:sz w:val="28"/>
        </w:rPr>
      </w:pPr>
      <w:r w:rsidRPr="00425290">
        <w:rPr>
          <w:b/>
          <w:bCs/>
          <w:sz w:val="28"/>
        </w:rPr>
        <w:t>Figure 2: Efficiency Ratio</w:t>
      </w:r>
    </w:p>
    <w:p w14:paraId="3ACB80AC" w14:textId="77777777" w:rsidR="00D01A94" w:rsidRPr="00425290" w:rsidRDefault="00357ABC" w:rsidP="00D01A94">
      <w:pPr>
        <w:jc w:val="center"/>
        <w:rPr>
          <w:sz w:val="28"/>
        </w:rPr>
      </w:pPr>
      <w:r w:rsidRPr="00425290">
        <w:rPr>
          <w:sz w:val="28"/>
        </w:rPr>
        <w:t>(Source: Self-developed)</w:t>
      </w:r>
    </w:p>
    <w:p w14:paraId="2C1420ED" w14:textId="77777777" w:rsidR="00D01A94" w:rsidRPr="00425290" w:rsidRDefault="00357ABC" w:rsidP="00D01A94">
      <w:pPr>
        <w:rPr>
          <w:sz w:val="28"/>
        </w:rPr>
      </w:pPr>
      <w:r w:rsidRPr="00425290">
        <w:rPr>
          <w:sz w:val="28"/>
        </w:rPr>
        <w:t>The trade payable ratio of the Shell plc company has shifted from 10.82% to 7.81%, which shows that the valuation of the company's trade payable has increased (</w:t>
      </w:r>
      <w:proofErr w:type="spellStart"/>
      <w:r w:rsidRPr="00425290">
        <w:rPr>
          <w:rFonts w:cs="Times New Roman"/>
          <w:sz w:val="28"/>
          <w:szCs w:val="24"/>
        </w:rPr>
        <w:t>Wsj</w:t>
      </w:r>
      <w:proofErr w:type="spellEnd"/>
      <w:r w:rsidRPr="00425290">
        <w:rPr>
          <w:rFonts w:cs="Times New Roman"/>
          <w:sz w:val="28"/>
          <w:szCs w:val="24"/>
        </w:rPr>
        <w:t>, 2024)</w:t>
      </w:r>
      <w:r w:rsidRPr="00425290">
        <w:rPr>
          <w:sz w:val="28"/>
        </w:rPr>
        <w:t>. Therefore, Shell plc company has been acquiring a significant amount of time in making payments to the creditors compared to the previous year, which provides a substantial reflection of the financial distress that the company has been suffering from. This can be evidenced by the company's trade payables gradually increasing between 2019 and 2023 respectively.</w:t>
      </w:r>
    </w:p>
    <w:p w14:paraId="1B3FE0CB" w14:textId="77777777" w:rsidR="00B21AE3" w:rsidRPr="00425290" w:rsidRDefault="00357ABC" w:rsidP="002E3FDE">
      <w:pPr>
        <w:pStyle w:val="Heading2"/>
        <w:rPr>
          <w:sz w:val="28"/>
        </w:rPr>
      </w:pPr>
      <w:bookmarkStart w:id="8" w:name="_Toc171618597"/>
      <w:r w:rsidRPr="00425290">
        <w:rPr>
          <w:sz w:val="28"/>
        </w:rPr>
        <w:t>Liquidity ratio</w:t>
      </w:r>
      <w:bookmarkEnd w:id="8"/>
    </w:p>
    <w:p w14:paraId="7C9F842A" w14:textId="77777777" w:rsidR="00D01A94" w:rsidRPr="00425290" w:rsidRDefault="00357ABC" w:rsidP="00D01A94">
      <w:pPr>
        <w:rPr>
          <w:sz w:val="28"/>
        </w:rPr>
      </w:pPr>
      <w:r w:rsidRPr="00425290">
        <w:rPr>
          <w:sz w:val="28"/>
        </w:rPr>
        <w:t>The company's lenders refer to the liquidity ratio to determine if the company's positioning in terms of financial aspects is compelling enough to extend loans (</w:t>
      </w:r>
      <w:proofErr w:type="spellStart"/>
      <w:r w:rsidRPr="00425290">
        <w:rPr>
          <w:rFonts w:cs="Times New Roman"/>
          <w:color w:val="222222"/>
          <w:sz w:val="28"/>
          <w:szCs w:val="24"/>
          <w:shd w:val="clear" w:color="auto" w:fill="FFFFFF"/>
        </w:rPr>
        <w:t>Ebimobowei</w:t>
      </w:r>
      <w:proofErr w:type="spellEnd"/>
      <w:r w:rsidRPr="00425290">
        <w:rPr>
          <w:rFonts w:cs="Times New Roman"/>
          <w:color w:val="222222"/>
          <w:sz w:val="28"/>
          <w:szCs w:val="24"/>
          <w:shd w:val="clear" w:color="auto" w:fill="FFFFFF"/>
        </w:rPr>
        <w:t>, Uche and Young-Arney, 2021)</w:t>
      </w:r>
      <w:r w:rsidRPr="00425290">
        <w:rPr>
          <w:sz w:val="28"/>
        </w:rPr>
        <w:t xml:space="preserve">. </w:t>
      </w:r>
      <w:r w:rsidR="003B2F4D">
        <w:rPr>
          <w:sz w:val="28"/>
        </w:rPr>
        <w:t>The current</w:t>
      </w:r>
      <w:r w:rsidRPr="00425290">
        <w:rPr>
          <w:sz w:val="28"/>
        </w:rPr>
        <w:t xml:space="preserve"> ratio is mainly used for obtaining and indicating the relationship shared between the current assets of </w:t>
      </w:r>
      <w:r w:rsidRPr="00425290">
        <w:rPr>
          <w:sz w:val="28"/>
        </w:rPr>
        <w:lastRenderedPageBreak/>
        <w:t>the company and its current liabilities (</w:t>
      </w:r>
      <w:r w:rsidRPr="00425290">
        <w:rPr>
          <w:rFonts w:cs="Times New Roman"/>
          <w:color w:val="222222"/>
          <w:sz w:val="28"/>
          <w:szCs w:val="24"/>
          <w:shd w:val="clear" w:color="auto" w:fill="FFFFFF"/>
        </w:rPr>
        <w:t>Sari et al., 2022)</w:t>
      </w:r>
      <w:r w:rsidRPr="00425290">
        <w:rPr>
          <w:sz w:val="28"/>
        </w:rPr>
        <w:t>. The company's current ratio has increased from 1.164 to 1.404 from 2019 to 2023, which shows that the company has experienced a proportionate change in current assets and liabilities (</w:t>
      </w:r>
      <w:proofErr w:type="spellStart"/>
      <w:r w:rsidRPr="00425290">
        <w:rPr>
          <w:rFonts w:cs="Times New Roman"/>
          <w:sz w:val="28"/>
          <w:szCs w:val="24"/>
        </w:rPr>
        <w:t>Wsj</w:t>
      </w:r>
      <w:proofErr w:type="spellEnd"/>
      <w:r w:rsidRPr="00425290">
        <w:rPr>
          <w:rFonts w:cs="Times New Roman"/>
          <w:sz w:val="28"/>
          <w:szCs w:val="24"/>
        </w:rPr>
        <w:t>, 2024)</w:t>
      </w:r>
      <w:r w:rsidRPr="00425290">
        <w:rPr>
          <w:sz w:val="28"/>
        </w:rPr>
        <w:t>. It has been evident that both the current assets along the liabilities of Shell plc have declined in both the year of 2020 and also in 2023, which has thereby clearly highlighted the fluctuation pattern within the current ratio level.</w:t>
      </w:r>
    </w:p>
    <w:p w14:paraId="0E9E36D9" w14:textId="77777777" w:rsidR="00D01A94" w:rsidRPr="00425290" w:rsidRDefault="00357ABC" w:rsidP="00D01A94">
      <w:pPr>
        <w:jc w:val="center"/>
        <w:rPr>
          <w:sz w:val="28"/>
        </w:rPr>
      </w:pPr>
      <w:r w:rsidRPr="00425290">
        <w:rPr>
          <w:noProof/>
          <w:sz w:val="28"/>
          <w:lang w:val="en-US"/>
        </w:rPr>
        <w:drawing>
          <wp:inline distT="0" distB="0" distL="0" distR="0" wp14:anchorId="05433B88" wp14:editId="7F4F7591">
            <wp:extent cx="4562475" cy="2578100"/>
            <wp:effectExtent l="0" t="0" r="9525" b="12700"/>
            <wp:docPr id="8" name="Chart 8">
              <a:extLst xmlns:a="http://schemas.openxmlformats.org/drawingml/2006/main">
                <a:ext uri="{FF2B5EF4-FFF2-40B4-BE49-F238E27FC236}">
                  <a16:creationId xmlns:a16="http://schemas.microsoft.com/office/drawing/2014/main" id="{1A7087B9-264F-4041-BDF6-51197FE228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6AAD269" w14:textId="77777777" w:rsidR="00D01A94" w:rsidRPr="00425290" w:rsidRDefault="00357ABC" w:rsidP="00D01A94">
      <w:pPr>
        <w:jc w:val="center"/>
        <w:rPr>
          <w:b/>
          <w:bCs/>
          <w:sz w:val="28"/>
        </w:rPr>
      </w:pPr>
      <w:r w:rsidRPr="00425290">
        <w:rPr>
          <w:b/>
          <w:bCs/>
          <w:sz w:val="28"/>
        </w:rPr>
        <w:t>Figure 3: Liquidity Ratio</w:t>
      </w:r>
    </w:p>
    <w:p w14:paraId="4256ED19" w14:textId="77777777" w:rsidR="00D01A94" w:rsidRPr="00425290" w:rsidRDefault="00357ABC" w:rsidP="00D01A94">
      <w:pPr>
        <w:jc w:val="center"/>
        <w:rPr>
          <w:sz w:val="28"/>
        </w:rPr>
      </w:pPr>
      <w:r w:rsidRPr="00425290">
        <w:rPr>
          <w:sz w:val="28"/>
        </w:rPr>
        <w:t>(Source: Self-developed)</w:t>
      </w:r>
    </w:p>
    <w:p w14:paraId="1BD2A197" w14:textId="77777777" w:rsidR="00D01A94" w:rsidRPr="00425290" w:rsidRDefault="00357ABC" w:rsidP="00D01A94">
      <w:pPr>
        <w:rPr>
          <w:sz w:val="28"/>
        </w:rPr>
      </w:pPr>
      <w:r w:rsidRPr="00425290">
        <w:rPr>
          <w:sz w:val="28"/>
        </w:rPr>
        <w:t>The quick ratio is also a significant metric for perceiving how effectively the company has converted their liquid assets into cash for its short short-term obligations (</w:t>
      </w:r>
      <w:r w:rsidRPr="00425290">
        <w:rPr>
          <w:rFonts w:cs="Times New Roman"/>
          <w:color w:val="222222"/>
          <w:sz w:val="28"/>
          <w:szCs w:val="24"/>
          <w:shd w:val="clear" w:color="auto" w:fill="FFFFFF"/>
        </w:rPr>
        <w:t>Hasanuddin et al., 2021)</w:t>
      </w:r>
      <w:r w:rsidRPr="00425290">
        <w:rPr>
          <w:sz w:val="28"/>
        </w:rPr>
        <w:t>. The quick ratio of the Shell plc company has raised to 1.132 in 2023 while it was at 10.82 in 2019. This showed that the company can meet financial emergencies without being highly dependent upon its quick assets (</w:t>
      </w:r>
      <w:proofErr w:type="spellStart"/>
      <w:r w:rsidRPr="00425290">
        <w:rPr>
          <w:rFonts w:cs="Times New Roman"/>
          <w:sz w:val="28"/>
          <w:szCs w:val="24"/>
        </w:rPr>
        <w:t>Wsj</w:t>
      </w:r>
      <w:proofErr w:type="spellEnd"/>
      <w:r w:rsidRPr="00425290">
        <w:rPr>
          <w:rFonts w:cs="Times New Roman"/>
          <w:sz w:val="28"/>
          <w:szCs w:val="24"/>
        </w:rPr>
        <w:t>, 2024)</w:t>
      </w:r>
      <w:r w:rsidRPr="00425290">
        <w:rPr>
          <w:sz w:val="28"/>
        </w:rPr>
        <w:t>. Therefore, the sale of the stocked products does not adversely impact the economic condition of the international oil company.</w:t>
      </w:r>
    </w:p>
    <w:p w14:paraId="7A8DD899" w14:textId="77777777" w:rsidR="00B21AE3" w:rsidRPr="00425290" w:rsidRDefault="00357ABC" w:rsidP="002E3FDE">
      <w:pPr>
        <w:pStyle w:val="Heading2"/>
        <w:rPr>
          <w:sz w:val="28"/>
        </w:rPr>
      </w:pPr>
      <w:bookmarkStart w:id="9" w:name="_Toc171618598"/>
      <w:r w:rsidRPr="00425290">
        <w:rPr>
          <w:sz w:val="28"/>
        </w:rPr>
        <w:lastRenderedPageBreak/>
        <w:t>Gearing ratio</w:t>
      </w:r>
      <w:bookmarkEnd w:id="9"/>
    </w:p>
    <w:p w14:paraId="2EBB4F02" w14:textId="77777777" w:rsidR="00B21AE3" w:rsidRPr="00425290" w:rsidRDefault="00357ABC" w:rsidP="002E3FDE">
      <w:pPr>
        <w:rPr>
          <w:sz w:val="28"/>
          <w:shd w:val="clear" w:color="auto" w:fill="C9DAF8"/>
        </w:rPr>
      </w:pPr>
      <w:r w:rsidRPr="00425290">
        <w:rPr>
          <w:sz w:val="28"/>
        </w:rPr>
        <w:t>The gearing ratio is a financial indicator of comparative equity. Elaborating the ratio can involve higher and lower gearing ratios. Funding proportion and capital structure can also involve relative equity (</w:t>
      </w:r>
      <w:r w:rsidRPr="00425290">
        <w:rPr>
          <w:rFonts w:eastAsia="Times New Roman"/>
          <w:color w:val="222222"/>
          <w:sz w:val="28"/>
          <w:highlight w:val="white"/>
        </w:rPr>
        <w:t>Ningsih and Huda, 2024)</w:t>
      </w:r>
      <w:r w:rsidRPr="00425290">
        <w:rPr>
          <w:sz w:val="28"/>
        </w:rPr>
        <w:t xml:space="preserve">. A higher gearing can be associated with higher financial risks, such as economic issues, loss, and employee turnover. On the other hand, a lower gearing ratio can be involved with the </w:t>
      </w:r>
      <w:proofErr w:type="spellStart"/>
      <w:r w:rsidRPr="00425290">
        <w:rPr>
          <w:sz w:val="28"/>
        </w:rPr>
        <w:t>capita</w:t>
      </w:r>
      <w:proofErr w:type="spellEnd"/>
      <w:r w:rsidRPr="00425290">
        <w:rPr>
          <w:sz w:val="28"/>
        </w:rPr>
        <w:t xml:space="preserve"> ratio (</w:t>
      </w:r>
      <w:r w:rsidRPr="00425290">
        <w:rPr>
          <w:rFonts w:eastAsia="Times New Roman"/>
          <w:color w:val="222222"/>
          <w:sz w:val="28"/>
          <w:highlight w:val="white"/>
        </w:rPr>
        <w:t xml:space="preserve">Nabavi </w:t>
      </w:r>
      <w:r w:rsidRPr="00425290">
        <w:rPr>
          <w:rFonts w:eastAsia="Times New Roman"/>
          <w:i/>
          <w:color w:val="222222"/>
          <w:sz w:val="28"/>
          <w:highlight w:val="white"/>
        </w:rPr>
        <w:t xml:space="preserve">et al., </w:t>
      </w:r>
      <w:r w:rsidRPr="00425290">
        <w:rPr>
          <w:rFonts w:eastAsia="Times New Roman"/>
          <w:color w:val="222222"/>
          <w:sz w:val="28"/>
          <w:highlight w:val="white"/>
        </w:rPr>
        <w:t>2024)</w:t>
      </w:r>
      <w:r w:rsidRPr="00425290">
        <w:rPr>
          <w:sz w:val="28"/>
        </w:rPr>
        <w:t>. A lower gearing ratio is essential for any organisation. Lower gearing is mandatory in that case as it effectively maintains direct financial advancement and other approaches. A lower gearing ratio can be involved with the positive impact of Shell PLC (</w:t>
      </w:r>
      <w:r w:rsidRPr="00425290">
        <w:rPr>
          <w:rFonts w:eastAsia="Times New Roman"/>
          <w:color w:val="222222"/>
          <w:sz w:val="28"/>
          <w:highlight w:val="white"/>
        </w:rPr>
        <w:t xml:space="preserve">Granja </w:t>
      </w:r>
      <w:r w:rsidRPr="00425290">
        <w:rPr>
          <w:rFonts w:eastAsia="Times New Roman"/>
          <w:i/>
          <w:color w:val="222222"/>
          <w:sz w:val="28"/>
          <w:highlight w:val="white"/>
        </w:rPr>
        <w:t xml:space="preserve">et al., </w:t>
      </w:r>
      <w:r w:rsidRPr="00425290">
        <w:rPr>
          <w:rFonts w:eastAsia="Times New Roman"/>
          <w:color w:val="222222"/>
          <w:sz w:val="28"/>
          <w:highlight w:val="white"/>
        </w:rPr>
        <w:t>2024)</w:t>
      </w:r>
      <w:r w:rsidRPr="00425290">
        <w:rPr>
          <w:sz w:val="28"/>
        </w:rPr>
        <w:t xml:space="preserve">.     </w:t>
      </w:r>
    </w:p>
    <w:p w14:paraId="62D2C914" w14:textId="77777777" w:rsidR="00B21AE3" w:rsidRPr="00425290" w:rsidRDefault="00B21AE3" w:rsidP="002E3FDE">
      <w:pPr>
        <w:pStyle w:val="Normal1"/>
        <w:jc w:val="both"/>
        <w:rPr>
          <w:rFonts w:ascii="Times New Roman" w:eastAsia="Times New Roman" w:hAnsi="Times New Roman" w:cs="Times New Roman"/>
          <w:sz w:val="28"/>
          <w:szCs w:val="24"/>
        </w:rPr>
      </w:pPr>
    </w:p>
    <w:p w14:paraId="4B78FDCD" w14:textId="77777777" w:rsidR="00B21AE3" w:rsidRPr="00425290" w:rsidRDefault="00357ABC" w:rsidP="002E3FDE">
      <w:pPr>
        <w:pStyle w:val="Normal1"/>
        <w:jc w:val="center"/>
        <w:rPr>
          <w:rFonts w:ascii="Times New Roman" w:hAnsi="Times New Roman" w:cs="Times New Roman"/>
          <w:sz w:val="28"/>
          <w:szCs w:val="24"/>
          <w:shd w:val="clear" w:color="auto" w:fill="C9DAF8"/>
        </w:rPr>
      </w:pPr>
      <w:r w:rsidRPr="00425290">
        <w:rPr>
          <w:rFonts w:ascii="Times New Roman" w:hAnsi="Times New Roman" w:cs="Times New Roman"/>
          <w:noProof/>
          <w:sz w:val="28"/>
          <w:szCs w:val="24"/>
          <w:shd w:val="clear" w:color="auto" w:fill="C9DAF8"/>
          <w:lang w:val="en-US"/>
        </w:rPr>
        <w:drawing>
          <wp:inline distT="114300" distB="114300" distL="114300" distR="114300" wp14:anchorId="265E3F7A" wp14:editId="08B5F248">
            <wp:extent cx="3514390" cy="2062163"/>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2"/>
                    <a:stretch>
                      <a:fillRect/>
                    </a:stretch>
                  </pic:blipFill>
                  <pic:spPr>
                    <a:xfrm>
                      <a:off x="0" y="0"/>
                      <a:ext cx="3514390" cy="2062163"/>
                    </a:xfrm>
                    <a:prstGeom prst="rect">
                      <a:avLst/>
                    </a:prstGeom>
                  </pic:spPr>
                </pic:pic>
              </a:graphicData>
            </a:graphic>
          </wp:inline>
        </w:drawing>
      </w:r>
    </w:p>
    <w:p w14:paraId="7BAD6CC6" w14:textId="77777777" w:rsidR="00B21AE3" w:rsidRPr="00425290" w:rsidRDefault="00357ABC" w:rsidP="002E3FDE">
      <w:pPr>
        <w:pStyle w:val="Normal1"/>
        <w:jc w:val="center"/>
        <w:rPr>
          <w:rFonts w:ascii="Times New Roman" w:hAnsi="Times New Roman" w:cs="Times New Roman"/>
          <w:b/>
          <w:sz w:val="28"/>
          <w:szCs w:val="24"/>
        </w:rPr>
      </w:pPr>
      <w:r w:rsidRPr="00425290">
        <w:rPr>
          <w:rFonts w:ascii="Times New Roman" w:hAnsi="Times New Roman" w:cs="Times New Roman"/>
          <w:b/>
          <w:sz w:val="28"/>
          <w:szCs w:val="24"/>
        </w:rPr>
        <w:t>Figure</w:t>
      </w:r>
      <w:r w:rsidR="00F07D6A" w:rsidRPr="00425290">
        <w:rPr>
          <w:rFonts w:ascii="Times New Roman" w:hAnsi="Times New Roman" w:cs="Times New Roman"/>
          <w:b/>
          <w:sz w:val="28"/>
          <w:szCs w:val="24"/>
        </w:rPr>
        <w:t xml:space="preserve"> 4</w:t>
      </w:r>
      <w:r w:rsidRPr="00425290">
        <w:rPr>
          <w:rFonts w:ascii="Times New Roman" w:hAnsi="Times New Roman" w:cs="Times New Roman"/>
          <w:b/>
          <w:sz w:val="28"/>
          <w:szCs w:val="24"/>
        </w:rPr>
        <w:t>: Gearing ratio</w:t>
      </w:r>
    </w:p>
    <w:p w14:paraId="4732D6D3" w14:textId="77777777" w:rsidR="00B21AE3" w:rsidRPr="00425290" w:rsidRDefault="00357ABC" w:rsidP="002E3FDE">
      <w:pPr>
        <w:pStyle w:val="Normal1"/>
        <w:jc w:val="center"/>
        <w:rPr>
          <w:rFonts w:ascii="Times New Roman" w:hAnsi="Times New Roman" w:cs="Times New Roman"/>
          <w:sz w:val="28"/>
          <w:szCs w:val="24"/>
        </w:rPr>
      </w:pPr>
      <w:r w:rsidRPr="00425290">
        <w:rPr>
          <w:rFonts w:ascii="Times New Roman" w:hAnsi="Times New Roman" w:cs="Times New Roman"/>
          <w:sz w:val="28"/>
          <w:szCs w:val="24"/>
        </w:rPr>
        <w:t>(Source: Self-created)</w:t>
      </w:r>
    </w:p>
    <w:p w14:paraId="04682FE7" w14:textId="77777777" w:rsidR="00B21AE3" w:rsidRPr="00425290" w:rsidRDefault="00357ABC" w:rsidP="002E3FDE">
      <w:pPr>
        <w:rPr>
          <w:sz w:val="28"/>
        </w:rPr>
      </w:pPr>
      <w:r w:rsidRPr="00425290">
        <w:rPr>
          <w:sz w:val="28"/>
        </w:rPr>
        <w:t xml:space="preserve">As per the calculation, a year's gearing ratio of Shell PLC can be developed. The total liability in 2019 was 0.5, and the debt-to-equity ratio was 1.39. In addition, in 2020, total liability was 0.56, and debt was 1.30. Last year Shell PLC’s total liability of 2023 was 0.536, and equity debt was 1.156. The gearing ratio can give information about the investment capacity that Shell PLC can include through equity and more significant investments. Higher returns are also involved with debt and issue funding. It is expected that various issues can be </w:t>
      </w:r>
      <w:r w:rsidRPr="00425290">
        <w:rPr>
          <w:sz w:val="28"/>
        </w:rPr>
        <w:lastRenderedPageBreak/>
        <w:t>involved in a diverse organisation, and ownership retention can be engaged with the new shares.</w:t>
      </w:r>
    </w:p>
    <w:p w14:paraId="2C025CD4" w14:textId="77777777" w:rsidR="00B21AE3" w:rsidRPr="00425290" w:rsidRDefault="00357ABC" w:rsidP="002E3FDE">
      <w:pPr>
        <w:rPr>
          <w:sz w:val="28"/>
          <w:shd w:val="clear" w:color="auto" w:fill="C9DAF8"/>
        </w:rPr>
      </w:pPr>
      <w:r w:rsidRPr="00425290">
        <w:rPr>
          <w:sz w:val="28"/>
        </w:rPr>
        <w:t>A higher gearing ratio is harmful for Shell PLC. A higher gearing ratio was present in 2020 and a lower one in 2023. Tax benefits, ownership retention, and leveraging benefits can also be involved. Taxable income and other deductions can be engaged with potential growth and payment (</w:t>
      </w:r>
      <w:r w:rsidRPr="00425290">
        <w:rPr>
          <w:rFonts w:eastAsia="Times New Roman"/>
          <w:color w:val="222222"/>
          <w:sz w:val="28"/>
          <w:highlight w:val="white"/>
        </w:rPr>
        <w:t>Mascarenhas, 2024)</w:t>
      </w:r>
      <w:r w:rsidRPr="00425290">
        <w:rPr>
          <w:sz w:val="28"/>
        </w:rPr>
        <w:t xml:space="preserve">. Initial and internal management of Shell PLC can develop the activities to build tax </w:t>
      </w:r>
      <w:proofErr w:type="spellStart"/>
      <w:r w:rsidRPr="00425290">
        <w:rPr>
          <w:sz w:val="28"/>
        </w:rPr>
        <w:t>deductiveness</w:t>
      </w:r>
      <w:proofErr w:type="spellEnd"/>
      <w:r w:rsidRPr="00425290">
        <w:rPr>
          <w:sz w:val="28"/>
        </w:rPr>
        <w:t xml:space="preserve"> and income facilities. It can be engaged with income statements, tax and other expenses.</w:t>
      </w:r>
    </w:p>
    <w:p w14:paraId="71AFF56C" w14:textId="77777777" w:rsidR="00B21AE3" w:rsidRPr="00425290" w:rsidRDefault="00357ABC" w:rsidP="002E3FDE">
      <w:pPr>
        <w:pStyle w:val="Heading2"/>
        <w:rPr>
          <w:sz w:val="28"/>
        </w:rPr>
      </w:pPr>
      <w:bookmarkStart w:id="10" w:name="_Toc171618599"/>
      <w:r w:rsidRPr="00425290">
        <w:rPr>
          <w:sz w:val="28"/>
        </w:rPr>
        <w:t>Comparison with the major competitors</w:t>
      </w:r>
      <w:bookmarkEnd w:id="10"/>
    </w:p>
    <w:p w14:paraId="06672A39" w14:textId="77777777" w:rsidR="00D01A94" w:rsidRPr="00425290" w:rsidRDefault="00357ABC" w:rsidP="00D01A94">
      <w:pPr>
        <w:jc w:val="center"/>
        <w:rPr>
          <w:sz w:val="28"/>
        </w:rPr>
      </w:pPr>
      <w:r w:rsidRPr="00425290">
        <w:rPr>
          <w:noProof/>
          <w:sz w:val="28"/>
          <w:lang w:val="en-US"/>
        </w:rPr>
        <w:drawing>
          <wp:inline distT="0" distB="0" distL="0" distR="0" wp14:anchorId="471C6828" wp14:editId="27D4A29F">
            <wp:extent cx="4605866" cy="2578100"/>
            <wp:effectExtent l="0" t="0" r="4445" b="12700"/>
            <wp:docPr id="9" name="Chart 9">
              <a:extLst xmlns:a="http://schemas.openxmlformats.org/drawingml/2006/main">
                <a:ext uri="{FF2B5EF4-FFF2-40B4-BE49-F238E27FC236}">
                  <a16:creationId xmlns:a16="http://schemas.microsoft.com/office/drawing/2014/main" id="{5DD34E99-3E20-433F-B2AA-1D8C4D4A0B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ECB7518" w14:textId="77777777" w:rsidR="00D01A94" w:rsidRPr="00425290" w:rsidRDefault="00357ABC" w:rsidP="00D01A94">
      <w:pPr>
        <w:jc w:val="center"/>
        <w:rPr>
          <w:b/>
          <w:bCs/>
          <w:sz w:val="28"/>
        </w:rPr>
      </w:pPr>
      <w:r w:rsidRPr="00425290">
        <w:rPr>
          <w:b/>
          <w:bCs/>
          <w:sz w:val="28"/>
        </w:rPr>
        <w:t xml:space="preserve">Figure </w:t>
      </w:r>
      <w:r w:rsidR="00F07D6A" w:rsidRPr="00425290">
        <w:rPr>
          <w:b/>
          <w:bCs/>
          <w:sz w:val="28"/>
        </w:rPr>
        <w:t>5</w:t>
      </w:r>
      <w:r w:rsidRPr="00425290">
        <w:rPr>
          <w:b/>
          <w:bCs/>
          <w:sz w:val="28"/>
        </w:rPr>
        <w:t>: Gross Margin of Competitors</w:t>
      </w:r>
    </w:p>
    <w:p w14:paraId="1E57EFE3" w14:textId="77777777" w:rsidR="00D01A94" w:rsidRPr="00425290" w:rsidRDefault="00357ABC" w:rsidP="00D01A94">
      <w:pPr>
        <w:jc w:val="center"/>
        <w:rPr>
          <w:sz w:val="28"/>
        </w:rPr>
      </w:pPr>
      <w:r w:rsidRPr="00425290">
        <w:rPr>
          <w:sz w:val="28"/>
        </w:rPr>
        <w:t>(Source: Self-developed)</w:t>
      </w:r>
    </w:p>
    <w:p w14:paraId="2E9AACF6" w14:textId="77777777" w:rsidR="00D01A94" w:rsidRPr="00425290" w:rsidRDefault="00357ABC" w:rsidP="00D01A94">
      <w:pPr>
        <w:rPr>
          <w:sz w:val="28"/>
        </w:rPr>
      </w:pPr>
      <w:r w:rsidRPr="00425290">
        <w:rPr>
          <w:sz w:val="28"/>
        </w:rPr>
        <w:t xml:space="preserve">While comparing the profitability ratios to understand their profit-extracting capacity, it is evident that Shell company has been facing significant competition from Exxon Mobil to obtain positive returns over their employed capital for production. The gross margin ratio of Exxon Mobil has increased from 21.49% to 24.67, which shows that the company has maintained its </w:t>
      </w:r>
      <w:r w:rsidRPr="00425290">
        <w:rPr>
          <w:sz w:val="28"/>
        </w:rPr>
        <w:lastRenderedPageBreak/>
        <w:t>stability. In contrast, the gross margin of the Total Energy company was lower initially than the Shell company. Still, it has increased by a higher margin by the end of 2023. The gross margin of the Total Energy company has risen from 8.67% to 14.27%, while that of the Shell company has increased from 9.56% to 12.56% (</w:t>
      </w:r>
      <w:proofErr w:type="spellStart"/>
      <w:r w:rsidRPr="00425290">
        <w:rPr>
          <w:rFonts w:cs="Times New Roman"/>
          <w:sz w:val="28"/>
          <w:szCs w:val="24"/>
        </w:rPr>
        <w:t>Wsj</w:t>
      </w:r>
      <w:proofErr w:type="spellEnd"/>
      <w:r w:rsidRPr="00425290">
        <w:rPr>
          <w:rFonts w:cs="Times New Roman"/>
          <w:sz w:val="28"/>
          <w:szCs w:val="24"/>
        </w:rPr>
        <w:t>, 2024)</w:t>
      </w:r>
      <w:r w:rsidRPr="00425290">
        <w:rPr>
          <w:sz w:val="28"/>
        </w:rPr>
        <w:t xml:space="preserve">. This shows that the other competitor companies have been performing better than the Shell company if considered for their profit earning aspect. A similar trend has been observed for the ROCE level of the company where both the competitors, Exxon Mobil and Total Energy, have experienced a significant increase in their return on capital employed compared to that of the Shell plc company. This shows that the company will need to introduce stringent strategies to maintain its leadership position within the market. </w:t>
      </w:r>
    </w:p>
    <w:p w14:paraId="7EEA1681" w14:textId="77777777" w:rsidR="00D01A94" w:rsidRPr="00425290" w:rsidRDefault="00357ABC" w:rsidP="00D01A94">
      <w:pPr>
        <w:jc w:val="center"/>
        <w:rPr>
          <w:sz w:val="28"/>
        </w:rPr>
      </w:pPr>
      <w:r w:rsidRPr="00425290">
        <w:rPr>
          <w:noProof/>
          <w:sz w:val="28"/>
          <w:lang w:val="en-US"/>
        </w:rPr>
        <w:drawing>
          <wp:inline distT="0" distB="0" distL="0" distR="0" wp14:anchorId="236F6A4E" wp14:editId="044E0330">
            <wp:extent cx="4601633" cy="2603500"/>
            <wp:effectExtent l="0" t="0" r="8890" b="6350"/>
            <wp:docPr id="10" name="Chart 10">
              <a:extLst xmlns:a="http://schemas.openxmlformats.org/drawingml/2006/main">
                <a:ext uri="{FF2B5EF4-FFF2-40B4-BE49-F238E27FC236}">
                  <a16:creationId xmlns:a16="http://schemas.microsoft.com/office/drawing/2014/main" id="{69CBA8FC-9946-48EC-9AC5-3DC5970DEF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56E5B74" w14:textId="77777777" w:rsidR="00D01A94" w:rsidRPr="00425290" w:rsidRDefault="00357ABC" w:rsidP="00D01A94">
      <w:pPr>
        <w:jc w:val="center"/>
        <w:rPr>
          <w:b/>
          <w:bCs/>
          <w:sz w:val="28"/>
        </w:rPr>
      </w:pPr>
      <w:r w:rsidRPr="00425290">
        <w:rPr>
          <w:b/>
          <w:bCs/>
          <w:sz w:val="28"/>
        </w:rPr>
        <w:t xml:space="preserve">Figure </w:t>
      </w:r>
      <w:r w:rsidR="00F07D6A" w:rsidRPr="00425290">
        <w:rPr>
          <w:b/>
          <w:bCs/>
          <w:sz w:val="28"/>
        </w:rPr>
        <w:t>6</w:t>
      </w:r>
      <w:r w:rsidRPr="00425290">
        <w:rPr>
          <w:b/>
          <w:bCs/>
          <w:sz w:val="28"/>
        </w:rPr>
        <w:t>: Current ratio of competitors</w:t>
      </w:r>
    </w:p>
    <w:p w14:paraId="25B77671" w14:textId="77777777" w:rsidR="00D01A94" w:rsidRPr="00425290" w:rsidRDefault="00357ABC" w:rsidP="00D01A94">
      <w:pPr>
        <w:jc w:val="center"/>
        <w:rPr>
          <w:sz w:val="28"/>
        </w:rPr>
      </w:pPr>
      <w:r w:rsidRPr="00425290">
        <w:rPr>
          <w:sz w:val="28"/>
        </w:rPr>
        <w:t>(Source: Self-developed)</w:t>
      </w:r>
    </w:p>
    <w:p w14:paraId="0A4785ED" w14:textId="77777777" w:rsidR="00D01A94" w:rsidRPr="00425290" w:rsidRDefault="00357ABC" w:rsidP="00D01A94">
      <w:pPr>
        <w:rPr>
          <w:sz w:val="28"/>
        </w:rPr>
      </w:pPr>
      <w:r w:rsidRPr="00425290">
        <w:rPr>
          <w:sz w:val="28"/>
        </w:rPr>
        <w:t xml:space="preserve">While comparing the liquidity aspect of all three companies, the above graph depicts that the current ratio of the latest year of 2023 is higher for Exxon Mobil company, which has shown a significant rise from that of 2019, where it has increased from 0.78 to 1.47 while on the other hand, the current ratio of the Shell plc company has been at 1.40 in 2023 which was initially at 1.16 and </w:t>
      </w:r>
      <w:r w:rsidRPr="00425290">
        <w:rPr>
          <w:sz w:val="28"/>
        </w:rPr>
        <w:lastRenderedPageBreak/>
        <w:t>thereby shows the gradual growth of the company's liquidity condition. In comparison, the liquidity condition of the Total Energy Company has deteriorated from 1.21 to 1.12, the lowest among the three companies. This indicates that the ability of the Shell company to address their LT debt obligations has been higher than that of the Total Energy company while lagging behind the Exxon Mobil company (</w:t>
      </w:r>
      <w:proofErr w:type="spellStart"/>
      <w:r w:rsidRPr="00425290">
        <w:rPr>
          <w:rFonts w:cs="Times New Roman"/>
          <w:sz w:val="28"/>
          <w:szCs w:val="24"/>
        </w:rPr>
        <w:t>Wsj</w:t>
      </w:r>
      <w:proofErr w:type="spellEnd"/>
      <w:r w:rsidRPr="00425290">
        <w:rPr>
          <w:rFonts w:cs="Times New Roman"/>
          <w:sz w:val="28"/>
          <w:szCs w:val="24"/>
        </w:rPr>
        <w:t>, 2024)</w:t>
      </w:r>
      <w:r w:rsidRPr="00425290">
        <w:rPr>
          <w:sz w:val="28"/>
        </w:rPr>
        <w:t xml:space="preserve">. On the contrary, it has been observed that the quick ratio of Shell company has been the highest among the three companies, which shows that in regards to the other two competitor companies, Shell company has the most efficient ability to utilise their quick assets to meet debt obligations. </w:t>
      </w:r>
    </w:p>
    <w:p w14:paraId="74E98367" w14:textId="77777777" w:rsidR="00D01A94" w:rsidRPr="00425290" w:rsidRDefault="00357ABC" w:rsidP="00D01A94">
      <w:pPr>
        <w:jc w:val="center"/>
        <w:rPr>
          <w:sz w:val="28"/>
        </w:rPr>
      </w:pPr>
      <w:r w:rsidRPr="00425290">
        <w:rPr>
          <w:noProof/>
          <w:sz w:val="28"/>
          <w:lang w:val="en-US"/>
        </w:rPr>
        <w:drawing>
          <wp:inline distT="0" distB="0" distL="0" distR="0" wp14:anchorId="3FDCFB8A" wp14:editId="1BAAB254">
            <wp:extent cx="4588933" cy="2743200"/>
            <wp:effectExtent l="0" t="0" r="2540" b="0"/>
            <wp:docPr id="11" name="Chart 11">
              <a:extLst xmlns:a="http://schemas.openxmlformats.org/drawingml/2006/main">
                <a:ext uri="{FF2B5EF4-FFF2-40B4-BE49-F238E27FC236}">
                  <a16:creationId xmlns:a16="http://schemas.microsoft.com/office/drawing/2014/main" id="{B5CAC365-37D4-4A9E-8297-C113C08049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D62EA00" w14:textId="77777777" w:rsidR="00D01A94" w:rsidRPr="00425290" w:rsidRDefault="00357ABC" w:rsidP="00D01A94">
      <w:pPr>
        <w:jc w:val="center"/>
        <w:rPr>
          <w:b/>
          <w:bCs/>
          <w:sz w:val="28"/>
        </w:rPr>
      </w:pPr>
      <w:r w:rsidRPr="00425290">
        <w:rPr>
          <w:b/>
          <w:bCs/>
          <w:sz w:val="28"/>
        </w:rPr>
        <w:t xml:space="preserve">Figure </w:t>
      </w:r>
      <w:r w:rsidR="00F07D6A" w:rsidRPr="00425290">
        <w:rPr>
          <w:b/>
          <w:bCs/>
          <w:sz w:val="28"/>
        </w:rPr>
        <w:t>7</w:t>
      </w:r>
      <w:r w:rsidRPr="00425290">
        <w:rPr>
          <w:b/>
          <w:bCs/>
          <w:sz w:val="28"/>
        </w:rPr>
        <w:t>: Debt-to-equity of competitors</w:t>
      </w:r>
    </w:p>
    <w:p w14:paraId="16B7C4EA" w14:textId="77777777" w:rsidR="00D01A94" w:rsidRPr="00425290" w:rsidRDefault="00357ABC" w:rsidP="00D01A94">
      <w:pPr>
        <w:jc w:val="center"/>
        <w:rPr>
          <w:sz w:val="28"/>
        </w:rPr>
      </w:pPr>
      <w:r w:rsidRPr="00425290">
        <w:rPr>
          <w:sz w:val="28"/>
        </w:rPr>
        <w:t>(Source: Self-developed)</w:t>
      </w:r>
    </w:p>
    <w:p w14:paraId="230A005A" w14:textId="77777777" w:rsidR="00D01A94" w:rsidRPr="00425290" w:rsidRDefault="00357ABC" w:rsidP="00D01A94">
      <w:pPr>
        <w:rPr>
          <w:sz w:val="28"/>
        </w:rPr>
      </w:pPr>
      <w:r w:rsidRPr="00425290">
        <w:rPr>
          <w:sz w:val="28"/>
        </w:rPr>
        <w:t xml:space="preserve">The Debt-to-Equity ratio has been the highest for the Total Energy company which has increased from 1.29 in 2019 to 1.65 in 2022 while it further reduced to 1.37 in 2023. The debt-to-equity ratio of the Shell plc company has shifted from 1.12 to 1.15, which shows that Total Energy experienced a significant increase in its leverage from 2019 to 2022, which saw a slight decrease in 2023 </w:t>
      </w:r>
      <w:r w:rsidRPr="00425290">
        <w:rPr>
          <w:sz w:val="28"/>
        </w:rPr>
        <w:lastRenderedPageBreak/>
        <w:t>(</w:t>
      </w:r>
      <w:proofErr w:type="spellStart"/>
      <w:r w:rsidRPr="00425290">
        <w:rPr>
          <w:rFonts w:cs="Times New Roman"/>
          <w:sz w:val="28"/>
          <w:szCs w:val="24"/>
        </w:rPr>
        <w:t>Wsj</w:t>
      </w:r>
      <w:proofErr w:type="spellEnd"/>
      <w:r w:rsidRPr="00425290">
        <w:rPr>
          <w:rFonts w:cs="Times New Roman"/>
          <w:sz w:val="28"/>
          <w:szCs w:val="24"/>
        </w:rPr>
        <w:t>, 2024</w:t>
      </w:r>
      <w:proofErr w:type="gramStart"/>
      <w:r w:rsidRPr="00425290">
        <w:rPr>
          <w:rFonts w:cs="Times New Roman"/>
          <w:sz w:val="28"/>
          <w:szCs w:val="24"/>
        </w:rPr>
        <w:t>)</w:t>
      </w:r>
      <w:r w:rsidRPr="00425290">
        <w:rPr>
          <w:sz w:val="28"/>
        </w:rPr>
        <w:t>.This</w:t>
      </w:r>
      <w:proofErr w:type="gramEnd"/>
      <w:r w:rsidRPr="00425290">
        <w:rPr>
          <w:sz w:val="28"/>
        </w:rPr>
        <w:t xml:space="preserve"> trend suggests that while the company had been increasing its reliance on debt relative to equity over the years, it started to reduce its debt level relative to equity in the most recent year. The </w:t>
      </w:r>
      <w:proofErr w:type="gramStart"/>
      <w:r w:rsidRPr="00425290">
        <w:rPr>
          <w:sz w:val="28"/>
        </w:rPr>
        <w:t>debt to equity</w:t>
      </w:r>
      <w:proofErr w:type="gramEnd"/>
      <w:r w:rsidRPr="00425290">
        <w:rPr>
          <w:sz w:val="28"/>
        </w:rPr>
        <w:t xml:space="preserve"> ratio of the Exxon Mobil company is highly negligible in comparison to the other companies. </w:t>
      </w:r>
    </w:p>
    <w:p w14:paraId="51BC5124" w14:textId="77777777" w:rsidR="00D01A94" w:rsidRPr="00425290" w:rsidRDefault="00357ABC" w:rsidP="00D01A94">
      <w:pPr>
        <w:jc w:val="center"/>
        <w:rPr>
          <w:sz w:val="28"/>
        </w:rPr>
      </w:pPr>
      <w:r w:rsidRPr="00425290">
        <w:rPr>
          <w:noProof/>
          <w:sz w:val="28"/>
          <w:lang w:val="en-US"/>
        </w:rPr>
        <w:drawing>
          <wp:inline distT="0" distB="0" distL="0" distR="0" wp14:anchorId="7E880825" wp14:editId="43AD6628">
            <wp:extent cx="4567767" cy="2743200"/>
            <wp:effectExtent l="0" t="0" r="4445" b="0"/>
            <wp:docPr id="12" name="Chart 12">
              <a:extLst xmlns:a="http://schemas.openxmlformats.org/drawingml/2006/main">
                <a:ext uri="{FF2B5EF4-FFF2-40B4-BE49-F238E27FC236}">
                  <a16:creationId xmlns:a16="http://schemas.microsoft.com/office/drawing/2014/main" id="{0412A25E-748F-42EF-A093-CE15CC01F7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081A0C1" w14:textId="77777777" w:rsidR="00D01A94" w:rsidRPr="00425290" w:rsidRDefault="00357ABC" w:rsidP="00D01A94">
      <w:pPr>
        <w:jc w:val="center"/>
        <w:rPr>
          <w:b/>
          <w:bCs/>
          <w:sz w:val="28"/>
        </w:rPr>
      </w:pPr>
      <w:r w:rsidRPr="00425290">
        <w:rPr>
          <w:b/>
          <w:bCs/>
          <w:sz w:val="28"/>
        </w:rPr>
        <w:t xml:space="preserve">Figure </w:t>
      </w:r>
      <w:r w:rsidR="00F07D6A" w:rsidRPr="00425290">
        <w:rPr>
          <w:b/>
          <w:bCs/>
          <w:sz w:val="28"/>
        </w:rPr>
        <w:t>8</w:t>
      </w:r>
      <w:r w:rsidRPr="00425290">
        <w:rPr>
          <w:b/>
          <w:bCs/>
          <w:sz w:val="28"/>
        </w:rPr>
        <w:t>: Account receivable turnover of competitors</w:t>
      </w:r>
    </w:p>
    <w:p w14:paraId="4800DB50" w14:textId="77777777" w:rsidR="00D01A94" w:rsidRPr="00425290" w:rsidRDefault="00357ABC" w:rsidP="00D01A94">
      <w:pPr>
        <w:jc w:val="center"/>
        <w:rPr>
          <w:sz w:val="28"/>
        </w:rPr>
      </w:pPr>
      <w:r w:rsidRPr="00425290">
        <w:rPr>
          <w:sz w:val="28"/>
        </w:rPr>
        <w:t>(Source: Self-developed)</w:t>
      </w:r>
    </w:p>
    <w:p w14:paraId="63EA65AD" w14:textId="77777777" w:rsidR="00D01A94" w:rsidRPr="00425290" w:rsidRDefault="00357ABC" w:rsidP="00D01A94">
      <w:pPr>
        <w:rPr>
          <w:sz w:val="28"/>
        </w:rPr>
      </w:pPr>
      <w:r w:rsidRPr="00425290">
        <w:rPr>
          <w:sz w:val="28"/>
        </w:rPr>
        <w:t xml:space="preserve">Comparing the efficiency of the three companies, the account receivable turnover ratio has been the highest for the Total Energy company in 2023, which has increased abruptly from 5.16 to 9.54, while that of the Exxon Mobil company has fallen from 9.49 to 8.77. the ratio obtained for Shell plc company has been </w:t>
      </w:r>
      <w:proofErr w:type="spellStart"/>
      <w:r w:rsidRPr="00425290">
        <w:rPr>
          <w:sz w:val="28"/>
        </w:rPr>
        <w:t>deduced</w:t>
      </w:r>
      <w:proofErr w:type="spellEnd"/>
      <w:r w:rsidRPr="00425290">
        <w:rPr>
          <w:sz w:val="28"/>
        </w:rPr>
        <w:t xml:space="preserve"> from 8.13 to 5.81 over the past five years (</w:t>
      </w:r>
      <w:proofErr w:type="spellStart"/>
      <w:r w:rsidRPr="00425290">
        <w:rPr>
          <w:rFonts w:cs="Times New Roman"/>
          <w:sz w:val="28"/>
          <w:szCs w:val="24"/>
        </w:rPr>
        <w:t>Wsj</w:t>
      </w:r>
      <w:proofErr w:type="spellEnd"/>
      <w:r w:rsidRPr="00425290">
        <w:rPr>
          <w:rFonts w:cs="Times New Roman"/>
          <w:sz w:val="28"/>
          <w:szCs w:val="24"/>
        </w:rPr>
        <w:t>, 2024)</w:t>
      </w:r>
      <w:r w:rsidRPr="00425290">
        <w:rPr>
          <w:sz w:val="28"/>
        </w:rPr>
        <w:t>. This shows that the dipping ratio of Shell company requires it to strengthen its credit policies and enhance its collection practices. Therefore, the efficiency of Total Energy company has been optimum compared to the other companies.</w:t>
      </w:r>
    </w:p>
    <w:p w14:paraId="324B80FB" w14:textId="77777777" w:rsidR="00B21AE3" w:rsidRPr="00425290" w:rsidRDefault="00357ABC" w:rsidP="002E3FDE">
      <w:pPr>
        <w:pStyle w:val="Heading2"/>
        <w:rPr>
          <w:sz w:val="28"/>
        </w:rPr>
      </w:pPr>
      <w:bookmarkStart w:id="11" w:name="_Toc171618600"/>
      <w:r w:rsidRPr="00425290">
        <w:rPr>
          <w:sz w:val="28"/>
        </w:rPr>
        <w:lastRenderedPageBreak/>
        <w:t>Recommendations</w:t>
      </w:r>
      <w:bookmarkEnd w:id="11"/>
    </w:p>
    <w:p w14:paraId="159FDC93" w14:textId="77777777" w:rsidR="00AD0592" w:rsidRPr="00425290" w:rsidRDefault="00357ABC" w:rsidP="0048037E">
      <w:pPr>
        <w:rPr>
          <w:rFonts w:cs="Times New Roman"/>
          <w:sz w:val="28"/>
        </w:rPr>
      </w:pPr>
      <w:r w:rsidRPr="00425290">
        <w:rPr>
          <w:rFonts w:cs="Times New Roman"/>
          <w:b/>
          <w:sz w:val="28"/>
        </w:rPr>
        <w:t xml:space="preserve">Accelerate Renewable Energy Investments: </w:t>
      </w:r>
      <w:r w:rsidRPr="00425290">
        <w:rPr>
          <w:rFonts w:cs="Times New Roman"/>
          <w:sz w:val="28"/>
        </w:rPr>
        <w:t>As worldwide energy utilization designs shift towards practical sources, Shell should increase its interest in environmentally friendly power. While Shell has proactively started ventures towards broadening its energy portfolio, a more forceful methodology is fundamental to keep up with seriousness and satisfy future energy needs. Increment interest in sun based and wind energy projects all around the world. Team up with states and confidential substances to foster an enormous scope of environmentally friendly power ranches</w:t>
      </w:r>
      <w:r w:rsidR="00452B8A" w:rsidRPr="00425290">
        <w:rPr>
          <w:rFonts w:cs="Times New Roman"/>
          <w:sz w:val="28"/>
        </w:rPr>
        <w:t xml:space="preserve"> (</w:t>
      </w:r>
      <w:r w:rsidR="00452B8A" w:rsidRPr="00425290">
        <w:rPr>
          <w:rFonts w:cs="Times New Roman"/>
          <w:sz w:val="28"/>
          <w:szCs w:val="24"/>
        </w:rPr>
        <w:t>Paduano, 2024</w:t>
      </w:r>
      <w:r w:rsidR="00452B8A" w:rsidRPr="00425290">
        <w:rPr>
          <w:rFonts w:cs="Times New Roman"/>
          <w:sz w:val="28"/>
        </w:rPr>
        <w:t>)</w:t>
      </w:r>
      <w:r w:rsidRPr="00425290">
        <w:rPr>
          <w:rFonts w:cs="Times New Roman"/>
          <w:sz w:val="28"/>
        </w:rPr>
        <w:t xml:space="preserve">. </w:t>
      </w:r>
    </w:p>
    <w:p w14:paraId="30DDC081" w14:textId="77777777" w:rsidR="0048037E" w:rsidRPr="00425290" w:rsidRDefault="00357ABC" w:rsidP="0048037E">
      <w:pPr>
        <w:rPr>
          <w:rFonts w:cs="Times New Roman"/>
          <w:b/>
          <w:sz w:val="28"/>
        </w:rPr>
      </w:pPr>
      <w:r w:rsidRPr="00425290">
        <w:rPr>
          <w:rFonts w:cs="Times New Roman"/>
          <w:b/>
          <w:sz w:val="28"/>
          <w:highlight w:val="yellow"/>
        </w:rPr>
        <w:t>Cutting Edge energy</w:t>
      </w:r>
      <w:r w:rsidRPr="00425290">
        <w:rPr>
          <w:rFonts w:cs="Times New Roman"/>
          <w:sz w:val="28"/>
          <w:highlight w:val="yellow"/>
        </w:rPr>
        <w:t>: Put resources into cutting-edge energy capacity innovations to address the irregularity of sustainable sources. This can include an examination of batteries, hydrogen capacity, and other arising stockpiling arrangements. Seek after essential acquisitions of or associations with driving sustainable power organizations.</w:t>
      </w:r>
      <w:r w:rsidRPr="00425290">
        <w:rPr>
          <w:rFonts w:cs="Times New Roman"/>
          <w:sz w:val="28"/>
        </w:rPr>
        <w:t xml:space="preserve"> This can give prompt admittance to innovation, ability, and market presence. Draw in neighbourhood networks in sustainable power ventures to guarantee social acknowledgement and backing. Carry out local area benefit projects to share the monetary benefits of sustainable power establishments.</w:t>
      </w:r>
    </w:p>
    <w:p w14:paraId="462EEB2E" w14:textId="77777777" w:rsidR="0048037E" w:rsidRPr="00425290" w:rsidRDefault="00357ABC" w:rsidP="0048037E">
      <w:pPr>
        <w:rPr>
          <w:rFonts w:cs="Times New Roman"/>
          <w:b/>
          <w:sz w:val="28"/>
        </w:rPr>
      </w:pPr>
      <w:r w:rsidRPr="00425290">
        <w:rPr>
          <w:rFonts w:cs="Times New Roman"/>
          <w:b/>
          <w:sz w:val="28"/>
        </w:rPr>
        <w:t xml:space="preserve">Enhance Digital Transformation and Data Analytics: </w:t>
      </w:r>
      <w:r w:rsidRPr="00425290">
        <w:rPr>
          <w:rFonts w:cs="Times New Roman"/>
          <w:sz w:val="28"/>
        </w:rPr>
        <w:t xml:space="preserve">In a time when digital advances drive productivity and development, Shell needs to consider improving its advanced change drives. With progressed information investigation, artificial intelligence, and IoT (Internet of Things), Shell can enhance tasks, lessen costs, and develop dynamic cycles. Advance ML-machine learning and AI answers to anticipate gear disappointments, upgrade supply chains, and improve investigation exercises. This can lessen personal time and functional expenses. Grow the utilization of IoT sensors across offices to accumulate constant information on gear execution, natural circumstances, and </w:t>
      </w:r>
      <w:r w:rsidRPr="00425290">
        <w:rPr>
          <w:rFonts w:cs="Times New Roman"/>
          <w:sz w:val="28"/>
        </w:rPr>
        <w:lastRenderedPageBreak/>
        <w:t>well-being boundaries</w:t>
      </w:r>
      <w:r w:rsidR="00452B8A" w:rsidRPr="00425290">
        <w:rPr>
          <w:rFonts w:cs="Times New Roman"/>
          <w:sz w:val="28"/>
        </w:rPr>
        <w:t xml:space="preserve"> (</w:t>
      </w:r>
      <w:r w:rsidR="00452B8A" w:rsidRPr="00425290">
        <w:rPr>
          <w:rFonts w:cs="Times New Roman"/>
          <w:sz w:val="28"/>
          <w:szCs w:val="24"/>
        </w:rPr>
        <w:t>Paduano, 2024</w:t>
      </w:r>
      <w:r w:rsidR="00452B8A" w:rsidRPr="00425290">
        <w:rPr>
          <w:rFonts w:cs="Times New Roman"/>
          <w:sz w:val="28"/>
        </w:rPr>
        <w:t>)</w:t>
      </w:r>
      <w:r w:rsidRPr="00425290">
        <w:rPr>
          <w:rFonts w:cs="Times New Roman"/>
          <w:sz w:val="28"/>
        </w:rPr>
        <w:t>. Utilize this information for proactive support and cycle advancement. Foster advanced twin models of critical resources and tasks. These virtual copies can mimic actual circumstances and anticipate results, considering more educated direction and proactive administration. Reinforce network safety measures to safeguard basic framework and information. With an expanded advanced mix, strong network protection conventions are vital for defending activities from digital dangers.</w:t>
      </w:r>
    </w:p>
    <w:p w14:paraId="11012725" w14:textId="77777777" w:rsidR="0048037E" w:rsidRPr="00425290" w:rsidRDefault="00357ABC" w:rsidP="0048037E">
      <w:pPr>
        <w:rPr>
          <w:rFonts w:cs="Times New Roman"/>
          <w:b/>
          <w:sz w:val="28"/>
        </w:rPr>
      </w:pPr>
      <w:r w:rsidRPr="00425290">
        <w:rPr>
          <w:rFonts w:cs="Times New Roman"/>
          <w:b/>
          <w:sz w:val="28"/>
        </w:rPr>
        <w:t>Strengthen ESG (Environmental, Social, and Governance) Initiatives</w:t>
      </w:r>
      <w:r w:rsidRPr="00425290">
        <w:rPr>
          <w:rFonts w:cs="Times New Roman"/>
          <w:sz w:val="28"/>
        </w:rPr>
        <w:t xml:space="preserve"> Given the rising significance of ESG factors among financial backers, controllers, and shoppers; Shell should escalate its obligation to natural manageability, social responsibility, and powerful administration rehearses.</w:t>
      </w:r>
    </w:p>
    <w:p w14:paraId="74476B57" w14:textId="77777777" w:rsidR="0048037E" w:rsidRPr="00425290" w:rsidRDefault="00357ABC" w:rsidP="0048037E">
      <w:pPr>
        <w:rPr>
          <w:rFonts w:cs="Times New Roman"/>
          <w:sz w:val="28"/>
        </w:rPr>
      </w:pPr>
      <w:r w:rsidRPr="00425290">
        <w:rPr>
          <w:rFonts w:cs="Times New Roman"/>
          <w:sz w:val="28"/>
        </w:rPr>
        <w:t>Set and broadcast aggressive carbon impartiality objectives with clear courses of events. Put resources into "CCS-carbon capture and storage" innovations and offset drives, for example, reforestation tasks to diminish net fossil fuel byproducts. Improve straightforwardness in ESG detailing by embracing normalized systems like the "GRI-Global Reporting Initiative" and the Team on Environment-related Monetary Revelations. Routinely distribute effective reports on progress towards ESG objectives</w:t>
      </w:r>
      <w:r w:rsidR="00452B8A" w:rsidRPr="00425290">
        <w:rPr>
          <w:rFonts w:cs="Times New Roman"/>
          <w:sz w:val="28"/>
        </w:rPr>
        <w:t xml:space="preserve"> (</w:t>
      </w:r>
      <w:r w:rsidR="00452B8A" w:rsidRPr="00425290">
        <w:rPr>
          <w:rFonts w:cs="Times New Roman"/>
          <w:sz w:val="28"/>
          <w:szCs w:val="24"/>
        </w:rPr>
        <w:t>Paduano, 2024</w:t>
      </w:r>
      <w:r w:rsidR="00452B8A" w:rsidRPr="00425290">
        <w:rPr>
          <w:rFonts w:cs="Times New Roman"/>
          <w:sz w:val="28"/>
        </w:rPr>
        <w:t>)</w:t>
      </w:r>
      <w:r w:rsidRPr="00425290">
        <w:rPr>
          <w:rFonts w:cs="Times New Roman"/>
          <w:sz w:val="28"/>
        </w:rPr>
        <w:t>. Execute exhaustive variety and incorporation projects to guarantee a different labour force and comprehensive workplace. Set quantifiable focuses for orientation and ethnic variety at every single hierarchical level. Increment interest in local area improvement projects in districts where Shell works. It should centre around training, medical care, and foundation to work on the personal satisfaction of nearby networks and fabricate solid partner connections.</w:t>
      </w:r>
    </w:p>
    <w:p w14:paraId="72EDCB95" w14:textId="77777777" w:rsidR="0048037E" w:rsidRPr="00425290" w:rsidRDefault="00357ABC" w:rsidP="0048037E">
      <w:pPr>
        <w:rPr>
          <w:rFonts w:cs="Times New Roman"/>
          <w:sz w:val="28"/>
        </w:rPr>
      </w:pPr>
      <w:r w:rsidRPr="00425290">
        <w:rPr>
          <w:rFonts w:cs="Times New Roman"/>
          <w:sz w:val="28"/>
        </w:rPr>
        <w:t xml:space="preserve">Therefore, based on speeding up interests in sustainable power, improving computerized change, and reinforcing ESG drives, Shell can explore the developing energy scene and secure its situation as a forerunner in the business. </w:t>
      </w:r>
      <w:r w:rsidRPr="00425290">
        <w:rPr>
          <w:rFonts w:cs="Times New Roman"/>
          <w:sz w:val="28"/>
        </w:rPr>
        <w:lastRenderedPageBreak/>
        <w:t>These suggestions align with worldwide supportability patterns and guarantee long-haul benefits and strength in a severe market. Executing these systems will empower Shell to satisfy the developing need for clean energy, enhance functional productivity, and keep up areas of strength with connections, driving future development and achievement.</w:t>
      </w:r>
    </w:p>
    <w:p w14:paraId="27A81163" w14:textId="77777777" w:rsidR="00B21AE3" w:rsidRPr="00425290" w:rsidRDefault="00B21AE3" w:rsidP="002E3FDE">
      <w:pPr>
        <w:pStyle w:val="Normal1"/>
        <w:jc w:val="both"/>
        <w:rPr>
          <w:rFonts w:ascii="Times New Roman" w:hAnsi="Times New Roman" w:cs="Times New Roman"/>
          <w:sz w:val="28"/>
          <w:szCs w:val="24"/>
          <w:shd w:val="clear" w:color="auto" w:fill="F4CCCC"/>
        </w:rPr>
      </w:pPr>
    </w:p>
    <w:p w14:paraId="75AFB8FC" w14:textId="77777777" w:rsidR="00A33FEC" w:rsidRPr="00425290" w:rsidRDefault="00357ABC">
      <w:pPr>
        <w:spacing w:before="0" w:after="0" w:line="276" w:lineRule="auto"/>
        <w:jc w:val="left"/>
        <w:rPr>
          <w:b/>
          <w:sz w:val="32"/>
          <w:szCs w:val="40"/>
        </w:rPr>
      </w:pPr>
      <w:r w:rsidRPr="00425290">
        <w:rPr>
          <w:sz w:val="28"/>
        </w:rPr>
        <w:br w:type="page"/>
      </w:r>
    </w:p>
    <w:p w14:paraId="71589A53" w14:textId="77777777" w:rsidR="00B21AE3" w:rsidRPr="00425290" w:rsidRDefault="00357ABC" w:rsidP="002E3FDE">
      <w:pPr>
        <w:pStyle w:val="Heading1"/>
        <w:rPr>
          <w:sz w:val="32"/>
        </w:rPr>
      </w:pPr>
      <w:bookmarkStart w:id="12" w:name="_Toc171618601"/>
      <w:r w:rsidRPr="00425290">
        <w:rPr>
          <w:sz w:val="32"/>
        </w:rPr>
        <w:lastRenderedPageBreak/>
        <w:t>Part C</w:t>
      </w:r>
      <w:bookmarkEnd w:id="12"/>
    </w:p>
    <w:p w14:paraId="6F2548E0" w14:textId="77777777" w:rsidR="00B21AE3" w:rsidRPr="00425290" w:rsidRDefault="00357ABC" w:rsidP="002E3FDE">
      <w:pPr>
        <w:pStyle w:val="Heading2"/>
        <w:rPr>
          <w:sz w:val="28"/>
        </w:rPr>
      </w:pPr>
      <w:bookmarkStart w:id="13" w:name="_Toc171618602"/>
      <w:r w:rsidRPr="00425290">
        <w:rPr>
          <w:sz w:val="28"/>
        </w:rPr>
        <w:t>Project A</w:t>
      </w:r>
      <w:bookmarkEnd w:id="13"/>
    </w:p>
    <w:p w14:paraId="0469BAC8" w14:textId="77777777" w:rsidR="00B21AE3" w:rsidRPr="00425290" w:rsidRDefault="00357ABC" w:rsidP="002E3FDE">
      <w:pPr>
        <w:pStyle w:val="Normal1"/>
        <w:jc w:val="center"/>
        <w:rPr>
          <w:rFonts w:ascii="Times New Roman" w:hAnsi="Times New Roman" w:cs="Times New Roman"/>
          <w:sz w:val="28"/>
          <w:szCs w:val="24"/>
          <w:shd w:val="clear" w:color="auto" w:fill="D0E0E3"/>
        </w:rPr>
      </w:pPr>
      <w:r w:rsidRPr="00425290">
        <w:rPr>
          <w:rFonts w:ascii="Times New Roman" w:hAnsi="Times New Roman" w:cs="Times New Roman"/>
          <w:noProof/>
          <w:sz w:val="28"/>
          <w:szCs w:val="24"/>
          <w:shd w:val="clear" w:color="auto" w:fill="D0E0E3"/>
          <w:lang w:val="en-US"/>
        </w:rPr>
        <w:drawing>
          <wp:inline distT="114300" distB="114300" distL="114300" distR="114300" wp14:anchorId="6E34E9F7" wp14:editId="7F0095F9">
            <wp:extent cx="5731200" cy="1612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7"/>
                    <a:stretch>
                      <a:fillRect/>
                    </a:stretch>
                  </pic:blipFill>
                  <pic:spPr>
                    <a:xfrm>
                      <a:off x="0" y="0"/>
                      <a:ext cx="5731200" cy="1612900"/>
                    </a:xfrm>
                    <a:prstGeom prst="rect">
                      <a:avLst/>
                    </a:prstGeom>
                  </pic:spPr>
                </pic:pic>
              </a:graphicData>
            </a:graphic>
          </wp:inline>
        </w:drawing>
      </w:r>
    </w:p>
    <w:p w14:paraId="672F3271" w14:textId="77777777" w:rsidR="00B21AE3" w:rsidRPr="00425290" w:rsidRDefault="00B21AE3" w:rsidP="002E3FDE">
      <w:pPr>
        <w:pStyle w:val="Normal1"/>
        <w:jc w:val="center"/>
        <w:rPr>
          <w:rFonts w:ascii="Times New Roman" w:hAnsi="Times New Roman" w:cs="Times New Roman"/>
          <w:sz w:val="28"/>
          <w:szCs w:val="24"/>
        </w:rPr>
      </w:pPr>
    </w:p>
    <w:p w14:paraId="18AF0433" w14:textId="77777777" w:rsidR="00B21AE3" w:rsidRPr="00425290" w:rsidRDefault="00357ABC" w:rsidP="002E3FDE">
      <w:pPr>
        <w:pStyle w:val="Normal1"/>
        <w:jc w:val="center"/>
        <w:rPr>
          <w:rFonts w:ascii="Times New Roman" w:hAnsi="Times New Roman" w:cs="Times New Roman"/>
          <w:b/>
          <w:sz w:val="28"/>
          <w:szCs w:val="24"/>
        </w:rPr>
      </w:pPr>
      <w:r w:rsidRPr="00425290">
        <w:rPr>
          <w:rFonts w:ascii="Times New Roman" w:hAnsi="Times New Roman" w:cs="Times New Roman"/>
          <w:b/>
          <w:sz w:val="28"/>
          <w:szCs w:val="24"/>
        </w:rPr>
        <w:t>Table</w:t>
      </w:r>
      <w:r w:rsidR="00F07D6A" w:rsidRPr="00425290">
        <w:rPr>
          <w:rFonts w:ascii="Times New Roman" w:hAnsi="Times New Roman" w:cs="Times New Roman"/>
          <w:b/>
          <w:sz w:val="28"/>
          <w:szCs w:val="24"/>
        </w:rPr>
        <w:t xml:space="preserve"> 1</w:t>
      </w:r>
      <w:r w:rsidRPr="00425290">
        <w:rPr>
          <w:rFonts w:ascii="Times New Roman" w:hAnsi="Times New Roman" w:cs="Times New Roman"/>
          <w:b/>
          <w:sz w:val="28"/>
          <w:szCs w:val="24"/>
        </w:rPr>
        <w:t>: Project A</w:t>
      </w:r>
    </w:p>
    <w:p w14:paraId="0D40E8A1" w14:textId="77777777" w:rsidR="00B21AE3" w:rsidRPr="00425290" w:rsidRDefault="00357ABC" w:rsidP="002E3FDE">
      <w:pPr>
        <w:pStyle w:val="Normal1"/>
        <w:jc w:val="center"/>
        <w:rPr>
          <w:rFonts w:ascii="Times New Roman" w:hAnsi="Times New Roman" w:cs="Times New Roman"/>
          <w:sz w:val="28"/>
          <w:szCs w:val="24"/>
        </w:rPr>
      </w:pPr>
      <w:r w:rsidRPr="00425290">
        <w:rPr>
          <w:rFonts w:ascii="Times New Roman" w:hAnsi="Times New Roman" w:cs="Times New Roman"/>
          <w:sz w:val="28"/>
          <w:szCs w:val="24"/>
        </w:rPr>
        <w:t>(Source: Self-created)</w:t>
      </w:r>
    </w:p>
    <w:p w14:paraId="0E2922A3" w14:textId="77777777" w:rsidR="00B21AE3" w:rsidRPr="00425290" w:rsidRDefault="00B21AE3" w:rsidP="002E3FDE">
      <w:pPr>
        <w:pStyle w:val="Normal1"/>
        <w:jc w:val="both"/>
        <w:rPr>
          <w:rFonts w:ascii="Times New Roman" w:hAnsi="Times New Roman" w:cs="Times New Roman"/>
          <w:sz w:val="28"/>
          <w:szCs w:val="24"/>
        </w:rPr>
      </w:pPr>
    </w:p>
    <w:p w14:paraId="5B2278E4" w14:textId="77777777" w:rsidR="00B21AE3" w:rsidRPr="00425290" w:rsidRDefault="00357ABC" w:rsidP="002E3FDE">
      <w:pPr>
        <w:rPr>
          <w:sz w:val="28"/>
        </w:rPr>
      </w:pPr>
      <w:r w:rsidRPr="00425290">
        <w:rPr>
          <w:sz w:val="28"/>
        </w:rPr>
        <w:t>Calculating the Payback period can discuss the accounting rate of return and net present value (</w:t>
      </w:r>
      <w:r w:rsidRPr="00425290">
        <w:rPr>
          <w:sz w:val="28"/>
          <w:highlight w:val="white"/>
        </w:rPr>
        <w:t>Istenes and Polák, 2024)</w:t>
      </w:r>
      <w:r w:rsidRPr="00425290">
        <w:rPr>
          <w:sz w:val="28"/>
        </w:rPr>
        <w:t xml:space="preserve">. Four years’ project analysis can be involved with the project. Two projects are present here. The financial assessment of Shell PLC can be elaborated on through the projects. </w:t>
      </w:r>
    </w:p>
    <w:p w14:paraId="5484AD13" w14:textId="77777777" w:rsidR="00B21AE3" w:rsidRPr="00425290" w:rsidRDefault="00357ABC" w:rsidP="002E3FDE">
      <w:pPr>
        <w:rPr>
          <w:sz w:val="28"/>
        </w:rPr>
      </w:pPr>
      <w:r w:rsidRPr="00425290">
        <w:rPr>
          <w:b/>
          <w:i/>
          <w:sz w:val="28"/>
        </w:rPr>
        <w:t>Payback period</w:t>
      </w:r>
      <w:r w:rsidRPr="00425290">
        <w:rPr>
          <w:sz w:val="28"/>
        </w:rPr>
        <w:t>: The payback period can involve initial investment and generation of investment. According to the calculation, the initial i</w:t>
      </w:r>
      <w:r w:rsidR="00C15D93" w:rsidRPr="00425290">
        <w:rPr>
          <w:sz w:val="28"/>
        </w:rPr>
        <w:t>nvestment of the first year is—£</w:t>
      </w:r>
      <w:r w:rsidRPr="00425290">
        <w:rPr>
          <w:sz w:val="28"/>
        </w:rPr>
        <w:t>80. The initial investment and positive cash f</w:t>
      </w:r>
      <w:r w:rsidR="00C15D93" w:rsidRPr="00425290">
        <w:rPr>
          <w:sz w:val="28"/>
        </w:rPr>
        <w:t>low can be seen in four years. £25, £20, and £</w:t>
      </w:r>
      <w:r w:rsidRPr="00425290">
        <w:rPr>
          <w:sz w:val="28"/>
        </w:rPr>
        <w:t>55 were involved in these years (</w:t>
      </w:r>
      <w:r w:rsidRPr="00425290">
        <w:rPr>
          <w:sz w:val="28"/>
          <w:highlight w:val="white"/>
        </w:rPr>
        <w:t>Nabavi et al., 2024)</w:t>
      </w:r>
      <w:r w:rsidRPr="00425290">
        <w:rPr>
          <w:sz w:val="28"/>
        </w:rPr>
        <w:t>. The cumulative c</w:t>
      </w:r>
      <w:r w:rsidR="00C15D93" w:rsidRPr="00425290">
        <w:rPr>
          <w:sz w:val="28"/>
        </w:rPr>
        <w:t>ash flow of last year is £</w:t>
      </w:r>
      <w:r w:rsidRPr="00425290">
        <w:rPr>
          <w:sz w:val="28"/>
        </w:rPr>
        <w:t xml:space="preserve">45 as the cumulative cash flow is positive, so the first project's payback period is 2.18 years. This a short assumption and it means that initial investment needs more time.  </w:t>
      </w:r>
    </w:p>
    <w:p w14:paraId="00F0A17A" w14:textId="77777777" w:rsidR="00B21AE3" w:rsidRPr="00425290" w:rsidRDefault="00357ABC" w:rsidP="002E3FDE">
      <w:pPr>
        <w:rPr>
          <w:sz w:val="28"/>
        </w:rPr>
      </w:pPr>
      <w:r w:rsidRPr="00425290">
        <w:rPr>
          <w:b/>
          <w:i/>
          <w:sz w:val="28"/>
        </w:rPr>
        <w:t>Accounting rate of return</w:t>
      </w:r>
      <w:r w:rsidRPr="00425290">
        <w:rPr>
          <w:sz w:val="28"/>
        </w:rPr>
        <w:t>: ARR can be calculated with average annual profit and initial investment by multiplying 100. Profitability and investment can be involved in the compari</w:t>
      </w:r>
      <w:r w:rsidR="00C15D93" w:rsidRPr="00425290">
        <w:rPr>
          <w:sz w:val="28"/>
        </w:rPr>
        <w:t>son. The initial investment is £</w:t>
      </w:r>
      <w:r w:rsidRPr="00425290">
        <w:rPr>
          <w:sz w:val="28"/>
        </w:rPr>
        <w:t xml:space="preserve">80, and for years is the timing. The calculation can involve that % return on initial investment can be 14.06% approximately.  </w:t>
      </w:r>
    </w:p>
    <w:p w14:paraId="2A6F6431" w14:textId="77777777" w:rsidR="00B21AE3" w:rsidRPr="00425290" w:rsidRDefault="00357ABC" w:rsidP="002E3FDE">
      <w:pPr>
        <w:rPr>
          <w:sz w:val="28"/>
        </w:rPr>
      </w:pPr>
      <w:r w:rsidRPr="00425290">
        <w:rPr>
          <w:b/>
          <w:i/>
          <w:sz w:val="28"/>
        </w:rPr>
        <w:lastRenderedPageBreak/>
        <w:t>Net present value:</w:t>
      </w:r>
      <w:r w:rsidRPr="00425290">
        <w:rPr>
          <w:sz w:val="28"/>
        </w:rPr>
        <w:t xml:space="preserve"> The cash inflow in year 1 is 22.78, in the second year 20.76, in the third year 15.13, and in the final year 37.91. Cashflow can be a measurement that can be engaged with a discount rate. NPV can be the discount r</w:t>
      </w:r>
      <w:r w:rsidR="00C15D93" w:rsidRPr="00425290">
        <w:rPr>
          <w:sz w:val="28"/>
        </w:rPr>
        <w:t>ate among the present value of £</w:t>
      </w:r>
      <w:r w:rsidRPr="00425290">
        <w:rPr>
          <w:sz w:val="28"/>
        </w:rPr>
        <w:t>96.58. An NPV is 16.57, an</w:t>
      </w:r>
      <w:r w:rsidR="00C15D93" w:rsidRPr="00425290">
        <w:rPr>
          <w:sz w:val="28"/>
        </w:rPr>
        <w:t>d an initial investment can be £</w:t>
      </w:r>
      <w:r w:rsidRPr="00425290">
        <w:rPr>
          <w:sz w:val="28"/>
        </w:rPr>
        <w:t xml:space="preserve">80. </w:t>
      </w:r>
    </w:p>
    <w:p w14:paraId="0E637F5A" w14:textId="77777777" w:rsidR="00B21AE3" w:rsidRPr="00425290" w:rsidRDefault="00357ABC" w:rsidP="002E3FDE">
      <w:pPr>
        <w:rPr>
          <w:sz w:val="28"/>
        </w:rPr>
      </w:pPr>
      <w:r w:rsidRPr="00425290">
        <w:rPr>
          <w:sz w:val="28"/>
        </w:rPr>
        <w:t>It can be said from the discussion that the payback period for project A is near about 2.18 ye</w:t>
      </w:r>
      <w:r w:rsidR="00C15D93" w:rsidRPr="00425290">
        <w:rPr>
          <w:sz w:val="28"/>
        </w:rPr>
        <w:t>ars, ARR is 14.06%, and NPV is £</w:t>
      </w:r>
      <w:r w:rsidRPr="00425290">
        <w:rPr>
          <w:sz w:val="28"/>
        </w:rPr>
        <w:t xml:space="preserve">16.57.  </w:t>
      </w:r>
    </w:p>
    <w:p w14:paraId="1A194C9E" w14:textId="77777777" w:rsidR="00B21AE3" w:rsidRPr="00425290" w:rsidRDefault="00357ABC" w:rsidP="002E3FDE">
      <w:pPr>
        <w:pStyle w:val="Heading2"/>
        <w:rPr>
          <w:sz w:val="28"/>
        </w:rPr>
      </w:pPr>
      <w:bookmarkStart w:id="14" w:name="_Toc171618603"/>
      <w:r w:rsidRPr="00425290">
        <w:rPr>
          <w:sz w:val="28"/>
        </w:rPr>
        <w:t>Project B</w:t>
      </w:r>
      <w:bookmarkEnd w:id="14"/>
    </w:p>
    <w:p w14:paraId="579D0BF9" w14:textId="77777777" w:rsidR="00B21AE3" w:rsidRPr="00425290" w:rsidRDefault="00357ABC" w:rsidP="002E3FDE">
      <w:pPr>
        <w:pStyle w:val="Normal1"/>
        <w:jc w:val="center"/>
        <w:rPr>
          <w:rFonts w:ascii="Times New Roman" w:hAnsi="Times New Roman" w:cs="Times New Roman"/>
          <w:sz w:val="28"/>
          <w:szCs w:val="24"/>
          <w:shd w:val="clear" w:color="auto" w:fill="D0E0E3"/>
        </w:rPr>
      </w:pPr>
      <w:r w:rsidRPr="00425290">
        <w:rPr>
          <w:rFonts w:ascii="Times New Roman" w:hAnsi="Times New Roman" w:cs="Times New Roman"/>
          <w:noProof/>
          <w:sz w:val="28"/>
          <w:szCs w:val="24"/>
          <w:shd w:val="clear" w:color="auto" w:fill="D0E0E3"/>
          <w:lang w:val="en-US"/>
        </w:rPr>
        <w:drawing>
          <wp:inline distT="114300" distB="114300" distL="114300" distR="114300" wp14:anchorId="54866B5D" wp14:editId="43D1BD01">
            <wp:extent cx="5731200" cy="16510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8"/>
                    <a:stretch>
                      <a:fillRect/>
                    </a:stretch>
                  </pic:blipFill>
                  <pic:spPr>
                    <a:xfrm>
                      <a:off x="0" y="0"/>
                      <a:ext cx="5731200" cy="1651000"/>
                    </a:xfrm>
                    <a:prstGeom prst="rect">
                      <a:avLst/>
                    </a:prstGeom>
                  </pic:spPr>
                </pic:pic>
              </a:graphicData>
            </a:graphic>
          </wp:inline>
        </w:drawing>
      </w:r>
    </w:p>
    <w:p w14:paraId="3EE124FD" w14:textId="77777777" w:rsidR="00B21AE3" w:rsidRPr="00425290" w:rsidRDefault="00B21AE3" w:rsidP="002E3FDE">
      <w:pPr>
        <w:pStyle w:val="Normal1"/>
        <w:jc w:val="center"/>
        <w:rPr>
          <w:rFonts w:ascii="Times New Roman" w:hAnsi="Times New Roman" w:cs="Times New Roman"/>
          <w:sz w:val="28"/>
          <w:szCs w:val="24"/>
        </w:rPr>
      </w:pPr>
    </w:p>
    <w:p w14:paraId="5E54D1AE" w14:textId="77777777" w:rsidR="00B21AE3" w:rsidRPr="00425290" w:rsidRDefault="00357ABC" w:rsidP="002E3FDE">
      <w:pPr>
        <w:pStyle w:val="Normal1"/>
        <w:jc w:val="center"/>
        <w:rPr>
          <w:rFonts w:ascii="Times New Roman" w:hAnsi="Times New Roman" w:cs="Times New Roman"/>
          <w:b/>
          <w:sz w:val="28"/>
          <w:szCs w:val="24"/>
        </w:rPr>
      </w:pPr>
      <w:r w:rsidRPr="00425290">
        <w:rPr>
          <w:rFonts w:ascii="Times New Roman" w:hAnsi="Times New Roman" w:cs="Times New Roman"/>
          <w:b/>
          <w:sz w:val="28"/>
          <w:szCs w:val="24"/>
        </w:rPr>
        <w:t>Table</w:t>
      </w:r>
      <w:r w:rsidR="00F07D6A" w:rsidRPr="00425290">
        <w:rPr>
          <w:rFonts w:ascii="Times New Roman" w:hAnsi="Times New Roman" w:cs="Times New Roman"/>
          <w:b/>
          <w:sz w:val="28"/>
          <w:szCs w:val="24"/>
        </w:rPr>
        <w:t xml:space="preserve"> 2</w:t>
      </w:r>
      <w:r w:rsidRPr="00425290">
        <w:rPr>
          <w:rFonts w:ascii="Times New Roman" w:hAnsi="Times New Roman" w:cs="Times New Roman"/>
          <w:b/>
          <w:sz w:val="28"/>
          <w:szCs w:val="24"/>
        </w:rPr>
        <w:t>: Project B</w:t>
      </w:r>
    </w:p>
    <w:p w14:paraId="76FCDCE5" w14:textId="77777777" w:rsidR="00B21AE3" w:rsidRPr="00425290" w:rsidRDefault="00357ABC" w:rsidP="002E3FDE">
      <w:pPr>
        <w:pStyle w:val="Normal1"/>
        <w:jc w:val="center"/>
        <w:rPr>
          <w:rFonts w:ascii="Times New Roman" w:hAnsi="Times New Roman" w:cs="Times New Roman"/>
          <w:sz w:val="28"/>
          <w:szCs w:val="24"/>
        </w:rPr>
      </w:pPr>
      <w:r w:rsidRPr="00425290">
        <w:rPr>
          <w:rFonts w:ascii="Times New Roman" w:hAnsi="Times New Roman" w:cs="Times New Roman"/>
          <w:sz w:val="28"/>
          <w:szCs w:val="24"/>
        </w:rPr>
        <w:t>(Source: Self-created)</w:t>
      </w:r>
    </w:p>
    <w:p w14:paraId="5DB3317B" w14:textId="77777777" w:rsidR="00B21AE3" w:rsidRPr="00425290" w:rsidRDefault="00357ABC" w:rsidP="002E3FDE">
      <w:pPr>
        <w:rPr>
          <w:sz w:val="28"/>
        </w:rPr>
      </w:pPr>
      <w:r w:rsidRPr="00425290">
        <w:rPr>
          <w:b/>
          <w:i/>
          <w:sz w:val="28"/>
        </w:rPr>
        <w:t>Payback period</w:t>
      </w:r>
      <w:r w:rsidRPr="00425290">
        <w:rPr>
          <w:sz w:val="28"/>
        </w:rPr>
        <w:t>: According to the calculation cumulative ca</w:t>
      </w:r>
      <w:r w:rsidR="00C15D93" w:rsidRPr="00425290">
        <w:rPr>
          <w:sz w:val="28"/>
        </w:rPr>
        <w:t>sh flow of the first year was -£25, -£</w:t>
      </w:r>
      <w:r w:rsidRPr="00425290">
        <w:rPr>
          <w:sz w:val="28"/>
        </w:rPr>
        <w:t>5 was at t</w:t>
      </w:r>
      <w:r w:rsidR="00C15D93" w:rsidRPr="00425290">
        <w:rPr>
          <w:sz w:val="28"/>
        </w:rPr>
        <w:t>he end of the second year, and £</w:t>
      </w:r>
      <w:r w:rsidRPr="00425290">
        <w:rPr>
          <w:sz w:val="28"/>
        </w:rPr>
        <w:t xml:space="preserve">15 was at the end of the third year. It can be said that the past year’s cumulative cash flow was positive, and the rest were harmful in numbers.  </w:t>
      </w:r>
    </w:p>
    <w:p w14:paraId="3E7E11ED" w14:textId="77777777" w:rsidR="00B21AE3" w:rsidRPr="00425290" w:rsidRDefault="00357ABC" w:rsidP="002E3FDE">
      <w:pPr>
        <w:rPr>
          <w:sz w:val="28"/>
        </w:rPr>
      </w:pPr>
      <w:r w:rsidRPr="00425290">
        <w:rPr>
          <w:b/>
          <w:i/>
          <w:sz w:val="28"/>
        </w:rPr>
        <w:t>Accounting rate of return</w:t>
      </w:r>
      <w:r w:rsidRPr="00425290">
        <w:rPr>
          <w:sz w:val="28"/>
        </w:rPr>
        <w:t xml:space="preserve">: </w:t>
      </w:r>
      <w:r w:rsidR="00C15D93" w:rsidRPr="00425290">
        <w:rPr>
          <w:sz w:val="28"/>
        </w:rPr>
        <w:t>The total profit last year was £</w:t>
      </w:r>
      <w:r w:rsidRPr="00425290">
        <w:rPr>
          <w:sz w:val="28"/>
        </w:rPr>
        <w:t xml:space="preserve">35. The calculation indicates that the return on initial investment was 11.67%, and the average of each year's profit can also be involved in that. Project returns are better. In the second project, Shell PLC can indicate all the financial management so that three years of investment can be developed and investment can be positive.  </w:t>
      </w:r>
    </w:p>
    <w:p w14:paraId="05828D90" w14:textId="77777777" w:rsidR="00B21AE3" w:rsidRPr="00425290" w:rsidRDefault="00357ABC" w:rsidP="002E3FDE">
      <w:pPr>
        <w:rPr>
          <w:sz w:val="28"/>
        </w:rPr>
      </w:pPr>
      <w:r w:rsidRPr="00425290">
        <w:rPr>
          <w:b/>
          <w:i/>
          <w:sz w:val="28"/>
        </w:rPr>
        <w:lastRenderedPageBreak/>
        <w:t>Net present value</w:t>
      </w:r>
      <w:r w:rsidRPr="00425290">
        <w:rPr>
          <w:sz w:val="28"/>
        </w:rPr>
        <w:t>: NPV can be involved with initial investment. The comparison can be developed with the help of cash flow and present value. The cost and cost of capital are the main factors of the discount ra</w:t>
      </w:r>
      <w:r w:rsidR="00C15D93" w:rsidRPr="00425290">
        <w:rPr>
          <w:sz w:val="28"/>
        </w:rPr>
        <w:t>te. The total present value is £</w:t>
      </w:r>
      <w:r w:rsidRPr="00425290">
        <w:rPr>
          <w:sz w:val="28"/>
        </w:rPr>
        <w:t>91.08. There is a 3-year payback period, and the ARR is 11.67%. The NPV is 16.08, and a potentially profitable project can also be elaborated with project B. The company Shell PLC can be involved with the activities and two project outcomes through net present value (</w:t>
      </w:r>
      <w:r w:rsidRPr="00425290">
        <w:rPr>
          <w:rFonts w:eastAsia="Times New Roman"/>
          <w:color w:val="222222"/>
          <w:sz w:val="28"/>
          <w:highlight w:val="white"/>
        </w:rPr>
        <w:t xml:space="preserve">Cho </w:t>
      </w:r>
      <w:r w:rsidRPr="00425290">
        <w:rPr>
          <w:rFonts w:eastAsia="Times New Roman"/>
          <w:i/>
          <w:color w:val="222222"/>
          <w:sz w:val="28"/>
          <w:highlight w:val="white"/>
        </w:rPr>
        <w:t xml:space="preserve">et al., </w:t>
      </w:r>
      <w:r w:rsidRPr="00425290">
        <w:rPr>
          <w:rFonts w:eastAsia="Times New Roman"/>
          <w:color w:val="222222"/>
          <w:sz w:val="28"/>
          <w:highlight w:val="white"/>
        </w:rPr>
        <w:t>2024)</w:t>
      </w:r>
      <w:r w:rsidRPr="00425290">
        <w:rPr>
          <w:sz w:val="28"/>
        </w:rPr>
        <w:t xml:space="preserve">.     </w:t>
      </w:r>
    </w:p>
    <w:p w14:paraId="7C7D8654" w14:textId="77777777" w:rsidR="00B21AE3" w:rsidRPr="00425290" w:rsidRDefault="00357ABC" w:rsidP="002E3FDE">
      <w:pPr>
        <w:pStyle w:val="Heading2"/>
        <w:rPr>
          <w:sz w:val="28"/>
        </w:rPr>
      </w:pPr>
      <w:bookmarkStart w:id="15" w:name="_Toc171618604"/>
      <w:r w:rsidRPr="00425290">
        <w:rPr>
          <w:sz w:val="28"/>
        </w:rPr>
        <w:t>Justificatio</w:t>
      </w:r>
      <w:r w:rsidR="002E3FDE" w:rsidRPr="00425290">
        <w:rPr>
          <w:sz w:val="28"/>
        </w:rPr>
        <w:t>n</w:t>
      </w:r>
      <w:bookmarkEnd w:id="15"/>
    </w:p>
    <w:p w14:paraId="76974D7B" w14:textId="77777777" w:rsidR="00F07D6A" w:rsidRPr="00425290" w:rsidRDefault="00357ABC" w:rsidP="00F07D6A">
      <w:pPr>
        <w:rPr>
          <w:sz w:val="28"/>
        </w:rPr>
      </w:pPr>
      <w:r w:rsidRPr="00425290">
        <w:rPr>
          <w:sz w:val="28"/>
          <w:highlight w:val="yellow"/>
        </w:rPr>
        <w:t>Project A is the more accurate one because it has a</w:t>
      </w:r>
      <w:r w:rsidR="00C15D93" w:rsidRPr="00425290">
        <w:rPr>
          <w:sz w:val="28"/>
          <w:highlight w:val="yellow"/>
        </w:rPr>
        <w:t>n initial investment of around £</w:t>
      </w:r>
      <w:r w:rsidRPr="00425290">
        <w:rPr>
          <w:sz w:val="28"/>
          <w:highlight w:val="yellow"/>
        </w:rPr>
        <w:t>80 in the first year. The initial investment and positive cash f</w:t>
      </w:r>
      <w:r w:rsidR="00C15D93" w:rsidRPr="00425290">
        <w:rPr>
          <w:sz w:val="28"/>
          <w:highlight w:val="yellow"/>
        </w:rPr>
        <w:t>low can be seen in four years. £25, £</w:t>
      </w:r>
      <w:r w:rsidRPr="00425290">
        <w:rPr>
          <w:sz w:val="28"/>
          <w:highlight w:val="yellow"/>
        </w:rPr>
        <w:t xml:space="preserve">20, </w:t>
      </w:r>
      <w:r w:rsidR="00C15D93" w:rsidRPr="00425290">
        <w:rPr>
          <w:sz w:val="28"/>
          <w:highlight w:val="yellow"/>
        </w:rPr>
        <w:t>and £</w:t>
      </w:r>
      <w:r w:rsidRPr="00425290">
        <w:rPr>
          <w:sz w:val="28"/>
          <w:highlight w:val="yellow"/>
        </w:rPr>
        <w:t>55 were involved with the consecutive years. But, in the case of project B, the ca</w:t>
      </w:r>
      <w:r w:rsidR="00C15D93" w:rsidRPr="00425290">
        <w:rPr>
          <w:sz w:val="28"/>
          <w:highlight w:val="yellow"/>
        </w:rPr>
        <w:t>sh flow of the first year was - £25, - £</w:t>
      </w:r>
      <w:r w:rsidRPr="00425290">
        <w:rPr>
          <w:sz w:val="28"/>
          <w:highlight w:val="yellow"/>
        </w:rPr>
        <w:t>5 was at t</w:t>
      </w:r>
      <w:r w:rsidR="00C15D93" w:rsidRPr="00425290">
        <w:rPr>
          <w:sz w:val="28"/>
          <w:highlight w:val="yellow"/>
        </w:rPr>
        <w:t>he end of the second year, and £</w:t>
      </w:r>
      <w:r w:rsidRPr="00425290">
        <w:rPr>
          <w:sz w:val="28"/>
          <w:highlight w:val="yellow"/>
        </w:rPr>
        <w:t>15 was at the end of the third year. In the case of project A, ARR can be calculated with average annual profit and initial investment by multiplying 100. Profitability and investment can be involved in the compari</w:t>
      </w:r>
      <w:r w:rsidR="00C15D93" w:rsidRPr="00425290">
        <w:rPr>
          <w:sz w:val="28"/>
          <w:highlight w:val="yellow"/>
        </w:rPr>
        <w:t>son. The initial investment is £</w:t>
      </w:r>
      <w:r w:rsidRPr="00425290">
        <w:rPr>
          <w:sz w:val="28"/>
          <w:highlight w:val="yellow"/>
        </w:rPr>
        <w:t xml:space="preserve">80, and for years is the timing. The calculation can involve that % return on initial investment can be 14.06% approximately. But, project B shows, </w:t>
      </w:r>
      <w:proofErr w:type="gramStart"/>
      <w:r w:rsidRPr="00425290">
        <w:rPr>
          <w:sz w:val="28"/>
          <w:highlight w:val="yellow"/>
        </w:rPr>
        <w:t>The</w:t>
      </w:r>
      <w:proofErr w:type="gramEnd"/>
      <w:r w:rsidRPr="00425290">
        <w:rPr>
          <w:sz w:val="28"/>
          <w:highlight w:val="yellow"/>
        </w:rPr>
        <w:t xml:space="preserve"> cost and cost of capital are the main factors of the discount ra</w:t>
      </w:r>
      <w:r w:rsidR="00C15D93" w:rsidRPr="00425290">
        <w:rPr>
          <w:sz w:val="28"/>
          <w:highlight w:val="yellow"/>
        </w:rPr>
        <w:t>te. The total present value is £</w:t>
      </w:r>
      <w:r w:rsidRPr="00425290">
        <w:rPr>
          <w:sz w:val="28"/>
          <w:highlight w:val="yellow"/>
        </w:rPr>
        <w:t>91.08. There is a 3-year payback period, and the ARR is 11.67%.</w:t>
      </w:r>
    </w:p>
    <w:p w14:paraId="25846963" w14:textId="77777777" w:rsidR="00B21AE3" w:rsidRPr="00425290" w:rsidRDefault="00357ABC" w:rsidP="002E3FDE">
      <w:pPr>
        <w:pStyle w:val="Heading2"/>
        <w:rPr>
          <w:sz w:val="28"/>
        </w:rPr>
      </w:pPr>
      <w:bookmarkStart w:id="16" w:name="_Toc171618605"/>
      <w:r w:rsidRPr="00425290">
        <w:rPr>
          <w:sz w:val="28"/>
        </w:rPr>
        <w:t>Advantages and shortcomings of the investment ap</w:t>
      </w:r>
      <w:r w:rsidR="002E3FDE" w:rsidRPr="00425290">
        <w:rPr>
          <w:sz w:val="28"/>
        </w:rPr>
        <w:t>praisal techniques</w:t>
      </w:r>
      <w:bookmarkEnd w:id="16"/>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0"/>
        <w:gridCol w:w="2985"/>
        <w:gridCol w:w="3015"/>
      </w:tblGrid>
      <w:tr w:rsidR="00A933EF" w:rsidRPr="00425290" w14:paraId="44F6979B" w14:textId="77777777" w:rsidTr="0044406A">
        <w:tc>
          <w:tcPr>
            <w:tcW w:w="3000" w:type="dxa"/>
            <w:shd w:val="clear" w:color="auto" w:fill="auto"/>
            <w:tcMar>
              <w:top w:w="100" w:type="dxa"/>
              <w:left w:w="100" w:type="dxa"/>
              <w:bottom w:w="100" w:type="dxa"/>
              <w:right w:w="100" w:type="dxa"/>
            </w:tcMar>
          </w:tcPr>
          <w:p w14:paraId="63CBBEA0" w14:textId="77777777" w:rsidR="00F07D6A" w:rsidRPr="00425290" w:rsidRDefault="00357ABC" w:rsidP="00F07D6A">
            <w:pPr>
              <w:rPr>
                <w:szCs w:val="24"/>
                <w:highlight w:val="white"/>
              </w:rPr>
            </w:pPr>
            <w:r w:rsidRPr="00425290">
              <w:rPr>
                <w:szCs w:val="24"/>
                <w:highlight w:val="white"/>
              </w:rPr>
              <w:t xml:space="preserve">Investment Appraisal Technique </w:t>
            </w:r>
          </w:p>
        </w:tc>
        <w:tc>
          <w:tcPr>
            <w:tcW w:w="2985" w:type="dxa"/>
            <w:shd w:val="clear" w:color="auto" w:fill="auto"/>
            <w:tcMar>
              <w:top w:w="100" w:type="dxa"/>
              <w:left w:w="100" w:type="dxa"/>
              <w:bottom w:w="100" w:type="dxa"/>
              <w:right w:w="100" w:type="dxa"/>
            </w:tcMar>
          </w:tcPr>
          <w:p w14:paraId="1A5CDACA" w14:textId="77777777" w:rsidR="00F07D6A" w:rsidRPr="00425290" w:rsidRDefault="00357ABC" w:rsidP="00F07D6A">
            <w:pPr>
              <w:rPr>
                <w:szCs w:val="24"/>
                <w:highlight w:val="white"/>
              </w:rPr>
            </w:pPr>
            <w:r w:rsidRPr="00425290">
              <w:rPr>
                <w:szCs w:val="24"/>
                <w:highlight w:val="white"/>
              </w:rPr>
              <w:t>Advantages</w:t>
            </w:r>
          </w:p>
        </w:tc>
        <w:tc>
          <w:tcPr>
            <w:tcW w:w="3015" w:type="dxa"/>
            <w:shd w:val="clear" w:color="auto" w:fill="auto"/>
            <w:tcMar>
              <w:top w:w="100" w:type="dxa"/>
              <w:left w:w="100" w:type="dxa"/>
              <w:bottom w:w="100" w:type="dxa"/>
              <w:right w:w="100" w:type="dxa"/>
            </w:tcMar>
          </w:tcPr>
          <w:p w14:paraId="774248FA" w14:textId="77777777" w:rsidR="00F07D6A" w:rsidRPr="00425290" w:rsidRDefault="00357ABC" w:rsidP="00F07D6A">
            <w:pPr>
              <w:rPr>
                <w:szCs w:val="24"/>
                <w:highlight w:val="white"/>
              </w:rPr>
            </w:pPr>
            <w:r w:rsidRPr="00425290">
              <w:rPr>
                <w:szCs w:val="24"/>
                <w:highlight w:val="white"/>
              </w:rPr>
              <w:t>Disadvantages</w:t>
            </w:r>
          </w:p>
        </w:tc>
      </w:tr>
      <w:tr w:rsidR="00A933EF" w:rsidRPr="00425290" w14:paraId="0F2E33AA" w14:textId="77777777" w:rsidTr="0044406A">
        <w:trPr>
          <w:trHeight w:val="2039"/>
        </w:trPr>
        <w:tc>
          <w:tcPr>
            <w:tcW w:w="3000" w:type="dxa"/>
            <w:shd w:val="clear" w:color="auto" w:fill="auto"/>
            <w:tcMar>
              <w:top w:w="100" w:type="dxa"/>
              <w:left w:w="100" w:type="dxa"/>
              <w:bottom w:w="100" w:type="dxa"/>
              <w:right w:w="100" w:type="dxa"/>
            </w:tcMar>
          </w:tcPr>
          <w:p w14:paraId="4322E7A8" w14:textId="77777777" w:rsidR="00F07D6A" w:rsidRPr="00425290" w:rsidRDefault="00357ABC" w:rsidP="00F07D6A">
            <w:pPr>
              <w:rPr>
                <w:szCs w:val="24"/>
                <w:highlight w:val="white"/>
              </w:rPr>
            </w:pPr>
            <w:r w:rsidRPr="00425290">
              <w:rPr>
                <w:szCs w:val="24"/>
                <w:highlight w:val="white"/>
              </w:rPr>
              <w:lastRenderedPageBreak/>
              <w:t>PBP</w:t>
            </w:r>
          </w:p>
        </w:tc>
        <w:tc>
          <w:tcPr>
            <w:tcW w:w="2985" w:type="dxa"/>
            <w:shd w:val="clear" w:color="auto" w:fill="auto"/>
            <w:tcMar>
              <w:top w:w="100" w:type="dxa"/>
              <w:left w:w="100" w:type="dxa"/>
              <w:bottom w:w="100" w:type="dxa"/>
              <w:right w:w="100" w:type="dxa"/>
            </w:tcMar>
          </w:tcPr>
          <w:p w14:paraId="2D1DE369" w14:textId="77777777" w:rsidR="00F07D6A" w:rsidRPr="00425290" w:rsidRDefault="00357ABC" w:rsidP="00F07D6A">
            <w:pPr>
              <w:rPr>
                <w:szCs w:val="24"/>
                <w:highlight w:val="white"/>
              </w:rPr>
            </w:pPr>
            <w:r w:rsidRPr="00425290">
              <w:rPr>
                <w:szCs w:val="24"/>
              </w:rPr>
              <w:t xml:space="preserve">The </w:t>
            </w:r>
            <w:r w:rsidR="002A7786" w:rsidRPr="00425290">
              <w:rPr>
                <w:szCs w:val="24"/>
              </w:rPr>
              <w:t>payback period</w:t>
            </w:r>
            <w:r w:rsidRPr="00425290">
              <w:rPr>
                <w:szCs w:val="24"/>
              </w:rPr>
              <w:t xml:space="preserve"> is a direct strategy for assessing the time it takes for speculation to recover its underlying expense. Its accessibility for quick decision-making and ease of calculation are two of its primary benefits. It also shows how quickly an investment can start earning returns and gives a precise measure of liquidity risk.</w:t>
            </w:r>
          </w:p>
          <w:p w14:paraId="6EAA02A4" w14:textId="77777777" w:rsidR="00F07D6A" w:rsidRPr="00425290" w:rsidRDefault="00F07D6A" w:rsidP="00F07D6A">
            <w:pPr>
              <w:rPr>
                <w:szCs w:val="24"/>
                <w:highlight w:val="white"/>
              </w:rPr>
            </w:pPr>
          </w:p>
          <w:p w14:paraId="0B344312" w14:textId="77777777" w:rsidR="00F07D6A" w:rsidRPr="00425290" w:rsidRDefault="00F07D6A" w:rsidP="00F07D6A">
            <w:pPr>
              <w:rPr>
                <w:szCs w:val="24"/>
                <w:highlight w:val="white"/>
              </w:rPr>
            </w:pPr>
          </w:p>
          <w:p w14:paraId="6EFDB5D2" w14:textId="77777777" w:rsidR="00F07D6A" w:rsidRPr="00425290" w:rsidRDefault="00F07D6A" w:rsidP="00F07D6A">
            <w:pPr>
              <w:rPr>
                <w:szCs w:val="24"/>
                <w:shd w:val="clear" w:color="auto" w:fill="F4CCCC"/>
              </w:rPr>
            </w:pPr>
          </w:p>
        </w:tc>
        <w:tc>
          <w:tcPr>
            <w:tcW w:w="3015" w:type="dxa"/>
            <w:shd w:val="clear" w:color="auto" w:fill="auto"/>
            <w:tcMar>
              <w:top w:w="100" w:type="dxa"/>
              <w:left w:w="100" w:type="dxa"/>
              <w:bottom w:w="100" w:type="dxa"/>
              <w:right w:w="100" w:type="dxa"/>
            </w:tcMar>
          </w:tcPr>
          <w:p w14:paraId="1635208B" w14:textId="77777777" w:rsidR="00F07D6A" w:rsidRPr="00425290" w:rsidRDefault="00357ABC" w:rsidP="0044406A">
            <w:pPr>
              <w:rPr>
                <w:szCs w:val="24"/>
                <w:shd w:val="clear" w:color="auto" w:fill="F4CCCC"/>
              </w:rPr>
            </w:pPr>
            <w:r w:rsidRPr="00425290">
              <w:rPr>
                <w:szCs w:val="24"/>
              </w:rPr>
              <w:t xml:space="preserve">The payback period has practical shortcomings. It disregards the time worth of cash, meaning it doesn't represent the diminished worth of future incomes. Additionally, this approach disregards any benefits that occur after the payback period, which may disregard profitability in the long run. </w:t>
            </w:r>
            <w:r w:rsidR="00081D25" w:rsidRPr="00425290">
              <w:rPr>
                <w:szCs w:val="24"/>
              </w:rPr>
              <w:t xml:space="preserve">Effectively, the payback period has flaws. It doesn't take into account the value of cash over time, so it doesn't take into account how much less money will be in the future. Also, this approach ignores any advantages that happen after the compensation period, which might dismiss benefits over the long haul. </w:t>
            </w:r>
          </w:p>
        </w:tc>
      </w:tr>
      <w:tr w:rsidR="00A933EF" w:rsidRPr="00425290" w14:paraId="74BE3D6A" w14:textId="77777777" w:rsidTr="0044406A">
        <w:tc>
          <w:tcPr>
            <w:tcW w:w="3000" w:type="dxa"/>
            <w:shd w:val="clear" w:color="auto" w:fill="auto"/>
            <w:tcMar>
              <w:top w:w="100" w:type="dxa"/>
              <w:left w:w="100" w:type="dxa"/>
              <w:bottom w:w="100" w:type="dxa"/>
              <w:right w:w="100" w:type="dxa"/>
            </w:tcMar>
          </w:tcPr>
          <w:p w14:paraId="7A80B8F3" w14:textId="77777777" w:rsidR="00F07D6A" w:rsidRPr="00425290" w:rsidRDefault="00357ABC" w:rsidP="00F07D6A">
            <w:pPr>
              <w:rPr>
                <w:szCs w:val="24"/>
                <w:highlight w:val="white"/>
              </w:rPr>
            </w:pPr>
            <w:r w:rsidRPr="00425290">
              <w:rPr>
                <w:szCs w:val="24"/>
                <w:highlight w:val="white"/>
              </w:rPr>
              <w:t>ARR</w:t>
            </w:r>
          </w:p>
        </w:tc>
        <w:tc>
          <w:tcPr>
            <w:tcW w:w="2985" w:type="dxa"/>
            <w:shd w:val="clear" w:color="auto" w:fill="auto"/>
            <w:tcMar>
              <w:top w:w="100" w:type="dxa"/>
              <w:left w:w="100" w:type="dxa"/>
              <w:bottom w:w="100" w:type="dxa"/>
              <w:right w:w="100" w:type="dxa"/>
            </w:tcMar>
          </w:tcPr>
          <w:p w14:paraId="37444B52" w14:textId="77777777" w:rsidR="00F07D6A" w:rsidRPr="00425290" w:rsidRDefault="00357ABC" w:rsidP="00F07D6A">
            <w:pPr>
              <w:rPr>
                <w:szCs w:val="24"/>
                <w:highlight w:val="white"/>
              </w:rPr>
            </w:pPr>
            <w:r w:rsidRPr="00425290">
              <w:rPr>
                <w:szCs w:val="24"/>
              </w:rPr>
              <w:t xml:space="preserve">The Accounting Rate of Return (ARR) offers several advantages. </w:t>
            </w:r>
            <w:r w:rsidR="00081D25" w:rsidRPr="00425290">
              <w:rPr>
                <w:szCs w:val="24"/>
              </w:rPr>
              <w:t xml:space="preserve">With readily accessible accounting data, it is simple to comprehend and compute. ARR centres around benefit, giving a </w:t>
            </w:r>
            <w:r w:rsidR="00081D25" w:rsidRPr="00425290">
              <w:rPr>
                <w:szCs w:val="24"/>
              </w:rPr>
              <w:lastRenderedPageBreak/>
              <w:t>reasonable rate of profit from speculation, which supports contrasting various tasks. It thinks about the whole venture's life, providing a complete perspective on possible returns. Additionally, ARR is compatible with standard financial metrics, making it useful for internal evaluations and stakeholder communication of economic performance.</w:t>
            </w:r>
          </w:p>
        </w:tc>
        <w:tc>
          <w:tcPr>
            <w:tcW w:w="3015" w:type="dxa"/>
            <w:shd w:val="clear" w:color="auto" w:fill="auto"/>
            <w:tcMar>
              <w:top w:w="100" w:type="dxa"/>
              <w:left w:w="100" w:type="dxa"/>
              <w:bottom w:w="100" w:type="dxa"/>
              <w:right w:w="100" w:type="dxa"/>
            </w:tcMar>
          </w:tcPr>
          <w:p w14:paraId="520A6B2B" w14:textId="77777777" w:rsidR="00F07D6A" w:rsidRPr="00425290" w:rsidRDefault="00357ABC" w:rsidP="00F07D6A">
            <w:pPr>
              <w:rPr>
                <w:szCs w:val="24"/>
                <w:highlight w:val="white"/>
              </w:rPr>
            </w:pPr>
            <w:r w:rsidRPr="00425290">
              <w:rPr>
                <w:szCs w:val="24"/>
              </w:rPr>
              <w:lastRenderedPageBreak/>
              <w:t xml:space="preserve">There are several drawbacks to the Accounting Rate of Return (ARR). </w:t>
            </w:r>
            <w:r w:rsidR="00081D25" w:rsidRPr="00425290">
              <w:rPr>
                <w:szCs w:val="24"/>
              </w:rPr>
              <w:t xml:space="preserve">It ignores the time of money, failing to address when earnings occur. ARR is bases on accounting benefits rather </w:t>
            </w:r>
            <w:r w:rsidR="00081D25" w:rsidRPr="00425290">
              <w:rPr>
                <w:szCs w:val="24"/>
              </w:rPr>
              <w:lastRenderedPageBreak/>
              <w:t xml:space="preserve">than livelihoods, perhaps deforming the certified financial expense of an </w:t>
            </w:r>
            <w:proofErr w:type="spellStart"/>
            <w:r w:rsidR="00081D25" w:rsidRPr="00425290">
              <w:rPr>
                <w:szCs w:val="24"/>
              </w:rPr>
              <w:t>endeavor</w:t>
            </w:r>
            <w:proofErr w:type="spellEnd"/>
            <w:r w:rsidR="00081D25" w:rsidRPr="00425290">
              <w:rPr>
                <w:szCs w:val="24"/>
              </w:rPr>
              <w:t>. It likewise doesn't think about the venture's gamble and vulnerability, sending a potential mixed signal of its practicality. Also, ARR doesn't consider the impact of the endeavour's length, which can impact the precision of advantage relationships.</w:t>
            </w:r>
          </w:p>
        </w:tc>
      </w:tr>
      <w:tr w:rsidR="00A933EF" w:rsidRPr="00425290" w14:paraId="7B285BDA" w14:textId="77777777" w:rsidTr="0044406A">
        <w:tc>
          <w:tcPr>
            <w:tcW w:w="3000" w:type="dxa"/>
            <w:shd w:val="clear" w:color="auto" w:fill="auto"/>
            <w:tcMar>
              <w:top w:w="100" w:type="dxa"/>
              <w:left w:w="100" w:type="dxa"/>
              <w:bottom w:w="100" w:type="dxa"/>
              <w:right w:w="100" w:type="dxa"/>
            </w:tcMar>
          </w:tcPr>
          <w:p w14:paraId="414701D2" w14:textId="77777777" w:rsidR="000E29B2" w:rsidRPr="00425290" w:rsidRDefault="00357ABC" w:rsidP="000E29B2">
            <w:pPr>
              <w:rPr>
                <w:szCs w:val="24"/>
                <w:highlight w:val="white"/>
              </w:rPr>
            </w:pPr>
            <w:r w:rsidRPr="00425290">
              <w:rPr>
                <w:szCs w:val="24"/>
                <w:highlight w:val="white"/>
              </w:rPr>
              <w:lastRenderedPageBreak/>
              <w:t>NPV</w:t>
            </w:r>
          </w:p>
        </w:tc>
        <w:tc>
          <w:tcPr>
            <w:tcW w:w="2985" w:type="dxa"/>
            <w:shd w:val="clear" w:color="auto" w:fill="auto"/>
            <w:tcMar>
              <w:top w:w="100" w:type="dxa"/>
              <w:left w:w="100" w:type="dxa"/>
              <w:bottom w:w="100" w:type="dxa"/>
              <w:right w:w="100" w:type="dxa"/>
            </w:tcMar>
          </w:tcPr>
          <w:p w14:paraId="5C1DA7EF" w14:textId="77777777" w:rsidR="000E29B2" w:rsidRPr="00425290" w:rsidRDefault="00357ABC" w:rsidP="000E29B2">
            <w:pPr>
              <w:pStyle w:val="NormalWeb"/>
              <w:spacing w:before="240" w:beforeAutospacing="0" w:after="240" w:afterAutospacing="0" w:line="360" w:lineRule="auto"/>
              <w:jc w:val="both"/>
            </w:pPr>
            <w:r w:rsidRPr="00425290">
              <w:t xml:space="preserve">Net Present Value (NPV) offers considerable benefits in venture examination. </w:t>
            </w:r>
            <w:r w:rsidR="00081D25" w:rsidRPr="00425290">
              <w:t xml:space="preserve">By taking into account the time value of money, flows provide a more accurate assessment of a project's profitability. The lifespan of a project, including both inflows and outflows, is taken into account by the net present value (NPV). It contributes a reasonable amount of significant value to the company and supports improved </w:t>
            </w:r>
            <w:proofErr w:type="gramStart"/>
            <w:r w:rsidR="00081D25" w:rsidRPr="00425290">
              <w:t>direction.</w:t>
            </w:r>
            <w:r w:rsidRPr="00425290">
              <w:t>.</w:t>
            </w:r>
            <w:proofErr w:type="gramEnd"/>
            <w:r w:rsidRPr="00425290">
              <w:t xml:space="preserve"> NPV objectively assesses an </w:t>
            </w:r>
            <w:r w:rsidRPr="00425290">
              <w:lastRenderedPageBreak/>
              <w:t>investment's economic impact by focusing on cash flows rather than profits.</w:t>
            </w:r>
          </w:p>
          <w:p w14:paraId="78C06312" w14:textId="77777777" w:rsidR="000E29B2" w:rsidRPr="00425290" w:rsidRDefault="000E29B2" w:rsidP="000E29B2">
            <w:pPr>
              <w:rPr>
                <w:szCs w:val="24"/>
                <w:shd w:val="clear" w:color="auto" w:fill="F4CCCC"/>
              </w:rPr>
            </w:pPr>
          </w:p>
        </w:tc>
        <w:tc>
          <w:tcPr>
            <w:tcW w:w="3015" w:type="dxa"/>
            <w:shd w:val="clear" w:color="auto" w:fill="auto"/>
            <w:tcMar>
              <w:top w:w="100" w:type="dxa"/>
              <w:left w:w="100" w:type="dxa"/>
              <w:bottom w:w="100" w:type="dxa"/>
              <w:right w:w="100" w:type="dxa"/>
            </w:tcMar>
          </w:tcPr>
          <w:p w14:paraId="07A5B549" w14:textId="77777777" w:rsidR="000E29B2" w:rsidRPr="00425290" w:rsidRDefault="00357ABC" w:rsidP="000E29B2">
            <w:pPr>
              <w:rPr>
                <w:szCs w:val="24"/>
                <w:shd w:val="clear" w:color="auto" w:fill="F4CCCC"/>
              </w:rPr>
            </w:pPr>
            <w:r w:rsidRPr="00425290">
              <w:lastRenderedPageBreak/>
              <w:t xml:space="preserve">There are some drawbacks to the Net Present Value (NPV) method. It relies heavily on accurate estimates of future cash flows and the discount rate, which can be challenging to predict and cause mistakes. NPV computations can be intricate, requiring itemized monetary examination and displaying. Moreover, it doesn't consider the venture's scale, possibly disregarding more modest undertakings that might be helpful. Lastly, the NPV assumes constant </w:t>
            </w:r>
            <w:r w:rsidRPr="00425290">
              <w:lastRenderedPageBreak/>
              <w:t>risk throughout the project, which may not reflect actual uncertainties and shifts in risk profile.</w:t>
            </w:r>
          </w:p>
        </w:tc>
      </w:tr>
    </w:tbl>
    <w:p w14:paraId="5658AC16" w14:textId="77777777" w:rsidR="00F07D6A" w:rsidRPr="00425290" w:rsidRDefault="00F07D6A" w:rsidP="00F07D6A">
      <w:pPr>
        <w:pStyle w:val="Normal1"/>
        <w:rPr>
          <w:sz w:val="24"/>
        </w:rPr>
      </w:pPr>
    </w:p>
    <w:p w14:paraId="22CEA56E" w14:textId="77777777" w:rsidR="00B21AE3" w:rsidRPr="00425290" w:rsidRDefault="00357ABC" w:rsidP="002E3FDE">
      <w:pPr>
        <w:pStyle w:val="Heading2"/>
        <w:rPr>
          <w:sz w:val="28"/>
        </w:rPr>
      </w:pPr>
      <w:bookmarkStart w:id="17" w:name="_Toc171618606"/>
      <w:r w:rsidRPr="00425290">
        <w:rPr>
          <w:sz w:val="28"/>
        </w:rPr>
        <w:t>Non-financial factors that sh</w:t>
      </w:r>
      <w:r w:rsidR="002E3FDE" w:rsidRPr="00425290">
        <w:rPr>
          <w:sz w:val="28"/>
        </w:rPr>
        <w:t>ould be considered</w:t>
      </w:r>
      <w:bookmarkEnd w:id="17"/>
    </w:p>
    <w:p w14:paraId="6CAD33D7" w14:textId="77777777" w:rsidR="00F07D6A" w:rsidRPr="00425290" w:rsidRDefault="00357ABC" w:rsidP="00F07D6A">
      <w:pPr>
        <w:rPr>
          <w:sz w:val="28"/>
        </w:rPr>
      </w:pPr>
      <w:r w:rsidRPr="00425290">
        <w:rPr>
          <w:b/>
          <w:bCs/>
          <w:sz w:val="28"/>
        </w:rPr>
        <w:t>Environmental factor-</w:t>
      </w:r>
      <w:r w:rsidRPr="00425290">
        <w:rPr>
          <w:sz w:val="28"/>
        </w:rPr>
        <w:t xml:space="preserve"> Besides the business aspect of Shell PLC, there are ecological aspects too which this humongous company needs to consider, as the bi-products emitted from this production house are harmful to the ecosystem immensely. </w:t>
      </w:r>
    </w:p>
    <w:p w14:paraId="4BAAB8DD" w14:textId="77777777" w:rsidR="00F07D6A" w:rsidRPr="00425290" w:rsidRDefault="00357ABC" w:rsidP="00F07D6A">
      <w:pPr>
        <w:pStyle w:val="ListParagraph"/>
        <w:numPr>
          <w:ilvl w:val="0"/>
          <w:numId w:val="10"/>
        </w:numPr>
        <w:rPr>
          <w:sz w:val="28"/>
        </w:rPr>
      </w:pPr>
      <w:r w:rsidRPr="00425290">
        <w:rPr>
          <w:sz w:val="28"/>
        </w:rPr>
        <w:t>Shell is still on the venture of drilling for new energy sources. Even though environmental measures and the roles of the companies belonging to the developed nation were set by the Paris Agreement, which stated that drilling for fossil fuels must be reduced to 0% steadily. On the contrary, Shell continues its search for new sources of oil and gas.</w:t>
      </w:r>
    </w:p>
    <w:p w14:paraId="6F82D691" w14:textId="77777777" w:rsidR="00F07D6A" w:rsidRPr="00425290" w:rsidRDefault="00357ABC" w:rsidP="00F07D6A">
      <w:pPr>
        <w:pStyle w:val="ListParagraph"/>
        <w:numPr>
          <w:ilvl w:val="0"/>
          <w:numId w:val="10"/>
        </w:numPr>
        <w:rPr>
          <w:sz w:val="28"/>
        </w:rPr>
      </w:pPr>
      <w:r w:rsidRPr="00425290">
        <w:rPr>
          <w:sz w:val="28"/>
        </w:rPr>
        <w:t xml:space="preserve">Until at least 2030, Shell has decided to continue with the process of natural gas and fossil fuel. They must ensure, to find other renewable sources for manufacturing their product which is less harmful and more sustainable for this planet. Shell’s 95% of investments go into oil and gas production extraction. Shell invests a mere share </w:t>
      </w:r>
      <w:proofErr w:type="gramStart"/>
      <w:r w:rsidRPr="00425290">
        <w:rPr>
          <w:sz w:val="28"/>
        </w:rPr>
        <w:t>of  5</w:t>
      </w:r>
      <w:proofErr w:type="gramEnd"/>
      <w:r w:rsidRPr="00425290">
        <w:rPr>
          <w:sz w:val="28"/>
        </w:rPr>
        <w:t>% in the utilization of renewable energy.</w:t>
      </w:r>
    </w:p>
    <w:p w14:paraId="096E622E" w14:textId="77777777" w:rsidR="00F07D6A" w:rsidRPr="00425290" w:rsidRDefault="00357ABC" w:rsidP="00F07D6A">
      <w:pPr>
        <w:pStyle w:val="ListParagraph"/>
        <w:numPr>
          <w:ilvl w:val="0"/>
          <w:numId w:val="10"/>
        </w:numPr>
        <w:rPr>
          <w:sz w:val="28"/>
        </w:rPr>
      </w:pPr>
      <w:r w:rsidRPr="00425290">
        <w:rPr>
          <w:sz w:val="28"/>
        </w:rPr>
        <w:t xml:space="preserve">Basically, Shell still needs to plan a concrete phase-out plan for fossil fuels. Moreover, the company needs more effective target planning </w:t>
      </w:r>
      <w:r w:rsidR="00DD51A5" w:rsidRPr="00425290">
        <w:rPr>
          <w:sz w:val="28"/>
        </w:rPr>
        <w:t>to ensure</w:t>
      </w:r>
      <w:r w:rsidRPr="00425290">
        <w:rPr>
          <w:sz w:val="28"/>
        </w:rPr>
        <w:t xml:space="preserve"> the efficient management of sustainability on the planet. As a result, the recent plans need to be revised to maintain the satisfactory 1.5-degree global warming limit, which could have been conducive for this planet.</w:t>
      </w:r>
    </w:p>
    <w:p w14:paraId="6AB92898" w14:textId="77777777" w:rsidR="00F07D6A" w:rsidRPr="00425290" w:rsidRDefault="00357ABC" w:rsidP="00F07D6A">
      <w:pPr>
        <w:rPr>
          <w:sz w:val="28"/>
        </w:rPr>
      </w:pPr>
      <w:r w:rsidRPr="00425290">
        <w:rPr>
          <w:b/>
          <w:bCs/>
          <w:sz w:val="28"/>
        </w:rPr>
        <w:lastRenderedPageBreak/>
        <w:t xml:space="preserve">Technological factor- </w:t>
      </w:r>
      <w:r w:rsidRPr="00425290">
        <w:rPr>
          <w:sz w:val="28"/>
        </w:rPr>
        <w:t xml:space="preserve">The time of utilizing unrestrained amounts of oil and gas is about to be concluded. Thus, developing new technologies to detect reservoirs that were once invisible, for instance, at depths of more than 3,000 </w:t>
      </w:r>
      <w:r w:rsidR="00DD51A5" w:rsidRPr="00425290">
        <w:rPr>
          <w:sz w:val="28"/>
        </w:rPr>
        <w:t>meters</w:t>
      </w:r>
      <w:r w:rsidRPr="00425290">
        <w:rPr>
          <w:sz w:val="28"/>
        </w:rPr>
        <w:t xml:space="preserve"> or hidden under thick layers of salt deep below the sea bed. </w:t>
      </w:r>
    </w:p>
    <w:p w14:paraId="5C573DA9" w14:textId="77777777" w:rsidR="00F07D6A" w:rsidRPr="00425290" w:rsidRDefault="00357ABC" w:rsidP="00F07D6A">
      <w:pPr>
        <w:rPr>
          <w:sz w:val="28"/>
        </w:rPr>
      </w:pPr>
      <w:r w:rsidRPr="00425290">
        <w:rPr>
          <w:sz w:val="28"/>
        </w:rPr>
        <w:t xml:space="preserve">Alaskan oil campaign - Shell has faced hurdles while dealing with </w:t>
      </w:r>
      <w:proofErr w:type="gramStart"/>
      <w:r w:rsidRPr="00425290">
        <w:rPr>
          <w:sz w:val="28"/>
        </w:rPr>
        <w:t>the  Alaskan</w:t>
      </w:r>
      <w:proofErr w:type="gramEnd"/>
      <w:r w:rsidRPr="00425290">
        <w:rPr>
          <w:sz w:val="28"/>
        </w:rPr>
        <w:t xml:space="preserve"> oil campaign, which a host of regulatory and legal challenges and equipment failures has beset. </w:t>
      </w:r>
    </w:p>
    <w:p w14:paraId="19E5728F" w14:textId="77777777" w:rsidR="00B21AE3" w:rsidRPr="00425290" w:rsidRDefault="00357ABC" w:rsidP="002E3FDE">
      <w:pPr>
        <w:pStyle w:val="Heading1"/>
        <w:rPr>
          <w:sz w:val="32"/>
        </w:rPr>
      </w:pPr>
      <w:bookmarkStart w:id="18" w:name="_Toc171618607"/>
      <w:r w:rsidRPr="00425290">
        <w:rPr>
          <w:sz w:val="32"/>
        </w:rPr>
        <w:t>Conclusion</w:t>
      </w:r>
      <w:bookmarkEnd w:id="18"/>
    </w:p>
    <w:p w14:paraId="12689C96" w14:textId="77777777" w:rsidR="00B21AE3" w:rsidRPr="00425290" w:rsidRDefault="00357ABC" w:rsidP="002E3FDE">
      <w:pPr>
        <w:rPr>
          <w:sz w:val="28"/>
        </w:rPr>
      </w:pPr>
      <w:r w:rsidRPr="00425290">
        <w:rPr>
          <w:sz w:val="28"/>
        </w:rPr>
        <w:t xml:space="preserve">It can be concluded </w:t>
      </w:r>
      <w:r w:rsidR="00CE7A21">
        <w:rPr>
          <w:sz w:val="28"/>
        </w:rPr>
        <w:t>that f</w:t>
      </w:r>
      <w:r w:rsidR="00CE7A21" w:rsidRPr="00425290">
        <w:rPr>
          <w:sz w:val="28"/>
        </w:rPr>
        <w:t>inancial ability management can be involved with the total abilities of the company so that internal and external management can be developed. In addition, business profit, growth and evaluation are the positive sides of financial management</w:t>
      </w:r>
      <w:r w:rsidR="00CE7A21">
        <w:rPr>
          <w:sz w:val="28"/>
        </w:rPr>
        <w:t xml:space="preserve"> </w:t>
      </w:r>
      <w:r w:rsidRPr="00425290">
        <w:rPr>
          <w:sz w:val="28"/>
        </w:rPr>
        <w:t xml:space="preserve">from the discussion that Shell PLC has diverse financial statements in various years. From 2019 to 2023, ratios and projects are included in the study. Project A and project B are included to know more about the company. </w:t>
      </w:r>
      <w:r w:rsidR="00CE7A21" w:rsidRPr="00425290">
        <w:rPr>
          <w:sz w:val="28"/>
        </w:rPr>
        <w:t xml:space="preserve">The gross margin of Shell plc has depicted an increasing pattern within the ratio, which has shifted from 9.56% </w:t>
      </w:r>
      <w:r w:rsidR="00CE7A21">
        <w:rPr>
          <w:sz w:val="28"/>
        </w:rPr>
        <w:t>to 12.65% over the last 5years</w:t>
      </w:r>
      <w:r w:rsidRPr="00425290">
        <w:rPr>
          <w:sz w:val="28"/>
        </w:rPr>
        <w:t>. The company can maintain all the activities and mitigate the risks by understanding financial management and calculating various ratios.</w:t>
      </w:r>
    </w:p>
    <w:p w14:paraId="524BE8A7" w14:textId="77777777" w:rsidR="00B21AE3" w:rsidRPr="00425290" w:rsidRDefault="00357ABC" w:rsidP="002E3FDE">
      <w:pPr>
        <w:rPr>
          <w:sz w:val="28"/>
        </w:rPr>
      </w:pPr>
      <w:r w:rsidRPr="00425290">
        <w:rPr>
          <w:sz w:val="28"/>
        </w:rPr>
        <w:t xml:space="preserve">Shell PLC is involved with four financial management types: private, corporate, non-profit, and internal. Character, capacity, collaboration, and capital are concerned with financial management. The particular study also gives accountability about ARR, payback period, and various types of ratios. Calculation and analysis both help understand the survey better. Comparisons and recommendations can be seen in the study. In the initial stage, planning financial management is mandatory as it needs to be perfect in Shell PLC.   </w:t>
      </w:r>
    </w:p>
    <w:p w14:paraId="4529376B" w14:textId="77777777" w:rsidR="00B21AE3" w:rsidRPr="002E3FDE" w:rsidRDefault="00B21AE3" w:rsidP="002E3FDE"/>
    <w:p w14:paraId="593FDB29" w14:textId="77777777" w:rsidR="002E3FDE" w:rsidRDefault="00357ABC">
      <w:pPr>
        <w:spacing w:before="0" w:after="0" w:line="276" w:lineRule="auto"/>
        <w:jc w:val="left"/>
        <w:rPr>
          <w:b/>
          <w:sz w:val="28"/>
          <w:szCs w:val="40"/>
        </w:rPr>
      </w:pPr>
      <w:r>
        <w:lastRenderedPageBreak/>
        <w:br w:type="page"/>
      </w:r>
    </w:p>
    <w:p w14:paraId="01C7A531" w14:textId="77777777" w:rsidR="002E3FDE" w:rsidRPr="002E3FDE" w:rsidRDefault="00357ABC" w:rsidP="002E3FDE">
      <w:pPr>
        <w:pStyle w:val="Heading1"/>
      </w:pPr>
      <w:bookmarkStart w:id="19" w:name="_Toc171618608"/>
      <w:r>
        <w:lastRenderedPageBreak/>
        <w:t>Reference list</w:t>
      </w:r>
      <w:bookmarkEnd w:id="19"/>
    </w:p>
    <w:p w14:paraId="6318EE7D" w14:textId="77777777" w:rsidR="006F7AF3" w:rsidRPr="00870B6F" w:rsidRDefault="00357ABC" w:rsidP="00E079C5">
      <w:pPr>
        <w:rPr>
          <w:rFonts w:cs="Times New Roman"/>
          <w:color w:val="222222"/>
          <w:szCs w:val="24"/>
          <w:shd w:val="clear" w:color="auto" w:fill="FFFFFF"/>
        </w:rPr>
      </w:pPr>
      <w:proofErr w:type="spellStart"/>
      <w:r w:rsidRPr="00870B6F">
        <w:rPr>
          <w:rFonts w:cs="Times New Roman"/>
          <w:color w:val="222222"/>
          <w:szCs w:val="24"/>
          <w:shd w:val="clear" w:color="auto" w:fill="FFFFFF"/>
        </w:rPr>
        <w:t>Binsaddig</w:t>
      </w:r>
      <w:proofErr w:type="spellEnd"/>
      <w:r w:rsidRPr="00870B6F">
        <w:rPr>
          <w:rFonts w:cs="Times New Roman"/>
          <w:color w:val="222222"/>
          <w:szCs w:val="24"/>
          <w:shd w:val="clear" w:color="auto" w:fill="FFFFFF"/>
        </w:rPr>
        <w:t>, R., Ali, A., Al-</w:t>
      </w:r>
      <w:proofErr w:type="spellStart"/>
      <w:r w:rsidRPr="00870B6F">
        <w:rPr>
          <w:rFonts w:cs="Times New Roman"/>
          <w:color w:val="222222"/>
          <w:szCs w:val="24"/>
          <w:shd w:val="clear" w:color="auto" w:fill="FFFFFF"/>
        </w:rPr>
        <w:t>Alkawi</w:t>
      </w:r>
      <w:proofErr w:type="spellEnd"/>
      <w:r w:rsidRPr="00870B6F">
        <w:rPr>
          <w:rFonts w:cs="Times New Roman"/>
          <w:color w:val="222222"/>
          <w:szCs w:val="24"/>
          <w:shd w:val="clear" w:color="auto" w:fill="FFFFFF"/>
        </w:rPr>
        <w:t xml:space="preserve">, T. and Ali, B.J., </w:t>
      </w:r>
      <w:r>
        <w:rPr>
          <w:rFonts w:cs="Times New Roman"/>
          <w:color w:val="222222"/>
          <w:szCs w:val="24"/>
          <w:shd w:val="clear" w:color="auto" w:fill="FFFFFF"/>
        </w:rPr>
        <w:t>(</w:t>
      </w:r>
      <w:r w:rsidRPr="00870B6F">
        <w:rPr>
          <w:rFonts w:cs="Times New Roman"/>
          <w:color w:val="222222"/>
          <w:szCs w:val="24"/>
          <w:shd w:val="clear" w:color="auto" w:fill="FFFFFF"/>
        </w:rPr>
        <w:t>2023</w:t>
      </w:r>
      <w:r>
        <w:rPr>
          <w:rFonts w:cs="Times New Roman"/>
          <w:color w:val="222222"/>
          <w:szCs w:val="24"/>
          <w:shd w:val="clear" w:color="auto" w:fill="FFFFFF"/>
        </w:rPr>
        <w:t>)</w:t>
      </w:r>
      <w:r w:rsidRPr="00870B6F">
        <w:rPr>
          <w:rFonts w:cs="Times New Roman"/>
          <w:color w:val="222222"/>
          <w:szCs w:val="24"/>
          <w:shd w:val="clear" w:color="auto" w:fill="FFFFFF"/>
        </w:rPr>
        <w:t>. Inventory Turnover, Accounts Receivable Turnover, and Manufacturing Profitability: An Empirical Study. </w:t>
      </w:r>
      <w:r w:rsidRPr="00870B6F">
        <w:rPr>
          <w:rFonts w:cs="Times New Roman"/>
          <w:i/>
          <w:iCs/>
          <w:color w:val="222222"/>
          <w:szCs w:val="24"/>
          <w:shd w:val="clear" w:color="auto" w:fill="FFFFFF"/>
        </w:rPr>
        <w:t>International Journal of Economics and Finance Studies</w:t>
      </w:r>
      <w:r w:rsidRPr="00870B6F">
        <w:rPr>
          <w:rFonts w:cs="Times New Roman"/>
          <w:color w:val="222222"/>
          <w:szCs w:val="24"/>
          <w:shd w:val="clear" w:color="auto" w:fill="FFFFFF"/>
        </w:rPr>
        <w:t>, </w:t>
      </w:r>
      <w:r w:rsidRPr="00870B6F">
        <w:rPr>
          <w:rFonts w:cs="Times New Roman"/>
          <w:i/>
          <w:iCs/>
          <w:color w:val="222222"/>
          <w:szCs w:val="24"/>
          <w:shd w:val="clear" w:color="auto" w:fill="FFFFFF"/>
        </w:rPr>
        <w:t>15</w:t>
      </w:r>
      <w:r w:rsidRPr="00870B6F">
        <w:rPr>
          <w:rFonts w:cs="Times New Roman"/>
          <w:color w:val="222222"/>
          <w:szCs w:val="24"/>
          <w:shd w:val="clear" w:color="auto" w:fill="FFFFFF"/>
        </w:rPr>
        <w:t>(1), pp.1-16.</w:t>
      </w:r>
      <w:hyperlink r:id="rId19" w:history="1">
        <w:r w:rsidRPr="00870B6F">
          <w:rPr>
            <w:rStyle w:val="Hyperlink"/>
            <w:rFonts w:cs="Times New Roman"/>
            <w:szCs w:val="24"/>
            <w:shd w:val="clear" w:color="auto" w:fill="FFFFFF"/>
          </w:rPr>
          <w:t>https://agbioforum.org/sobiad.org/menuscript/index.php/ijefs/article/download/1394/314</w:t>
        </w:r>
      </w:hyperlink>
    </w:p>
    <w:p w14:paraId="4E821943" w14:textId="77777777" w:rsidR="006F7AF3" w:rsidRPr="00870B6F" w:rsidRDefault="00357ABC" w:rsidP="00E079C5">
      <w:pPr>
        <w:rPr>
          <w:rFonts w:cs="Times New Roman"/>
          <w:color w:val="222222"/>
          <w:szCs w:val="24"/>
          <w:shd w:val="clear" w:color="auto" w:fill="FFFFFF"/>
        </w:rPr>
      </w:pPr>
      <w:r w:rsidRPr="00870B6F">
        <w:rPr>
          <w:rFonts w:cs="Times New Roman"/>
          <w:color w:val="222222"/>
          <w:szCs w:val="24"/>
          <w:shd w:val="clear" w:color="auto" w:fill="FFFFFF"/>
        </w:rPr>
        <w:t xml:space="preserve">Bustani, B., </w:t>
      </w:r>
      <w:proofErr w:type="spellStart"/>
      <w:r w:rsidRPr="00870B6F">
        <w:rPr>
          <w:rFonts w:cs="Times New Roman"/>
          <w:color w:val="222222"/>
          <w:szCs w:val="24"/>
          <w:shd w:val="clear" w:color="auto" w:fill="FFFFFF"/>
        </w:rPr>
        <w:t>Kurniaty</w:t>
      </w:r>
      <w:proofErr w:type="spellEnd"/>
      <w:r w:rsidRPr="00870B6F">
        <w:rPr>
          <w:rFonts w:cs="Times New Roman"/>
          <w:color w:val="222222"/>
          <w:szCs w:val="24"/>
          <w:shd w:val="clear" w:color="auto" w:fill="FFFFFF"/>
        </w:rPr>
        <w:t xml:space="preserve">, K. and </w:t>
      </w:r>
      <w:proofErr w:type="spellStart"/>
      <w:r w:rsidRPr="00870B6F">
        <w:rPr>
          <w:rFonts w:cs="Times New Roman"/>
          <w:color w:val="222222"/>
          <w:szCs w:val="24"/>
          <w:shd w:val="clear" w:color="auto" w:fill="FFFFFF"/>
        </w:rPr>
        <w:t>Widyanti</w:t>
      </w:r>
      <w:proofErr w:type="spellEnd"/>
      <w:r w:rsidRPr="00870B6F">
        <w:rPr>
          <w:rFonts w:cs="Times New Roman"/>
          <w:color w:val="222222"/>
          <w:szCs w:val="24"/>
          <w:shd w:val="clear" w:color="auto" w:fill="FFFFFF"/>
        </w:rPr>
        <w:t xml:space="preserve">, R., </w:t>
      </w:r>
      <w:r>
        <w:rPr>
          <w:rFonts w:cs="Times New Roman"/>
          <w:color w:val="222222"/>
          <w:szCs w:val="24"/>
          <w:shd w:val="clear" w:color="auto" w:fill="FFFFFF"/>
        </w:rPr>
        <w:t>(</w:t>
      </w:r>
      <w:r w:rsidRPr="00870B6F">
        <w:rPr>
          <w:rFonts w:cs="Times New Roman"/>
          <w:color w:val="222222"/>
          <w:szCs w:val="24"/>
          <w:shd w:val="clear" w:color="auto" w:fill="FFFFFF"/>
        </w:rPr>
        <w:t>2021</w:t>
      </w:r>
      <w:r>
        <w:rPr>
          <w:rFonts w:cs="Times New Roman"/>
          <w:color w:val="222222"/>
          <w:szCs w:val="24"/>
          <w:shd w:val="clear" w:color="auto" w:fill="FFFFFF"/>
        </w:rPr>
        <w:t>)</w:t>
      </w:r>
      <w:r w:rsidRPr="00870B6F">
        <w:rPr>
          <w:rFonts w:cs="Times New Roman"/>
          <w:color w:val="222222"/>
          <w:szCs w:val="24"/>
          <w:shd w:val="clear" w:color="auto" w:fill="FFFFFF"/>
        </w:rPr>
        <w:t>. The effect of earning per share, price to book value, dividend payout ratio, and net profit margin on the stock price in Indonesia stock exchange. </w:t>
      </w:r>
      <w:proofErr w:type="spellStart"/>
      <w:r w:rsidRPr="00870B6F">
        <w:rPr>
          <w:rFonts w:cs="Times New Roman"/>
          <w:i/>
          <w:iCs/>
          <w:color w:val="222222"/>
          <w:szCs w:val="24"/>
          <w:shd w:val="clear" w:color="auto" w:fill="FFFFFF"/>
        </w:rPr>
        <w:t>Jurnal</w:t>
      </w:r>
      <w:proofErr w:type="spellEnd"/>
      <w:r w:rsidRPr="00870B6F">
        <w:rPr>
          <w:rFonts w:cs="Times New Roman"/>
          <w:i/>
          <w:iCs/>
          <w:color w:val="222222"/>
          <w:szCs w:val="24"/>
          <w:shd w:val="clear" w:color="auto" w:fill="FFFFFF"/>
        </w:rPr>
        <w:t xml:space="preserve"> </w:t>
      </w:r>
      <w:proofErr w:type="spellStart"/>
      <w:r w:rsidRPr="00870B6F">
        <w:rPr>
          <w:rFonts w:cs="Times New Roman"/>
          <w:i/>
          <w:iCs/>
          <w:color w:val="222222"/>
          <w:szCs w:val="24"/>
          <w:shd w:val="clear" w:color="auto" w:fill="FFFFFF"/>
        </w:rPr>
        <w:t>Maksipreneur</w:t>
      </w:r>
      <w:proofErr w:type="spellEnd"/>
      <w:r w:rsidRPr="00870B6F">
        <w:rPr>
          <w:rFonts w:cs="Times New Roman"/>
          <w:i/>
          <w:iCs/>
          <w:color w:val="222222"/>
          <w:szCs w:val="24"/>
          <w:shd w:val="clear" w:color="auto" w:fill="FFFFFF"/>
        </w:rPr>
        <w:t xml:space="preserve">: </w:t>
      </w:r>
      <w:proofErr w:type="spellStart"/>
      <w:r w:rsidRPr="00870B6F">
        <w:rPr>
          <w:rFonts w:cs="Times New Roman"/>
          <w:i/>
          <w:iCs/>
          <w:color w:val="222222"/>
          <w:szCs w:val="24"/>
          <w:shd w:val="clear" w:color="auto" w:fill="FFFFFF"/>
        </w:rPr>
        <w:t>Manajemen</w:t>
      </w:r>
      <w:proofErr w:type="spellEnd"/>
      <w:r w:rsidRPr="00870B6F">
        <w:rPr>
          <w:rFonts w:cs="Times New Roman"/>
          <w:i/>
          <w:iCs/>
          <w:color w:val="222222"/>
          <w:szCs w:val="24"/>
          <w:shd w:val="clear" w:color="auto" w:fill="FFFFFF"/>
        </w:rPr>
        <w:t xml:space="preserve">, </w:t>
      </w:r>
      <w:proofErr w:type="spellStart"/>
      <w:r w:rsidRPr="00870B6F">
        <w:rPr>
          <w:rFonts w:cs="Times New Roman"/>
          <w:i/>
          <w:iCs/>
          <w:color w:val="222222"/>
          <w:szCs w:val="24"/>
          <w:shd w:val="clear" w:color="auto" w:fill="FFFFFF"/>
        </w:rPr>
        <w:t>Koperasi</w:t>
      </w:r>
      <w:proofErr w:type="spellEnd"/>
      <w:r w:rsidRPr="00870B6F">
        <w:rPr>
          <w:rFonts w:cs="Times New Roman"/>
          <w:i/>
          <w:iCs/>
          <w:color w:val="222222"/>
          <w:szCs w:val="24"/>
          <w:shd w:val="clear" w:color="auto" w:fill="FFFFFF"/>
        </w:rPr>
        <w:t>, dan Entrepreneurship</w:t>
      </w:r>
      <w:r w:rsidRPr="00870B6F">
        <w:rPr>
          <w:rFonts w:cs="Times New Roman"/>
          <w:color w:val="222222"/>
          <w:szCs w:val="24"/>
          <w:shd w:val="clear" w:color="auto" w:fill="FFFFFF"/>
        </w:rPr>
        <w:t>, </w:t>
      </w:r>
      <w:r w:rsidRPr="00870B6F">
        <w:rPr>
          <w:rFonts w:cs="Times New Roman"/>
          <w:i/>
          <w:iCs/>
          <w:color w:val="222222"/>
          <w:szCs w:val="24"/>
          <w:shd w:val="clear" w:color="auto" w:fill="FFFFFF"/>
        </w:rPr>
        <w:t>11</w:t>
      </w:r>
      <w:r w:rsidRPr="00870B6F">
        <w:rPr>
          <w:rFonts w:cs="Times New Roman"/>
          <w:color w:val="222222"/>
          <w:szCs w:val="24"/>
          <w:shd w:val="clear" w:color="auto" w:fill="FFFFFF"/>
        </w:rPr>
        <w:t>(1), pp.1-18.</w:t>
      </w:r>
      <w:hyperlink r:id="rId20" w:history="1">
        <w:r w:rsidRPr="00870B6F">
          <w:rPr>
            <w:rStyle w:val="Hyperlink"/>
            <w:rFonts w:cs="Times New Roman"/>
            <w:szCs w:val="24"/>
            <w:shd w:val="clear" w:color="auto" w:fill="FFFFFF"/>
          </w:rPr>
          <w:t>https://ojs3.up45.ac.id/index.php/maksipreneur/article/view/810</w:t>
        </w:r>
      </w:hyperlink>
    </w:p>
    <w:p w14:paraId="701006BD" w14:textId="77777777" w:rsidR="006F7AF3" w:rsidRDefault="00357ABC" w:rsidP="00F07D6A">
      <w:pPr>
        <w:rPr>
          <w:rFonts w:eastAsia="Times New Roman" w:cs="Times New Roman"/>
          <w:color w:val="222222"/>
          <w:szCs w:val="24"/>
          <w:highlight w:val="white"/>
        </w:rPr>
      </w:pPr>
      <w:r>
        <w:rPr>
          <w:rFonts w:eastAsia="Times New Roman" w:cs="Times New Roman"/>
          <w:color w:val="222222"/>
          <w:szCs w:val="24"/>
          <w:highlight w:val="white"/>
        </w:rPr>
        <w:t xml:space="preserve">Cho, T., </w:t>
      </w:r>
      <w:proofErr w:type="spellStart"/>
      <w:r>
        <w:rPr>
          <w:rFonts w:eastAsia="Times New Roman" w:cs="Times New Roman"/>
          <w:color w:val="222222"/>
          <w:szCs w:val="24"/>
          <w:highlight w:val="white"/>
        </w:rPr>
        <w:t>Kremens</w:t>
      </w:r>
      <w:proofErr w:type="spellEnd"/>
      <w:r>
        <w:rPr>
          <w:rFonts w:eastAsia="Times New Roman" w:cs="Times New Roman"/>
          <w:color w:val="222222"/>
          <w:szCs w:val="24"/>
          <w:highlight w:val="white"/>
        </w:rPr>
        <w:t xml:space="preserve">, L., Lee, D. and Polk, C., (2024). Scale or yield? A present-value identity. </w:t>
      </w:r>
      <w:r>
        <w:rPr>
          <w:rFonts w:eastAsia="Times New Roman" w:cs="Times New Roman"/>
          <w:i/>
          <w:color w:val="222222"/>
          <w:szCs w:val="24"/>
          <w:highlight w:val="white"/>
        </w:rPr>
        <w:t>The Review of Financial Studies</w:t>
      </w:r>
      <w:r>
        <w:rPr>
          <w:rFonts w:eastAsia="Times New Roman" w:cs="Times New Roman"/>
          <w:color w:val="222222"/>
          <w:szCs w:val="24"/>
          <w:highlight w:val="white"/>
        </w:rPr>
        <w:t xml:space="preserve">, </w:t>
      </w:r>
      <w:r>
        <w:rPr>
          <w:rFonts w:eastAsia="Times New Roman" w:cs="Times New Roman"/>
          <w:i/>
          <w:color w:val="222222"/>
          <w:szCs w:val="24"/>
          <w:highlight w:val="white"/>
        </w:rPr>
        <w:t>37</w:t>
      </w:r>
      <w:r>
        <w:rPr>
          <w:rFonts w:eastAsia="Times New Roman" w:cs="Times New Roman"/>
          <w:color w:val="222222"/>
          <w:szCs w:val="24"/>
          <w:highlight w:val="white"/>
        </w:rPr>
        <w:t>(3), pp.950-988.</w:t>
      </w:r>
      <w:hyperlink r:id="rId21">
        <w:r>
          <w:rPr>
            <w:rFonts w:eastAsia="Times New Roman" w:cs="Times New Roman"/>
            <w:color w:val="1155CC"/>
            <w:szCs w:val="24"/>
            <w:highlight w:val="white"/>
            <w:u w:val="single"/>
          </w:rPr>
          <w:t>https://personal.lse.ac.uk/polk/research/ScaleorYield.pdf</w:t>
        </w:r>
      </w:hyperlink>
    </w:p>
    <w:p w14:paraId="31DF73FA" w14:textId="77777777" w:rsidR="006F7AF3" w:rsidRPr="002E3FDE" w:rsidRDefault="00357ABC" w:rsidP="002E3FDE">
      <w:pPr>
        <w:rPr>
          <w:rFonts w:cs="Times New Roman"/>
          <w:szCs w:val="24"/>
          <w:highlight w:val="white"/>
        </w:rPr>
      </w:pPr>
      <w:r w:rsidRPr="002E3FDE">
        <w:rPr>
          <w:rFonts w:cs="Times New Roman"/>
          <w:szCs w:val="24"/>
          <w:highlight w:val="white"/>
        </w:rPr>
        <w:t xml:space="preserve">Cho, T., </w:t>
      </w:r>
      <w:proofErr w:type="spellStart"/>
      <w:r w:rsidRPr="002E3FDE">
        <w:rPr>
          <w:rFonts w:cs="Times New Roman"/>
          <w:szCs w:val="24"/>
          <w:highlight w:val="white"/>
        </w:rPr>
        <w:t>Kremens</w:t>
      </w:r>
      <w:proofErr w:type="spellEnd"/>
      <w:r w:rsidRPr="002E3FDE">
        <w:rPr>
          <w:rFonts w:cs="Times New Roman"/>
          <w:szCs w:val="24"/>
          <w:highlight w:val="white"/>
        </w:rPr>
        <w:t xml:space="preserve">, L., Lee, D. and Polk, C., (2024). Scale or yield? A present-value identity. </w:t>
      </w:r>
      <w:r w:rsidRPr="002E3FDE">
        <w:rPr>
          <w:rFonts w:cs="Times New Roman"/>
          <w:i/>
          <w:szCs w:val="24"/>
          <w:highlight w:val="white"/>
        </w:rPr>
        <w:t>The Review of Financial Studies</w:t>
      </w:r>
      <w:r w:rsidRPr="002E3FDE">
        <w:rPr>
          <w:rFonts w:cs="Times New Roman"/>
          <w:szCs w:val="24"/>
          <w:highlight w:val="white"/>
        </w:rPr>
        <w:t xml:space="preserve">, </w:t>
      </w:r>
      <w:r w:rsidRPr="002E3FDE">
        <w:rPr>
          <w:rFonts w:cs="Times New Roman"/>
          <w:i/>
          <w:szCs w:val="24"/>
          <w:highlight w:val="white"/>
        </w:rPr>
        <w:t>37</w:t>
      </w:r>
      <w:r w:rsidRPr="002E3FDE">
        <w:rPr>
          <w:rFonts w:cs="Times New Roman"/>
          <w:szCs w:val="24"/>
          <w:highlight w:val="white"/>
        </w:rPr>
        <w:t>(3), pp.950-988.</w:t>
      </w:r>
      <w:hyperlink r:id="rId22">
        <w:r w:rsidRPr="002E3FDE">
          <w:rPr>
            <w:rFonts w:cs="Times New Roman"/>
            <w:color w:val="1155CC"/>
            <w:szCs w:val="24"/>
            <w:highlight w:val="white"/>
            <w:u w:val="single"/>
          </w:rPr>
          <w:t>https://personal.lse.ac.uk/polk/research/ScaleorYield.pdf</w:t>
        </w:r>
      </w:hyperlink>
    </w:p>
    <w:p w14:paraId="64710646" w14:textId="77777777" w:rsidR="006F7AF3" w:rsidRPr="00870B6F" w:rsidRDefault="00357ABC" w:rsidP="00E079C5">
      <w:pPr>
        <w:rPr>
          <w:rFonts w:cs="Times New Roman"/>
          <w:color w:val="222222"/>
          <w:szCs w:val="24"/>
          <w:shd w:val="clear" w:color="auto" w:fill="FFFFFF"/>
        </w:rPr>
      </w:pPr>
      <w:proofErr w:type="spellStart"/>
      <w:r w:rsidRPr="00870B6F">
        <w:rPr>
          <w:rFonts w:cs="Times New Roman"/>
          <w:color w:val="222222"/>
          <w:szCs w:val="24"/>
          <w:shd w:val="clear" w:color="auto" w:fill="FFFFFF"/>
        </w:rPr>
        <w:t>Choiriyah</w:t>
      </w:r>
      <w:proofErr w:type="spellEnd"/>
      <w:r w:rsidRPr="00870B6F">
        <w:rPr>
          <w:rFonts w:cs="Times New Roman"/>
          <w:color w:val="222222"/>
          <w:szCs w:val="24"/>
          <w:shd w:val="clear" w:color="auto" w:fill="FFFFFF"/>
        </w:rPr>
        <w:t xml:space="preserve">, C., Fatimah, F., Agustina, S. and </w:t>
      </w:r>
      <w:proofErr w:type="spellStart"/>
      <w:r w:rsidRPr="00870B6F">
        <w:rPr>
          <w:rFonts w:cs="Times New Roman"/>
          <w:color w:val="222222"/>
          <w:szCs w:val="24"/>
          <w:shd w:val="clear" w:color="auto" w:fill="FFFFFF"/>
        </w:rPr>
        <w:t>Ulfa</w:t>
      </w:r>
      <w:proofErr w:type="spellEnd"/>
      <w:r w:rsidRPr="00870B6F">
        <w:rPr>
          <w:rFonts w:cs="Times New Roman"/>
          <w:color w:val="222222"/>
          <w:szCs w:val="24"/>
          <w:shd w:val="clear" w:color="auto" w:fill="FFFFFF"/>
        </w:rPr>
        <w:t xml:space="preserve">, U., </w:t>
      </w:r>
      <w:r>
        <w:rPr>
          <w:rFonts w:cs="Times New Roman"/>
          <w:color w:val="222222"/>
          <w:szCs w:val="24"/>
          <w:shd w:val="clear" w:color="auto" w:fill="FFFFFF"/>
        </w:rPr>
        <w:t>(</w:t>
      </w:r>
      <w:r w:rsidRPr="00870B6F">
        <w:rPr>
          <w:rFonts w:cs="Times New Roman"/>
          <w:color w:val="222222"/>
          <w:szCs w:val="24"/>
          <w:shd w:val="clear" w:color="auto" w:fill="FFFFFF"/>
        </w:rPr>
        <w:t>2020</w:t>
      </w:r>
      <w:r>
        <w:rPr>
          <w:rFonts w:cs="Times New Roman"/>
          <w:color w:val="222222"/>
          <w:szCs w:val="24"/>
          <w:shd w:val="clear" w:color="auto" w:fill="FFFFFF"/>
        </w:rPr>
        <w:t>)</w:t>
      </w:r>
      <w:r w:rsidRPr="00870B6F">
        <w:rPr>
          <w:rFonts w:cs="Times New Roman"/>
          <w:color w:val="222222"/>
          <w:szCs w:val="24"/>
          <w:shd w:val="clear" w:color="auto" w:fill="FFFFFF"/>
        </w:rPr>
        <w:t>. The effect of return on assets, return on equity, net profit margin, earning per share, and operating profit margin on stock prices of banking companies in Indonesia Stock Exchange. </w:t>
      </w:r>
      <w:r w:rsidRPr="00870B6F">
        <w:rPr>
          <w:rFonts w:cs="Times New Roman"/>
          <w:i/>
          <w:iCs/>
          <w:color w:val="222222"/>
          <w:szCs w:val="24"/>
          <w:shd w:val="clear" w:color="auto" w:fill="FFFFFF"/>
        </w:rPr>
        <w:t>International Journal of Finance Research</w:t>
      </w:r>
      <w:r w:rsidRPr="00870B6F">
        <w:rPr>
          <w:rFonts w:cs="Times New Roman"/>
          <w:color w:val="222222"/>
          <w:szCs w:val="24"/>
          <w:shd w:val="clear" w:color="auto" w:fill="FFFFFF"/>
        </w:rPr>
        <w:t>, </w:t>
      </w:r>
      <w:r w:rsidRPr="00870B6F">
        <w:rPr>
          <w:rFonts w:cs="Times New Roman"/>
          <w:i/>
          <w:iCs/>
          <w:color w:val="222222"/>
          <w:szCs w:val="24"/>
          <w:shd w:val="clear" w:color="auto" w:fill="FFFFFF"/>
        </w:rPr>
        <w:t>1</w:t>
      </w:r>
      <w:r w:rsidRPr="00870B6F">
        <w:rPr>
          <w:rFonts w:cs="Times New Roman"/>
          <w:color w:val="222222"/>
          <w:szCs w:val="24"/>
          <w:shd w:val="clear" w:color="auto" w:fill="FFFFFF"/>
        </w:rPr>
        <w:t>(2), pp.103-123.</w:t>
      </w:r>
      <w:hyperlink r:id="rId23" w:history="1">
        <w:r w:rsidRPr="00870B6F">
          <w:rPr>
            <w:rStyle w:val="Hyperlink"/>
            <w:rFonts w:cs="Times New Roman"/>
            <w:szCs w:val="24"/>
            <w:shd w:val="clear" w:color="auto" w:fill="FFFFFF"/>
          </w:rPr>
          <w:t>https://journal.jis-institute.org/index.php/ijfr/article/download/280/213</w:t>
        </w:r>
      </w:hyperlink>
    </w:p>
    <w:p w14:paraId="5F0A9E12" w14:textId="77777777" w:rsidR="006F7AF3" w:rsidRDefault="00357ABC" w:rsidP="00F07D6A">
      <w:pPr>
        <w:rPr>
          <w:rFonts w:eastAsia="Times New Roman" w:cs="Times New Roman"/>
          <w:color w:val="222222"/>
          <w:szCs w:val="24"/>
          <w:highlight w:val="white"/>
        </w:rPr>
      </w:pPr>
      <w:r>
        <w:rPr>
          <w:rFonts w:eastAsia="Times New Roman" w:cs="Times New Roman"/>
          <w:color w:val="222222"/>
          <w:szCs w:val="24"/>
          <w:highlight w:val="white"/>
        </w:rPr>
        <w:t xml:space="preserve">Czajkowski, E. and </w:t>
      </w:r>
      <w:proofErr w:type="spellStart"/>
      <w:r>
        <w:rPr>
          <w:rFonts w:eastAsia="Times New Roman" w:cs="Times New Roman"/>
          <w:color w:val="222222"/>
          <w:szCs w:val="24"/>
          <w:highlight w:val="white"/>
        </w:rPr>
        <w:t>Mikutowski</w:t>
      </w:r>
      <w:proofErr w:type="spellEnd"/>
      <w:r>
        <w:rPr>
          <w:rFonts w:eastAsia="Times New Roman" w:cs="Times New Roman"/>
          <w:color w:val="222222"/>
          <w:szCs w:val="24"/>
          <w:highlight w:val="white"/>
        </w:rPr>
        <w:t xml:space="preserve">, M., (2024). Stock market return and merger and acquisition activity in Poland. </w:t>
      </w:r>
      <w:r>
        <w:rPr>
          <w:rFonts w:eastAsia="Times New Roman" w:cs="Times New Roman"/>
          <w:i/>
          <w:color w:val="222222"/>
          <w:szCs w:val="24"/>
          <w:highlight w:val="white"/>
        </w:rPr>
        <w:t>Research Papers in Economics and Finance</w:t>
      </w:r>
      <w:r>
        <w:rPr>
          <w:rFonts w:eastAsia="Times New Roman" w:cs="Times New Roman"/>
          <w:color w:val="222222"/>
          <w:szCs w:val="24"/>
          <w:highlight w:val="white"/>
        </w:rPr>
        <w:t xml:space="preserve">, </w:t>
      </w:r>
      <w:r>
        <w:rPr>
          <w:rFonts w:eastAsia="Times New Roman" w:cs="Times New Roman"/>
          <w:i/>
          <w:color w:val="222222"/>
          <w:szCs w:val="24"/>
          <w:highlight w:val="white"/>
        </w:rPr>
        <w:t>8</w:t>
      </w:r>
      <w:r>
        <w:rPr>
          <w:rFonts w:eastAsia="Times New Roman" w:cs="Times New Roman"/>
          <w:color w:val="222222"/>
          <w:szCs w:val="24"/>
          <w:highlight w:val="white"/>
        </w:rPr>
        <w:t>(1).</w:t>
      </w:r>
      <w:hyperlink r:id="rId24">
        <w:r>
          <w:rPr>
            <w:rFonts w:eastAsia="Times New Roman" w:cs="Times New Roman"/>
            <w:color w:val="1155CC"/>
            <w:szCs w:val="24"/>
            <w:highlight w:val="white"/>
            <w:u w:val="single"/>
          </w:rPr>
          <w:t>https://knowledge.uchicago.edu/record/8345/files/By-What-Criteria-Do-We-Evaluate-Accounting.pdf</w:t>
        </w:r>
      </w:hyperlink>
    </w:p>
    <w:p w14:paraId="355EEEEF" w14:textId="77777777" w:rsidR="006F7AF3" w:rsidRPr="002E3FDE" w:rsidRDefault="00357ABC" w:rsidP="002E3FDE">
      <w:pPr>
        <w:rPr>
          <w:rFonts w:cs="Times New Roman"/>
          <w:szCs w:val="24"/>
          <w:highlight w:val="white"/>
        </w:rPr>
      </w:pPr>
      <w:r w:rsidRPr="002E3FDE">
        <w:rPr>
          <w:rFonts w:cs="Times New Roman"/>
          <w:szCs w:val="24"/>
          <w:highlight w:val="white"/>
        </w:rPr>
        <w:t xml:space="preserve">Czajkowski, E. and </w:t>
      </w:r>
      <w:proofErr w:type="spellStart"/>
      <w:r w:rsidRPr="002E3FDE">
        <w:rPr>
          <w:rFonts w:cs="Times New Roman"/>
          <w:szCs w:val="24"/>
          <w:highlight w:val="white"/>
        </w:rPr>
        <w:t>Mikutowski</w:t>
      </w:r>
      <w:proofErr w:type="spellEnd"/>
      <w:r w:rsidRPr="002E3FDE">
        <w:rPr>
          <w:rFonts w:cs="Times New Roman"/>
          <w:szCs w:val="24"/>
          <w:highlight w:val="white"/>
        </w:rPr>
        <w:t xml:space="preserve">, M., (2024). Stock market return and merger and acquisition activity in Poland. </w:t>
      </w:r>
      <w:r w:rsidRPr="002E3FDE">
        <w:rPr>
          <w:rFonts w:cs="Times New Roman"/>
          <w:i/>
          <w:szCs w:val="24"/>
          <w:highlight w:val="white"/>
        </w:rPr>
        <w:t>Research Papers in Economics and Finance</w:t>
      </w:r>
      <w:r w:rsidRPr="002E3FDE">
        <w:rPr>
          <w:rFonts w:cs="Times New Roman"/>
          <w:szCs w:val="24"/>
          <w:highlight w:val="white"/>
        </w:rPr>
        <w:t xml:space="preserve">, </w:t>
      </w:r>
      <w:r w:rsidRPr="002E3FDE">
        <w:rPr>
          <w:rFonts w:cs="Times New Roman"/>
          <w:i/>
          <w:szCs w:val="24"/>
          <w:highlight w:val="white"/>
        </w:rPr>
        <w:t>8</w:t>
      </w:r>
      <w:r w:rsidRPr="002E3FDE">
        <w:rPr>
          <w:rFonts w:cs="Times New Roman"/>
          <w:szCs w:val="24"/>
          <w:highlight w:val="white"/>
        </w:rPr>
        <w:t>(1).</w:t>
      </w:r>
      <w:hyperlink r:id="rId25">
        <w:r w:rsidRPr="002E3FDE">
          <w:rPr>
            <w:rFonts w:cs="Times New Roman"/>
            <w:color w:val="1155CC"/>
            <w:szCs w:val="24"/>
            <w:highlight w:val="white"/>
            <w:u w:val="single"/>
          </w:rPr>
          <w:t>https://knowledge.uchicago.edu/record/8345/files/By-What-Criteria-Do-We-Evaluate-Accounting.pdf</w:t>
        </w:r>
      </w:hyperlink>
    </w:p>
    <w:p w14:paraId="16010ADD" w14:textId="77777777" w:rsidR="006F7AF3" w:rsidRPr="00870B6F" w:rsidRDefault="00357ABC" w:rsidP="00E079C5">
      <w:pPr>
        <w:rPr>
          <w:rFonts w:cs="Times New Roman"/>
          <w:color w:val="222222"/>
          <w:szCs w:val="24"/>
          <w:shd w:val="clear" w:color="auto" w:fill="FFFFFF"/>
        </w:rPr>
      </w:pPr>
      <w:proofErr w:type="spellStart"/>
      <w:r w:rsidRPr="00870B6F">
        <w:rPr>
          <w:rFonts w:cs="Times New Roman"/>
          <w:color w:val="222222"/>
          <w:szCs w:val="24"/>
          <w:shd w:val="clear" w:color="auto" w:fill="FFFFFF"/>
        </w:rPr>
        <w:lastRenderedPageBreak/>
        <w:t>Ebimobowei</w:t>
      </w:r>
      <w:proofErr w:type="spellEnd"/>
      <w:r w:rsidRPr="00870B6F">
        <w:rPr>
          <w:rFonts w:cs="Times New Roman"/>
          <w:color w:val="222222"/>
          <w:szCs w:val="24"/>
          <w:shd w:val="clear" w:color="auto" w:fill="FFFFFF"/>
        </w:rPr>
        <w:t xml:space="preserve">, A., Uche, O.J. and Young-Arney, T., </w:t>
      </w:r>
      <w:r>
        <w:rPr>
          <w:rFonts w:cs="Times New Roman"/>
          <w:color w:val="222222"/>
          <w:szCs w:val="24"/>
          <w:shd w:val="clear" w:color="auto" w:fill="FFFFFF"/>
        </w:rPr>
        <w:t>(</w:t>
      </w:r>
      <w:r w:rsidRPr="00870B6F">
        <w:rPr>
          <w:rFonts w:cs="Times New Roman"/>
          <w:color w:val="222222"/>
          <w:szCs w:val="24"/>
          <w:shd w:val="clear" w:color="auto" w:fill="FFFFFF"/>
        </w:rPr>
        <w:t>2021</w:t>
      </w:r>
      <w:r>
        <w:rPr>
          <w:rFonts w:cs="Times New Roman"/>
          <w:color w:val="222222"/>
          <w:szCs w:val="24"/>
          <w:shd w:val="clear" w:color="auto" w:fill="FFFFFF"/>
        </w:rPr>
        <w:t>)</w:t>
      </w:r>
      <w:r w:rsidRPr="00870B6F">
        <w:rPr>
          <w:rFonts w:cs="Times New Roman"/>
          <w:color w:val="222222"/>
          <w:szCs w:val="24"/>
          <w:shd w:val="clear" w:color="auto" w:fill="FFFFFF"/>
        </w:rPr>
        <w:t>. Liquidity and Profitability Ratios on Growth of Profits of Listed Oil and Gas Firms in Nigeria. </w:t>
      </w:r>
      <w:r w:rsidRPr="00870B6F">
        <w:rPr>
          <w:rFonts w:cs="Times New Roman"/>
          <w:i/>
          <w:iCs/>
          <w:color w:val="222222"/>
          <w:szCs w:val="24"/>
          <w:shd w:val="clear" w:color="auto" w:fill="FFFFFF"/>
        </w:rPr>
        <w:t>African Journal of Accounting and Financial Research</w:t>
      </w:r>
      <w:r w:rsidRPr="00870B6F">
        <w:rPr>
          <w:rFonts w:cs="Times New Roman"/>
          <w:color w:val="222222"/>
          <w:szCs w:val="24"/>
          <w:shd w:val="clear" w:color="auto" w:fill="FFFFFF"/>
        </w:rPr>
        <w:t>, </w:t>
      </w:r>
      <w:r w:rsidRPr="00870B6F">
        <w:rPr>
          <w:rFonts w:cs="Times New Roman"/>
          <w:i/>
          <w:iCs/>
          <w:color w:val="222222"/>
          <w:szCs w:val="24"/>
          <w:shd w:val="clear" w:color="auto" w:fill="FFFFFF"/>
        </w:rPr>
        <w:t>4</w:t>
      </w:r>
      <w:r w:rsidRPr="00870B6F">
        <w:rPr>
          <w:rFonts w:cs="Times New Roman"/>
          <w:color w:val="222222"/>
          <w:szCs w:val="24"/>
          <w:shd w:val="clear" w:color="auto" w:fill="FFFFFF"/>
        </w:rPr>
        <w:t>(3), pp.1-14.</w:t>
      </w:r>
      <w:hyperlink r:id="rId26" w:history="1">
        <w:r w:rsidRPr="00870B6F">
          <w:rPr>
            <w:rStyle w:val="Hyperlink"/>
            <w:rFonts w:cs="Times New Roman"/>
            <w:szCs w:val="24"/>
            <w:shd w:val="clear" w:color="auto" w:fill="FFFFFF"/>
          </w:rPr>
          <w:t>https://pdfs.semanticscholar.org/9c13/f42e87c1225c44d99fcc0c1e334281f6474a.pdf</w:t>
        </w:r>
      </w:hyperlink>
    </w:p>
    <w:p w14:paraId="410A7110" w14:textId="77777777" w:rsidR="006F7AF3" w:rsidRPr="00870B6F" w:rsidRDefault="00357ABC" w:rsidP="00E079C5">
      <w:pPr>
        <w:rPr>
          <w:rFonts w:cs="Times New Roman"/>
          <w:color w:val="222222"/>
          <w:szCs w:val="24"/>
          <w:shd w:val="clear" w:color="auto" w:fill="FFFFFF"/>
        </w:rPr>
      </w:pPr>
      <w:proofErr w:type="spellStart"/>
      <w:r w:rsidRPr="00870B6F">
        <w:rPr>
          <w:rFonts w:cs="Times New Roman"/>
          <w:color w:val="222222"/>
          <w:szCs w:val="24"/>
          <w:shd w:val="clear" w:color="auto" w:fill="FFFFFF"/>
        </w:rPr>
        <w:t>Eryatna</w:t>
      </w:r>
      <w:proofErr w:type="spellEnd"/>
      <w:r w:rsidRPr="00870B6F">
        <w:rPr>
          <w:rFonts w:cs="Times New Roman"/>
          <w:color w:val="222222"/>
          <w:szCs w:val="24"/>
          <w:shd w:val="clear" w:color="auto" w:fill="FFFFFF"/>
        </w:rPr>
        <w:t xml:space="preserve">, E.N., </w:t>
      </w:r>
      <w:proofErr w:type="spellStart"/>
      <w:r w:rsidRPr="00870B6F">
        <w:rPr>
          <w:rFonts w:cs="Times New Roman"/>
          <w:color w:val="222222"/>
          <w:szCs w:val="24"/>
          <w:shd w:val="clear" w:color="auto" w:fill="FFFFFF"/>
        </w:rPr>
        <w:t>Eltivia</w:t>
      </w:r>
      <w:proofErr w:type="spellEnd"/>
      <w:r w:rsidRPr="00870B6F">
        <w:rPr>
          <w:rFonts w:cs="Times New Roman"/>
          <w:color w:val="222222"/>
          <w:szCs w:val="24"/>
          <w:shd w:val="clear" w:color="auto" w:fill="FFFFFF"/>
        </w:rPr>
        <w:t xml:space="preserve">, N. and </w:t>
      </w:r>
      <w:proofErr w:type="spellStart"/>
      <w:r w:rsidRPr="00870B6F">
        <w:rPr>
          <w:rFonts w:cs="Times New Roman"/>
          <w:color w:val="222222"/>
          <w:szCs w:val="24"/>
          <w:shd w:val="clear" w:color="auto" w:fill="FFFFFF"/>
        </w:rPr>
        <w:t>Handayawati</w:t>
      </w:r>
      <w:proofErr w:type="spellEnd"/>
      <w:r w:rsidRPr="00870B6F">
        <w:rPr>
          <w:rFonts w:cs="Times New Roman"/>
          <w:color w:val="222222"/>
          <w:szCs w:val="24"/>
          <w:shd w:val="clear" w:color="auto" w:fill="FFFFFF"/>
        </w:rPr>
        <w:t xml:space="preserve">, K.U., </w:t>
      </w:r>
      <w:r>
        <w:rPr>
          <w:rFonts w:cs="Times New Roman"/>
          <w:color w:val="222222"/>
          <w:szCs w:val="24"/>
          <w:shd w:val="clear" w:color="auto" w:fill="FFFFFF"/>
        </w:rPr>
        <w:t>(</w:t>
      </w:r>
      <w:r w:rsidRPr="00870B6F">
        <w:rPr>
          <w:rFonts w:cs="Times New Roman"/>
          <w:color w:val="222222"/>
          <w:szCs w:val="24"/>
          <w:shd w:val="clear" w:color="auto" w:fill="FFFFFF"/>
        </w:rPr>
        <w:t>2021, July</w:t>
      </w:r>
      <w:r>
        <w:rPr>
          <w:rFonts w:cs="Times New Roman"/>
          <w:color w:val="222222"/>
          <w:szCs w:val="24"/>
          <w:shd w:val="clear" w:color="auto" w:fill="FFFFFF"/>
        </w:rPr>
        <w:t>)</w:t>
      </w:r>
      <w:r w:rsidRPr="00870B6F">
        <w:rPr>
          <w:rFonts w:cs="Times New Roman"/>
          <w:color w:val="222222"/>
          <w:szCs w:val="24"/>
          <w:shd w:val="clear" w:color="auto" w:fill="FFFFFF"/>
        </w:rPr>
        <w:t>. The effect of cash turnover, receivable turnover, and inventory turnover towards profitability of consumer goods companies in Indonesia. In </w:t>
      </w:r>
      <w:r w:rsidRPr="00870B6F">
        <w:rPr>
          <w:rFonts w:cs="Times New Roman"/>
          <w:i/>
          <w:iCs/>
          <w:color w:val="222222"/>
          <w:szCs w:val="24"/>
          <w:shd w:val="clear" w:color="auto" w:fill="FFFFFF"/>
        </w:rPr>
        <w:t>2nd Annual Management, Business and Economic Conference (AMBEC 2020)</w:t>
      </w:r>
      <w:r w:rsidRPr="00870B6F">
        <w:rPr>
          <w:rFonts w:cs="Times New Roman"/>
          <w:color w:val="222222"/>
          <w:szCs w:val="24"/>
          <w:shd w:val="clear" w:color="auto" w:fill="FFFFFF"/>
        </w:rPr>
        <w:t> (pp. 191-197). Atlantis Press.</w:t>
      </w:r>
      <w:hyperlink r:id="rId27" w:history="1">
        <w:r w:rsidRPr="00870B6F">
          <w:rPr>
            <w:rStyle w:val="Hyperlink"/>
            <w:rFonts w:cs="Times New Roman"/>
            <w:szCs w:val="24"/>
            <w:shd w:val="clear" w:color="auto" w:fill="FFFFFF"/>
          </w:rPr>
          <w:t>https://www.atlantis-press.com/proceedings/ambec-20/125959036</w:t>
        </w:r>
      </w:hyperlink>
    </w:p>
    <w:p w14:paraId="48A0562B" w14:textId="77777777" w:rsidR="006F7AF3" w:rsidRDefault="00357ABC" w:rsidP="00F07D6A">
      <w:pPr>
        <w:rPr>
          <w:rFonts w:eastAsia="Times New Roman" w:cs="Times New Roman"/>
          <w:color w:val="222222"/>
          <w:szCs w:val="24"/>
          <w:highlight w:val="white"/>
        </w:rPr>
      </w:pPr>
      <w:r>
        <w:rPr>
          <w:rFonts w:eastAsia="Times New Roman" w:cs="Times New Roman"/>
          <w:color w:val="222222"/>
          <w:szCs w:val="24"/>
          <w:highlight w:val="white"/>
        </w:rPr>
        <w:t xml:space="preserve">Granja, J., Jiang, E.X., </w:t>
      </w:r>
      <w:proofErr w:type="spellStart"/>
      <w:r>
        <w:rPr>
          <w:rFonts w:eastAsia="Times New Roman" w:cs="Times New Roman"/>
          <w:color w:val="222222"/>
          <w:szCs w:val="24"/>
          <w:highlight w:val="white"/>
        </w:rPr>
        <w:t>Matvos</w:t>
      </w:r>
      <w:proofErr w:type="spellEnd"/>
      <w:r>
        <w:rPr>
          <w:rFonts w:eastAsia="Times New Roman" w:cs="Times New Roman"/>
          <w:color w:val="222222"/>
          <w:szCs w:val="24"/>
          <w:highlight w:val="white"/>
        </w:rPr>
        <w:t xml:space="preserve">, G., Piskorski, T. and Seru, A., (2024). </w:t>
      </w:r>
      <w:r>
        <w:rPr>
          <w:rFonts w:eastAsia="Times New Roman" w:cs="Times New Roman"/>
          <w:i/>
          <w:color w:val="222222"/>
          <w:szCs w:val="24"/>
          <w:highlight w:val="white"/>
        </w:rPr>
        <w:t>Book value risk management of banks: Limited hedging, HTM accounting, and rising interest rates</w:t>
      </w:r>
      <w:r>
        <w:rPr>
          <w:rFonts w:eastAsia="Times New Roman" w:cs="Times New Roman"/>
          <w:color w:val="222222"/>
          <w:szCs w:val="24"/>
          <w:highlight w:val="white"/>
        </w:rPr>
        <w:t xml:space="preserve"> (No. w32293). National Bureau of Economic Research. </w:t>
      </w:r>
      <w:hyperlink r:id="rId28">
        <w:r>
          <w:rPr>
            <w:rFonts w:eastAsia="Times New Roman" w:cs="Times New Roman"/>
            <w:color w:val="1155CC"/>
            <w:szCs w:val="24"/>
            <w:highlight w:val="white"/>
            <w:u w:val="single"/>
          </w:rPr>
          <w:t>https://www.nber.org/system/files/working_papers/w32293/w32293.pdf</w:t>
        </w:r>
      </w:hyperlink>
    </w:p>
    <w:p w14:paraId="4A1683EA" w14:textId="77777777" w:rsidR="006F7AF3" w:rsidRPr="002E3FDE" w:rsidRDefault="00357ABC" w:rsidP="002E3FDE">
      <w:pPr>
        <w:rPr>
          <w:rFonts w:cs="Times New Roman"/>
          <w:szCs w:val="24"/>
          <w:highlight w:val="white"/>
        </w:rPr>
      </w:pPr>
      <w:r w:rsidRPr="002E3FDE">
        <w:rPr>
          <w:rFonts w:cs="Times New Roman"/>
          <w:szCs w:val="24"/>
          <w:highlight w:val="white"/>
        </w:rPr>
        <w:t xml:space="preserve">Granja, J., Jiang, E.X., </w:t>
      </w:r>
      <w:proofErr w:type="spellStart"/>
      <w:r w:rsidRPr="002E3FDE">
        <w:rPr>
          <w:rFonts w:cs="Times New Roman"/>
          <w:szCs w:val="24"/>
          <w:highlight w:val="white"/>
        </w:rPr>
        <w:t>Matvos</w:t>
      </w:r>
      <w:proofErr w:type="spellEnd"/>
      <w:r w:rsidRPr="002E3FDE">
        <w:rPr>
          <w:rFonts w:cs="Times New Roman"/>
          <w:szCs w:val="24"/>
          <w:highlight w:val="white"/>
        </w:rPr>
        <w:t xml:space="preserve">, G., Piskorski, T. and Seru, A., (2024). </w:t>
      </w:r>
      <w:r w:rsidRPr="002E3FDE">
        <w:rPr>
          <w:rFonts w:cs="Times New Roman"/>
          <w:i/>
          <w:szCs w:val="24"/>
          <w:highlight w:val="white"/>
        </w:rPr>
        <w:t>Book value risk management of banks: Limited hedging, HTM accounting, and rising interest rates</w:t>
      </w:r>
      <w:r w:rsidRPr="002E3FDE">
        <w:rPr>
          <w:rFonts w:cs="Times New Roman"/>
          <w:szCs w:val="24"/>
          <w:highlight w:val="white"/>
        </w:rPr>
        <w:t xml:space="preserve"> (No. w32293). National Bureau of Economic Research. </w:t>
      </w:r>
      <w:hyperlink r:id="rId29">
        <w:r w:rsidRPr="002E3FDE">
          <w:rPr>
            <w:rFonts w:cs="Times New Roman"/>
            <w:color w:val="1155CC"/>
            <w:szCs w:val="24"/>
            <w:highlight w:val="white"/>
            <w:u w:val="single"/>
          </w:rPr>
          <w:t>https://www.nber.org/system/files/working_papers/w32293/w32293.pdf</w:t>
        </w:r>
      </w:hyperlink>
    </w:p>
    <w:p w14:paraId="5CCF8F1C" w14:textId="77777777" w:rsidR="006F7AF3" w:rsidRPr="00870B6F" w:rsidRDefault="00357ABC" w:rsidP="00E079C5">
      <w:pPr>
        <w:rPr>
          <w:rFonts w:cs="Times New Roman"/>
          <w:color w:val="222222"/>
          <w:szCs w:val="24"/>
          <w:shd w:val="clear" w:color="auto" w:fill="FFFFFF"/>
        </w:rPr>
      </w:pPr>
      <w:r w:rsidRPr="00870B6F">
        <w:rPr>
          <w:rFonts w:cs="Times New Roman"/>
          <w:color w:val="222222"/>
          <w:szCs w:val="24"/>
          <w:shd w:val="clear" w:color="auto" w:fill="FFFFFF"/>
        </w:rPr>
        <w:t xml:space="preserve">Hasanuddin, R., Darman, D., Taufan, M.Y., Salim, A., Muslim, M. and Putra, A.H.P.K., </w:t>
      </w:r>
      <w:r>
        <w:rPr>
          <w:rFonts w:cs="Times New Roman"/>
          <w:color w:val="222222"/>
          <w:szCs w:val="24"/>
          <w:shd w:val="clear" w:color="auto" w:fill="FFFFFF"/>
        </w:rPr>
        <w:t>(</w:t>
      </w:r>
      <w:r w:rsidRPr="00870B6F">
        <w:rPr>
          <w:rFonts w:cs="Times New Roman"/>
          <w:color w:val="222222"/>
          <w:szCs w:val="24"/>
          <w:shd w:val="clear" w:color="auto" w:fill="FFFFFF"/>
        </w:rPr>
        <w:t>2021</w:t>
      </w:r>
      <w:r>
        <w:rPr>
          <w:rFonts w:cs="Times New Roman"/>
          <w:color w:val="222222"/>
          <w:szCs w:val="24"/>
          <w:shd w:val="clear" w:color="auto" w:fill="FFFFFF"/>
        </w:rPr>
        <w:t>)</w:t>
      </w:r>
      <w:r w:rsidRPr="00870B6F">
        <w:rPr>
          <w:rFonts w:cs="Times New Roman"/>
          <w:color w:val="222222"/>
          <w:szCs w:val="24"/>
          <w:shd w:val="clear" w:color="auto" w:fill="FFFFFF"/>
        </w:rPr>
        <w:t>. The effect of firm size, debt, current ratio, and investment opportunity set on earnings quality: an empirical study in Indonesia. </w:t>
      </w:r>
      <w:r w:rsidRPr="00870B6F">
        <w:rPr>
          <w:rFonts w:cs="Times New Roman"/>
          <w:i/>
          <w:iCs/>
          <w:color w:val="222222"/>
          <w:szCs w:val="24"/>
          <w:shd w:val="clear" w:color="auto" w:fill="FFFFFF"/>
        </w:rPr>
        <w:t>The Journal of Asian Finance, Economics and Business</w:t>
      </w:r>
      <w:r w:rsidRPr="00870B6F">
        <w:rPr>
          <w:rFonts w:cs="Times New Roman"/>
          <w:color w:val="222222"/>
          <w:szCs w:val="24"/>
          <w:shd w:val="clear" w:color="auto" w:fill="FFFFFF"/>
        </w:rPr>
        <w:t>, </w:t>
      </w:r>
      <w:r w:rsidRPr="00870B6F">
        <w:rPr>
          <w:rFonts w:cs="Times New Roman"/>
          <w:i/>
          <w:iCs/>
          <w:color w:val="222222"/>
          <w:szCs w:val="24"/>
          <w:shd w:val="clear" w:color="auto" w:fill="FFFFFF"/>
        </w:rPr>
        <w:t>8</w:t>
      </w:r>
      <w:r w:rsidRPr="00870B6F">
        <w:rPr>
          <w:rFonts w:cs="Times New Roman"/>
          <w:color w:val="222222"/>
          <w:szCs w:val="24"/>
          <w:shd w:val="clear" w:color="auto" w:fill="FFFFFF"/>
        </w:rPr>
        <w:t>(6), pp.179-188.</w:t>
      </w:r>
      <w:hyperlink r:id="rId30" w:history="1">
        <w:r w:rsidRPr="00870B6F">
          <w:rPr>
            <w:rStyle w:val="Hyperlink"/>
            <w:rFonts w:cs="Times New Roman"/>
            <w:szCs w:val="24"/>
            <w:shd w:val="clear" w:color="auto" w:fill="FFFFFF"/>
          </w:rPr>
          <w:t>https://koreascience.kr/article/JAKO202115563408840.page</w:t>
        </w:r>
      </w:hyperlink>
    </w:p>
    <w:p w14:paraId="21B1FC9E" w14:textId="77777777" w:rsidR="006F7AF3" w:rsidRPr="00870B6F" w:rsidRDefault="00357ABC" w:rsidP="00E079C5">
      <w:pPr>
        <w:rPr>
          <w:rFonts w:cs="Times New Roman"/>
          <w:color w:val="222222"/>
          <w:szCs w:val="24"/>
          <w:shd w:val="clear" w:color="auto" w:fill="FFFFFF"/>
        </w:rPr>
      </w:pPr>
      <w:r w:rsidRPr="00870B6F">
        <w:rPr>
          <w:rFonts w:cs="Times New Roman"/>
          <w:color w:val="222222"/>
          <w:szCs w:val="24"/>
          <w:shd w:val="clear" w:color="auto" w:fill="FFFFFF"/>
        </w:rPr>
        <w:t xml:space="preserve">Husain, T. and </w:t>
      </w:r>
      <w:proofErr w:type="spellStart"/>
      <w:r w:rsidRPr="00870B6F">
        <w:rPr>
          <w:rFonts w:cs="Times New Roman"/>
          <w:color w:val="222222"/>
          <w:szCs w:val="24"/>
          <w:shd w:val="clear" w:color="auto" w:fill="FFFFFF"/>
        </w:rPr>
        <w:t>Sunardi</w:t>
      </w:r>
      <w:proofErr w:type="spellEnd"/>
      <w:r w:rsidRPr="00870B6F">
        <w:rPr>
          <w:rFonts w:cs="Times New Roman"/>
          <w:color w:val="222222"/>
          <w:szCs w:val="24"/>
          <w:shd w:val="clear" w:color="auto" w:fill="FFFFFF"/>
        </w:rPr>
        <w:t xml:space="preserve">, N., </w:t>
      </w:r>
      <w:r>
        <w:rPr>
          <w:rFonts w:cs="Times New Roman"/>
          <w:color w:val="222222"/>
          <w:szCs w:val="24"/>
          <w:shd w:val="clear" w:color="auto" w:fill="FFFFFF"/>
        </w:rPr>
        <w:t>(</w:t>
      </w:r>
      <w:r w:rsidRPr="00870B6F">
        <w:rPr>
          <w:rFonts w:cs="Times New Roman"/>
          <w:color w:val="222222"/>
          <w:szCs w:val="24"/>
          <w:shd w:val="clear" w:color="auto" w:fill="FFFFFF"/>
        </w:rPr>
        <w:t>2020</w:t>
      </w:r>
      <w:r>
        <w:rPr>
          <w:rFonts w:cs="Times New Roman"/>
          <w:color w:val="222222"/>
          <w:szCs w:val="24"/>
          <w:shd w:val="clear" w:color="auto" w:fill="FFFFFF"/>
        </w:rPr>
        <w:t>)</w:t>
      </w:r>
      <w:r w:rsidRPr="00870B6F">
        <w:rPr>
          <w:rFonts w:cs="Times New Roman"/>
          <w:color w:val="222222"/>
          <w:szCs w:val="24"/>
          <w:shd w:val="clear" w:color="auto" w:fill="FFFFFF"/>
        </w:rPr>
        <w:t>. Firm's Value Prediction Based on Profitability Ratios and Dividend Policy. </w:t>
      </w:r>
      <w:r w:rsidRPr="00870B6F">
        <w:rPr>
          <w:rFonts w:cs="Times New Roman"/>
          <w:i/>
          <w:iCs/>
          <w:color w:val="222222"/>
          <w:szCs w:val="24"/>
          <w:shd w:val="clear" w:color="auto" w:fill="FFFFFF"/>
        </w:rPr>
        <w:t>Finance &amp; Economics Review</w:t>
      </w:r>
      <w:r w:rsidRPr="00870B6F">
        <w:rPr>
          <w:rFonts w:cs="Times New Roman"/>
          <w:color w:val="222222"/>
          <w:szCs w:val="24"/>
          <w:shd w:val="clear" w:color="auto" w:fill="FFFFFF"/>
        </w:rPr>
        <w:t>, </w:t>
      </w:r>
      <w:r w:rsidRPr="00870B6F">
        <w:rPr>
          <w:rFonts w:cs="Times New Roman"/>
          <w:i/>
          <w:iCs/>
          <w:color w:val="222222"/>
          <w:szCs w:val="24"/>
          <w:shd w:val="clear" w:color="auto" w:fill="FFFFFF"/>
        </w:rPr>
        <w:t>2</w:t>
      </w:r>
      <w:r w:rsidRPr="00870B6F">
        <w:rPr>
          <w:rFonts w:cs="Times New Roman"/>
          <w:color w:val="222222"/>
          <w:szCs w:val="24"/>
          <w:shd w:val="clear" w:color="auto" w:fill="FFFFFF"/>
        </w:rPr>
        <w:t>(2), pp.13-26.</w:t>
      </w:r>
      <w:hyperlink r:id="rId31" w:history="1">
        <w:r w:rsidRPr="00870B6F">
          <w:rPr>
            <w:rStyle w:val="Hyperlink"/>
            <w:rFonts w:cs="Times New Roman"/>
            <w:szCs w:val="24"/>
            <w:shd w:val="clear" w:color="auto" w:fill="FFFFFF"/>
          </w:rPr>
          <w:t>http://www.riiopenjournals.com/index.php/finance-economics-review/article/view/102</w:t>
        </w:r>
      </w:hyperlink>
    </w:p>
    <w:p w14:paraId="4434EBE6" w14:textId="77777777" w:rsidR="006F7AF3" w:rsidRDefault="00357ABC" w:rsidP="00F07D6A">
      <w:pPr>
        <w:rPr>
          <w:rFonts w:eastAsia="Times New Roman" w:cs="Times New Roman"/>
          <w:color w:val="222222"/>
          <w:szCs w:val="24"/>
          <w:highlight w:val="white"/>
        </w:rPr>
      </w:pPr>
      <w:r>
        <w:rPr>
          <w:rFonts w:eastAsia="Times New Roman" w:cs="Times New Roman"/>
          <w:color w:val="222222"/>
          <w:szCs w:val="24"/>
          <w:highlight w:val="white"/>
        </w:rPr>
        <w:t xml:space="preserve">Istenes, G. and Polák, J., (2024). Investigating the Effect of Gear Ratio in the Joint Multi-Objective Optimization of Electric Motor and Gearbox. </w:t>
      </w:r>
      <w:r>
        <w:rPr>
          <w:rFonts w:eastAsia="Times New Roman" w:cs="Times New Roman"/>
          <w:i/>
          <w:color w:val="222222"/>
          <w:szCs w:val="24"/>
          <w:highlight w:val="white"/>
        </w:rPr>
        <w:t>Energies</w:t>
      </w:r>
      <w:r>
        <w:rPr>
          <w:rFonts w:eastAsia="Times New Roman" w:cs="Times New Roman"/>
          <w:color w:val="222222"/>
          <w:szCs w:val="24"/>
          <w:highlight w:val="white"/>
        </w:rPr>
        <w:t xml:space="preserve">, </w:t>
      </w:r>
      <w:r>
        <w:rPr>
          <w:rFonts w:eastAsia="Times New Roman" w:cs="Times New Roman"/>
          <w:i/>
          <w:color w:val="222222"/>
          <w:szCs w:val="24"/>
          <w:highlight w:val="white"/>
        </w:rPr>
        <w:t>17</w:t>
      </w:r>
      <w:r>
        <w:rPr>
          <w:rFonts w:eastAsia="Times New Roman" w:cs="Times New Roman"/>
          <w:color w:val="222222"/>
          <w:szCs w:val="24"/>
          <w:highlight w:val="white"/>
        </w:rPr>
        <w:t xml:space="preserve">(5), p.1203. </w:t>
      </w:r>
      <w:hyperlink r:id="rId32">
        <w:r>
          <w:rPr>
            <w:rFonts w:eastAsia="Times New Roman" w:cs="Times New Roman"/>
            <w:color w:val="1155CC"/>
            <w:szCs w:val="24"/>
            <w:highlight w:val="white"/>
            <w:u w:val="single"/>
          </w:rPr>
          <w:t>https://www.mdpi.com/1996-1073/17/5/1203/pdf</w:t>
        </w:r>
      </w:hyperlink>
    </w:p>
    <w:p w14:paraId="3D4AC0BB" w14:textId="77777777" w:rsidR="006F7AF3" w:rsidRPr="002E3FDE" w:rsidRDefault="00357ABC" w:rsidP="002E3FDE">
      <w:pPr>
        <w:rPr>
          <w:rFonts w:cs="Times New Roman"/>
          <w:szCs w:val="24"/>
          <w:highlight w:val="white"/>
        </w:rPr>
      </w:pPr>
      <w:r w:rsidRPr="002E3FDE">
        <w:rPr>
          <w:rFonts w:cs="Times New Roman"/>
          <w:szCs w:val="24"/>
          <w:highlight w:val="white"/>
        </w:rPr>
        <w:lastRenderedPageBreak/>
        <w:t xml:space="preserve">Istenes, G. and Polák, J., (2024). Investigating the Effect of Gear Ratio in the Case of Joint Multi-Objective Optimization of Electric Motor and Gearbox. </w:t>
      </w:r>
      <w:r w:rsidRPr="002E3FDE">
        <w:rPr>
          <w:rFonts w:cs="Times New Roman"/>
          <w:i/>
          <w:szCs w:val="24"/>
          <w:highlight w:val="white"/>
        </w:rPr>
        <w:t>Energies</w:t>
      </w:r>
      <w:r w:rsidRPr="002E3FDE">
        <w:rPr>
          <w:rFonts w:cs="Times New Roman"/>
          <w:szCs w:val="24"/>
          <w:highlight w:val="white"/>
        </w:rPr>
        <w:t xml:space="preserve">, </w:t>
      </w:r>
      <w:r w:rsidRPr="002E3FDE">
        <w:rPr>
          <w:rFonts w:cs="Times New Roman"/>
          <w:i/>
          <w:szCs w:val="24"/>
          <w:highlight w:val="white"/>
        </w:rPr>
        <w:t>17</w:t>
      </w:r>
      <w:r w:rsidRPr="002E3FDE">
        <w:rPr>
          <w:rFonts w:cs="Times New Roman"/>
          <w:szCs w:val="24"/>
          <w:highlight w:val="white"/>
        </w:rPr>
        <w:t xml:space="preserve">(5), p.1203. </w:t>
      </w:r>
      <w:hyperlink r:id="rId33">
        <w:r w:rsidRPr="002E3FDE">
          <w:rPr>
            <w:rFonts w:cs="Times New Roman"/>
            <w:color w:val="1155CC"/>
            <w:szCs w:val="24"/>
            <w:highlight w:val="white"/>
            <w:u w:val="single"/>
          </w:rPr>
          <w:t>https://www.mdpi.com/1996-1073/17/5/1203/pdf</w:t>
        </w:r>
      </w:hyperlink>
    </w:p>
    <w:p w14:paraId="77D0882B" w14:textId="77777777" w:rsidR="006F7AF3" w:rsidRDefault="00357ABC" w:rsidP="00F07D6A">
      <w:pPr>
        <w:rPr>
          <w:rFonts w:eastAsia="Times New Roman" w:cs="Times New Roman"/>
          <w:color w:val="222222"/>
          <w:szCs w:val="24"/>
          <w:highlight w:val="white"/>
        </w:rPr>
      </w:pPr>
      <w:r>
        <w:rPr>
          <w:rFonts w:eastAsia="Times New Roman" w:cs="Times New Roman"/>
          <w:color w:val="222222"/>
          <w:szCs w:val="24"/>
          <w:highlight w:val="white"/>
        </w:rPr>
        <w:t xml:space="preserve">Khadra, A., </w:t>
      </w:r>
      <w:proofErr w:type="spellStart"/>
      <w:r>
        <w:rPr>
          <w:rFonts w:eastAsia="Times New Roman" w:cs="Times New Roman"/>
          <w:color w:val="222222"/>
          <w:szCs w:val="24"/>
          <w:highlight w:val="white"/>
        </w:rPr>
        <w:t>Akander</w:t>
      </w:r>
      <w:proofErr w:type="spellEnd"/>
      <w:r>
        <w:rPr>
          <w:rFonts w:eastAsia="Times New Roman" w:cs="Times New Roman"/>
          <w:color w:val="222222"/>
          <w:szCs w:val="24"/>
          <w:highlight w:val="white"/>
        </w:rPr>
        <w:t xml:space="preserve">, J. and Myhren, J.A., (2024). Greenhouse Gas Payback Time of Different HVAC Systems in the Renovation of Nordic District-Heated Multifamily Buildings Considering Future Energy Production Scenarios. </w:t>
      </w:r>
      <w:r>
        <w:rPr>
          <w:rFonts w:eastAsia="Times New Roman" w:cs="Times New Roman"/>
          <w:i/>
          <w:color w:val="222222"/>
          <w:szCs w:val="24"/>
          <w:highlight w:val="white"/>
        </w:rPr>
        <w:t>Buildings</w:t>
      </w:r>
      <w:r>
        <w:rPr>
          <w:rFonts w:eastAsia="Times New Roman" w:cs="Times New Roman"/>
          <w:color w:val="222222"/>
          <w:szCs w:val="24"/>
          <w:highlight w:val="white"/>
        </w:rPr>
        <w:t xml:space="preserve">, </w:t>
      </w:r>
      <w:r>
        <w:rPr>
          <w:rFonts w:eastAsia="Times New Roman" w:cs="Times New Roman"/>
          <w:i/>
          <w:color w:val="222222"/>
          <w:szCs w:val="24"/>
          <w:highlight w:val="white"/>
        </w:rPr>
        <w:t>14</w:t>
      </w:r>
      <w:r>
        <w:rPr>
          <w:rFonts w:eastAsia="Times New Roman" w:cs="Times New Roman"/>
          <w:color w:val="222222"/>
          <w:szCs w:val="24"/>
          <w:highlight w:val="white"/>
        </w:rPr>
        <w:t>(2), p.413.</w:t>
      </w:r>
      <w:hyperlink r:id="rId34">
        <w:r>
          <w:rPr>
            <w:rFonts w:eastAsia="Times New Roman" w:cs="Times New Roman"/>
            <w:color w:val="1155CC"/>
            <w:szCs w:val="24"/>
            <w:highlight w:val="white"/>
            <w:u w:val="single"/>
          </w:rPr>
          <w:t>https://www.mdpi.com/2075-5309/14/2/413/pdf</w:t>
        </w:r>
      </w:hyperlink>
    </w:p>
    <w:p w14:paraId="1604C958" w14:textId="77777777" w:rsidR="006F7AF3" w:rsidRPr="002E3FDE" w:rsidRDefault="00357ABC" w:rsidP="002E3FDE">
      <w:pPr>
        <w:rPr>
          <w:rFonts w:cs="Times New Roman"/>
          <w:szCs w:val="24"/>
          <w:highlight w:val="white"/>
        </w:rPr>
      </w:pPr>
      <w:r w:rsidRPr="002E3FDE">
        <w:rPr>
          <w:rFonts w:cs="Times New Roman"/>
          <w:szCs w:val="24"/>
          <w:highlight w:val="white"/>
        </w:rPr>
        <w:t xml:space="preserve">Khadra, A., </w:t>
      </w:r>
      <w:proofErr w:type="spellStart"/>
      <w:r w:rsidRPr="002E3FDE">
        <w:rPr>
          <w:rFonts w:cs="Times New Roman"/>
          <w:szCs w:val="24"/>
          <w:highlight w:val="white"/>
        </w:rPr>
        <w:t>Akander</w:t>
      </w:r>
      <w:proofErr w:type="spellEnd"/>
      <w:r w:rsidRPr="002E3FDE">
        <w:rPr>
          <w:rFonts w:cs="Times New Roman"/>
          <w:szCs w:val="24"/>
          <w:highlight w:val="white"/>
        </w:rPr>
        <w:t xml:space="preserve">, J. and Myhren, J.A., (2024). Greenhouse Gas Payback Time of Different HVAC Systems in the Renovation of Nordic District-Heated Multifamily Buildings Considering Future Energy Production Scenarios. </w:t>
      </w:r>
      <w:r w:rsidRPr="002E3FDE">
        <w:rPr>
          <w:rFonts w:cs="Times New Roman"/>
          <w:i/>
          <w:szCs w:val="24"/>
          <w:highlight w:val="white"/>
        </w:rPr>
        <w:t>Buildings</w:t>
      </w:r>
      <w:r w:rsidRPr="002E3FDE">
        <w:rPr>
          <w:rFonts w:cs="Times New Roman"/>
          <w:szCs w:val="24"/>
          <w:highlight w:val="white"/>
        </w:rPr>
        <w:t xml:space="preserve">, </w:t>
      </w:r>
      <w:r w:rsidRPr="002E3FDE">
        <w:rPr>
          <w:rFonts w:cs="Times New Roman"/>
          <w:i/>
          <w:szCs w:val="24"/>
          <w:highlight w:val="white"/>
        </w:rPr>
        <w:t>14</w:t>
      </w:r>
      <w:r w:rsidRPr="002E3FDE">
        <w:rPr>
          <w:rFonts w:cs="Times New Roman"/>
          <w:szCs w:val="24"/>
          <w:highlight w:val="white"/>
        </w:rPr>
        <w:t>(2), p.413.</w:t>
      </w:r>
      <w:hyperlink r:id="rId35">
        <w:r w:rsidRPr="002E3FDE">
          <w:rPr>
            <w:rFonts w:cs="Times New Roman"/>
            <w:color w:val="1155CC"/>
            <w:szCs w:val="24"/>
            <w:highlight w:val="white"/>
            <w:u w:val="single"/>
          </w:rPr>
          <w:t>https://www.mdpi.com/2075-5309/14/2/413/pdf</w:t>
        </w:r>
      </w:hyperlink>
    </w:p>
    <w:p w14:paraId="50ACE1DA" w14:textId="77777777" w:rsidR="006F7AF3" w:rsidRDefault="00357ABC" w:rsidP="00F07D6A">
      <w:pPr>
        <w:rPr>
          <w:rFonts w:eastAsia="Times New Roman" w:cs="Times New Roman"/>
          <w:color w:val="222222"/>
          <w:szCs w:val="24"/>
          <w:highlight w:val="white"/>
        </w:rPr>
      </w:pPr>
      <w:r>
        <w:rPr>
          <w:rFonts w:eastAsia="Times New Roman" w:cs="Times New Roman"/>
          <w:color w:val="222222"/>
          <w:szCs w:val="24"/>
          <w:highlight w:val="white"/>
        </w:rPr>
        <w:t xml:space="preserve">Mascarenhas, A.A., (2024). </w:t>
      </w:r>
      <w:r>
        <w:rPr>
          <w:rFonts w:eastAsia="Times New Roman" w:cs="Times New Roman"/>
          <w:i/>
          <w:color w:val="222222"/>
          <w:szCs w:val="24"/>
          <w:highlight w:val="white"/>
        </w:rPr>
        <w:t>Comparative Analysis of Various National Building Codes and Carbon Payback Periods of Insulation Materials at Different Climate Zones in Canada</w:t>
      </w:r>
      <w:r>
        <w:rPr>
          <w:rFonts w:eastAsia="Times New Roman" w:cs="Times New Roman"/>
          <w:color w:val="222222"/>
          <w:szCs w:val="24"/>
          <w:highlight w:val="white"/>
        </w:rPr>
        <w:t xml:space="preserve"> (Doctoral dissertation, University of Victoria). </w:t>
      </w:r>
      <w:hyperlink r:id="rId36">
        <w:r>
          <w:rPr>
            <w:rFonts w:eastAsia="Times New Roman" w:cs="Times New Roman"/>
            <w:color w:val="1155CC"/>
            <w:szCs w:val="24"/>
            <w:highlight w:val="white"/>
            <w:u w:val="single"/>
          </w:rPr>
          <w:t>https://dspace.library.uvic.ca/bitstreams/41f7da88-728e-4ff5-8ba6-6309438fb7d7/download</w:t>
        </w:r>
      </w:hyperlink>
    </w:p>
    <w:p w14:paraId="13613A78" w14:textId="77777777" w:rsidR="006F7AF3" w:rsidRPr="002E3FDE" w:rsidRDefault="00357ABC" w:rsidP="002E3FDE">
      <w:pPr>
        <w:rPr>
          <w:rFonts w:cs="Times New Roman"/>
          <w:szCs w:val="24"/>
          <w:highlight w:val="white"/>
        </w:rPr>
      </w:pPr>
      <w:r w:rsidRPr="002E3FDE">
        <w:rPr>
          <w:rFonts w:cs="Times New Roman"/>
          <w:szCs w:val="24"/>
          <w:highlight w:val="white"/>
        </w:rPr>
        <w:t xml:space="preserve">Mascarenhas, A.A., (2024). </w:t>
      </w:r>
      <w:r w:rsidRPr="002E3FDE">
        <w:rPr>
          <w:rFonts w:cs="Times New Roman"/>
          <w:i/>
          <w:szCs w:val="24"/>
          <w:highlight w:val="white"/>
        </w:rPr>
        <w:t>Comparative Analysis of Various National Building Codes and Carbon Payback Periods of Insulation Materials at Different Climate Zones in Canada</w:t>
      </w:r>
      <w:r w:rsidRPr="002E3FDE">
        <w:rPr>
          <w:rFonts w:cs="Times New Roman"/>
          <w:szCs w:val="24"/>
          <w:highlight w:val="white"/>
        </w:rPr>
        <w:t xml:space="preserve"> (Doctoral dissertation, University of Victoria). </w:t>
      </w:r>
      <w:hyperlink r:id="rId37">
        <w:r w:rsidRPr="002E3FDE">
          <w:rPr>
            <w:rFonts w:cs="Times New Roman"/>
            <w:color w:val="1155CC"/>
            <w:szCs w:val="24"/>
            <w:highlight w:val="white"/>
            <w:u w:val="single"/>
          </w:rPr>
          <w:t>https://dspace.library.uvic.ca/bitstreams/41f7da88-728e-4ff5-8ba6-6309438fb7d7/download</w:t>
        </w:r>
      </w:hyperlink>
    </w:p>
    <w:p w14:paraId="140CD202" w14:textId="77777777" w:rsidR="006F7AF3" w:rsidRDefault="00357ABC" w:rsidP="00F07D6A">
      <w:pPr>
        <w:rPr>
          <w:rFonts w:eastAsia="Times New Roman" w:cs="Times New Roman"/>
          <w:color w:val="222222"/>
          <w:szCs w:val="24"/>
          <w:highlight w:val="white"/>
        </w:rPr>
      </w:pPr>
      <w:r>
        <w:rPr>
          <w:rFonts w:eastAsia="Times New Roman" w:cs="Times New Roman"/>
          <w:color w:val="222222"/>
          <w:szCs w:val="24"/>
          <w:highlight w:val="white"/>
        </w:rPr>
        <w:t xml:space="preserve">Nabavi, Z., Mousavi, A., </w:t>
      </w:r>
      <w:proofErr w:type="spellStart"/>
      <w:r>
        <w:rPr>
          <w:rFonts w:eastAsia="Times New Roman" w:cs="Times New Roman"/>
          <w:color w:val="222222"/>
          <w:szCs w:val="24"/>
          <w:highlight w:val="white"/>
        </w:rPr>
        <w:t>Mirzehi</w:t>
      </w:r>
      <w:proofErr w:type="spellEnd"/>
      <w:r>
        <w:rPr>
          <w:rFonts w:eastAsia="Times New Roman" w:cs="Times New Roman"/>
          <w:color w:val="222222"/>
          <w:szCs w:val="24"/>
          <w:highlight w:val="white"/>
        </w:rPr>
        <w:t xml:space="preserve"> Kalate Kazemi, M. and </w:t>
      </w:r>
      <w:proofErr w:type="spellStart"/>
      <w:r>
        <w:rPr>
          <w:rFonts w:eastAsia="Times New Roman" w:cs="Times New Roman"/>
          <w:color w:val="222222"/>
          <w:szCs w:val="24"/>
          <w:highlight w:val="white"/>
        </w:rPr>
        <w:t>Monjezi</w:t>
      </w:r>
      <w:proofErr w:type="spellEnd"/>
      <w:r>
        <w:rPr>
          <w:rFonts w:eastAsia="Times New Roman" w:cs="Times New Roman"/>
          <w:color w:val="222222"/>
          <w:szCs w:val="24"/>
          <w:highlight w:val="white"/>
        </w:rPr>
        <w:t xml:space="preserve">, M., (2024). We are incorporating grade uncertainty into open-pit long-term production planning using loss and profit functions. </w:t>
      </w:r>
      <w:r>
        <w:rPr>
          <w:rFonts w:eastAsia="Times New Roman" w:cs="Times New Roman"/>
          <w:i/>
          <w:color w:val="222222"/>
          <w:szCs w:val="24"/>
          <w:highlight w:val="white"/>
        </w:rPr>
        <w:t>International Journal of Mining and Geo-Engineering</w:t>
      </w:r>
      <w:r>
        <w:rPr>
          <w:rFonts w:eastAsia="Times New Roman" w:cs="Times New Roman"/>
          <w:color w:val="222222"/>
          <w:szCs w:val="24"/>
          <w:highlight w:val="white"/>
        </w:rPr>
        <w:t xml:space="preserve">, </w:t>
      </w:r>
      <w:r>
        <w:rPr>
          <w:rFonts w:eastAsia="Times New Roman" w:cs="Times New Roman"/>
          <w:i/>
          <w:color w:val="222222"/>
          <w:szCs w:val="24"/>
          <w:highlight w:val="white"/>
        </w:rPr>
        <w:t>58</w:t>
      </w:r>
      <w:r>
        <w:rPr>
          <w:rFonts w:eastAsia="Times New Roman" w:cs="Times New Roman"/>
          <w:color w:val="222222"/>
          <w:szCs w:val="24"/>
          <w:highlight w:val="white"/>
        </w:rPr>
        <w:t xml:space="preserve">(1), pp.59-67. </w:t>
      </w:r>
      <w:hyperlink r:id="rId38">
        <w:r>
          <w:rPr>
            <w:rFonts w:eastAsia="Times New Roman" w:cs="Times New Roman"/>
            <w:color w:val="1155CC"/>
            <w:szCs w:val="24"/>
            <w:highlight w:val="white"/>
            <w:u w:val="single"/>
          </w:rPr>
          <w:t>https://ijmge.ut.ac.ir/article_94511_6311f8a264ea476bfc6e7525464a207e.pdf</w:t>
        </w:r>
      </w:hyperlink>
    </w:p>
    <w:p w14:paraId="4AE143FC" w14:textId="77777777" w:rsidR="006F7AF3" w:rsidRPr="002E3FDE" w:rsidRDefault="00357ABC" w:rsidP="002E3FDE">
      <w:pPr>
        <w:rPr>
          <w:rFonts w:cs="Times New Roman"/>
          <w:szCs w:val="24"/>
          <w:highlight w:val="white"/>
        </w:rPr>
      </w:pPr>
      <w:r w:rsidRPr="002E3FDE">
        <w:rPr>
          <w:rFonts w:cs="Times New Roman"/>
          <w:szCs w:val="24"/>
          <w:highlight w:val="white"/>
        </w:rPr>
        <w:t xml:space="preserve">Nabavi, Z., Mousavi, A., </w:t>
      </w:r>
      <w:proofErr w:type="spellStart"/>
      <w:r w:rsidRPr="002E3FDE">
        <w:rPr>
          <w:rFonts w:cs="Times New Roman"/>
          <w:szCs w:val="24"/>
          <w:highlight w:val="white"/>
        </w:rPr>
        <w:t>Mirzehi</w:t>
      </w:r>
      <w:proofErr w:type="spellEnd"/>
      <w:r w:rsidRPr="002E3FDE">
        <w:rPr>
          <w:rFonts w:cs="Times New Roman"/>
          <w:szCs w:val="24"/>
          <w:highlight w:val="white"/>
        </w:rPr>
        <w:t xml:space="preserve"> Kalate Kazemi, M. and </w:t>
      </w:r>
      <w:proofErr w:type="spellStart"/>
      <w:r w:rsidRPr="002E3FDE">
        <w:rPr>
          <w:rFonts w:cs="Times New Roman"/>
          <w:szCs w:val="24"/>
          <w:highlight w:val="white"/>
        </w:rPr>
        <w:t>Monjezi</w:t>
      </w:r>
      <w:proofErr w:type="spellEnd"/>
      <w:r w:rsidRPr="002E3FDE">
        <w:rPr>
          <w:rFonts w:cs="Times New Roman"/>
          <w:szCs w:val="24"/>
          <w:highlight w:val="white"/>
        </w:rPr>
        <w:t xml:space="preserve">, M., (2024). Incorporating grade uncertainty into open-pit long-term production planning using loss and profit functions. </w:t>
      </w:r>
      <w:r w:rsidRPr="002E3FDE">
        <w:rPr>
          <w:rFonts w:cs="Times New Roman"/>
          <w:i/>
          <w:szCs w:val="24"/>
          <w:highlight w:val="white"/>
        </w:rPr>
        <w:t>International Journal of Mining and Geo-Engineering</w:t>
      </w:r>
      <w:r w:rsidRPr="002E3FDE">
        <w:rPr>
          <w:rFonts w:cs="Times New Roman"/>
          <w:szCs w:val="24"/>
          <w:highlight w:val="white"/>
        </w:rPr>
        <w:t xml:space="preserve">, </w:t>
      </w:r>
      <w:r w:rsidRPr="002E3FDE">
        <w:rPr>
          <w:rFonts w:cs="Times New Roman"/>
          <w:i/>
          <w:szCs w:val="24"/>
          <w:highlight w:val="white"/>
        </w:rPr>
        <w:t>58</w:t>
      </w:r>
      <w:r w:rsidRPr="002E3FDE">
        <w:rPr>
          <w:rFonts w:cs="Times New Roman"/>
          <w:szCs w:val="24"/>
          <w:highlight w:val="white"/>
        </w:rPr>
        <w:t xml:space="preserve">(1), pp.59-67. </w:t>
      </w:r>
      <w:hyperlink r:id="rId39">
        <w:r w:rsidRPr="002E3FDE">
          <w:rPr>
            <w:rFonts w:cs="Times New Roman"/>
            <w:color w:val="1155CC"/>
            <w:szCs w:val="24"/>
            <w:highlight w:val="white"/>
            <w:u w:val="single"/>
          </w:rPr>
          <w:t>https://ijmge.ut.ac.ir/article_94511_6311f8a264ea476bfc6e7525464a207e.pdf</w:t>
        </w:r>
      </w:hyperlink>
    </w:p>
    <w:p w14:paraId="3EF9E94C" w14:textId="77777777" w:rsidR="006F7AF3" w:rsidRDefault="00357ABC" w:rsidP="00F07D6A">
      <w:pPr>
        <w:rPr>
          <w:rFonts w:eastAsia="Times New Roman" w:cs="Times New Roman"/>
          <w:color w:val="222222"/>
          <w:szCs w:val="24"/>
          <w:highlight w:val="white"/>
        </w:rPr>
      </w:pPr>
      <w:r>
        <w:rPr>
          <w:rFonts w:eastAsia="Times New Roman" w:cs="Times New Roman"/>
          <w:color w:val="222222"/>
          <w:szCs w:val="24"/>
          <w:highlight w:val="white"/>
        </w:rPr>
        <w:t xml:space="preserve">Newell, R.G., Pizer, W.A. and Prest, B.C., (2024). The Shadow Price of Capital: Accounting for Capital Displacement in Benefit-Cost Analysis. </w:t>
      </w:r>
      <w:r>
        <w:rPr>
          <w:rFonts w:eastAsia="Times New Roman" w:cs="Times New Roman"/>
          <w:i/>
          <w:color w:val="222222"/>
          <w:szCs w:val="24"/>
          <w:highlight w:val="white"/>
        </w:rPr>
        <w:t xml:space="preserve">Environmental and Energy Policy and the </w:t>
      </w:r>
      <w:r>
        <w:rPr>
          <w:rFonts w:eastAsia="Times New Roman" w:cs="Times New Roman"/>
          <w:i/>
          <w:color w:val="222222"/>
          <w:szCs w:val="24"/>
          <w:highlight w:val="white"/>
        </w:rPr>
        <w:lastRenderedPageBreak/>
        <w:t>Economy</w:t>
      </w:r>
      <w:r>
        <w:rPr>
          <w:rFonts w:eastAsia="Times New Roman" w:cs="Times New Roman"/>
          <w:color w:val="222222"/>
          <w:szCs w:val="24"/>
          <w:highlight w:val="white"/>
        </w:rPr>
        <w:t xml:space="preserve">, </w:t>
      </w:r>
      <w:r>
        <w:rPr>
          <w:rFonts w:eastAsia="Times New Roman" w:cs="Times New Roman"/>
          <w:i/>
          <w:color w:val="222222"/>
          <w:szCs w:val="24"/>
          <w:highlight w:val="white"/>
        </w:rPr>
        <w:t>5</w:t>
      </w:r>
      <w:r>
        <w:rPr>
          <w:rFonts w:eastAsia="Times New Roman" w:cs="Times New Roman"/>
          <w:color w:val="222222"/>
          <w:szCs w:val="24"/>
          <w:highlight w:val="white"/>
        </w:rPr>
        <w:t xml:space="preserve">(1), pp.49-69. </w:t>
      </w:r>
      <w:hyperlink r:id="rId40">
        <w:r>
          <w:rPr>
            <w:rFonts w:eastAsia="Times New Roman" w:cs="Times New Roman"/>
            <w:color w:val="1155CC"/>
            <w:szCs w:val="24"/>
            <w:highlight w:val="white"/>
            <w:u w:val="single"/>
          </w:rPr>
          <w:t>https://www.nber.org/system/files/chapters/c14875/revisions/c14875.rev0.pdf</w:t>
        </w:r>
      </w:hyperlink>
    </w:p>
    <w:p w14:paraId="1477DEC8" w14:textId="77777777" w:rsidR="006F7AF3" w:rsidRPr="002E3FDE" w:rsidRDefault="00357ABC" w:rsidP="002E3FDE">
      <w:pPr>
        <w:rPr>
          <w:rFonts w:cs="Times New Roman"/>
          <w:szCs w:val="24"/>
          <w:highlight w:val="white"/>
        </w:rPr>
      </w:pPr>
      <w:r w:rsidRPr="002E3FDE">
        <w:rPr>
          <w:rFonts w:cs="Times New Roman"/>
          <w:szCs w:val="24"/>
          <w:highlight w:val="white"/>
        </w:rPr>
        <w:t xml:space="preserve">Newell, R.G., Pizer, W.A. and Prest, B.C., (2024). The Shadow Price of Capital: Accounting for Capital Displacement in Benefit-Cost Analysis. </w:t>
      </w:r>
      <w:r w:rsidRPr="002E3FDE">
        <w:rPr>
          <w:rFonts w:cs="Times New Roman"/>
          <w:i/>
          <w:szCs w:val="24"/>
          <w:highlight w:val="white"/>
        </w:rPr>
        <w:t>Environmental and Energy Policy and the Economy</w:t>
      </w:r>
      <w:r w:rsidRPr="002E3FDE">
        <w:rPr>
          <w:rFonts w:cs="Times New Roman"/>
          <w:szCs w:val="24"/>
          <w:highlight w:val="white"/>
        </w:rPr>
        <w:t xml:space="preserve">, </w:t>
      </w:r>
      <w:r w:rsidRPr="002E3FDE">
        <w:rPr>
          <w:rFonts w:cs="Times New Roman"/>
          <w:i/>
          <w:szCs w:val="24"/>
          <w:highlight w:val="white"/>
        </w:rPr>
        <w:t>5</w:t>
      </w:r>
      <w:r w:rsidRPr="002E3FDE">
        <w:rPr>
          <w:rFonts w:cs="Times New Roman"/>
          <w:szCs w:val="24"/>
          <w:highlight w:val="white"/>
        </w:rPr>
        <w:t xml:space="preserve">(1), pp.49-69. </w:t>
      </w:r>
      <w:hyperlink r:id="rId41">
        <w:r w:rsidRPr="002E3FDE">
          <w:rPr>
            <w:rFonts w:cs="Times New Roman"/>
            <w:color w:val="1155CC"/>
            <w:szCs w:val="24"/>
            <w:highlight w:val="white"/>
            <w:u w:val="single"/>
          </w:rPr>
          <w:t>https://www.nber.org/system/files/chapters/c14875/revisions/c14875.rev0.pdf</w:t>
        </w:r>
      </w:hyperlink>
    </w:p>
    <w:p w14:paraId="55AA4DC9" w14:textId="77777777" w:rsidR="006F7AF3" w:rsidRDefault="00357ABC" w:rsidP="00F07D6A">
      <w:pPr>
        <w:rPr>
          <w:rFonts w:eastAsia="Times New Roman" w:cs="Times New Roman"/>
          <w:color w:val="222222"/>
          <w:szCs w:val="24"/>
          <w:highlight w:val="white"/>
        </w:rPr>
      </w:pPr>
      <w:r>
        <w:rPr>
          <w:rFonts w:eastAsia="Times New Roman" w:cs="Times New Roman"/>
          <w:color w:val="222222"/>
          <w:szCs w:val="24"/>
          <w:highlight w:val="white"/>
        </w:rPr>
        <w:t xml:space="preserve">Ningsih, L.R. and Huda, N., (2024). ANALISIS RASIO LIKUIDITAS DAN RASIO GEARING TERHADAP RASIO PROFITABILITAS (PADA PT. PRIMARINDO ASIA INFRASTRUCTURE, </w:t>
      </w:r>
      <w:proofErr w:type="spellStart"/>
      <w:r>
        <w:rPr>
          <w:rFonts w:eastAsia="Times New Roman" w:cs="Times New Roman"/>
          <w:color w:val="222222"/>
          <w:szCs w:val="24"/>
          <w:highlight w:val="white"/>
        </w:rPr>
        <w:t>Tbk</w:t>
      </w:r>
      <w:proofErr w:type="spellEnd"/>
      <w:r>
        <w:rPr>
          <w:rFonts w:eastAsia="Times New Roman" w:cs="Times New Roman"/>
          <w:color w:val="222222"/>
          <w:szCs w:val="24"/>
          <w:highlight w:val="white"/>
        </w:rPr>
        <w:t xml:space="preserve"> PERIODE 2012-2021). </w:t>
      </w:r>
      <w:r>
        <w:rPr>
          <w:rFonts w:eastAsia="Times New Roman" w:cs="Times New Roman"/>
          <w:i/>
          <w:color w:val="222222"/>
          <w:szCs w:val="24"/>
          <w:highlight w:val="white"/>
        </w:rPr>
        <w:t xml:space="preserve">Journal Transformation of </w:t>
      </w:r>
      <w:proofErr w:type="spellStart"/>
      <w:r>
        <w:rPr>
          <w:rFonts w:eastAsia="Times New Roman" w:cs="Times New Roman"/>
          <w:i/>
          <w:color w:val="222222"/>
          <w:szCs w:val="24"/>
          <w:highlight w:val="white"/>
        </w:rPr>
        <w:t>Mandalika</w:t>
      </w:r>
      <w:proofErr w:type="spellEnd"/>
      <w:r>
        <w:rPr>
          <w:rFonts w:eastAsia="Times New Roman" w:cs="Times New Roman"/>
          <w:color w:val="222222"/>
          <w:szCs w:val="24"/>
          <w:highlight w:val="white"/>
        </w:rPr>
        <w:t xml:space="preserve">, </w:t>
      </w:r>
      <w:r>
        <w:rPr>
          <w:rFonts w:eastAsia="Times New Roman" w:cs="Times New Roman"/>
          <w:i/>
          <w:color w:val="222222"/>
          <w:szCs w:val="24"/>
          <w:highlight w:val="white"/>
        </w:rPr>
        <w:t>5</w:t>
      </w:r>
      <w:r>
        <w:rPr>
          <w:rFonts w:eastAsia="Times New Roman" w:cs="Times New Roman"/>
          <w:color w:val="222222"/>
          <w:szCs w:val="24"/>
          <w:highlight w:val="white"/>
        </w:rPr>
        <w:t xml:space="preserve">(6), pp.327-335. </w:t>
      </w:r>
      <w:hyperlink r:id="rId42">
        <w:r>
          <w:rPr>
            <w:rFonts w:eastAsia="Times New Roman" w:cs="Times New Roman"/>
            <w:color w:val="1155CC"/>
            <w:szCs w:val="24"/>
            <w:highlight w:val="white"/>
            <w:u w:val="single"/>
          </w:rPr>
          <w:t>https://www.ojs.cahayamandalika.com/index.php/jtm/article/download/3055/2527</w:t>
        </w:r>
      </w:hyperlink>
    </w:p>
    <w:p w14:paraId="0176FB87" w14:textId="77777777" w:rsidR="006F7AF3" w:rsidRPr="002E3FDE" w:rsidRDefault="00357ABC" w:rsidP="002E3FDE">
      <w:pPr>
        <w:rPr>
          <w:highlight w:val="white"/>
        </w:rPr>
      </w:pPr>
      <w:r w:rsidRPr="002E3FDE">
        <w:rPr>
          <w:highlight w:val="white"/>
        </w:rPr>
        <w:t xml:space="preserve">Ningsih, L.R. and Huda, N., (2024). ANALISIS RASIO LIKUIDITAS DAN RASIO GEARING TERHADAP RASIO PROFITABILITAS (PADA PT. PRIMARINDO ASIA INFRASTRUCTURE, </w:t>
      </w:r>
      <w:proofErr w:type="spellStart"/>
      <w:r w:rsidRPr="002E3FDE">
        <w:rPr>
          <w:highlight w:val="white"/>
        </w:rPr>
        <w:t>Tbk</w:t>
      </w:r>
      <w:proofErr w:type="spellEnd"/>
      <w:r w:rsidRPr="002E3FDE">
        <w:rPr>
          <w:highlight w:val="white"/>
        </w:rPr>
        <w:t xml:space="preserve"> PERIODE 2012-2021). </w:t>
      </w:r>
      <w:r w:rsidRPr="002E3FDE">
        <w:rPr>
          <w:i/>
          <w:highlight w:val="white"/>
        </w:rPr>
        <w:t xml:space="preserve">Journal Transformation of </w:t>
      </w:r>
      <w:proofErr w:type="spellStart"/>
      <w:r w:rsidRPr="002E3FDE">
        <w:rPr>
          <w:i/>
          <w:highlight w:val="white"/>
        </w:rPr>
        <w:t>Mandalika</w:t>
      </w:r>
      <w:proofErr w:type="spellEnd"/>
      <w:r w:rsidRPr="002E3FDE">
        <w:rPr>
          <w:highlight w:val="white"/>
        </w:rPr>
        <w:t xml:space="preserve">, </w:t>
      </w:r>
      <w:r w:rsidRPr="002E3FDE">
        <w:rPr>
          <w:i/>
          <w:highlight w:val="white"/>
        </w:rPr>
        <w:t>5</w:t>
      </w:r>
      <w:r w:rsidRPr="002E3FDE">
        <w:rPr>
          <w:highlight w:val="white"/>
        </w:rPr>
        <w:t xml:space="preserve">(6), pp.327-335. </w:t>
      </w:r>
      <w:hyperlink r:id="rId43">
        <w:r w:rsidRPr="002E3FDE">
          <w:rPr>
            <w:color w:val="1155CC"/>
            <w:highlight w:val="white"/>
            <w:u w:val="single"/>
          </w:rPr>
          <w:t>https://www.ojs.cahayamandalika.com/index.php/jtm/article/download/3055/2527</w:t>
        </w:r>
      </w:hyperlink>
    </w:p>
    <w:p w14:paraId="4C9C25E9" w14:textId="77777777" w:rsidR="006F7AF3" w:rsidRPr="002E3FDE" w:rsidRDefault="00357ABC" w:rsidP="002E3FDE">
      <w:pPr>
        <w:rPr>
          <w:rFonts w:cs="Times New Roman"/>
          <w:szCs w:val="24"/>
          <w:highlight w:val="white"/>
        </w:rPr>
      </w:pPr>
      <w:r w:rsidRPr="0048037E">
        <w:rPr>
          <w:rFonts w:cs="Times New Roman"/>
          <w:szCs w:val="24"/>
        </w:rPr>
        <w:t xml:space="preserve">Paduano, C., </w:t>
      </w:r>
      <w:r>
        <w:rPr>
          <w:rFonts w:cs="Times New Roman"/>
          <w:szCs w:val="24"/>
        </w:rPr>
        <w:t>(</w:t>
      </w:r>
      <w:r w:rsidRPr="0048037E">
        <w:rPr>
          <w:rFonts w:cs="Times New Roman"/>
          <w:szCs w:val="24"/>
        </w:rPr>
        <w:t>2024</w:t>
      </w:r>
      <w:r>
        <w:rPr>
          <w:rFonts w:cs="Times New Roman"/>
          <w:szCs w:val="24"/>
        </w:rPr>
        <w:t>)</w:t>
      </w:r>
      <w:r w:rsidRPr="0048037E">
        <w:rPr>
          <w:rFonts w:cs="Times New Roman"/>
          <w:szCs w:val="24"/>
        </w:rPr>
        <w:t xml:space="preserve">. The (Un) Sustainability of UK Company Law: </w:t>
      </w:r>
      <w:proofErr w:type="spellStart"/>
      <w:r w:rsidRPr="0048037E">
        <w:rPr>
          <w:rFonts w:cs="Times New Roman"/>
          <w:szCs w:val="24"/>
        </w:rPr>
        <w:t>ClientEarth</w:t>
      </w:r>
      <w:proofErr w:type="spellEnd"/>
      <w:r w:rsidRPr="0048037E">
        <w:rPr>
          <w:rFonts w:cs="Times New Roman"/>
          <w:szCs w:val="24"/>
        </w:rPr>
        <w:t xml:space="preserve"> v. Shell Plc. European Company Law, 21(2).</w:t>
      </w:r>
      <w:hyperlink r:id="rId44" w:history="1">
        <w:r w:rsidRPr="00C2708B">
          <w:rPr>
            <w:rStyle w:val="Hyperlink"/>
            <w:rFonts w:cs="Times New Roman"/>
            <w:szCs w:val="24"/>
          </w:rPr>
          <w:t>https://kluwerlawonline.com/journalarticle/European+Company+Law/21.2/EUCL2024004</w:t>
        </w:r>
      </w:hyperlink>
    </w:p>
    <w:p w14:paraId="1D673A82" w14:textId="77777777" w:rsidR="006F7AF3" w:rsidRPr="00870B6F" w:rsidRDefault="00357ABC" w:rsidP="00E079C5">
      <w:pPr>
        <w:rPr>
          <w:rFonts w:cs="Times New Roman"/>
          <w:color w:val="222222"/>
          <w:szCs w:val="24"/>
          <w:shd w:val="clear" w:color="auto" w:fill="FFFFFF"/>
        </w:rPr>
      </w:pPr>
      <w:r w:rsidRPr="00870B6F">
        <w:rPr>
          <w:rFonts w:cs="Times New Roman"/>
          <w:color w:val="222222"/>
          <w:szCs w:val="24"/>
          <w:shd w:val="clear" w:color="auto" w:fill="FFFFFF"/>
        </w:rPr>
        <w:t xml:space="preserve">Saputra, F., </w:t>
      </w:r>
      <w:r>
        <w:rPr>
          <w:rFonts w:cs="Times New Roman"/>
          <w:color w:val="222222"/>
          <w:szCs w:val="24"/>
          <w:shd w:val="clear" w:color="auto" w:fill="FFFFFF"/>
        </w:rPr>
        <w:t>(</w:t>
      </w:r>
      <w:r w:rsidRPr="00870B6F">
        <w:rPr>
          <w:rFonts w:cs="Times New Roman"/>
          <w:color w:val="222222"/>
          <w:szCs w:val="24"/>
          <w:shd w:val="clear" w:color="auto" w:fill="FFFFFF"/>
        </w:rPr>
        <w:t>2022</w:t>
      </w:r>
      <w:r>
        <w:rPr>
          <w:rFonts w:cs="Times New Roman"/>
          <w:color w:val="222222"/>
          <w:szCs w:val="24"/>
          <w:shd w:val="clear" w:color="auto" w:fill="FFFFFF"/>
        </w:rPr>
        <w:t>)</w:t>
      </w:r>
      <w:r w:rsidRPr="00870B6F">
        <w:rPr>
          <w:rFonts w:cs="Times New Roman"/>
          <w:color w:val="222222"/>
          <w:szCs w:val="24"/>
          <w:shd w:val="clear" w:color="auto" w:fill="FFFFFF"/>
        </w:rPr>
        <w:t xml:space="preserve">. Analysis Effect Return on Assets (ROA), Return on Equity (ROE) and Price </w:t>
      </w:r>
      <w:proofErr w:type="spellStart"/>
      <w:r w:rsidRPr="00870B6F">
        <w:rPr>
          <w:rFonts w:cs="Times New Roman"/>
          <w:color w:val="222222"/>
          <w:szCs w:val="24"/>
          <w:shd w:val="clear" w:color="auto" w:fill="FFFFFF"/>
        </w:rPr>
        <w:t>Earning</w:t>
      </w:r>
      <w:proofErr w:type="spellEnd"/>
      <w:r w:rsidRPr="00870B6F">
        <w:rPr>
          <w:rFonts w:cs="Times New Roman"/>
          <w:color w:val="222222"/>
          <w:szCs w:val="24"/>
          <w:shd w:val="clear" w:color="auto" w:fill="FFFFFF"/>
        </w:rPr>
        <w:t xml:space="preserve"> Ratio (PER) on Stock Prices of Coal Companies in the Indonesia Stock Exchange (IDX) Period 2018-2021. </w:t>
      </w:r>
      <w:r w:rsidRPr="00870B6F">
        <w:rPr>
          <w:rFonts w:cs="Times New Roman"/>
          <w:i/>
          <w:iCs/>
          <w:color w:val="222222"/>
          <w:szCs w:val="24"/>
          <w:shd w:val="clear" w:color="auto" w:fill="FFFFFF"/>
        </w:rPr>
        <w:t>Dinasti International Journal of Economics, Finance &amp; Accounting</w:t>
      </w:r>
      <w:r w:rsidRPr="00870B6F">
        <w:rPr>
          <w:rFonts w:cs="Times New Roman"/>
          <w:color w:val="222222"/>
          <w:szCs w:val="24"/>
          <w:shd w:val="clear" w:color="auto" w:fill="FFFFFF"/>
        </w:rPr>
        <w:t>, </w:t>
      </w:r>
      <w:r w:rsidRPr="00870B6F">
        <w:rPr>
          <w:rFonts w:cs="Times New Roman"/>
          <w:i/>
          <w:iCs/>
          <w:color w:val="222222"/>
          <w:szCs w:val="24"/>
          <w:shd w:val="clear" w:color="auto" w:fill="FFFFFF"/>
        </w:rPr>
        <w:t>3</w:t>
      </w:r>
      <w:r w:rsidRPr="00870B6F">
        <w:rPr>
          <w:rFonts w:cs="Times New Roman"/>
          <w:color w:val="222222"/>
          <w:szCs w:val="24"/>
          <w:shd w:val="clear" w:color="auto" w:fill="FFFFFF"/>
        </w:rPr>
        <w:t>(1), pp.82-94.</w:t>
      </w:r>
      <w:hyperlink r:id="rId45" w:history="1">
        <w:r w:rsidRPr="00870B6F">
          <w:rPr>
            <w:rStyle w:val="Hyperlink"/>
            <w:rFonts w:cs="Times New Roman"/>
            <w:szCs w:val="24"/>
            <w:shd w:val="clear" w:color="auto" w:fill="FFFFFF"/>
          </w:rPr>
          <w:t>https://dinastipub.org/DIJEFA/article/view/1238</w:t>
        </w:r>
      </w:hyperlink>
    </w:p>
    <w:p w14:paraId="1C3C4A85" w14:textId="77777777" w:rsidR="006F7AF3" w:rsidRPr="00870B6F" w:rsidRDefault="00357ABC" w:rsidP="00E079C5">
      <w:pPr>
        <w:rPr>
          <w:rFonts w:cs="Times New Roman"/>
          <w:color w:val="222222"/>
          <w:szCs w:val="24"/>
          <w:shd w:val="clear" w:color="auto" w:fill="FFFFFF"/>
        </w:rPr>
      </w:pPr>
      <w:r w:rsidRPr="00870B6F">
        <w:rPr>
          <w:rFonts w:cs="Times New Roman"/>
          <w:color w:val="222222"/>
          <w:szCs w:val="24"/>
          <w:shd w:val="clear" w:color="auto" w:fill="FFFFFF"/>
        </w:rPr>
        <w:t xml:space="preserve">Sari, W.N., </w:t>
      </w:r>
      <w:proofErr w:type="spellStart"/>
      <w:r w:rsidRPr="00870B6F">
        <w:rPr>
          <w:rFonts w:cs="Times New Roman"/>
          <w:color w:val="222222"/>
          <w:szCs w:val="24"/>
          <w:shd w:val="clear" w:color="auto" w:fill="FFFFFF"/>
        </w:rPr>
        <w:t>Novari</w:t>
      </w:r>
      <w:proofErr w:type="spellEnd"/>
      <w:r w:rsidRPr="00870B6F">
        <w:rPr>
          <w:rFonts w:cs="Times New Roman"/>
          <w:color w:val="222222"/>
          <w:szCs w:val="24"/>
          <w:shd w:val="clear" w:color="auto" w:fill="FFFFFF"/>
        </w:rPr>
        <w:t xml:space="preserve">, E., </w:t>
      </w:r>
      <w:proofErr w:type="spellStart"/>
      <w:r w:rsidRPr="00870B6F">
        <w:rPr>
          <w:rFonts w:cs="Times New Roman"/>
          <w:color w:val="222222"/>
          <w:szCs w:val="24"/>
          <w:shd w:val="clear" w:color="auto" w:fill="FFFFFF"/>
        </w:rPr>
        <w:t>Fitri</w:t>
      </w:r>
      <w:proofErr w:type="spellEnd"/>
      <w:r w:rsidRPr="00870B6F">
        <w:rPr>
          <w:rFonts w:cs="Times New Roman"/>
          <w:color w:val="222222"/>
          <w:szCs w:val="24"/>
          <w:shd w:val="clear" w:color="auto" w:fill="FFFFFF"/>
        </w:rPr>
        <w:t xml:space="preserve">, Y.S. and Nasution, A.I., </w:t>
      </w:r>
      <w:r>
        <w:rPr>
          <w:rFonts w:cs="Times New Roman"/>
          <w:color w:val="222222"/>
          <w:szCs w:val="24"/>
          <w:shd w:val="clear" w:color="auto" w:fill="FFFFFF"/>
        </w:rPr>
        <w:t>(</w:t>
      </w:r>
      <w:r w:rsidRPr="00870B6F">
        <w:rPr>
          <w:rFonts w:cs="Times New Roman"/>
          <w:color w:val="222222"/>
          <w:szCs w:val="24"/>
          <w:shd w:val="clear" w:color="auto" w:fill="FFFFFF"/>
        </w:rPr>
        <w:t>2022</w:t>
      </w:r>
      <w:r>
        <w:rPr>
          <w:rFonts w:cs="Times New Roman"/>
          <w:color w:val="222222"/>
          <w:szCs w:val="24"/>
          <w:shd w:val="clear" w:color="auto" w:fill="FFFFFF"/>
        </w:rPr>
        <w:t>)</w:t>
      </w:r>
      <w:r w:rsidRPr="00870B6F">
        <w:rPr>
          <w:rFonts w:cs="Times New Roman"/>
          <w:color w:val="222222"/>
          <w:szCs w:val="24"/>
          <w:shd w:val="clear" w:color="auto" w:fill="FFFFFF"/>
        </w:rPr>
        <w:t>. Effect of Current Ratio (Cr), Quick Ratio (</w:t>
      </w:r>
      <w:proofErr w:type="spellStart"/>
      <w:r w:rsidRPr="00870B6F">
        <w:rPr>
          <w:rFonts w:cs="Times New Roman"/>
          <w:color w:val="222222"/>
          <w:szCs w:val="24"/>
          <w:shd w:val="clear" w:color="auto" w:fill="FFFFFF"/>
        </w:rPr>
        <w:t>Qr</w:t>
      </w:r>
      <w:proofErr w:type="spellEnd"/>
      <w:r w:rsidRPr="00870B6F">
        <w:rPr>
          <w:rFonts w:cs="Times New Roman"/>
          <w:color w:val="222222"/>
          <w:szCs w:val="24"/>
          <w:shd w:val="clear" w:color="auto" w:fill="FFFFFF"/>
        </w:rPr>
        <w:t xml:space="preserve">), Debt </w:t>
      </w:r>
      <w:proofErr w:type="gramStart"/>
      <w:r w:rsidRPr="00870B6F">
        <w:rPr>
          <w:rFonts w:cs="Times New Roman"/>
          <w:color w:val="222222"/>
          <w:szCs w:val="24"/>
          <w:shd w:val="clear" w:color="auto" w:fill="FFFFFF"/>
        </w:rPr>
        <w:t>To</w:t>
      </w:r>
      <w:proofErr w:type="gramEnd"/>
      <w:r w:rsidRPr="00870B6F">
        <w:rPr>
          <w:rFonts w:cs="Times New Roman"/>
          <w:color w:val="222222"/>
          <w:szCs w:val="24"/>
          <w:shd w:val="clear" w:color="auto" w:fill="FFFFFF"/>
        </w:rPr>
        <w:t xml:space="preserve"> Asset Ratio (Dar) and Debt To Equity Ratio (Der) on Return On Assets (</w:t>
      </w:r>
      <w:proofErr w:type="spellStart"/>
      <w:r w:rsidRPr="00870B6F">
        <w:rPr>
          <w:rFonts w:cs="Times New Roman"/>
          <w:color w:val="222222"/>
          <w:szCs w:val="24"/>
          <w:shd w:val="clear" w:color="auto" w:fill="FFFFFF"/>
        </w:rPr>
        <w:t>Roa</w:t>
      </w:r>
      <w:proofErr w:type="spellEnd"/>
      <w:r w:rsidRPr="00870B6F">
        <w:rPr>
          <w:rFonts w:cs="Times New Roman"/>
          <w:color w:val="222222"/>
          <w:szCs w:val="24"/>
          <w:shd w:val="clear" w:color="auto" w:fill="FFFFFF"/>
        </w:rPr>
        <w:t>). </w:t>
      </w:r>
      <w:r w:rsidRPr="00870B6F">
        <w:rPr>
          <w:rFonts w:cs="Times New Roman"/>
          <w:i/>
          <w:iCs/>
          <w:color w:val="222222"/>
          <w:szCs w:val="24"/>
          <w:shd w:val="clear" w:color="auto" w:fill="FFFFFF"/>
        </w:rPr>
        <w:t>Journal of Islamic Economics and Business</w:t>
      </w:r>
      <w:r w:rsidRPr="00870B6F">
        <w:rPr>
          <w:rFonts w:cs="Times New Roman"/>
          <w:color w:val="222222"/>
          <w:szCs w:val="24"/>
          <w:shd w:val="clear" w:color="auto" w:fill="FFFFFF"/>
        </w:rPr>
        <w:t>, </w:t>
      </w:r>
      <w:r w:rsidRPr="00870B6F">
        <w:rPr>
          <w:rFonts w:cs="Times New Roman"/>
          <w:i/>
          <w:iCs/>
          <w:color w:val="222222"/>
          <w:szCs w:val="24"/>
          <w:shd w:val="clear" w:color="auto" w:fill="FFFFFF"/>
        </w:rPr>
        <w:t>2</w:t>
      </w:r>
      <w:r w:rsidRPr="00870B6F">
        <w:rPr>
          <w:rFonts w:cs="Times New Roman"/>
          <w:color w:val="222222"/>
          <w:szCs w:val="24"/>
          <w:shd w:val="clear" w:color="auto" w:fill="FFFFFF"/>
        </w:rPr>
        <w:t>(1), pp.42-58.</w:t>
      </w:r>
      <w:hyperlink r:id="rId46" w:history="1">
        <w:r w:rsidRPr="00870B6F">
          <w:rPr>
            <w:rStyle w:val="Hyperlink"/>
            <w:rFonts w:cs="Times New Roman"/>
            <w:szCs w:val="24"/>
            <w:shd w:val="clear" w:color="auto" w:fill="FFFFFF"/>
          </w:rPr>
          <w:t>https://journal.uinsgd.ac.id/index.php/jieb/article/view/20173</w:t>
        </w:r>
      </w:hyperlink>
    </w:p>
    <w:p w14:paraId="50039A1F" w14:textId="77777777" w:rsidR="006F7AF3" w:rsidRPr="00C15D93" w:rsidRDefault="00357ABC" w:rsidP="00C15D93">
      <w:r w:rsidRPr="006F7AF3">
        <w:rPr>
          <w:highlight w:val="yellow"/>
        </w:rPr>
        <w:lastRenderedPageBreak/>
        <w:t>Shell Global [online], (2024). Shell Global. [Viewed 31 July 2024]. Available from: </w:t>
      </w:r>
      <w:hyperlink r:id="rId47" w:tgtFrame="_blank" w:history="1">
        <w:r w:rsidRPr="006F7AF3">
          <w:rPr>
            <w:rStyle w:val="Hyperlink"/>
          </w:rPr>
          <w:t>https://www.shell.com/</w:t>
        </w:r>
      </w:hyperlink>
    </w:p>
    <w:p w14:paraId="353C6DE1" w14:textId="77777777" w:rsidR="006F7AF3" w:rsidRDefault="00357ABC" w:rsidP="00F07D6A">
      <w:pPr>
        <w:rPr>
          <w:rFonts w:eastAsia="Times New Roman" w:cs="Times New Roman"/>
          <w:color w:val="222222"/>
          <w:szCs w:val="24"/>
          <w:highlight w:val="white"/>
        </w:rPr>
      </w:pPr>
      <w:proofErr w:type="spellStart"/>
      <w:r>
        <w:rPr>
          <w:rFonts w:eastAsia="Times New Roman" w:cs="Times New Roman"/>
          <w:color w:val="222222"/>
          <w:szCs w:val="24"/>
          <w:highlight w:val="white"/>
        </w:rPr>
        <w:t>Shham</w:t>
      </w:r>
      <w:proofErr w:type="spellEnd"/>
      <w:r>
        <w:rPr>
          <w:rFonts w:eastAsia="Times New Roman" w:cs="Times New Roman"/>
          <w:color w:val="222222"/>
          <w:szCs w:val="24"/>
          <w:highlight w:val="white"/>
        </w:rPr>
        <w:t xml:space="preserve">, A.M. and </w:t>
      </w:r>
      <w:proofErr w:type="spellStart"/>
      <w:r>
        <w:rPr>
          <w:rFonts w:eastAsia="Times New Roman" w:cs="Times New Roman"/>
          <w:color w:val="222222"/>
          <w:szCs w:val="24"/>
          <w:highlight w:val="white"/>
        </w:rPr>
        <w:t>Bouria</w:t>
      </w:r>
      <w:proofErr w:type="spellEnd"/>
      <w:r>
        <w:rPr>
          <w:rFonts w:eastAsia="Times New Roman" w:cs="Times New Roman"/>
          <w:color w:val="222222"/>
          <w:szCs w:val="24"/>
          <w:highlight w:val="white"/>
        </w:rPr>
        <w:t xml:space="preserve">, A., (2024). IMPACT OF INTERNAL RATE OF RETURN CRITERION (IRR) AND MODIFIED INTERNAL RATE OF RETURN CRITERION (MIRR) ON INVESTMENT DECISIONS: EVIDENCE FROM FOREIGN COMPANIES INVESTING IN THE IRAQI ENVIRONMENT. </w:t>
      </w:r>
      <w:r>
        <w:rPr>
          <w:rFonts w:eastAsia="Times New Roman" w:cs="Times New Roman"/>
          <w:i/>
          <w:color w:val="222222"/>
          <w:szCs w:val="24"/>
          <w:highlight w:val="white"/>
        </w:rPr>
        <w:t>Galaxy International Interdisciplinary Research Journal</w:t>
      </w:r>
      <w:r>
        <w:rPr>
          <w:rFonts w:eastAsia="Times New Roman" w:cs="Times New Roman"/>
          <w:color w:val="222222"/>
          <w:szCs w:val="24"/>
          <w:highlight w:val="white"/>
        </w:rPr>
        <w:t xml:space="preserve">, </w:t>
      </w:r>
      <w:r>
        <w:rPr>
          <w:rFonts w:eastAsia="Times New Roman" w:cs="Times New Roman"/>
          <w:i/>
          <w:color w:val="222222"/>
          <w:szCs w:val="24"/>
          <w:highlight w:val="white"/>
        </w:rPr>
        <w:t>12</w:t>
      </w:r>
      <w:r>
        <w:rPr>
          <w:rFonts w:eastAsia="Times New Roman" w:cs="Times New Roman"/>
          <w:color w:val="222222"/>
          <w:szCs w:val="24"/>
          <w:highlight w:val="white"/>
        </w:rPr>
        <w:t xml:space="preserve">(6), pp.257-271. </w:t>
      </w:r>
      <w:hyperlink r:id="rId48">
        <w:r>
          <w:rPr>
            <w:rFonts w:eastAsia="Times New Roman" w:cs="Times New Roman"/>
            <w:color w:val="1155CC"/>
            <w:szCs w:val="24"/>
            <w:highlight w:val="white"/>
            <w:u w:val="single"/>
          </w:rPr>
          <w:t>https://www.giirj.com/index.php/giirj/article/download/6829/6715</w:t>
        </w:r>
      </w:hyperlink>
    </w:p>
    <w:p w14:paraId="6A5029AD" w14:textId="77777777" w:rsidR="006F7AF3" w:rsidRDefault="00357ABC" w:rsidP="002E3FDE">
      <w:pPr>
        <w:rPr>
          <w:rFonts w:cs="Times New Roman"/>
          <w:color w:val="1155CC"/>
          <w:szCs w:val="24"/>
          <w:u w:val="single"/>
        </w:rPr>
      </w:pPr>
      <w:proofErr w:type="spellStart"/>
      <w:r w:rsidRPr="002E3FDE">
        <w:rPr>
          <w:rFonts w:cs="Times New Roman"/>
          <w:szCs w:val="24"/>
          <w:highlight w:val="white"/>
        </w:rPr>
        <w:t>Shham</w:t>
      </w:r>
      <w:proofErr w:type="spellEnd"/>
      <w:r w:rsidRPr="002E3FDE">
        <w:rPr>
          <w:rFonts w:cs="Times New Roman"/>
          <w:szCs w:val="24"/>
          <w:highlight w:val="white"/>
        </w:rPr>
        <w:t xml:space="preserve">, A.M. and </w:t>
      </w:r>
      <w:proofErr w:type="spellStart"/>
      <w:r w:rsidRPr="002E3FDE">
        <w:rPr>
          <w:rFonts w:cs="Times New Roman"/>
          <w:szCs w:val="24"/>
          <w:highlight w:val="white"/>
        </w:rPr>
        <w:t>Bouria</w:t>
      </w:r>
      <w:proofErr w:type="spellEnd"/>
      <w:r w:rsidRPr="002E3FDE">
        <w:rPr>
          <w:rFonts w:cs="Times New Roman"/>
          <w:szCs w:val="24"/>
          <w:highlight w:val="white"/>
        </w:rPr>
        <w:t xml:space="preserve">, A., (2024). IMPACT OF INTERNAL RATE OF RETURN CRITERION (IRR) AND MODIFIED INTERNAL RATE OF RETURN CRITERION (MIRR) ON INVESTMENT DECISIONS: EVIDENCE FROM FOREIGN COMPANIES INVESTING IN THE IRAQI ENVIRONMENT. </w:t>
      </w:r>
      <w:r w:rsidRPr="002E3FDE">
        <w:rPr>
          <w:rFonts w:cs="Times New Roman"/>
          <w:i/>
          <w:szCs w:val="24"/>
          <w:highlight w:val="white"/>
        </w:rPr>
        <w:t>Galaxy International Interdisciplinary Research Journal</w:t>
      </w:r>
      <w:r w:rsidRPr="002E3FDE">
        <w:rPr>
          <w:rFonts w:cs="Times New Roman"/>
          <w:szCs w:val="24"/>
          <w:highlight w:val="white"/>
        </w:rPr>
        <w:t xml:space="preserve">, </w:t>
      </w:r>
      <w:r w:rsidRPr="002E3FDE">
        <w:rPr>
          <w:rFonts w:cs="Times New Roman"/>
          <w:i/>
          <w:szCs w:val="24"/>
          <w:highlight w:val="white"/>
        </w:rPr>
        <w:t>12</w:t>
      </w:r>
      <w:r w:rsidRPr="002E3FDE">
        <w:rPr>
          <w:rFonts w:cs="Times New Roman"/>
          <w:szCs w:val="24"/>
          <w:highlight w:val="white"/>
        </w:rPr>
        <w:t xml:space="preserve">(6), pp.257-271. </w:t>
      </w:r>
      <w:hyperlink r:id="rId49">
        <w:r w:rsidRPr="002E3FDE">
          <w:rPr>
            <w:rFonts w:cs="Times New Roman"/>
            <w:color w:val="1155CC"/>
            <w:szCs w:val="24"/>
            <w:highlight w:val="white"/>
            <w:u w:val="single"/>
          </w:rPr>
          <w:t>https://www.giirj.com/index.php/giirj/article/download/6829/6715</w:t>
        </w:r>
      </w:hyperlink>
    </w:p>
    <w:p w14:paraId="205BC2FE" w14:textId="77777777" w:rsidR="006F7AF3" w:rsidRPr="00870B6F" w:rsidRDefault="00357ABC" w:rsidP="00E079C5">
      <w:pPr>
        <w:rPr>
          <w:rFonts w:cs="Times New Roman"/>
          <w:szCs w:val="24"/>
        </w:rPr>
      </w:pPr>
      <w:proofErr w:type="spellStart"/>
      <w:r w:rsidRPr="00870B6F">
        <w:rPr>
          <w:rFonts w:cs="Times New Roman"/>
          <w:szCs w:val="24"/>
        </w:rPr>
        <w:t>Wsj</w:t>
      </w:r>
      <w:proofErr w:type="spellEnd"/>
      <w:r w:rsidRPr="00870B6F">
        <w:rPr>
          <w:rFonts w:cs="Times New Roman"/>
          <w:szCs w:val="24"/>
        </w:rPr>
        <w:t xml:space="preserve"> (2024) SHELL.NL | Shell PLC Annual Income Statement – WSJ. </w:t>
      </w:r>
      <w:hyperlink r:id="rId50" w:history="1">
        <w:r w:rsidRPr="00870B6F">
          <w:rPr>
            <w:rStyle w:val="Hyperlink"/>
            <w:rFonts w:cs="Times New Roman"/>
            <w:szCs w:val="24"/>
          </w:rPr>
          <w:t>https://www.wsj.com/market-data/quotes/NL/XAMS/SHELL/financials/annual/income-statement</w:t>
        </w:r>
      </w:hyperlink>
    </w:p>
    <w:p w14:paraId="7B544863" w14:textId="77777777" w:rsidR="006F7AF3" w:rsidRPr="00870B6F" w:rsidRDefault="00357ABC" w:rsidP="00E079C5">
      <w:pPr>
        <w:rPr>
          <w:rFonts w:cs="Times New Roman"/>
          <w:szCs w:val="24"/>
        </w:rPr>
      </w:pPr>
      <w:proofErr w:type="spellStart"/>
      <w:r w:rsidRPr="00870B6F">
        <w:rPr>
          <w:rFonts w:cs="Times New Roman"/>
          <w:szCs w:val="24"/>
        </w:rPr>
        <w:t>Wsj</w:t>
      </w:r>
      <w:proofErr w:type="spellEnd"/>
      <w:r w:rsidRPr="00870B6F">
        <w:rPr>
          <w:rFonts w:cs="Times New Roman"/>
          <w:szCs w:val="24"/>
        </w:rPr>
        <w:t xml:space="preserve"> (2024) </w:t>
      </w:r>
      <w:proofErr w:type="spellStart"/>
      <w:r w:rsidRPr="00870B6F">
        <w:rPr>
          <w:rFonts w:cs="Times New Roman"/>
          <w:szCs w:val="24"/>
        </w:rPr>
        <w:t>TotalEnergies</w:t>
      </w:r>
      <w:proofErr w:type="spellEnd"/>
      <w:r w:rsidRPr="00870B6F">
        <w:rPr>
          <w:rFonts w:cs="Times New Roman"/>
          <w:szCs w:val="24"/>
        </w:rPr>
        <w:t xml:space="preserve"> SE ADR| Total Energy Annual Income Statement – WSJ. </w:t>
      </w:r>
      <w:hyperlink r:id="rId51" w:history="1">
        <w:r w:rsidRPr="00870B6F">
          <w:rPr>
            <w:rStyle w:val="Hyperlink"/>
            <w:rFonts w:cs="Times New Roman"/>
            <w:szCs w:val="24"/>
          </w:rPr>
          <w:t>https://www.wsj.com/market-data/quotes/TTE/financials/annual/income-statement</w:t>
        </w:r>
      </w:hyperlink>
    </w:p>
    <w:p w14:paraId="6B69EE0E" w14:textId="77777777" w:rsidR="006F7AF3" w:rsidRDefault="00357ABC" w:rsidP="00E079C5">
      <w:pPr>
        <w:rPr>
          <w:rStyle w:val="Hyperlink"/>
          <w:rFonts w:cs="Times New Roman"/>
          <w:szCs w:val="24"/>
        </w:rPr>
      </w:pPr>
      <w:proofErr w:type="spellStart"/>
      <w:r w:rsidRPr="00870B6F">
        <w:rPr>
          <w:rFonts w:cs="Times New Roman"/>
          <w:szCs w:val="24"/>
        </w:rPr>
        <w:t>Wsj</w:t>
      </w:r>
      <w:proofErr w:type="spellEnd"/>
      <w:r w:rsidRPr="00870B6F">
        <w:rPr>
          <w:rFonts w:cs="Times New Roman"/>
          <w:szCs w:val="24"/>
        </w:rPr>
        <w:t xml:space="preserve"> (2024) XOM | Exxon Mobil Corp. Annual Balance Sheet – WSJ.</w:t>
      </w:r>
      <w:hyperlink r:id="rId52" w:history="1">
        <w:r w:rsidRPr="00870B6F">
          <w:rPr>
            <w:rStyle w:val="Hyperlink"/>
            <w:rFonts w:cs="Times New Roman"/>
            <w:szCs w:val="24"/>
          </w:rPr>
          <w:t>https://www.wsj.com/market-data/quotes/XOM/financials/annual/balance-sheet</w:t>
        </w:r>
      </w:hyperlink>
    </w:p>
    <w:p w14:paraId="59DE8519" w14:textId="77777777" w:rsidR="00E079C5" w:rsidRDefault="00357ABC">
      <w:pPr>
        <w:spacing w:before="0" w:after="0" w:line="276" w:lineRule="auto"/>
        <w:jc w:val="left"/>
      </w:pPr>
      <w:r>
        <w:br w:type="page"/>
      </w:r>
    </w:p>
    <w:p w14:paraId="48A4ED38" w14:textId="77777777" w:rsidR="00E079C5" w:rsidRDefault="00357ABC" w:rsidP="00E079C5">
      <w:pPr>
        <w:pStyle w:val="Heading1"/>
      </w:pPr>
      <w:bookmarkStart w:id="20" w:name="_Toc171618609"/>
      <w:r>
        <w:lastRenderedPageBreak/>
        <w:t>Appendix</w:t>
      </w:r>
      <w:bookmarkEnd w:id="20"/>
    </w:p>
    <w:tbl>
      <w:tblPr>
        <w:tblW w:w="5000" w:type="pct"/>
        <w:tblLook w:val="04A0" w:firstRow="1" w:lastRow="0" w:firstColumn="1" w:lastColumn="0" w:noHBand="0" w:noVBand="1"/>
      </w:tblPr>
      <w:tblGrid>
        <w:gridCol w:w="1840"/>
        <w:gridCol w:w="2930"/>
        <w:gridCol w:w="849"/>
        <w:gridCol w:w="850"/>
        <w:gridCol w:w="850"/>
        <w:gridCol w:w="850"/>
        <w:gridCol w:w="850"/>
      </w:tblGrid>
      <w:tr w:rsidR="00A933EF" w14:paraId="0413BE44" w14:textId="77777777" w:rsidTr="0044406A">
        <w:trPr>
          <w:trHeight w:val="310"/>
        </w:trPr>
        <w:tc>
          <w:tcPr>
            <w:tcW w:w="3349"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2D4EB6"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Income Statement</w:t>
            </w:r>
          </w:p>
        </w:tc>
        <w:tc>
          <w:tcPr>
            <w:tcW w:w="535" w:type="pct"/>
            <w:tcBorders>
              <w:top w:val="single" w:sz="4" w:space="0" w:color="auto"/>
              <w:left w:val="nil"/>
              <w:bottom w:val="single" w:sz="4" w:space="0" w:color="auto"/>
              <w:right w:val="single" w:sz="4" w:space="0" w:color="auto"/>
            </w:tcBorders>
            <w:shd w:val="clear" w:color="auto" w:fill="auto"/>
            <w:noWrap/>
            <w:vAlign w:val="bottom"/>
            <w:hideMark/>
          </w:tcPr>
          <w:p w14:paraId="3731A65C"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581" w:type="pct"/>
            <w:tcBorders>
              <w:top w:val="single" w:sz="4" w:space="0" w:color="auto"/>
              <w:left w:val="nil"/>
              <w:bottom w:val="single" w:sz="4" w:space="0" w:color="auto"/>
              <w:right w:val="single" w:sz="4" w:space="0" w:color="auto"/>
            </w:tcBorders>
            <w:shd w:val="clear" w:color="auto" w:fill="auto"/>
            <w:noWrap/>
            <w:vAlign w:val="bottom"/>
            <w:hideMark/>
          </w:tcPr>
          <w:p w14:paraId="06C7F636"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535" w:type="pct"/>
            <w:tcBorders>
              <w:top w:val="single" w:sz="4" w:space="0" w:color="auto"/>
              <w:left w:val="nil"/>
              <w:bottom w:val="single" w:sz="4" w:space="0" w:color="auto"/>
              <w:right w:val="single" w:sz="4" w:space="0" w:color="auto"/>
            </w:tcBorders>
            <w:shd w:val="clear" w:color="auto" w:fill="auto"/>
            <w:noWrap/>
            <w:vAlign w:val="bottom"/>
            <w:hideMark/>
          </w:tcPr>
          <w:p w14:paraId="403D207A"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r>
      <w:tr w:rsidR="00A933EF" w14:paraId="408891FC"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0476F74C"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1572" w:type="pct"/>
            <w:tcBorders>
              <w:top w:val="nil"/>
              <w:left w:val="nil"/>
              <w:bottom w:val="single" w:sz="4" w:space="0" w:color="auto"/>
              <w:right w:val="single" w:sz="4" w:space="0" w:color="auto"/>
            </w:tcBorders>
            <w:shd w:val="clear" w:color="auto" w:fill="auto"/>
            <w:noWrap/>
            <w:vAlign w:val="bottom"/>
            <w:hideMark/>
          </w:tcPr>
          <w:p w14:paraId="62F9C1C0"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2483" w:type="pct"/>
            <w:gridSpan w:val="5"/>
            <w:tcBorders>
              <w:top w:val="single" w:sz="4" w:space="0" w:color="auto"/>
              <w:left w:val="nil"/>
              <w:bottom w:val="single" w:sz="4" w:space="0" w:color="auto"/>
              <w:right w:val="single" w:sz="4" w:space="0" w:color="000000"/>
            </w:tcBorders>
            <w:shd w:val="clear" w:color="auto" w:fill="auto"/>
            <w:noWrap/>
            <w:vAlign w:val="bottom"/>
            <w:hideMark/>
          </w:tcPr>
          <w:p w14:paraId="228AC3DC"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Shell plc</w:t>
            </w:r>
          </w:p>
        </w:tc>
      </w:tr>
      <w:tr w:rsidR="00A933EF" w14:paraId="2CDB8C86"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525539D3"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1572" w:type="pct"/>
            <w:tcBorders>
              <w:top w:val="nil"/>
              <w:left w:val="nil"/>
              <w:bottom w:val="single" w:sz="4" w:space="0" w:color="auto"/>
              <w:right w:val="single" w:sz="4" w:space="0" w:color="auto"/>
            </w:tcBorders>
            <w:shd w:val="clear" w:color="auto" w:fill="auto"/>
            <w:noWrap/>
            <w:vAlign w:val="bottom"/>
            <w:hideMark/>
          </w:tcPr>
          <w:p w14:paraId="2A984638"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2ECAA1C5"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2023</w:t>
            </w:r>
          </w:p>
        </w:tc>
        <w:tc>
          <w:tcPr>
            <w:tcW w:w="416" w:type="pct"/>
            <w:tcBorders>
              <w:top w:val="nil"/>
              <w:left w:val="nil"/>
              <w:bottom w:val="single" w:sz="4" w:space="0" w:color="auto"/>
              <w:right w:val="single" w:sz="4" w:space="0" w:color="auto"/>
            </w:tcBorders>
            <w:shd w:val="clear" w:color="auto" w:fill="auto"/>
            <w:noWrap/>
            <w:vAlign w:val="bottom"/>
            <w:hideMark/>
          </w:tcPr>
          <w:p w14:paraId="2EACCAB9"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2022</w:t>
            </w:r>
          </w:p>
        </w:tc>
        <w:tc>
          <w:tcPr>
            <w:tcW w:w="535" w:type="pct"/>
            <w:tcBorders>
              <w:top w:val="nil"/>
              <w:left w:val="nil"/>
              <w:bottom w:val="single" w:sz="4" w:space="0" w:color="auto"/>
              <w:right w:val="single" w:sz="4" w:space="0" w:color="auto"/>
            </w:tcBorders>
            <w:shd w:val="clear" w:color="auto" w:fill="auto"/>
            <w:noWrap/>
            <w:vAlign w:val="bottom"/>
            <w:hideMark/>
          </w:tcPr>
          <w:p w14:paraId="35E9F1FA"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2021</w:t>
            </w:r>
          </w:p>
        </w:tc>
        <w:tc>
          <w:tcPr>
            <w:tcW w:w="581" w:type="pct"/>
            <w:tcBorders>
              <w:top w:val="nil"/>
              <w:left w:val="nil"/>
              <w:bottom w:val="single" w:sz="4" w:space="0" w:color="auto"/>
              <w:right w:val="single" w:sz="4" w:space="0" w:color="auto"/>
            </w:tcBorders>
            <w:shd w:val="clear" w:color="auto" w:fill="auto"/>
            <w:noWrap/>
            <w:vAlign w:val="bottom"/>
            <w:hideMark/>
          </w:tcPr>
          <w:p w14:paraId="6AF4C455"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2020</w:t>
            </w:r>
          </w:p>
        </w:tc>
        <w:tc>
          <w:tcPr>
            <w:tcW w:w="535" w:type="pct"/>
            <w:tcBorders>
              <w:top w:val="nil"/>
              <w:left w:val="nil"/>
              <w:bottom w:val="single" w:sz="4" w:space="0" w:color="auto"/>
              <w:right w:val="single" w:sz="4" w:space="0" w:color="auto"/>
            </w:tcBorders>
            <w:shd w:val="clear" w:color="auto" w:fill="auto"/>
            <w:noWrap/>
            <w:vAlign w:val="bottom"/>
            <w:hideMark/>
          </w:tcPr>
          <w:p w14:paraId="4B1CD9C7"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2019</w:t>
            </w:r>
          </w:p>
        </w:tc>
      </w:tr>
      <w:tr w:rsidR="00A933EF" w14:paraId="1B6C5EFC"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7DAAB35D"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xml:space="preserve">Revenue </w:t>
            </w:r>
          </w:p>
        </w:tc>
        <w:tc>
          <w:tcPr>
            <w:tcW w:w="1572" w:type="pct"/>
            <w:tcBorders>
              <w:top w:val="nil"/>
              <w:left w:val="nil"/>
              <w:bottom w:val="single" w:sz="4" w:space="0" w:color="auto"/>
              <w:right w:val="single" w:sz="4" w:space="0" w:color="auto"/>
            </w:tcBorders>
            <w:shd w:val="clear" w:color="auto" w:fill="auto"/>
            <w:noWrap/>
            <w:vAlign w:val="bottom"/>
            <w:hideMark/>
          </w:tcPr>
          <w:p w14:paraId="18AFE9F4"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2FAEF02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2,42,798.00</w:t>
            </w:r>
          </w:p>
        </w:tc>
        <w:tc>
          <w:tcPr>
            <w:tcW w:w="416" w:type="pct"/>
            <w:tcBorders>
              <w:top w:val="nil"/>
              <w:left w:val="nil"/>
              <w:bottom w:val="single" w:sz="4" w:space="0" w:color="auto"/>
              <w:right w:val="single" w:sz="4" w:space="0" w:color="auto"/>
            </w:tcBorders>
            <w:shd w:val="clear" w:color="auto" w:fill="auto"/>
            <w:noWrap/>
            <w:vAlign w:val="bottom"/>
            <w:hideMark/>
          </w:tcPr>
          <w:p w14:paraId="6540296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3,00,074.00</w:t>
            </w:r>
          </w:p>
        </w:tc>
        <w:tc>
          <w:tcPr>
            <w:tcW w:w="535" w:type="pct"/>
            <w:tcBorders>
              <w:top w:val="nil"/>
              <w:left w:val="nil"/>
              <w:bottom w:val="single" w:sz="4" w:space="0" w:color="auto"/>
              <w:right w:val="single" w:sz="4" w:space="0" w:color="auto"/>
            </w:tcBorders>
            <w:shd w:val="clear" w:color="auto" w:fill="auto"/>
            <w:noWrap/>
            <w:vAlign w:val="bottom"/>
            <w:hideMark/>
          </w:tcPr>
          <w:p w14:paraId="69819D2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1,90,178.00</w:t>
            </w:r>
          </w:p>
        </w:tc>
        <w:tc>
          <w:tcPr>
            <w:tcW w:w="581" w:type="pct"/>
            <w:tcBorders>
              <w:top w:val="nil"/>
              <w:left w:val="nil"/>
              <w:bottom w:val="single" w:sz="4" w:space="0" w:color="auto"/>
              <w:right w:val="single" w:sz="4" w:space="0" w:color="auto"/>
            </w:tcBorders>
            <w:shd w:val="clear" w:color="auto" w:fill="auto"/>
            <w:noWrap/>
            <w:vAlign w:val="bottom"/>
            <w:hideMark/>
          </w:tcPr>
          <w:p w14:paraId="2C76AC3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1,32,546.00</w:t>
            </w:r>
          </w:p>
        </w:tc>
        <w:tc>
          <w:tcPr>
            <w:tcW w:w="535" w:type="pct"/>
            <w:tcBorders>
              <w:top w:val="nil"/>
              <w:left w:val="nil"/>
              <w:bottom w:val="single" w:sz="4" w:space="0" w:color="auto"/>
              <w:right w:val="single" w:sz="4" w:space="0" w:color="auto"/>
            </w:tcBorders>
            <w:shd w:val="clear" w:color="auto" w:fill="auto"/>
            <w:noWrap/>
            <w:vAlign w:val="bottom"/>
            <w:hideMark/>
          </w:tcPr>
          <w:p w14:paraId="5FBAC6E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2,66,537.00</w:t>
            </w:r>
          </w:p>
        </w:tc>
      </w:tr>
      <w:tr w:rsidR="00A933EF" w14:paraId="19856673"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2784BAB2"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COGS</w:t>
            </w:r>
          </w:p>
        </w:tc>
        <w:tc>
          <w:tcPr>
            <w:tcW w:w="1572" w:type="pct"/>
            <w:tcBorders>
              <w:top w:val="nil"/>
              <w:left w:val="nil"/>
              <w:bottom w:val="single" w:sz="4" w:space="0" w:color="auto"/>
              <w:right w:val="single" w:sz="4" w:space="0" w:color="auto"/>
            </w:tcBorders>
            <w:shd w:val="clear" w:color="auto" w:fill="auto"/>
            <w:noWrap/>
            <w:vAlign w:val="bottom"/>
            <w:hideMark/>
          </w:tcPr>
          <w:p w14:paraId="29FB0DA4"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1F47114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2,12,086.00</w:t>
            </w:r>
          </w:p>
        </w:tc>
        <w:tc>
          <w:tcPr>
            <w:tcW w:w="416" w:type="pct"/>
            <w:tcBorders>
              <w:top w:val="nil"/>
              <w:left w:val="nil"/>
              <w:bottom w:val="single" w:sz="4" w:space="0" w:color="auto"/>
              <w:right w:val="single" w:sz="4" w:space="0" w:color="auto"/>
            </w:tcBorders>
            <w:shd w:val="clear" w:color="auto" w:fill="auto"/>
            <w:noWrap/>
            <w:vAlign w:val="bottom"/>
            <w:hideMark/>
          </w:tcPr>
          <w:p w14:paraId="046F0D0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2,50,527.00</w:t>
            </w:r>
          </w:p>
        </w:tc>
        <w:tc>
          <w:tcPr>
            <w:tcW w:w="535" w:type="pct"/>
            <w:tcBorders>
              <w:top w:val="nil"/>
              <w:left w:val="nil"/>
              <w:bottom w:val="single" w:sz="4" w:space="0" w:color="auto"/>
              <w:right w:val="single" w:sz="4" w:space="0" w:color="auto"/>
            </w:tcBorders>
            <w:shd w:val="clear" w:color="auto" w:fill="auto"/>
            <w:noWrap/>
            <w:vAlign w:val="bottom"/>
            <w:hideMark/>
          </w:tcPr>
          <w:p w14:paraId="335310B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1,62,606.00</w:t>
            </w:r>
          </w:p>
        </w:tc>
        <w:tc>
          <w:tcPr>
            <w:tcW w:w="581" w:type="pct"/>
            <w:tcBorders>
              <w:top w:val="nil"/>
              <w:left w:val="nil"/>
              <w:bottom w:val="single" w:sz="4" w:space="0" w:color="auto"/>
              <w:right w:val="single" w:sz="4" w:space="0" w:color="auto"/>
            </w:tcBorders>
            <w:shd w:val="clear" w:color="auto" w:fill="auto"/>
            <w:noWrap/>
            <w:vAlign w:val="bottom"/>
            <w:hideMark/>
          </w:tcPr>
          <w:p w14:paraId="14B53A8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1,31,220.00</w:t>
            </w:r>
          </w:p>
        </w:tc>
        <w:tc>
          <w:tcPr>
            <w:tcW w:w="535" w:type="pct"/>
            <w:tcBorders>
              <w:top w:val="nil"/>
              <w:left w:val="nil"/>
              <w:bottom w:val="single" w:sz="4" w:space="0" w:color="auto"/>
              <w:right w:val="single" w:sz="4" w:space="0" w:color="auto"/>
            </w:tcBorders>
            <w:shd w:val="clear" w:color="auto" w:fill="auto"/>
            <w:noWrap/>
            <w:vAlign w:val="bottom"/>
            <w:hideMark/>
          </w:tcPr>
          <w:p w14:paraId="07927B0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2,41,059.00</w:t>
            </w:r>
          </w:p>
        </w:tc>
      </w:tr>
      <w:tr w:rsidR="00A933EF" w14:paraId="01F0A055"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2DB80D24"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Gross profit</w:t>
            </w:r>
          </w:p>
        </w:tc>
        <w:tc>
          <w:tcPr>
            <w:tcW w:w="1572" w:type="pct"/>
            <w:tcBorders>
              <w:top w:val="nil"/>
              <w:left w:val="nil"/>
              <w:bottom w:val="single" w:sz="4" w:space="0" w:color="auto"/>
              <w:right w:val="single" w:sz="4" w:space="0" w:color="auto"/>
            </w:tcBorders>
            <w:shd w:val="clear" w:color="auto" w:fill="auto"/>
            <w:noWrap/>
            <w:vAlign w:val="bottom"/>
            <w:hideMark/>
          </w:tcPr>
          <w:p w14:paraId="08DCDCDF"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1C1212B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30,712.00</w:t>
            </w:r>
          </w:p>
        </w:tc>
        <w:tc>
          <w:tcPr>
            <w:tcW w:w="416" w:type="pct"/>
            <w:tcBorders>
              <w:top w:val="nil"/>
              <w:left w:val="nil"/>
              <w:bottom w:val="single" w:sz="4" w:space="0" w:color="auto"/>
              <w:right w:val="single" w:sz="4" w:space="0" w:color="auto"/>
            </w:tcBorders>
            <w:shd w:val="clear" w:color="auto" w:fill="auto"/>
            <w:noWrap/>
            <w:vAlign w:val="bottom"/>
            <w:hideMark/>
          </w:tcPr>
          <w:p w14:paraId="7C6560D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49,547.00</w:t>
            </w:r>
          </w:p>
        </w:tc>
        <w:tc>
          <w:tcPr>
            <w:tcW w:w="535" w:type="pct"/>
            <w:tcBorders>
              <w:top w:val="nil"/>
              <w:left w:val="nil"/>
              <w:bottom w:val="single" w:sz="4" w:space="0" w:color="auto"/>
              <w:right w:val="single" w:sz="4" w:space="0" w:color="auto"/>
            </w:tcBorders>
            <w:shd w:val="clear" w:color="auto" w:fill="auto"/>
            <w:noWrap/>
            <w:vAlign w:val="bottom"/>
            <w:hideMark/>
          </w:tcPr>
          <w:p w14:paraId="584191F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27,572.00</w:t>
            </w:r>
          </w:p>
        </w:tc>
        <w:tc>
          <w:tcPr>
            <w:tcW w:w="581" w:type="pct"/>
            <w:tcBorders>
              <w:top w:val="nil"/>
              <w:left w:val="nil"/>
              <w:bottom w:val="single" w:sz="4" w:space="0" w:color="auto"/>
              <w:right w:val="single" w:sz="4" w:space="0" w:color="auto"/>
            </w:tcBorders>
            <w:shd w:val="clear" w:color="auto" w:fill="auto"/>
            <w:noWrap/>
            <w:vAlign w:val="bottom"/>
            <w:hideMark/>
          </w:tcPr>
          <w:p w14:paraId="668A8E6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1,326.00</w:t>
            </w:r>
          </w:p>
        </w:tc>
        <w:tc>
          <w:tcPr>
            <w:tcW w:w="535" w:type="pct"/>
            <w:tcBorders>
              <w:top w:val="nil"/>
              <w:left w:val="nil"/>
              <w:bottom w:val="single" w:sz="4" w:space="0" w:color="auto"/>
              <w:right w:val="single" w:sz="4" w:space="0" w:color="auto"/>
            </w:tcBorders>
            <w:shd w:val="clear" w:color="auto" w:fill="auto"/>
            <w:noWrap/>
            <w:vAlign w:val="bottom"/>
            <w:hideMark/>
          </w:tcPr>
          <w:p w14:paraId="6C86943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25,478.00</w:t>
            </w:r>
          </w:p>
        </w:tc>
      </w:tr>
      <w:tr w:rsidR="00A933EF" w14:paraId="7C0B27F6"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07437FB9"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EBIT</w:t>
            </w:r>
          </w:p>
        </w:tc>
        <w:tc>
          <w:tcPr>
            <w:tcW w:w="1572" w:type="pct"/>
            <w:tcBorders>
              <w:top w:val="nil"/>
              <w:left w:val="nil"/>
              <w:bottom w:val="single" w:sz="4" w:space="0" w:color="auto"/>
              <w:right w:val="single" w:sz="4" w:space="0" w:color="auto"/>
            </w:tcBorders>
            <w:shd w:val="clear" w:color="auto" w:fill="auto"/>
            <w:noWrap/>
            <w:vAlign w:val="bottom"/>
            <w:hideMark/>
          </w:tcPr>
          <w:p w14:paraId="4387A171"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4549569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18,870.00</w:t>
            </w:r>
          </w:p>
        </w:tc>
        <w:tc>
          <w:tcPr>
            <w:tcW w:w="416" w:type="pct"/>
            <w:tcBorders>
              <w:top w:val="nil"/>
              <w:left w:val="nil"/>
              <w:bottom w:val="single" w:sz="4" w:space="0" w:color="auto"/>
              <w:right w:val="single" w:sz="4" w:space="0" w:color="auto"/>
            </w:tcBorders>
            <w:shd w:val="clear" w:color="auto" w:fill="auto"/>
            <w:noWrap/>
            <w:vAlign w:val="bottom"/>
            <w:hideMark/>
          </w:tcPr>
          <w:p w14:paraId="298BB4A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38,300.00</w:t>
            </w:r>
          </w:p>
        </w:tc>
        <w:tc>
          <w:tcPr>
            <w:tcW w:w="535" w:type="pct"/>
            <w:tcBorders>
              <w:top w:val="nil"/>
              <w:left w:val="nil"/>
              <w:bottom w:val="single" w:sz="4" w:space="0" w:color="auto"/>
              <w:right w:val="single" w:sz="4" w:space="0" w:color="auto"/>
            </w:tcBorders>
            <w:shd w:val="clear" w:color="auto" w:fill="auto"/>
            <w:noWrap/>
            <w:vAlign w:val="bottom"/>
            <w:hideMark/>
          </w:tcPr>
          <w:p w14:paraId="6F9E1D5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18,743.00</w:t>
            </w:r>
          </w:p>
        </w:tc>
        <w:tc>
          <w:tcPr>
            <w:tcW w:w="581" w:type="pct"/>
            <w:tcBorders>
              <w:top w:val="nil"/>
              <w:left w:val="nil"/>
              <w:bottom w:val="single" w:sz="4" w:space="0" w:color="auto"/>
              <w:right w:val="single" w:sz="4" w:space="0" w:color="auto"/>
            </w:tcBorders>
            <w:shd w:val="clear" w:color="auto" w:fill="auto"/>
            <w:noWrap/>
            <w:vAlign w:val="bottom"/>
            <w:hideMark/>
          </w:tcPr>
          <w:p w14:paraId="1FD7A48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-7,086.00</w:t>
            </w:r>
          </w:p>
        </w:tc>
        <w:tc>
          <w:tcPr>
            <w:tcW w:w="535" w:type="pct"/>
            <w:tcBorders>
              <w:top w:val="nil"/>
              <w:left w:val="nil"/>
              <w:bottom w:val="single" w:sz="4" w:space="0" w:color="auto"/>
              <w:right w:val="single" w:sz="4" w:space="0" w:color="auto"/>
            </w:tcBorders>
            <w:shd w:val="clear" w:color="auto" w:fill="auto"/>
            <w:noWrap/>
            <w:vAlign w:val="bottom"/>
            <w:hideMark/>
          </w:tcPr>
          <w:p w14:paraId="2ECFFC3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16,499.00</w:t>
            </w:r>
          </w:p>
        </w:tc>
      </w:tr>
      <w:tr w:rsidR="00A933EF" w14:paraId="5426FBDB"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5308F6BC"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Net income</w:t>
            </w:r>
          </w:p>
        </w:tc>
        <w:tc>
          <w:tcPr>
            <w:tcW w:w="1572" w:type="pct"/>
            <w:tcBorders>
              <w:top w:val="nil"/>
              <w:left w:val="nil"/>
              <w:bottom w:val="single" w:sz="4" w:space="0" w:color="auto"/>
              <w:right w:val="single" w:sz="4" w:space="0" w:color="auto"/>
            </w:tcBorders>
            <w:shd w:val="clear" w:color="auto" w:fill="auto"/>
            <w:noWrap/>
            <w:vAlign w:val="bottom"/>
            <w:hideMark/>
          </w:tcPr>
          <w:p w14:paraId="19EE7991"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6CBA7F6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15,574</w:t>
            </w:r>
          </w:p>
        </w:tc>
        <w:tc>
          <w:tcPr>
            <w:tcW w:w="416" w:type="pct"/>
            <w:tcBorders>
              <w:top w:val="nil"/>
              <w:left w:val="nil"/>
              <w:bottom w:val="single" w:sz="4" w:space="0" w:color="auto"/>
              <w:right w:val="single" w:sz="4" w:space="0" w:color="auto"/>
            </w:tcBorders>
            <w:shd w:val="clear" w:color="auto" w:fill="auto"/>
            <w:noWrap/>
            <w:vAlign w:val="bottom"/>
            <w:hideMark/>
          </w:tcPr>
          <w:p w14:paraId="49B6501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34,348</w:t>
            </w:r>
          </w:p>
        </w:tc>
        <w:tc>
          <w:tcPr>
            <w:tcW w:w="535" w:type="pct"/>
            <w:tcBorders>
              <w:top w:val="nil"/>
              <w:left w:val="nil"/>
              <w:bottom w:val="single" w:sz="4" w:space="0" w:color="auto"/>
              <w:right w:val="single" w:sz="4" w:space="0" w:color="auto"/>
            </w:tcBorders>
            <w:shd w:val="clear" w:color="auto" w:fill="auto"/>
            <w:noWrap/>
            <w:vAlign w:val="bottom"/>
            <w:hideMark/>
          </w:tcPr>
          <w:p w14:paraId="722B225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14,616</w:t>
            </w:r>
          </w:p>
        </w:tc>
        <w:tc>
          <w:tcPr>
            <w:tcW w:w="581" w:type="pct"/>
            <w:tcBorders>
              <w:top w:val="nil"/>
              <w:left w:val="nil"/>
              <w:bottom w:val="single" w:sz="4" w:space="0" w:color="auto"/>
              <w:right w:val="single" w:sz="4" w:space="0" w:color="auto"/>
            </w:tcBorders>
            <w:shd w:val="clear" w:color="auto" w:fill="auto"/>
            <w:noWrap/>
            <w:vAlign w:val="bottom"/>
            <w:hideMark/>
          </w:tcPr>
          <w:p w14:paraId="7BD19FA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-16,906</w:t>
            </w:r>
          </w:p>
        </w:tc>
        <w:tc>
          <w:tcPr>
            <w:tcW w:w="535" w:type="pct"/>
            <w:tcBorders>
              <w:top w:val="nil"/>
              <w:left w:val="nil"/>
              <w:bottom w:val="single" w:sz="4" w:space="0" w:color="auto"/>
              <w:right w:val="single" w:sz="4" w:space="0" w:color="auto"/>
            </w:tcBorders>
            <w:shd w:val="clear" w:color="auto" w:fill="auto"/>
            <w:noWrap/>
            <w:vAlign w:val="bottom"/>
            <w:hideMark/>
          </w:tcPr>
          <w:p w14:paraId="33E786B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12,418</w:t>
            </w:r>
          </w:p>
        </w:tc>
      </w:tr>
      <w:tr w:rsidR="00A933EF" w14:paraId="132EAF32"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7698EC4D"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Basic earnings per share</w:t>
            </w:r>
          </w:p>
        </w:tc>
        <w:tc>
          <w:tcPr>
            <w:tcW w:w="1572" w:type="pct"/>
            <w:tcBorders>
              <w:top w:val="nil"/>
              <w:left w:val="nil"/>
              <w:bottom w:val="single" w:sz="4" w:space="0" w:color="auto"/>
              <w:right w:val="single" w:sz="4" w:space="0" w:color="auto"/>
            </w:tcBorders>
            <w:shd w:val="clear" w:color="auto" w:fill="auto"/>
            <w:noWrap/>
            <w:vAlign w:val="bottom"/>
            <w:hideMark/>
          </w:tcPr>
          <w:p w14:paraId="63AE4DD1"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30EC30E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2.31</w:t>
            </w:r>
          </w:p>
        </w:tc>
        <w:tc>
          <w:tcPr>
            <w:tcW w:w="416" w:type="pct"/>
            <w:tcBorders>
              <w:top w:val="nil"/>
              <w:left w:val="nil"/>
              <w:bottom w:val="single" w:sz="4" w:space="0" w:color="auto"/>
              <w:right w:val="single" w:sz="4" w:space="0" w:color="auto"/>
            </w:tcBorders>
            <w:shd w:val="clear" w:color="auto" w:fill="auto"/>
            <w:noWrap/>
            <w:vAlign w:val="bottom"/>
            <w:hideMark/>
          </w:tcPr>
          <w:p w14:paraId="701CEFE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4.67</w:t>
            </w:r>
          </w:p>
        </w:tc>
        <w:tc>
          <w:tcPr>
            <w:tcW w:w="535" w:type="pct"/>
            <w:tcBorders>
              <w:top w:val="nil"/>
              <w:left w:val="nil"/>
              <w:bottom w:val="single" w:sz="4" w:space="0" w:color="auto"/>
              <w:right w:val="single" w:sz="4" w:space="0" w:color="auto"/>
            </w:tcBorders>
            <w:shd w:val="clear" w:color="auto" w:fill="auto"/>
            <w:noWrap/>
            <w:vAlign w:val="bottom"/>
            <w:hideMark/>
          </w:tcPr>
          <w:p w14:paraId="212D210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1.88</w:t>
            </w:r>
          </w:p>
        </w:tc>
        <w:tc>
          <w:tcPr>
            <w:tcW w:w="581" w:type="pct"/>
            <w:tcBorders>
              <w:top w:val="nil"/>
              <w:left w:val="nil"/>
              <w:bottom w:val="single" w:sz="4" w:space="0" w:color="auto"/>
              <w:right w:val="single" w:sz="4" w:space="0" w:color="auto"/>
            </w:tcBorders>
            <w:shd w:val="clear" w:color="auto" w:fill="auto"/>
            <w:noWrap/>
            <w:vAlign w:val="bottom"/>
            <w:hideMark/>
          </w:tcPr>
          <w:p w14:paraId="5B59D45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-2.17</w:t>
            </w:r>
          </w:p>
        </w:tc>
        <w:tc>
          <w:tcPr>
            <w:tcW w:w="535" w:type="pct"/>
            <w:tcBorders>
              <w:top w:val="nil"/>
              <w:left w:val="nil"/>
              <w:bottom w:val="single" w:sz="4" w:space="0" w:color="auto"/>
              <w:right w:val="single" w:sz="4" w:space="0" w:color="auto"/>
            </w:tcBorders>
            <w:shd w:val="clear" w:color="auto" w:fill="auto"/>
            <w:noWrap/>
            <w:vAlign w:val="bottom"/>
            <w:hideMark/>
          </w:tcPr>
          <w:p w14:paraId="2034585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1.54</w:t>
            </w:r>
          </w:p>
        </w:tc>
      </w:tr>
      <w:tr w:rsidR="00A933EF" w14:paraId="7B7AA60D"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0103C89D"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Diluted earnings per share</w:t>
            </w:r>
          </w:p>
        </w:tc>
        <w:tc>
          <w:tcPr>
            <w:tcW w:w="1572" w:type="pct"/>
            <w:tcBorders>
              <w:top w:val="nil"/>
              <w:left w:val="nil"/>
              <w:bottom w:val="single" w:sz="4" w:space="0" w:color="auto"/>
              <w:right w:val="single" w:sz="4" w:space="0" w:color="auto"/>
            </w:tcBorders>
            <w:shd w:val="clear" w:color="auto" w:fill="auto"/>
            <w:noWrap/>
            <w:vAlign w:val="bottom"/>
            <w:hideMark/>
          </w:tcPr>
          <w:p w14:paraId="0933F266"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28E6F1D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2.29</w:t>
            </w:r>
          </w:p>
        </w:tc>
        <w:tc>
          <w:tcPr>
            <w:tcW w:w="416" w:type="pct"/>
            <w:tcBorders>
              <w:top w:val="nil"/>
              <w:left w:val="nil"/>
              <w:bottom w:val="single" w:sz="4" w:space="0" w:color="auto"/>
              <w:right w:val="single" w:sz="4" w:space="0" w:color="auto"/>
            </w:tcBorders>
            <w:shd w:val="clear" w:color="auto" w:fill="auto"/>
            <w:noWrap/>
            <w:vAlign w:val="bottom"/>
            <w:hideMark/>
          </w:tcPr>
          <w:p w14:paraId="3ED8D90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4.64</w:t>
            </w:r>
          </w:p>
        </w:tc>
        <w:tc>
          <w:tcPr>
            <w:tcW w:w="535" w:type="pct"/>
            <w:tcBorders>
              <w:top w:val="nil"/>
              <w:left w:val="nil"/>
              <w:bottom w:val="single" w:sz="4" w:space="0" w:color="auto"/>
              <w:right w:val="single" w:sz="4" w:space="0" w:color="auto"/>
            </w:tcBorders>
            <w:shd w:val="clear" w:color="auto" w:fill="auto"/>
            <w:noWrap/>
            <w:vAlign w:val="bottom"/>
            <w:hideMark/>
          </w:tcPr>
          <w:p w14:paraId="200BA74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1.87</w:t>
            </w:r>
          </w:p>
        </w:tc>
        <w:tc>
          <w:tcPr>
            <w:tcW w:w="581" w:type="pct"/>
            <w:tcBorders>
              <w:top w:val="nil"/>
              <w:left w:val="nil"/>
              <w:bottom w:val="single" w:sz="4" w:space="0" w:color="auto"/>
              <w:right w:val="single" w:sz="4" w:space="0" w:color="auto"/>
            </w:tcBorders>
            <w:shd w:val="clear" w:color="auto" w:fill="auto"/>
            <w:noWrap/>
            <w:vAlign w:val="bottom"/>
            <w:hideMark/>
          </w:tcPr>
          <w:p w14:paraId="7A1DC90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-2.17</w:t>
            </w:r>
          </w:p>
        </w:tc>
        <w:tc>
          <w:tcPr>
            <w:tcW w:w="535" w:type="pct"/>
            <w:tcBorders>
              <w:top w:val="nil"/>
              <w:left w:val="nil"/>
              <w:bottom w:val="single" w:sz="4" w:space="0" w:color="auto"/>
              <w:right w:val="single" w:sz="4" w:space="0" w:color="auto"/>
            </w:tcBorders>
            <w:shd w:val="clear" w:color="auto" w:fill="auto"/>
            <w:noWrap/>
            <w:vAlign w:val="bottom"/>
            <w:hideMark/>
          </w:tcPr>
          <w:p w14:paraId="63B6EBA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1.53</w:t>
            </w:r>
          </w:p>
        </w:tc>
      </w:tr>
      <w:tr w:rsidR="00A933EF" w14:paraId="694B30E4"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2B4138C2"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1572" w:type="pct"/>
            <w:tcBorders>
              <w:top w:val="nil"/>
              <w:left w:val="nil"/>
              <w:bottom w:val="single" w:sz="4" w:space="0" w:color="auto"/>
              <w:right w:val="single" w:sz="4" w:space="0" w:color="auto"/>
            </w:tcBorders>
            <w:shd w:val="clear" w:color="auto" w:fill="auto"/>
            <w:noWrap/>
            <w:vAlign w:val="bottom"/>
            <w:hideMark/>
          </w:tcPr>
          <w:p w14:paraId="002B4405"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16DD299E"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3D9255E9"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535" w:type="pct"/>
            <w:tcBorders>
              <w:top w:val="nil"/>
              <w:left w:val="nil"/>
              <w:bottom w:val="single" w:sz="4" w:space="0" w:color="auto"/>
              <w:right w:val="single" w:sz="4" w:space="0" w:color="auto"/>
            </w:tcBorders>
            <w:shd w:val="clear" w:color="auto" w:fill="auto"/>
            <w:noWrap/>
            <w:vAlign w:val="bottom"/>
            <w:hideMark/>
          </w:tcPr>
          <w:p w14:paraId="31F6A6BD"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581" w:type="pct"/>
            <w:tcBorders>
              <w:top w:val="nil"/>
              <w:left w:val="nil"/>
              <w:bottom w:val="single" w:sz="4" w:space="0" w:color="auto"/>
              <w:right w:val="single" w:sz="4" w:space="0" w:color="auto"/>
            </w:tcBorders>
            <w:shd w:val="clear" w:color="auto" w:fill="auto"/>
            <w:noWrap/>
            <w:vAlign w:val="bottom"/>
            <w:hideMark/>
          </w:tcPr>
          <w:p w14:paraId="5E677D92"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535" w:type="pct"/>
            <w:tcBorders>
              <w:top w:val="nil"/>
              <w:left w:val="nil"/>
              <w:bottom w:val="single" w:sz="4" w:space="0" w:color="auto"/>
              <w:right w:val="single" w:sz="4" w:space="0" w:color="auto"/>
            </w:tcBorders>
            <w:shd w:val="clear" w:color="auto" w:fill="auto"/>
            <w:noWrap/>
            <w:vAlign w:val="bottom"/>
            <w:hideMark/>
          </w:tcPr>
          <w:p w14:paraId="43492CDF"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r>
      <w:tr w:rsidR="00A933EF" w14:paraId="583621F5"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049F786B"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1572" w:type="pct"/>
            <w:tcBorders>
              <w:top w:val="nil"/>
              <w:left w:val="nil"/>
              <w:bottom w:val="single" w:sz="4" w:space="0" w:color="auto"/>
              <w:right w:val="single" w:sz="4" w:space="0" w:color="auto"/>
            </w:tcBorders>
            <w:shd w:val="clear" w:color="auto" w:fill="auto"/>
            <w:noWrap/>
            <w:vAlign w:val="bottom"/>
            <w:hideMark/>
          </w:tcPr>
          <w:p w14:paraId="74DB4F53"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1C7F14AC"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5248C527"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535" w:type="pct"/>
            <w:tcBorders>
              <w:top w:val="nil"/>
              <w:left w:val="nil"/>
              <w:bottom w:val="single" w:sz="4" w:space="0" w:color="auto"/>
              <w:right w:val="single" w:sz="4" w:space="0" w:color="auto"/>
            </w:tcBorders>
            <w:shd w:val="clear" w:color="auto" w:fill="auto"/>
            <w:noWrap/>
            <w:vAlign w:val="bottom"/>
            <w:hideMark/>
          </w:tcPr>
          <w:p w14:paraId="4CC04BA0"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581" w:type="pct"/>
            <w:tcBorders>
              <w:top w:val="nil"/>
              <w:left w:val="nil"/>
              <w:bottom w:val="single" w:sz="4" w:space="0" w:color="auto"/>
              <w:right w:val="single" w:sz="4" w:space="0" w:color="auto"/>
            </w:tcBorders>
            <w:shd w:val="clear" w:color="auto" w:fill="auto"/>
            <w:noWrap/>
            <w:vAlign w:val="bottom"/>
            <w:hideMark/>
          </w:tcPr>
          <w:p w14:paraId="08220688"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535" w:type="pct"/>
            <w:tcBorders>
              <w:top w:val="nil"/>
              <w:left w:val="nil"/>
              <w:bottom w:val="single" w:sz="4" w:space="0" w:color="auto"/>
              <w:right w:val="single" w:sz="4" w:space="0" w:color="auto"/>
            </w:tcBorders>
            <w:shd w:val="clear" w:color="auto" w:fill="auto"/>
            <w:noWrap/>
            <w:vAlign w:val="bottom"/>
            <w:hideMark/>
          </w:tcPr>
          <w:p w14:paraId="1C6134DF"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r>
      <w:tr w:rsidR="00A933EF" w14:paraId="66EBD36E" w14:textId="77777777" w:rsidTr="0044406A">
        <w:trPr>
          <w:trHeight w:val="310"/>
        </w:trPr>
        <w:tc>
          <w:tcPr>
            <w:tcW w:w="3349"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C190C4"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Balance Sheet</w:t>
            </w:r>
          </w:p>
        </w:tc>
        <w:tc>
          <w:tcPr>
            <w:tcW w:w="535" w:type="pct"/>
            <w:tcBorders>
              <w:top w:val="nil"/>
              <w:left w:val="nil"/>
              <w:bottom w:val="single" w:sz="4" w:space="0" w:color="auto"/>
              <w:right w:val="single" w:sz="4" w:space="0" w:color="auto"/>
            </w:tcBorders>
            <w:shd w:val="clear" w:color="auto" w:fill="auto"/>
            <w:noWrap/>
            <w:vAlign w:val="bottom"/>
            <w:hideMark/>
          </w:tcPr>
          <w:p w14:paraId="2FDB8419"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581" w:type="pct"/>
            <w:tcBorders>
              <w:top w:val="nil"/>
              <w:left w:val="nil"/>
              <w:bottom w:val="single" w:sz="4" w:space="0" w:color="auto"/>
              <w:right w:val="single" w:sz="4" w:space="0" w:color="auto"/>
            </w:tcBorders>
            <w:shd w:val="clear" w:color="auto" w:fill="auto"/>
            <w:noWrap/>
            <w:vAlign w:val="bottom"/>
            <w:hideMark/>
          </w:tcPr>
          <w:p w14:paraId="13678535"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535" w:type="pct"/>
            <w:tcBorders>
              <w:top w:val="nil"/>
              <w:left w:val="nil"/>
              <w:bottom w:val="single" w:sz="4" w:space="0" w:color="auto"/>
              <w:right w:val="single" w:sz="4" w:space="0" w:color="auto"/>
            </w:tcBorders>
            <w:shd w:val="clear" w:color="auto" w:fill="auto"/>
            <w:noWrap/>
            <w:vAlign w:val="bottom"/>
            <w:hideMark/>
          </w:tcPr>
          <w:p w14:paraId="056DF8BB"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r>
      <w:tr w:rsidR="00A933EF" w14:paraId="24DABD17"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001B1754"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1572" w:type="pct"/>
            <w:tcBorders>
              <w:top w:val="nil"/>
              <w:left w:val="nil"/>
              <w:bottom w:val="single" w:sz="4" w:space="0" w:color="auto"/>
              <w:right w:val="single" w:sz="4" w:space="0" w:color="auto"/>
            </w:tcBorders>
            <w:shd w:val="clear" w:color="auto" w:fill="auto"/>
            <w:noWrap/>
            <w:vAlign w:val="bottom"/>
            <w:hideMark/>
          </w:tcPr>
          <w:p w14:paraId="2A5AA85D"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72F9D020"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2023</w:t>
            </w:r>
          </w:p>
        </w:tc>
        <w:tc>
          <w:tcPr>
            <w:tcW w:w="416" w:type="pct"/>
            <w:tcBorders>
              <w:top w:val="nil"/>
              <w:left w:val="nil"/>
              <w:bottom w:val="single" w:sz="4" w:space="0" w:color="auto"/>
              <w:right w:val="single" w:sz="4" w:space="0" w:color="auto"/>
            </w:tcBorders>
            <w:shd w:val="clear" w:color="auto" w:fill="auto"/>
            <w:noWrap/>
            <w:vAlign w:val="bottom"/>
            <w:hideMark/>
          </w:tcPr>
          <w:p w14:paraId="74B249C4"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2022</w:t>
            </w:r>
          </w:p>
        </w:tc>
        <w:tc>
          <w:tcPr>
            <w:tcW w:w="535" w:type="pct"/>
            <w:tcBorders>
              <w:top w:val="nil"/>
              <w:left w:val="nil"/>
              <w:bottom w:val="single" w:sz="4" w:space="0" w:color="auto"/>
              <w:right w:val="single" w:sz="4" w:space="0" w:color="auto"/>
            </w:tcBorders>
            <w:shd w:val="clear" w:color="auto" w:fill="auto"/>
            <w:noWrap/>
            <w:vAlign w:val="bottom"/>
            <w:hideMark/>
          </w:tcPr>
          <w:p w14:paraId="76C4E500"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2021</w:t>
            </w:r>
          </w:p>
        </w:tc>
        <w:tc>
          <w:tcPr>
            <w:tcW w:w="581" w:type="pct"/>
            <w:tcBorders>
              <w:top w:val="nil"/>
              <w:left w:val="nil"/>
              <w:bottom w:val="single" w:sz="4" w:space="0" w:color="auto"/>
              <w:right w:val="single" w:sz="4" w:space="0" w:color="auto"/>
            </w:tcBorders>
            <w:shd w:val="clear" w:color="auto" w:fill="auto"/>
            <w:noWrap/>
            <w:vAlign w:val="bottom"/>
            <w:hideMark/>
          </w:tcPr>
          <w:p w14:paraId="7A923A7D"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2020</w:t>
            </w:r>
          </w:p>
        </w:tc>
        <w:tc>
          <w:tcPr>
            <w:tcW w:w="535" w:type="pct"/>
            <w:tcBorders>
              <w:top w:val="nil"/>
              <w:left w:val="nil"/>
              <w:bottom w:val="single" w:sz="4" w:space="0" w:color="auto"/>
              <w:right w:val="single" w:sz="4" w:space="0" w:color="auto"/>
            </w:tcBorders>
            <w:shd w:val="clear" w:color="auto" w:fill="auto"/>
            <w:noWrap/>
            <w:vAlign w:val="bottom"/>
            <w:hideMark/>
          </w:tcPr>
          <w:p w14:paraId="56DAD99A"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2019</w:t>
            </w:r>
          </w:p>
        </w:tc>
      </w:tr>
      <w:tr w:rsidR="00A933EF" w14:paraId="4BABF292"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7694F484"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1572" w:type="pct"/>
            <w:tcBorders>
              <w:top w:val="nil"/>
              <w:left w:val="nil"/>
              <w:bottom w:val="single" w:sz="4" w:space="0" w:color="auto"/>
              <w:right w:val="single" w:sz="4" w:space="0" w:color="auto"/>
            </w:tcBorders>
            <w:shd w:val="clear" w:color="auto" w:fill="auto"/>
            <w:noWrap/>
            <w:vAlign w:val="bottom"/>
            <w:hideMark/>
          </w:tcPr>
          <w:p w14:paraId="4B757200"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73A34230"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592F239F"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535" w:type="pct"/>
            <w:tcBorders>
              <w:top w:val="nil"/>
              <w:left w:val="nil"/>
              <w:bottom w:val="single" w:sz="4" w:space="0" w:color="auto"/>
              <w:right w:val="single" w:sz="4" w:space="0" w:color="auto"/>
            </w:tcBorders>
            <w:shd w:val="clear" w:color="auto" w:fill="auto"/>
            <w:noWrap/>
            <w:vAlign w:val="bottom"/>
            <w:hideMark/>
          </w:tcPr>
          <w:p w14:paraId="00767218"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581" w:type="pct"/>
            <w:tcBorders>
              <w:top w:val="nil"/>
              <w:left w:val="nil"/>
              <w:bottom w:val="single" w:sz="4" w:space="0" w:color="auto"/>
              <w:right w:val="single" w:sz="4" w:space="0" w:color="auto"/>
            </w:tcBorders>
            <w:shd w:val="clear" w:color="auto" w:fill="auto"/>
            <w:noWrap/>
            <w:vAlign w:val="bottom"/>
            <w:hideMark/>
          </w:tcPr>
          <w:p w14:paraId="5B03A256"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535" w:type="pct"/>
            <w:tcBorders>
              <w:top w:val="nil"/>
              <w:left w:val="nil"/>
              <w:bottom w:val="single" w:sz="4" w:space="0" w:color="auto"/>
              <w:right w:val="single" w:sz="4" w:space="0" w:color="auto"/>
            </w:tcBorders>
            <w:shd w:val="clear" w:color="auto" w:fill="auto"/>
            <w:noWrap/>
            <w:vAlign w:val="bottom"/>
            <w:hideMark/>
          </w:tcPr>
          <w:p w14:paraId="3577B01C"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r>
      <w:tr w:rsidR="00A933EF" w14:paraId="1E28AFC9"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1E85A10F"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Trade and other receivables</w:t>
            </w:r>
          </w:p>
        </w:tc>
        <w:tc>
          <w:tcPr>
            <w:tcW w:w="1572" w:type="pct"/>
            <w:tcBorders>
              <w:top w:val="nil"/>
              <w:left w:val="nil"/>
              <w:bottom w:val="single" w:sz="4" w:space="0" w:color="auto"/>
              <w:right w:val="single" w:sz="4" w:space="0" w:color="auto"/>
            </w:tcBorders>
            <w:shd w:val="clear" w:color="auto" w:fill="auto"/>
            <w:noWrap/>
            <w:vAlign w:val="bottom"/>
            <w:hideMark/>
          </w:tcPr>
          <w:p w14:paraId="07808402"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6855061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41,789</w:t>
            </w:r>
          </w:p>
        </w:tc>
        <w:tc>
          <w:tcPr>
            <w:tcW w:w="416" w:type="pct"/>
            <w:tcBorders>
              <w:top w:val="nil"/>
              <w:left w:val="nil"/>
              <w:bottom w:val="single" w:sz="4" w:space="0" w:color="auto"/>
              <w:right w:val="single" w:sz="4" w:space="0" w:color="auto"/>
            </w:tcBorders>
            <w:shd w:val="clear" w:color="auto" w:fill="auto"/>
            <w:noWrap/>
            <w:vAlign w:val="bottom"/>
            <w:hideMark/>
          </w:tcPr>
          <w:p w14:paraId="20D841A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55,291</w:t>
            </w:r>
          </w:p>
        </w:tc>
        <w:tc>
          <w:tcPr>
            <w:tcW w:w="535" w:type="pct"/>
            <w:tcBorders>
              <w:top w:val="nil"/>
              <w:left w:val="nil"/>
              <w:bottom w:val="single" w:sz="4" w:space="0" w:color="auto"/>
              <w:right w:val="single" w:sz="4" w:space="0" w:color="auto"/>
            </w:tcBorders>
            <w:shd w:val="clear" w:color="auto" w:fill="auto"/>
            <w:noWrap/>
            <w:vAlign w:val="bottom"/>
            <w:hideMark/>
          </w:tcPr>
          <w:p w14:paraId="235B899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39,284</w:t>
            </w:r>
          </w:p>
        </w:tc>
        <w:tc>
          <w:tcPr>
            <w:tcW w:w="581" w:type="pct"/>
            <w:tcBorders>
              <w:top w:val="nil"/>
              <w:left w:val="nil"/>
              <w:bottom w:val="single" w:sz="4" w:space="0" w:color="auto"/>
              <w:right w:val="single" w:sz="4" w:space="0" w:color="auto"/>
            </w:tcBorders>
            <w:shd w:val="clear" w:color="auto" w:fill="auto"/>
            <w:noWrap/>
            <w:vAlign w:val="bottom"/>
            <w:hideMark/>
          </w:tcPr>
          <w:p w14:paraId="09B9811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24,599</w:t>
            </w:r>
          </w:p>
        </w:tc>
        <w:tc>
          <w:tcPr>
            <w:tcW w:w="535" w:type="pct"/>
            <w:tcBorders>
              <w:top w:val="nil"/>
              <w:left w:val="nil"/>
              <w:bottom w:val="single" w:sz="4" w:space="0" w:color="auto"/>
              <w:right w:val="single" w:sz="4" w:space="0" w:color="auto"/>
            </w:tcBorders>
            <w:shd w:val="clear" w:color="auto" w:fill="auto"/>
            <w:noWrap/>
            <w:vAlign w:val="bottom"/>
            <w:hideMark/>
          </w:tcPr>
          <w:p w14:paraId="2C99AA5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32,771</w:t>
            </w:r>
          </w:p>
        </w:tc>
      </w:tr>
      <w:tr w:rsidR="00A933EF" w14:paraId="25E8E139"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19EC863E"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Inventories</w:t>
            </w:r>
          </w:p>
        </w:tc>
        <w:tc>
          <w:tcPr>
            <w:tcW w:w="1572" w:type="pct"/>
            <w:tcBorders>
              <w:top w:val="nil"/>
              <w:left w:val="nil"/>
              <w:bottom w:val="single" w:sz="4" w:space="0" w:color="auto"/>
              <w:right w:val="single" w:sz="4" w:space="0" w:color="auto"/>
            </w:tcBorders>
            <w:shd w:val="clear" w:color="auto" w:fill="auto"/>
            <w:noWrap/>
            <w:vAlign w:val="bottom"/>
            <w:hideMark/>
          </w:tcPr>
          <w:p w14:paraId="21E6B24C"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2A52C2C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20,410</w:t>
            </w:r>
          </w:p>
        </w:tc>
        <w:tc>
          <w:tcPr>
            <w:tcW w:w="416" w:type="pct"/>
            <w:tcBorders>
              <w:top w:val="nil"/>
              <w:left w:val="nil"/>
              <w:bottom w:val="single" w:sz="4" w:space="0" w:color="auto"/>
              <w:right w:val="single" w:sz="4" w:space="0" w:color="auto"/>
            </w:tcBorders>
            <w:shd w:val="clear" w:color="auto" w:fill="auto"/>
            <w:noWrap/>
            <w:vAlign w:val="bottom"/>
            <w:hideMark/>
          </w:tcPr>
          <w:p w14:paraId="440857B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26,514</w:t>
            </w:r>
          </w:p>
        </w:tc>
        <w:tc>
          <w:tcPr>
            <w:tcW w:w="535" w:type="pct"/>
            <w:tcBorders>
              <w:top w:val="nil"/>
              <w:left w:val="nil"/>
              <w:bottom w:val="single" w:sz="4" w:space="0" w:color="auto"/>
              <w:right w:val="single" w:sz="4" w:space="0" w:color="auto"/>
            </w:tcBorders>
            <w:shd w:val="clear" w:color="auto" w:fill="auto"/>
            <w:noWrap/>
            <w:vAlign w:val="bottom"/>
            <w:hideMark/>
          </w:tcPr>
          <w:p w14:paraId="0F18E8A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18,648</w:t>
            </w:r>
          </w:p>
        </w:tc>
        <w:tc>
          <w:tcPr>
            <w:tcW w:w="581" w:type="pct"/>
            <w:tcBorders>
              <w:top w:val="nil"/>
              <w:left w:val="nil"/>
              <w:bottom w:val="single" w:sz="4" w:space="0" w:color="auto"/>
              <w:right w:val="single" w:sz="4" w:space="0" w:color="auto"/>
            </w:tcBorders>
            <w:shd w:val="clear" w:color="auto" w:fill="auto"/>
            <w:noWrap/>
            <w:vAlign w:val="bottom"/>
            <w:hideMark/>
          </w:tcPr>
          <w:p w14:paraId="49A165B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14,234</w:t>
            </w:r>
          </w:p>
        </w:tc>
        <w:tc>
          <w:tcPr>
            <w:tcW w:w="535" w:type="pct"/>
            <w:tcBorders>
              <w:top w:val="nil"/>
              <w:left w:val="nil"/>
              <w:bottom w:val="single" w:sz="4" w:space="0" w:color="auto"/>
              <w:right w:val="single" w:sz="4" w:space="0" w:color="auto"/>
            </w:tcBorders>
            <w:shd w:val="clear" w:color="auto" w:fill="auto"/>
            <w:noWrap/>
            <w:vAlign w:val="bottom"/>
            <w:hideMark/>
          </w:tcPr>
          <w:p w14:paraId="4FC7252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18,170</w:t>
            </w:r>
          </w:p>
        </w:tc>
      </w:tr>
      <w:tr w:rsidR="00A933EF" w14:paraId="1EAF992C"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721506F2"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Cash and cash equivalents</w:t>
            </w:r>
          </w:p>
        </w:tc>
        <w:tc>
          <w:tcPr>
            <w:tcW w:w="1572" w:type="pct"/>
            <w:tcBorders>
              <w:top w:val="nil"/>
              <w:left w:val="nil"/>
              <w:bottom w:val="single" w:sz="4" w:space="0" w:color="auto"/>
              <w:right w:val="single" w:sz="4" w:space="0" w:color="auto"/>
            </w:tcBorders>
            <w:shd w:val="clear" w:color="auto" w:fill="auto"/>
            <w:noWrap/>
            <w:vAlign w:val="bottom"/>
            <w:hideMark/>
          </w:tcPr>
          <w:p w14:paraId="2BB85772"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59FF68A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30,416</w:t>
            </w:r>
          </w:p>
        </w:tc>
        <w:tc>
          <w:tcPr>
            <w:tcW w:w="416" w:type="pct"/>
            <w:tcBorders>
              <w:top w:val="nil"/>
              <w:left w:val="nil"/>
              <w:bottom w:val="single" w:sz="4" w:space="0" w:color="auto"/>
              <w:right w:val="single" w:sz="4" w:space="0" w:color="auto"/>
            </w:tcBorders>
            <w:shd w:val="clear" w:color="auto" w:fill="auto"/>
            <w:noWrap/>
            <w:vAlign w:val="bottom"/>
            <w:hideMark/>
          </w:tcPr>
          <w:p w14:paraId="365FEB3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33,457</w:t>
            </w:r>
          </w:p>
        </w:tc>
        <w:tc>
          <w:tcPr>
            <w:tcW w:w="535" w:type="pct"/>
            <w:tcBorders>
              <w:top w:val="nil"/>
              <w:left w:val="nil"/>
              <w:bottom w:val="single" w:sz="4" w:space="0" w:color="auto"/>
              <w:right w:val="single" w:sz="4" w:space="0" w:color="auto"/>
            </w:tcBorders>
            <w:shd w:val="clear" w:color="auto" w:fill="auto"/>
            <w:noWrap/>
            <w:vAlign w:val="bottom"/>
            <w:hideMark/>
          </w:tcPr>
          <w:p w14:paraId="18CFC7E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27,295</w:t>
            </w:r>
          </w:p>
        </w:tc>
        <w:tc>
          <w:tcPr>
            <w:tcW w:w="581" w:type="pct"/>
            <w:tcBorders>
              <w:top w:val="nil"/>
              <w:left w:val="nil"/>
              <w:bottom w:val="single" w:sz="4" w:space="0" w:color="auto"/>
              <w:right w:val="single" w:sz="4" w:space="0" w:color="auto"/>
            </w:tcBorders>
            <w:shd w:val="clear" w:color="auto" w:fill="auto"/>
            <w:noWrap/>
            <w:vAlign w:val="bottom"/>
            <w:hideMark/>
          </w:tcPr>
          <w:p w14:paraId="76345C0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23,285</w:t>
            </w:r>
          </w:p>
        </w:tc>
        <w:tc>
          <w:tcPr>
            <w:tcW w:w="535" w:type="pct"/>
            <w:tcBorders>
              <w:top w:val="nil"/>
              <w:left w:val="nil"/>
              <w:bottom w:val="single" w:sz="4" w:space="0" w:color="auto"/>
              <w:right w:val="single" w:sz="4" w:space="0" w:color="auto"/>
            </w:tcBorders>
            <w:shd w:val="clear" w:color="auto" w:fill="auto"/>
            <w:noWrap/>
            <w:vAlign w:val="bottom"/>
            <w:hideMark/>
          </w:tcPr>
          <w:p w14:paraId="51BB6F7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13,629</w:t>
            </w:r>
          </w:p>
        </w:tc>
      </w:tr>
      <w:tr w:rsidR="00A933EF" w14:paraId="6A00DD0F"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5193F344"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Current assets</w:t>
            </w:r>
          </w:p>
        </w:tc>
        <w:tc>
          <w:tcPr>
            <w:tcW w:w="1572" w:type="pct"/>
            <w:tcBorders>
              <w:top w:val="nil"/>
              <w:left w:val="nil"/>
              <w:bottom w:val="single" w:sz="4" w:space="0" w:color="auto"/>
              <w:right w:val="single" w:sz="4" w:space="0" w:color="auto"/>
            </w:tcBorders>
            <w:shd w:val="clear" w:color="auto" w:fill="auto"/>
            <w:noWrap/>
            <w:vAlign w:val="bottom"/>
            <w:hideMark/>
          </w:tcPr>
          <w:p w14:paraId="33E86014"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74BABA1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1,05,205</w:t>
            </w:r>
          </w:p>
        </w:tc>
        <w:tc>
          <w:tcPr>
            <w:tcW w:w="416" w:type="pct"/>
            <w:tcBorders>
              <w:top w:val="nil"/>
              <w:left w:val="nil"/>
              <w:bottom w:val="single" w:sz="4" w:space="0" w:color="auto"/>
              <w:right w:val="single" w:sz="4" w:space="0" w:color="auto"/>
            </w:tcBorders>
            <w:shd w:val="clear" w:color="auto" w:fill="auto"/>
            <w:noWrap/>
            <w:vAlign w:val="bottom"/>
            <w:hideMark/>
          </w:tcPr>
          <w:p w14:paraId="3A8170C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1,37,948</w:t>
            </w:r>
          </w:p>
        </w:tc>
        <w:tc>
          <w:tcPr>
            <w:tcW w:w="535" w:type="pct"/>
            <w:tcBorders>
              <w:top w:val="nil"/>
              <w:left w:val="nil"/>
              <w:bottom w:val="single" w:sz="4" w:space="0" w:color="auto"/>
              <w:right w:val="single" w:sz="4" w:space="0" w:color="auto"/>
            </w:tcBorders>
            <w:shd w:val="clear" w:color="auto" w:fill="auto"/>
            <w:noWrap/>
            <w:vAlign w:val="bottom"/>
            <w:hideMark/>
          </w:tcPr>
          <w:p w14:paraId="12D132B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93,621</w:t>
            </w:r>
          </w:p>
        </w:tc>
        <w:tc>
          <w:tcPr>
            <w:tcW w:w="581" w:type="pct"/>
            <w:tcBorders>
              <w:top w:val="nil"/>
              <w:left w:val="nil"/>
              <w:bottom w:val="single" w:sz="4" w:space="0" w:color="auto"/>
              <w:right w:val="single" w:sz="4" w:space="0" w:color="auto"/>
            </w:tcBorders>
            <w:shd w:val="clear" w:color="auto" w:fill="auto"/>
            <w:noWrap/>
            <w:vAlign w:val="bottom"/>
            <w:hideMark/>
          </w:tcPr>
          <w:p w14:paraId="7E93E3A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66,348</w:t>
            </w:r>
          </w:p>
        </w:tc>
        <w:tc>
          <w:tcPr>
            <w:tcW w:w="535" w:type="pct"/>
            <w:tcBorders>
              <w:top w:val="nil"/>
              <w:left w:val="nil"/>
              <w:bottom w:val="single" w:sz="4" w:space="0" w:color="auto"/>
              <w:right w:val="single" w:sz="4" w:space="0" w:color="auto"/>
            </w:tcBorders>
            <w:shd w:val="clear" w:color="auto" w:fill="auto"/>
            <w:noWrap/>
            <w:vAlign w:val="bottom"/>
            <w:hideMark/>
          </w:tcPr>
          <w:p w14:paraId="0A90A46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69,967</w:t>
            </w:r>
          </w:p>
        </w:tc>
      </w:tr>
      <w:tr w:rsidR="00A933EF" w14:paraId="3545AF3D"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3E2D8521"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Total asset</w:t>
            </w:r>
          </w:p>
        </w:tc>
        <w:tc>
          <w:tcPr>
            <w:tcW w:w="1572" w:type="pct"/>
            <w:tcBorders>
              <w:top w:val="nil"/>
              <w:left w:val="nil"/>
              <w:bottom w:val="single" w:sz="4" w:space="0" w:color="auto"/>
              <w:right w:val="single" w:sz="4" w:space="0" w:color="auto"/>
            </w:tcBorders>
            <w:shd w:val="clear" w:color="auto" w:fill="auto"/>
            <w:noWrap/>
            <w:vAlign w:val="bottom"/>
            <w:hideMark/>
          </w:tcPr>
          <w:p w14:paraId="7359266A"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3E23B22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3,18,693</w:t>
            </w:r>
          </w:p>
        </w:tc>
        <w:tc>
          <w:tcPr>
            <w:tcW w:w="416" w:type="pct"/>
            <w:tcBorders>
              <w:top w:val="nil"/>
              <w:left w:val="nil"/>
              <w:bottom w:val="single" w:sz="4" w:space="0" w:color="auto"/>
              <w:right w:val="single" w:sz="4" w:space="0" w:color="auto"/>
            </w:tcBorders>
            <w:shd w:val="clear" w:color="auto" w:fill="auto"/>
            <w:noWrap/>
            <w:vAlign w:val="bottom"/>
            <w:hideMark/>
          </w:tcPr>
          <w:p w14:paraId="7A75A57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3,68,297</w:t>
            </w:r>
          </w:p>
        </w:tc>
        <w:tc>
          <w:tcPr>
            <w:tcW w:w="535" w:type="pct"/>
            <w:tcBorders>
              <w:top w:val="nil"/>
              <w:left w:val="nil"/>
              <w:bottom w:val="single" w:sz="4" w:space="0" w:color="auto"/>
              <w:right w:val="single" w:sz="4" w:space="0" w:color="auto"/>
            </w:tcBorders>
            <w:shd w:val="clear" w:color="auto" w:fill="auto"/>
            <w:noWrap/>
            <w:vAlign w:val="bottom"/>
            <w:hideMark/>
          </w:tcPr>
          <w:p w14:paraId="0E5A457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2,98,556</w:t>
            </w:r>
          </w:p>
        </w:tc>
        <w:tc>
          <w:tcPr>
            <w:tcW w:w="581" w:type="pct"/>
            <w:tcBorders>
              <w:top w:val="nil"/>
              <w:left w:val="nil"/>
              <w:bottom w:val="single" w:sz="4" w:space="0" w:color="auto"/>
              <w:right w:val="single" w:sz="4" w:space="0" w:color="auto"/>
            </w:tcBorders>
            <w:shd w:val="clear" w:color="auto" w:fill="auto"/>
            <w:noWrap/>
            <w:vAlign w:val="bottom"/>
            <w:hideMark/>
          </w:tcPr>
          <w:p w14:paraId="3826A6F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2,77,456</w:t>
            </w:r>
          </w:p>
        </w:tc>
        <w:tc>
          <w:tcPr>
            <w:tcW w:w="535" w:type="pct"/>
            <w:tcBorders>
              <w:top w:val="nil"/>
              <w:left w:val="nil"/>
              <w:bottom w:val="single" w:sz="4" w:space="0" w:color="auto"/>
              <w:right w:val="single" w:sz="4" w:space="0" w:color="auto"/>
            </w:tcBorders>
            <w:shd w:val="clear" w:color="auto" w:fill="auto"/>
            <w:noWrap/>
            <w:vAlign w:val="bottom"/>
            <w:hideMark/>
          </w:tcPr>
          <w:p w14:paraId="3DDF297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3,05,217</w:t>
            </w:r>
          </w:p>
        </w:tc>
      </w:tr>
      <w:tr w:rsidR="00A933EF" w14:paraId="0061A92E"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4D60932C"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Trade and other payables</w:t>
            </w:r>
          </w:p>
        </w:tc>
        <w:tc>
          <w:tcPr>
            <w:tcW w:w="1572" w:type="pct"/>
            <w:tcBorders>
              <w:top w:val="nil"/>
              <w:left w:val="nil"/>
              <w:bottom w:val="single" w:sz="4" w:space="0" w:color="auto"/>
              <w:right w:val="single" w:sz="4" w:space="0" w:color="auto"/>
            </w:tcBorders>
            <w:shd w:val="clear" w:color="auto" w:fill="auto"/>
            <w:noWrap/>
            <w:vAlign w:val="bottom"/>
            <w:hideMark/>
          </w:tcPr>
          <w:p w14:paraId="0CFADAED"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0EAD64B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27,134</w:t>
            </w:r>
          </w:p>
        </w:tc>
        <w:tc>
          <w:tcPr>
            <w:tcW w:w="416" w:type="pct"/>
            <w:tcBorders>
              <w:top w:val="nil"/>
              <w:left w:val="nil"/>
              <w:bottom w:val="single" w:sz="4" w:space="0" w:color="auto"/>
              <w:right w:val="single" w:sz="4" w:space="0" w:color="auto"/>
            </w:tcBorders>
            <w:shd w:val="clear" w:color="auto" w:fill="auto"/>
            <w:noWrap/>
            <w:vAlign w:val="bottom"/>
            <w:hideMark/>
          </w:tcPr>
          <w:p w14:paraId="2CFD267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35,441</w:t>
            </w:r>
          </w:p>
        </w:tc>
        <w:tc>
          <w:tcPr>
            <w:tcW w:w="535" w:type="pct"/>
            <w:tcBorders>
              <w:top w:val="nil"/>
              <w:left w:val="nil"/>
              <w:bottom w:val="single" w:sz="4" w:space="0" w:color="auto"/>
              <w:right w:val="single" w:sz="4" w:space="0" w:color="auto"/>
            </w:tcBorders>
            <w:shd w:val="clear" w:color="auto" w:fill="auto"/>
            <w:noWrap/>
            <w:vAlign w:val="bottom"/>
            <w:hideMark/>
          </w:tcPr>
          <w:p w14:paraId="06BA156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25,203</w:t>
            </w:r>
          </w:p>
        </w:tc>
        <w:tc>
          <w:tcPr>
            <w:tcW w:w="581" w:type="pct"/>
            <w:tcBorders>
              <w:top w:val="nil"/>
              <w:left w:val="nil"/>
              <w:bottom w:val="single" w:sz="4" w:space="0" w:color="auto"/>
              <w:right w:val="single" w:sz="4" w:space="0" w:color="auto"/>
            </w:tcBorders>
            <w:shd w:val="clear" w:color="auto" w:fill="auto"/>
            <w:noWrap/>
            <w:vAlign w:val="bottom"/>
            <w:hideMark/>
          </w:tcPr>
          <w:p w14:paraId="2BD3C64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16,580</w:t>
            </w:r>
          </w:p>
        </w:tc>
        <w:tc>
          <w:tcPr>
            <w:tcW w:w="535" w:type="pct"/>
            <w:tcBorders>
              <w:top w:val="nil"/>
              <w:left w:val="nil"/>
              <w:bottom w:val="single" w:sz="4" w:space="0" w:color="auto"/>
              <w:right w:val="single" w:sz="4" w:space="0" w:color="auto"/>
            </w:tcBorders>
            <w:shd w:val="clear" w:color="auto" w:fill="auto"/>
            <w:noWrap/>
            <w:vAlign w:val="bottom"/>
            <w:hideMark/>
          </w:tcPr>
          <w:p w14:paraId="766AF5B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22,266</w:t>
            </w:r>
          </w:p>
        </w:tc>
      </w:tr>
      <w:tr w:rsidR="00A933EF" w14:paraId="5A95FDEB"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3DA3FDA3"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Current liabilities</w:t>
            </w:r>
          </w:p>
        </w:tc>
        <w:tc>
          <w:tcPr>
            <w:tcW w:w="1572" w:type="pct"/>
            <w:tcBorders>
              <w:top w:val="nil"/>
              <w:left w:val="nil"/>
              <w:bottom w:val="single" w:sz="4" w:space="0" w:color="auto"/>
              <w:right w:val="single" w:sz="4" w:space="0" w:color="auto"/>
            </w:tcBorders>
            <w:shd w:val="clear" w:color="auto" w:fill="auto"/>
            <w:noWrap/>
            <w:vAlign w:val="bottom"/>
            <w:hideMark/>
          </w:tcPr>
          <w:p w14:paraId="57462B55"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39F9514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74,888</w:t>
            </w:r>
          </w:p>
        </w:tc>
        <w:tc>
          <w:tcPr>
            <w:tcW w:w="416" w:type="pct"/>
            <w:tcBorders>
              <w:top w:val="nil"/>
              <w:left w:val="nil"/>
              <w:bottom w:val="single" w:sz="4" w:space="0" w:color="auto"/>
              <w:right w:val="single" w:sz="4" w:space="0" w:color="auto"/>
            </w:tcBorders>
            <w:shd w:val="clear" w:color="auto" w:fill="auto"/>
            <w:noWrap/>
            <w:vAlign w:val="bottom"/>
            <w:hideMark/>
          </w:tcPr>
          <w:p w14:paraId="2CB075E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1,00,849</w:t>
            </w:r>
          </w:p>
        </w:tc>
        <w:tc>
          <w:tcPr>
            <w:tcW w:w="535" w:type="pct"/>
            <w:tcBorders>
              <w:top w:val="nil"/>
              <w:left w:val="nil"/>
              <w:bottom w:val="single" w:sz="4" w:space="0" w:color="auto"/>
              <w:right w:val="single" w:sz="4" w:space="0" w:color="auto"/>
            </w:tcBorders>
            <w:shd w:val="clear" w:color="auto" w:fill="auto"/>
            <w:noWrap/>
            <w:vAlign w:val="bottom"/>
            <w:hideMark/>
          </w:tcPr>
          <w:p w14:paraId="08A8CA1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69,618</w:t>
            </w:r>
          </w:p>
        </w:tc>
        <w:tc>
          <w:tcPr>
            <w:tcW w:w="581" w:type="pct"/>
            <w:tcBorders>
              <w:top w:val="nil"/>
              <w:left w:val="nil"/>
              <w:bottom w:val="single" w:sz="4" w:space="0" w:color="auto"/>
              <w:right w:val="single" w:sz="4" w:space="0" w:color="auto"/>
            </w:tcBorders>
            <w:shd w:val="clear" w:color="auto" w:fill="auto"/>
            <w:noWrap/>
            <w:vAlign w:val="bottom"/>
            <w:hideMark/>
          </w:tcPr>
          <w:p w14:paraId="4E5E52D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54,099</w:t>
            </w:r>
          </w:p>
        </w:tc>
        <w:tc>
          <w:tcPr>
            <w:tcW w:w="535" w:type="pct"/>
            <w:tcBorders>
              <w:top w:val="nil"/>
              <w:left w:val="nil"/>
              <w:bottom w:val="single" w:sz="4" w:space="0" w:color="auto"/>
              <w:right w:val="single" w:sz="4" w:space="0" w:color="auto"/>
            </w:tcBorders>
            <w:shd w:val="clear" w:color="auto" w:fill="auto"/>
            <w:noWrap/>
            <w:vAlign w:val="bottom"/>
            <w:hideMark/>
          </w:tcPr>
          <w:p w14:paraId="139BC9B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60,105</w:t>
            </w:r>
          </w:p>
        </w:tc>
      </w:tr>
      <w:tr w:rsidR="00A933EF" w14:paraId="04C40DEB"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473B000E"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Total liabilities</w:t>
            </w:r>
          </w:p>
        </w:tc>
        <w:tc>
          <w:tcPr>
            <w:tcW w:w="1572" w:type="pct"/>
            <w:tcBorders>
              <w:top w:val="nil"/>
              <w:left w:val="nil"/>
              <w:bottom w:val="single" w:sz="4" w:space="0" w:color="auto"/>
              <w:right w:val="single" w:sz="4" w:space="0" w:color="auto"/>
            </w:tcBorders>
            <w:shd w:val="clear" w:color="auto" w:fill="auto"/>
            <w:noWrap/>
            <w:vAlign w:val="bottom"/>
            <w:hideMark/>
          </w:tcPr>
          <w:p w14:paraId="3D7DF134"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239B22B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1,70,935</w:t>
            </w:r>
          </w:p>
        </w:tc>
        <w:tc>
          <w:tcPr>
            <w:tcW w:w="416" w:type="pct"/>
            <w:tcBorders>
              <w:top w:val="nil"/>
              <w:left w:val="nil"/>
              <w:bottom w:val="single" w:sz="4" w:space="0" w:color="auto"/>
              <w:right w:val="single" w:sz="4" w:space="0" w:color="auto"/>
            </w:tcBorders>
            <w:shd w:val="clear" w:color="auto" w:fill="auto"/>
            <w:noWrap/>
            <w:vAlign w:val="bottom"/>
            <w:hideMark/>
          </w:tcPr>
          <w:p w14:paraId="1190BE7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2,08,186</w:t>
            </w:r>
          </w:p>
        </w:tc>
        <w:tc>
          <w:tcPr>
            <w:tcW w:w="535" w:type="pct"/>
            <w:tcBorders>
              <w:top w:val="nil"/>
              <w:left w:val="nil"/>
              <w:bottom w:val="single" w:sz="4" w:space="0" w:color="auto"/>
              <w:right w:val="single" w:sz="4" w:space="0" w:color="auto"/>
            </w:tcBorders>
            <w:shd w:val="clear" w:color="auto" w:fill="auto"/>
            <w:noWrap/>
            <w:vAlign w:val="bottom"/>
            <w:hideMark/>
          </w:tcPr>
          <w:p w14:paraId="78E7ED9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1,69,111</w:t>
            </w:r>
          </w:p>
        </w:tc>
        <w:tc>
          <w:tcPr>
            <w:tcW w:w="581" w:type="pct"/>
            <w:tcBorders>
              <w:top w:val="nil"/>
              <w:left w:val="nil"/>
              <w:bottom w:val="single" w:sz="4" w:space="0" w:color="auto"/>
              <w:right w:val="single" w:sz="4" w:space="0" w:color="auto"/>
            </w:tcBorders>
            <w:shd w:val="clear" w:color="auto" w:fill="auto"/>
            <w:noWrap/>
            <w:vAlign w:val="bottom"/>
            <w:hideMark/>
          </w:tcPr>
          <w:p w14:paraId="7491A3B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1,61,477</w:t>
            </w:r>
          </w:p>
        </w:tc>
        <w:tc>
          <w:tcPr>
            <w:tcW w:w="535" w:type="pct"/>
            <w:tcBorders>
              <w:top w:val="nil"/>
              <w:left w:val="nil"/>
              <w:bottom w:val="single" w:sz="4" w:space="0" w:color="auto"/>
              <w:right w:val="single" w:sz="4" w:space="0" w:color="auto"/>
            </w:tcBorders>
            <w:shd w:val="clear" w:color="auto" w:fill="auto"/>
            <w:noWrap/>
            <w:vAlign w:val="bottom"/>
            <w:hideMark/>
          </w:tcPr>
          <w:p w14:paraId="1241E39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1,61,444</w:t>
            </w:r>
          </w:p>
        </w:tc>
      </w:tr>
      <w:tr w:rsidR="00A933EF" w14:paraId="27F45EF4"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7056947C"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Equity</w:t>
            </w:r>
          </w:p>
        </w:tc>
        <w:tc>
          <w:tcPr>
            <w:tcW w:w="1572" w:type="pct"/>
            <w:tcBorders>
              <w:top w:val="nil"/>
              <w:left w:val="nil"/>
              <w:bottom w:val="single" w:sz="4" w:space="0" w:color="auto"/>
              <w:right w:val="single" w:sz="4" w:space="0" w:color="auto"/>
            </w:tcBorders>
            <w:shd w:val="clear" w:color="auto" w:fill="auto"/>
            <w:noWrap/>
            <w:vAlign w:val="bottom"/>
            <w:hideMark/>
          </w:tcPr>
          <w:p w14:paraId="448B4804"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16" w:type="pct"/>
            <w:tcBorders>
              <w:top w:val="nil"/>
              <w:left w:val="nil"/>
              <w:bottom w:val="single" w:sz="4" w:space="0" w:color="auto"/>
              <w:right w:val="single" w:sz="4" w:space="0" w:color="auto"/>
            </w:tcBorders>
            <w:shd w:val="clear" w:color="auto" w:fill="auto"/>
            <w:noWrap/>
            <w:vAlign w:val="bottom"/>
            <w:hideMark/>
          </w:tcPr>
          <w:p w14:paraId="2E569BB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1,47,758</w:t>
            </w:r>
          </w:p>
        </w:tc>
        <w:tc>
          <w:tcPr>
            <w:tcW w:w="416" w:type="pct"/>
            <w:tcBorders>
              <w:top w:val="nil"/>
              <w:left w:val="nil"/>
              <w:bottom w:val="single" w:sz="4" w:space="0" w:color="auto"/>
              <w:right w:val="single" w:sz="4" w:space="0" w:color="auto"/>
            </w:tcBorders>
            <w:shd w:val="clear" w:color="auto" w:fill="auto"/>
            <w:noWrap/>
            <w:vAlign w:val="bottom"/>
            <w:hideMark/>
          </w:tcPr>
          <w:p w14:paraId="4BA19D2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1,60,111</w:t>
            </w:r>
          </w:p>
        </w:tc>
        <w:tc>
          <w:tcPr>
            <w:tcW w:w="535" w:type="pct"/>
            <w:tcBorders>
              <w:top w:val="nil"/>
              <w:left w:val="nil"/>
              <w:bottom w:val="single" w:sz="4" w:space="0" w:color="auto"/>
              <w:right w:val="single" w:sz="4" w:space="0" w:color="auto"/>
            </w:tcBorders>
            <w:shd w:val="clear" w:color="auto" w:fill="auto"/>
            <w:noWrap/>
            <w:vAlign w:val="bottom"/>
            <w:hideMark/>
          </w:tcPr>
          <w:p w14:paraId="1216551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1,29,444</w:t>
            </w:r>
          </w:p>
        </w:tc>
        <w:tc>
          <w:tcPr>
            <w:tcW w:w="581" w:type="pct"/>
            <w:tcBorders>
              <w:top w:val="nil"/>
              <w:left w:val="nil"/>
              <w:bottom w:val="single" w:sz="4" w:space="0" w:color="auto"/>
              <w:right w:val="single" w:sz="4" w:space="0" w:color="auto"/>
            </w:tcBorders>
            <w:shd w:val="clear" w:color="auto" w:fill="auto"/>
            <w:noWrap/>
            <w:vAlign w:val="bottom"/>
            <w:hideMark/>
          </w:tcPr>
          <w:p w14:paraId="7DCBBD4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1,15,979</w:t>
            </w:r>
          </w:p>
        </w:tc>
        <w:tc>
          <w:tcPr>
            <w:tcW w:w="535" w:type="pct"/>
            <w:tcBorders>
              <w:top w:val="nil"/>
              <w:left w:val="nil"/>
              <w:bottom w:val="single" w:sz="4" w:space="0" w:color="auto"/>
              <w:right w:val="single" w:sz="4" w:space="0" w:color="auto"/>
            </w:tcBorders>
            <w:shd w:val="clear" w:color="auto" w:fill="auto"/>
            <w:noWrap/>
            <w:vAlign w:val="bottom"/>
            <w:hideMark/>
          </w:tcPr>
          <w:p w14:paraId="0C29502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1,43,773</w:t>
            </w:r>
          </w:p>
        </w:tc>
      </w:tr>
      <w:tr w:rsidR="00A933EF" w14:paraId="73A1C6F3" w14:textId="77777777" w:rsidTr="0044406A">
        <w:trPr>
          <w:trHeight w:val="310"/>
        </w:trPr>
        <w:tc>
          <w:tcPr>
            <w:tcW w:w="945" w:type="pct"/>
            <w:tcBorders>
              <w:top w:val="nil"/>
              <w:left w:val="nil"/>
              <w:bottom w:val="nil"/>
              <w:right w:val="nil"/>
            </w:tcBorders>
            <w:shd w:val="clear" w:color="auto" w:fill="auto"/>
            <w:noWrap/>
            <w:vAlign w:val="bottom"/>
            <w:hideMark/>
          </w:tcPr>
          <w:p w14:paraId="64EB835E" w14:textId="77777777" w:rsidR="00E079C5" w:rsidRPr="00297091" w:rsidRDefault="00E079C5" w:rsidP="0044406A">
            <w:pPr>
              <w:spacing w:before="0" w:after="0" w:line="240" w:lineRule="auto"/>
              <w:jc w:val="right"/>
              <w:rPr>
                <w:rFonts w:eastAsia="Times New Roman" w:cs="Times New Roman"/>
                <w:color w:val="000000"/>
                <w:szCs w:val="24"/>
                <w:lang w:eastAsia="en-IN"/>
              </w:rPr>
            </w:pPr>
          </w:p>
        </w:tc>
        <w:tc>
          <w:tcPr>
            <w:tcW w:w="1572" w:type="pct"/>
            <w:tcBorders>
              <w:top w:val="nil"/>
              <w:left w:val="nil"/>
              <w:bottom w:val="nil"/>
              <w:right w:val="nil"/>
            </w:tcBorders>
            <w:shd w:val="clear" w:color="auto" w:fill="auto"/>
            <w:noWrap/>
            <w:vAlign w:val="bottom"/>
            <w:hideMark/>
          </w:tcPr>
          <w:p w14:paraId="3A1B86FD"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4D166995"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6FDD5284"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18B3868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81" w:type="pct"/>
            <w:tcBorders>
              <w:top w:val="nil"/>
              <w:left w:val="nil"/>
              <w:bottom w:val="nil"/>
              <w:right w:val="nil"/>
            </w:tcBorders>
            <w:shd w:val="clear" w:color="auto" w:fill="auto"/>
            <w:noWrap/>
            <w:vAlign w:val="bottom"/>
            <w:hideMark/>
          </w:tcPr>
          <w:p w14:paraId="3A3D4E40"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5CEFB93A"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01CE6F1C" w14:textId="77777777" w:rsidTr="0044406A">
        <w:trPr>
          <w:trHeight w:val="310"/>
        </w:trPr>
        <w:tc>
          <w:tcPr>
            <w:tcW w:w="945" w:type="pct"/>
            <w:tcBorders>
              <w:top w:val="nil"/>
              <w:left w:val="nil"/>
              <w:bottom w:val="nil"/>
              <w:right w:val="nil"/>
            </w:tcBorders>
            <w:shd w:val="clear" w:color="auto" w:fill="auto"/>
            <w:noWrap/>
            <w:vAlign w:val="bottom"/>
            <w:hideMark/>
          </w:tcPr>
          <w:p w14:paraId="205A5329"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572" w:type="pct"/>
            <w:tcBorders>
              <w:top w:val="nil"/>
              <w:left w:val="nil"/>
              <w:bottom w:val="nil"/>
              <w:right w:val="nil"/>
            </w:tcBorders>
            <w:shd w:val="clear" w:color="auto" w:fill="auto"/>
            <w:noWrap/>
            <w:vAlign w:val="bottom"/>
            <w:hideMark/>
          </w:tcPr>
          <w:p w14:paraId="4435218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45547636"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5447CF9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61F44CE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81" w:type="pct"/>
            <w:tcBorders>
              <w:top w:val="nil"/>
              <w:left w:val="nil"/>
              <w:bottom w:val="nil"/>
              <w:right w:val="nil"/>
            </w:tcBorders>
            <w:shd w:val="clear" w:color="auto" w:fill="auto"/>
            <w:noWrap/>
            <w:vAlign w:val="bottom"/>
            <w:hideMark/>
          </w:tcPr>
          <w:p w14:paraId="7437A484"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15AF514B"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3243C95D" w14:textId="77777777" w:rsidTr="0044406A">
        <w:trPr>
          <w:trHeight w:val="310"/>
        </w:trPr>
        <w:tc>
          <w:tcPr>
            <w:tcW w:w="945" w:type="pct"/>
            <w:tcBorders>
              <w:top w:val="nil"/>
              <w:left w:val="nil"/>
              <w:bottom w:val="nil"/>
              <w:right w:val="nil"/>
            </w:tcBorders>
            <w:shd w:val="clear" w:color="auto" w:fill="auto"/>
            <w:noWrap/>
            <w:vAlign w:val="bottom"/>
            <w:hideMark/>
          </w:tcPr>
          <w:p w14:paraId="678935E0"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572" w:type="pct"/>
            <w:tcBorders>
              <w:top w:val="nil"/>
              <w:left w:val="nil"/>
              <w:bottom w:val="nil"/>
              <w:right w:val="nil"/>
            </w:tcBorders>
            <w:shd w:val="clear" w:color="auto" w:fill="auto"/>
            <w:noWrap/>
            <w:vAlign w:val="bottom"/>
            <w:hideMark/>
          </w:tcPr>
          <w:p w14:paraId="15E4AEC4"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01115E43"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1259E7A4"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1E183401"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81" w:type="pct"/>
            <w:tcBorders>
              <w:top w:val="nil"/>
              <w:left w:val="nil"/>
              <w:bottom w:val="nil"/>
              <w:right w:val="nil"/>
            </w:tcBorders>
            <w:shd w:val="clear" w:color="auto" w:fill="auto"/>
            <w:noWrap/>
            <w:vAlign w:val="bottom"/>
            <w:hideMark/>
          </w:tcPr>
          <w:p w14:paraId="218FDCE6"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271A2D2C"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50D4CA9D" w14:textId="77777777" w:rsidTr="0044406A">
        <w:trPr>
          <w:trHeight w:val="310"/>
        </w:trPr>
        <w:tc>
          <w:tcPr>
            <w:tcW w:w="3349" w:type="pct"/>
            <w:gridSpan w:val="4"/>
            <w:tcBorders>
              <w:top w:val="nil"/>
              <w:left w:val="nil"/>
              <w:bottom w:val="nil"/>
              <w:right w:val="nil"/>
            </w:tcBorders>
            <w:shd w:val="clear" w:color="auto" w:fill="auto"/>
            <w:noWrap/>
            <w:vAlign w:val="bottom"/>
            <w:hideMark/>
          </w:tcPr>
          <w:p w14:paraId="6D90C4D8"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 xml:space="preserve">Ratio analysis </w:t>
            </w:r>
          </w:p>
        </w:tc>
        <w:tc>
          <w:tcPr>
            <w:tcW w:w="535" w:type="pct"/>
            <w:tcBorders>
              <w:top w:val="nil"/>
              <w:left w:val="nil"/>
              <w:bottom w:val="nil"/>
              <w:right w:val="nil"/>
            </w:tcBorders>
            <w:shd w:val="clear" w:color="auto" w:fill="auto"/>
            <w:noWrap/>
            <w:vAlign w:val="bottom"/>
            <w:hideMark/>
          </w:tcPr>
          <w:p w14:paraId="65DC82AC" w14:textId="77777777" w:rsidR="00E079C5" w:rsidRPr="00297091" w:rsidRDefault="00E079C5" w:rsidP="0044406A">
            <w:pPr>
              <w:spacing w:before="0" w:after="0" w:line="240" w:lineRule="auto"/>
              <w:jc w:val="center"/>
              <w:rPr>
                <w:rFonts w:eastAsia="Times New Roman" w:cs="Times New Roman"/>
                <w:b/>
                <w:bCs/>
                <w:color w:val="000000"/>
                <w:szCs w:val="24"/>
                <w:lang w:eastAsia="en-IN"/>
              </w:rPr>
            </w:pPr>
          </w:p>
        </w:tc>
        <w:tc>
          <w:tcPr>
            <w:tcW w:w="581" w:type="pct"/>
            <w:tcBorders>
              <w:top w:val="nil"/>
              <w:left w:val="nil"/>
              <w:bottom w:val="nil"/>
              <w:right w:val="nil"/>
            </w:tcBorders>
            <w:shd w:val="clear" w:color="auto" w:fill="auto"/>
            <w:noWrap/>
            <w:vAlign w:val="bottom"/>
            <w:hideMark/>
          </w:tcPr>
          <w:p w14:paraId="578DEDC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7AE8D232"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7D8CB265" w14:textId="77777777" w:rsidTr="0044406A">
        <w:trPr>
          <w:trHeight w:val="310"/>
        </w:trPr>
        <w:tc>
          <w:tcPr>
            <w:tcW w:w="945" w:type="pct"/>
            <w:tcBorders>
              <w:top w:val="nil"/>
              <w:left w:val="nil"/>
              <w:bottom w:val="nil"/>
              <w:right w:val="nil"/>
            </w:tcBorders>
            <w:shd w:val="clear" w:color="auto" w:fill="auto"/>
            <w:noWrap/>
            <w:vAlign w:val="bottom"/>
            <w:hideMark/>
          </w:tcPr>
          <w:p w14:paraId="0E6DCC05"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572" w:type="pct"/>
            <w:tcBorders>
              <w:top w:val="nil"/>
              <w:left w:val="nil"/>
              <w:bottom w:val="nil"/>
              <w:right w:val="nil"/>
            </w:tcBorders>
            <w:shd w:val="clear" w:color="auto" w:fill="auto"/>
            <w:noWrap/>
            <w:vAlign w:val="bottom"/>
            <w:hideMark/>
          </w:tcPr>
          <w:p w14:paraId="25388D45"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0590656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0F8F42B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05FF2A98"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81" w:type="pct"/>
            <w:tcBorders>
              <w:top w:val="nil"/>
              <w:left w:val="nil"/>
              <w:bottom w:val="nil"/>
              <w:right w:val="nil"/>
            </w:tcBorders>
            <w:shd w:val="clear" w:color="auto" w:fill="auto"/>
            <w:noWrap/>
            <w:vAlign w:val="bottom"/>
            <w:hideMark/>
          </w:tcPr>
          <w:p w14:paraId="2911C0F8"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2924A2F7"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4E3E4853" w14:textId="77777777" w:rsidTr="0044406A">
        <w:trPr>
          <w:trHeight w:val="310"/>
        </w:trPr>
        <w:tc>
          <w:tcPr>
            <w:tcW w:w="94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A4D6A3"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1572" w:type="pct"/>
            <w:tcBorders>
              <w:top w:val="single" w:sz="4" w:space="0" w:color="auto"/>
              <w:left w:val="nil"/>
              <w:bottom w:val="single" w:sz="4" w:space="0" w:color="auto"/>
              <w:right w:val="single" w:sz="4" w:space="0" w:color="auto"/>
            </w:tcBorders>
            <w:shd w:val="clear" w:color="auto" w:fill="auto"/>
            <w:noWrap/>
            <w:vAlign w:val="bottom"/>
            <w:hideMark/>
          </w:tcPr>
          <w:p w14:paraId="63CAEE20"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2483" w:type="pct"/>
            <w:gridSpan w:val="5"/>
            <w:tcBorders>
              <w:top w:val="single" w:sz="4" w:space="0" w:color="auto"/>
              <w:left w:val="nil"/>
              <w:bottom w:val="single" w:sz="4" w:space="0" w:color="auto"/>
              <w:right w:val="single" w:sz="4" w:space="0" w:color="000000"/>
            </w:tcBorders>
            <w:shd w:val="clear" w:color="auto" w:fill="auto"/>
            <w:noWrap/>
            <w:vAlign w:val="bottom"/>
            <w:hideMark/>
          </w:tcPr>
          <w:p w14:paraId="7B1E2354"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Shell plc</w:t>
            </w:r>
          </w:p>
        </w:tc>
      </w:tr>
      <w:tr w:rsidR="00A933EF" w14:paraId="72B3F09F"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466966E7"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Gross Margin</w:t>
            </w:r>
          </w:p>
        </w:tc>
        <w:tc>
          <w:tcPr>
            <w:tcW w:w="1572" w:type="pct"/>
            <w:tcBorders>
              <w:top w:val="nil"/>
              <w:left w:val="nil"/>
              <w:bottom w:val="single" w:sz="4" w:space="0" w:color="auto"/>
              <w:right w:val="single" w:sz="4" w:space="0" w:color="auto"/>
            </w:tcBorders>
            <w:shd w:val="clear" w:color="auto" w:fill="auto"/>
            <w:noWrap/>
            <w:vAlign w:val="bottom"/>
            <w:hideMark/>
          </w:tcPr>
          <w:p w14:paraId="549D8216"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Gross Profit/Sales revenue</w:t>
            </w:r>
          </w:p>
        </w:tc>
        <w:tc>
          <w:tcPr>
            <w:tcW w:w="416" w:type="pct"/>
            <w:tcBorders>
              <w:top w:val="nil"/>
              <w:left w:val="nil"/>
              <w:bottom w:val="single" w:sz="4" w:space="0" w:color="auto"/>
              <w:right w:val="single" w:sz="4" w:space="0" w:color="auto"/>
            </w:tcBorders>
            <w:shd w:val="clear" w:color="auto" w:fill="auto"/>
            <w:noWrap/>
            <w:vAlign w:val="bottom"/>
            <w:hideMark/>
          </w:tcPr>
          <w:p w14:paraId="39945B7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12.65%</w:t>
            </w:r>
          </w:p>
        </w:tc>
        <w:tc>
          <w:tcPr>
            <w:tcW w:w="416" w:type="pct"/>
            <w:tcBorders>
              <w:top w:val="nil"/>
              <w:left w:val="nil"/>
              <w:bottom w:val="single" w:sz="4" w:space="0" w:color="auto"/>
              <w:right w:val="single" w:sz="4" w:space="0" w:color="auto"/>
            </w:tcBorders>
            <w:shd w:val="clear" w:color="auto" w:fill="auto"/>
            <w:noWrap/>
            <w:vAlign w:val="bottom"/>
            <w:hideMark/>
          </w:tcPr>
          <w:p w14:paraId="0B86878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16.51%</w:t>
            </w:r>
          </w:p>
        </w:tc>
        <w:tc>
          <w:tcPr>
            <w:tcW w:w="535" w:type="pct"/>
            <w:tcBorders>
              <w:top w:val="nil"/>
              <w:left w:val="nil"/>
              <w:bottom w:val="single" w:sz="4" w:space="0" w:color="auto"/>
              <w:right w:val="single" w:sz="4" w:space="0" w:color="auto"/>
            </w:tcBorders>
            <w:shd w:val="clear" w:color="auto" w:fill="auto"/>
            <w:noWrap/>
            <w:vAlign w:val="bottom"/>
            <w:hideMark/>
          </w:tcPr>
          <w:p w14:paraId="430B0E7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14.50%</w:t>
            </w:r>
          </w:p>
        </w:tc>
        <w:tc>
          <w:tcPr>
            <w:tcW w:w="581" w:type="pct"/>
            <w:tcBorders>
              <w:top w:val="nil"/>
              <w:left w:val="nil"/>
              <w:bottom w:val="single" w:sz="4" w:space="0" w:color="auto"/>
              <w:right w:val="single" w:sz="4" w:space="0" w:color="auto"/>
            </w:tcBorders>
            <w:shd w:val="clear" w:color="auto" w:fill="auto"/>
            <w:noWrap/>
            <w:vAlign w:val="bottom"/>
            <w:hideMark/>
          </w:tcPr>
          <w:p w14:paraId="1A36570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1.00%</w:t>
            </w:r>
          </w:p>
        </w:tc>
        <w:tc>
          <w:tcPr>
            <w:tcW w:w="535" w:type="pct"/>
            <w:tcBorders>
              <w:top w:val="nil"/>
              <w:left w:val="nil"/>
              <w:bottom w:val="single" w:sz="4" w:space="0" w:color="auto"/>
              <w:right w:val="single" w:sz="4" w:space="0" w:color="auto"/>
            </w:tcBorders>
            <w:shd w:val="clear" w:color="auto" w:fill="auto"/>
            <w:noWrap/>
            <w:vAlign w:val="bottom"/>
            <w:hideMark/>
          </w:tcPr>
          <w:p w14:paraId="31B4733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9.56%</w:t>
            </w:r>
          </w:p>
        </w:tc>
      </w:tr>
      <w:tr w:rsidR="00A933EF" w14:paraId="53481AAA"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7C22EB16"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Return on capital employed</w:t>
            </w:r>
          </w:p>
        </w:tc>
        <w:tc>
          <w:tcPr>
            <w:tcW w:w="1572" w:type="pct"/>
            <w:tcBorders>
              <w:top w:val="nil"/>
              <w:left w:val="nil"/>
              <w:bottom w:val="single" w:sz="4" w:space="0" w:color="auto"/>
              <w:right w:val="single" w:sz="4" w:space="0" w:color="auto"/>
            </w:tcBorders>
            <w:shd w:val="clear" w:color="auto" w:fill="auto"/>
            <w:vAlign w:val="bottom"/>
            <w:hideMark/>
          </w:tcPr>
          <w:p w14:paraId="62A19769"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EBIT/ Total asset- Total current liabilities</w:t>
            </w:r>
          </w:p>
        </w:tc>
        <w:tc>
          <w:tcPr>
            <w:tcW w:w="416" w:type="pct"/>
            <w:tcBorders>
              <w:top w:val="nil"/>
              <w:left w:val="nil"/>
              <w:bottom w:val="single" w:sz="4" w:space="0" w:color="auto"/>
              <w:right w:val="single" w:sz="4" w:space="0" w:color="auto"/>
            </w:tcBorders>
            <w:shd w:val="clear" w:color="auto" w:fill="auto"/>
            <w:noWrap/>
            <w:vAlign w:val="bottom"/>
            <w:hideMark/>
          </w:tcPr>
          <w:p w14:paraId="6C3A910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7.74%</w:t>
            </w:r>
          </w:p>
        </w:tc>
        <w:tc>
          <w:tcPr>
            <w:tcW w:w="416" w:type="pct"/>
            <w:tcBorders>
              <w:top w:val="nil"/>
              <w:left w:val="nil"/>
              <w:bottom w:val="single" w:sz="4" w:space="0" w:color="auto"/>
              <w:right w:val="single" w:sz="4" w:space="0" w:color="auto"/>
            </w:tcBorders>
            <w:shd w:val="clear" w:color="auto" w:fill="auto"/>
            <w:noWrap/>
            <w:vAlign w:val="bottom"/>
            <w:hideMark/>
          </w:tcPr>
          <w:p w14:paraId="1DDB8DD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14.32%</w:t>
            </w:r>
          </w:p>
        </w:tc>
        <w:tc>
          <w:tcPr>
            <w:tcW w:w="535" w:type="pct"/>
            <w:tcBorders>
              <w:top w:val="nil"/>
              <w:left w:val="nil"/>
              <w:bottom w:val="single" w:sz="4" w:space="0" w:color="auto"/>
              <w:right w:val="single" w:sz="4" w:space="0" w:color="auto"/>
            </w:tcBorders>
            <w:shd w:val="clear" w:color="auto" w:fill="auto"/>
            <w:noWrap/>
            <w:vAlign w:val="bottom"/>
            <w:hideMark/>
          </w:tcPr>
          <w:p w14:paraId="0ADE581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8.19%</w:t>
            </w:r>
          </w:p>
        </w:tc>
        <w:tc>
          <w:tcPr>
            <w:tcW w:w="581" w:type="pct"/>
            <w:tcBorders>
              <w:top w:val="nil"/>
              <w:left w:val="nil"/>
              <w:bottom w:val="single" w:sz="4" w:space="0" w:color="auto"/>
              <w:right w:val="single" w:sz="4" w:space="0" w:color="auto"/>
            </w:tcBorders>
            <w:shd w:val="clear" w:color="auto" w:fill="auto"/>
            <w:noWrap/>
            <w:vAlign w:val="bottom"/>
            <w:hideMark/>
          </w:tcPr>
          <w:p w14:paraId="0EE6270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-3.17%</w:t>
            </w:r>
          </w:p>
        </w:tc>
        <w:tc>
          <w:tcPr>
            <w:tcW w:w="535" w:type="pct"/>
            <w:tcBorders>
              <w:top w:val="nil"/>
              <w:left w:val="nil"/>
              <w:bottom w:val="single" w:sz="4" w:space="0" w:color="auto"/>
              <w:right w:val="single" w:sz="4" w:space="0" w:color="auto"/>
            </w:tcBorders>
            <w:shd w:val="clear" w:color="auto" w:fill="auto"/>
            <w:noWrap/>
            <w:vAlign w:val="bottom"/>
            <w:hideMark/>
          </w:tcPr>
          <w:p w14:paraId="2E74D62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6.73%</w:t>
            </w:r>
          </w:p>
        </w:tc>
      </w:tr>
      <w:tr w:rsidR="00A933EF" w14:paraId="24C0E3D9" w14:textId="77777777" w:rsidTr="0044406A">
        <w:trPr>
          <w:trHeight w:val="310"/>
        </w:trPr>
        <w:tc>
          <w:tcPr>
            <w:tcW w:w="945" w:type="pct"/>
            <w:tcBorders>
              <w:top w:val="nil"/>
              <w:left w:val="nil"/>
              <w:bottom w:val="nil"/>
              <w:right w:val="nil"/>
            </w:tcBorders>
            <w:shd w:val="clear" w:color="auto" w:fill="auto"/>
            <w:noWrap/>
            <w:vAlign w:val="bottom"/>
            <w:hideMark/>
          </w:tcPr>
          <w:p w14:paraId="1033C1B4" w14:textId="77777777" w:rsidR="00E079C5" w:rsidRPr="00297091" w:rsidRDefault="00E079C5" w:rsidP="0044406A">
            <w:pPr>
              <w:spacing w:before="0" w:after="0" w:line="240" w:lineRule="auto"/>
              <w:jc w:val="left"/>
              <w:rPr>
                <w:rFonts w:eastAsia="Times New Roman" w:cs="Times New Roman"/>
                <w:color w:val="000000"/>
                <w:szCs w:val="24"/>
                <w:lang w:eastAsia="en-IN"/>
              </w:rPr>
            </w:pPr>
          </w:p>
        </w:tc>
        <w:tc>
          <w:tcPr>
            <w:tcW w:w="1572" w:type="pct"/>
            <w:tcBorders>
              <w:top w:val="nil"/>
              <w:left w:val="nil"/>
              <w:bottom w:val="nil"/>
              <w:right w:val="nil"/>
            </w:tcBorders>
            <w:shd w:val="clear" w:color="auto" w:fill="auto"/>
            <w:noWrap/>
            <w:vAlign w:val="bottom"/>
            <w:hideMark/>
          </w:tcPr>
          <w:p w14:paraId="2C9AD6FB" w14:textId="77777777" w:rsidR="00E079C5" w:rsidRPr="00297091" w:rsidRDefault="00E079C5" w:rsidP="0044406A">
            <w:pPr>
              <w:spacing w:before="0" w:after="0" w:line="240" w:lineRule="auto"/>
              <w:jc w:val="left"/>
              <w:rPr>
                <w:rFonts w:eastAsia="Times New Roman" w:cs="Times New Roman"/>
                <w:color w:val="000000"/>
                <w:szCs w:val="24"/>
                <w:lang w:eastAsia="en-IN"/>
              </w:rPr>
            </w:pPr>
          </w:p>
        </w:tc>
        <w:tc>
          <w:tcPr>
            <w:tcW w:w="416" w:type="pct"/>
            <w:tcBorders>
              <w:top w:val="nil"/>
              <w:left w:val="nil"/>
              <w:bottom w:val="nil"/>
              <w:right w:val="nil"/>
            </w:tcBorders>
            <w:shd w:val="clear" w:color="auto" w:fill="auto"/>
            <w:noWrap/>
            <w:vAlign w:val="bottom"/>
            <w:hideMark/>
          </w:tcPr>
          <w:p w14:paraId="4B3624B0"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772A550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2E0D706C"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81" w:type="pct"/>
            <w:tcBorders>
              <w:top w:val="nil"/>
              <w:left w:val="nil"/>
              <w:bottom w:val="nil"/>
              <w:right w:val="nil"/>
            </w:tcBorders>
            <w:shd w:val="clear" w:color="auto" w:fill="auto"/>
            <w:noWrap/>
            <w:vAlign w:val="bottom"/>
            <w:hideMark/>
          </w:tcPr>
          <w:p w14:paraId="549EA89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65B67C06"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0391BF48" w14:textId="77777777" w:rsidTr="0044406A">
        <w:trPr>
          <w:trHeight w:val="310"/>
        </w:trPr>
        <w:tc>
          <w:tcPr>
            <w:tcW w:w="945" w:type="pct"/>
            <w:tcBorders>
              <w:top w:val="nil"/>
              <w:left w:val="nil"/>
              <w:bottom w:val="nil"/>
              <w:right w:val="nil"/>
            </w:tcBorders>
            <w:shd w:val="clear" w:color="auto" w:fill="auto"/>
            <w:noWrap/>
            <w:vAlign w:val="bottom"/>
            <w:hideMark/>
          </w:tcPr>
          <w:p w14:paraId="16F1C45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572" w:type="pct"/>
            <w:tcBorders>
              <w:top w:val="nil"/>
              <w:left w:val="nil"/>
              <w:bottom w:val="nil"/>
              <w:right w:val="nil"/>
            </w:tcBorders>
            <w:shd w:val="clear" w:color="auto" w:fill="auto"/>
            <w:noWrap/>
            <w:vAlign w:val="bottom"/>
            <w:hideMark/>
          </w:tcPr>
          <w:p w14:paraId="5406F708"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2A3FC02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6ABC691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59199DE1"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81" w:type="pct"/>
            <w:tcBorders>
              <w:top w:val="nil"/>
              <w:left w:val="nil"/>
              <w:bottom w:val="nil"/>
              <w:right w:val="nil"/>
            </w:tcBorders>
            <w:shd w:val="clear" w:color="auto" w:fill="auto"/>
            <w:noWrap/>
            <w:vAlign w:val="bottom"/>
            <w:hideMark/>
          </w:tcPr>
          <w:p w14:paraId="46CAB5D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69AF425C"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0759BBC7" w14:textId="77777777" w:rsidTr="0044406A">
        <w:trPr>
          <w:trHeight w:val="310"/>
        </w:trPr>
        <w:tc>
          <w:tcPr>
            <w:tcW w:w="94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63EA4D"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Current Ratio</w:t>
            </w:r>
          </w:p>
        </w:tc>
        <w:tc>
          <w:tcPr>
            <w:tcW w:w="1572" w:type="pct"/>
            <w:tcBorders>
              <w:top w:val="single" w:sz="4" w:space="0" w:color="auto"/>
              <w:left w:val="nil"/>
              <w:bottom w:val="single" w:sz="4" w:space="0" w:color="auto"/>
              <w:right w:val="single" w:sz="4" w:space="0" w:color="auto"/>
            </w:tcBorders>
            <w:shd w:val="clear" w:color="auto" w:fill="auto"/>
            <w:noWrap/>
            <w:vAlign w:val="bottom"/>
            <w:hideMark/>
          </w:tcPr>
          <w:p w14:paraId="592047D7"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Current assets/Current liabilities</w:t>
            </w:r>
          </w:p>
        </w:tc>
        <w:tc>
          <w:tcPr>
            <w:tcW w:w="416" w:type="pct"/>
            <w:tcBorders>
              <w:top w:val="single" w:sz="4" w:space="0" w:color="auto"/>
              <w:left w:val="nil"/>
              <w:bottom w:val="single" w:sz="4" w:space="0" w:color="auto"/>
              <w:right w:val="single" w:sz="4" w:space="0" w:color="auto"/>
            </w:tcBorders>
            <w:shd w:val="clear" w:color="auto" w:fill="auto"/>
            <w:noWrap/>
            <w:vAlign w:val="bottom"/>
            <w:hideMark/>
          </w:tcPr>
          <w:p w14:paraId="4670E1F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1.404831215</w:t>
            </w:r>
          </w:p>
        </w:tc>
        <w:tc>
          <w:tcPr>
            <w:tcW w:w="416" w:type="pct"/>
            <w:tcBorders>
              <w:top w:val="single" w:sz="4" w:space="0" w:color="auto"/>
              <w:left w:val="nil"/>
              <w:bottom w:val="single" w:sz="4" w:space="0" w:color="auto"/>
              <w:right w:val="single" w:sz="4" w:space="0" w:color="auto"/>
            </w:tcBorders>
            <w:shd w:val="clear" w:color="auto" w:fill="auto"/>
            <w:noWrap/>
            <w:vAlign w:val="bottom"/>
            <w:hideMark/>
          </w:tcPr>
          <w:p w14:paraId="739998E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1.367866811</w:t>
            </w:r>
          </w:p>
        </w:tc>
        <w:tc>
          <w:tcPr>
            <w:tcW w:w="535" w:type="pct"/>
            <w:tcBorders>
              <w:top w:val="single" w:sz="4" w:space="0" w:color="auto"/>
              <w:left w:val="nil"/>
              <w:bottom w:val="single" w:sz="4" w:space="0" w:color="auto"/>
              <w:right w:val="single" w:sz="4" w:space="0" w:color="auto"/>
            </w:tcBorders>
            <w:shd w:val="clear" w:color="auto" w:fill="auto"/>
            <w:noWrap/>
            <w:vAlign w:val="bottom"/>
            <w:hideMark/>
          </w:tcPr>
          <w:p w14:paraId="668C678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1.344781522</w:t>
            </w:r>
          </w:p>
        </w:tc>
        <w:tc>
          <w:tcPr>
            <w:tcW w:w="581" w:type="pct"/>
            <w:tcBorders>
              <w:top w:val="single" w:sz="4" w:space="0" w:color="auto"/>
              <w:left w:val="nil"/>
              <w:bottom w:val="single" w:sz="4" w:space="0" w:color="auto"/>
              <w:right w:val="single" w:sz="4" w:space="0" w:color="auto"/>
            </w:tcBorders>
            <w:shd w:val="clear" w:color="auto" w:fill="auto"/>
            <w:noWrap/>
            <w:vAlign w:val="bottom"/>
            <w:hideMark/>
          </w:tcPr>
          <w:p w14:paraId="336D99E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1.226418233</w:t>
            </w:r>
          </w:p>
        </w:tc>
        <w:tc>
          <w:tcPr>
            <w:tcW w:w="535" w:type="pct"/>
            <w:tcBorders>
              <w:top w:val="single" w:sz="4" w:space="0" w:color="auto"/>
              <w:left w:val="nil"/>
              <w:bottom w:val="single" w:sz="4" w:space="0" w:color="auto"/>
              <w:right w:val="single" w:sz="4" w:space="0" w:color="auto"/>
            </w:tcBorders>
            <w:shd w:val="clear" w:color="auto" w:fill="auto"/>
            <w:noWrap/>
            <w:vAlign w:val="bottom"/>
            <w:hideMark/>
          </w:tcPr>
          <w:p w14:paraId="0EB66BF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1.164079527</w:t>
            </w:r>
          </w:p>
        </w:tc>
      </w:tr>
      <w:tr w:rsidR="00A933EF" w14:paraId="4FFC3FDA"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1885863B"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Quick Ratio</w:t>
            </w:r>
          </w:p>
        </w:tc>
        <w:tc>
          <w:tcPr>
            <w:tcW w:w="1572" w:type="pct"/>
            <w:tcBorders>
              <w:top w:val="nil"/>
              <w:left w:val="nil"/>
              <w:bottom w:val="single" w:sz="4" w:space="0" w:color="auto"/>
              <w:right w:val="single" w:sz="4" w:space="0" w:color="auto"/>
            </w:tcBorders>
            <w:shd w:val="clear" w:color="auto" w:fill="auto"/>
            <w:noWrap/>
            <w:vAlign w:val="bottom"/>
            <w:hideMark/>
          </w:tcPr>
          <w:p w14:paraId="557B3D1B"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Current assets (excluding inventories)/Current liabilities</w:t>
            </w:r>
          </w:p>
        </w:tc>
        <w:tc>
          <w:tcPr>
            <w:tcW w:w="416" w:type="pct"/>
            <w:tcBorders>
              <w:top w:val="nil"/>
              <w:left w:val="nil"/>
              <w:bottom w:val="single" w:sz="4" w:space="0" w:color="auto"/>
              <w:right w:val="single" w:sz="4" w:space="0" w:color="auto"/>
            </w:tcBorders>
            <w:shd w:val="clear" w:color="auto" w:fill="auto"/>
            <w:noWrap/>
            <w:vAlign w:val="bottom"/>
            <w:hideMark/>
          </w:tcPr>
          <w:p w14:paraId="73E40D1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1.132290888</w:t>
            </w:r>
          </w:p>
        </w:tc>
        <w:tc>
          <w:tcPr>
            <w:tcW w:w="416" w:type="pct"/>
            <w:tcBorders>
              <w:top w:val="nil"/>
              <w:left w:val="nil"/>
              <w:bottom w:val="single" w:sz="4" w:space="0" w:color="auto"/>
              <w:right w:val="single" w:sz="4" w:space="0" w:color="auto"/>
            </w:tcBorders>
            <w:shd w:val="clear" w:color="auto" w:fill="auto"/>
            <w:noWrap/>
            <w:vAlign w:val="bottom"/>
            <w:hideMark/>
          </w:tcPr>
          <w:p w14:paraId="0ED66AB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1.104958899</w:t>
            </w:r>
          </w:p>
        </w:tc>
        <w:tc>
          <w:tcPr>
            <w:tcW w:w="535" w:type="pct"/>
            <w:tcBorders>
              <w:top w:val="nil"/>
              <w:left w:val="nil"/>
              <w:bottom w:val="single" w:sz="4" w:space="0" w:color="auto"/>
              <w:right w:val="single" w:sz="4" w:space="0" w:color="auto"/>
            </w:tcBorders>
            <w:shd w:val="clear" w:color="auto" w:fill="auto"/>
            <w:noWrap/>
            <w:vAlign w:val="bottom"/>
            <w:hideMark/>
          </w:tcPr>
          <w:p w14:paraId="52C7EB9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1.076919762</w:t>
            </w:r>
          </w:p>
        </w:tc>
        <w:tc>
          <w:tcPr>
            <w:tcW w:w="581" w:type="pct"/>
            <w:tcBorders>
              <w:top w:val="nil"/>
              <w:left w:val="nil"/>
              <w:bottom w:val="single" w:sz="4" w:space="0" w:color="auto"/>
              <w:right w:val="single" w:sz="4" w:space="0" w:color="auto"/>
            </w:tcBorders>
            <w:shd w:val="clear" w:color="auto" w:fill="auto"/>
            <w:noWrap/>
            <w:vAlign w:val="bottom"/>
            <w:hideMark/>
          </w:tcPr>
          <w:p w14:paraId="5AA5807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0.963308009</w:t>
            </w:r>
          </w:p>
        </w:tc>
        <w:tc>
          <w:tcPr>
            <w:tcW w:w="535" w:type="pct"/>
            <w:tcBorders>
              <w:top w:val="nil"/>
              <w:left w:val="nil"/>
              <w:bottom w:val="single" w:sz="4" w:space="0" w:color="auto"/>
              <w:right w:val="single" w:sz="4" w:space="0" w:color="auto"/>
            </w:tcBorders>
            <w:shd w:val="clear" w:color="auto" w:fill="auto"/>
            <w:noWrap/>
            <w:vAlign w:val="bottom"/>
            <w:hideMark/>
          </w:tcPr>
          <w:p w14:paraId="1A3DCD5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0.861775227</w:t>
            </w:r>
          </w:p>
        </w:tc>
      </w:tr>
      <w:tr w:rsidR="00A933EF" w14:paraId="181A7488" w14:textId="77777777" w:rsidTr="0044406A">
        <w:trPr>
          <w:trHeight w:val="310"/>
        </w:trPr>
        <w:tc>
          <w:tcPr>
            <w:tcW w:w="945" w:type="pct"/>
            <w:tcBorders>
              <w:top w:val="nil"/>
              <w:left w:val="nil"/>
              <w:bottom w:val="nil"/>
              <w:right w:val="nil"/>
            </w:tcBorders>
            <w:shd w:val="clear" w:color="auto" w:fill="auto"/>
            <w:noWrap/>
            <w:vAlign w:val="bottom"/>
            <w:hideMark/>
          </w:tcPr>
          <w:p w14:paraId="1B2A6A96" w14:textId="77777777" w:rsidR="00E079C5" w:rsidRPr="00297091" w:rsidRDefault="00E079C5" w:rsidP="0044406A">
            <w:pPr>
              <w:spacing w:before="0" w:after="0" w:line="240" w:lineRule="auto"/>
              <w:jc w:val="right"/>
              <w:rPr>
                <w:rFonts w:eastAsia="Times New Roman" w:cs="Times New Roman"/>
                <w:color w:val="000000"/>
                <w:szCs w:val="24"/>
                <w:lang w:eastAsia="en-IN"/>
              </w:rPr>
            </w:pPr>
          </w:p>
        </w:tc>
        <w:tc>
          <w:tcPr>
            <w:tcW w:w="1572" w:type="pct"/>
            <w:tcBorders>
              <w:top w:val="nil"/>
              <w:left w:val="nil"/>
              <w:bottom w:val="nil"/>
              <w:right w:val="nil"/>
            </w:tcBorders>
            <w:shd w:val="clear" w:color="auto" w:fill="auto"/>
            <w:noWrap/>
            <w:vAlign w:val="bottom"/>
            <w:hideMark/>
          </w:tcPr>
          <w:p w14:paraId="4547AE8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69FFF138"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1AD5F2AC"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1CCB7798"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81" w:type="pct"/>
            <w:tcBorders>
              <w:top w:val="nil"/>
              <w:left w:val="nil"/>
              <w:bottom w:val="nil"/>
              <w:right w:val="nil"/>
            </w:tcBorders>
            <w:shd w:val="clear" w:color="auto" w:fill="auto"/>
            <w:noWrap/>
            <w:vAlign w:val="bottom"/>
            <w:hideMark/>
          </w:tcPr>
          <w:p w14:paraId="44B7C428"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58ED0660"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1ADAE108" w14:textId="77777777" w:rsidTr="0044406A">
        <w:trPr>
          <w:trHeight w:val="310"/>
        </w:trPr>
        <w:tc>
          <w:tcPr>
            <w:tcW w:w="945" w:type="pct"/>
            <w:tcBorders>
              <w:top w:val="nil"/>
              <w:left w:val="nil"/>
              <w:bottom w:val="nil"/>
              <w:right w:val="nil"/>
            </w:tcBorders>
            <w:shd w:val="clear" w:color="auto" w:fill="auto"/>
            <w:noWrap/>
            <w:vAlign w:val="bottom"/>
            <w:hideMark/>
          </w:tcPr>
          <w:p w14:paraId="49F54F36"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572" w:type="pct"/>
            <w:tcBorders>
              <w:top w:val="nil"/>
              <w:left w:val="nil"/>
              <w:bottom w:val="nil"/>
              <w:right w:val="nil"/>
            </w:tcBorders>
            <w:shd w:val="clear" w:color="auto" w:fill="auto"/>
            <w:noWrap/>
            <w:vAlign w:val="bottom"/>
            <w:hideMark/>
          </w:tcPr>
          <w:p w14:paraId="62ECA13C"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2AF253BD"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2D834471"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1FE5612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81" w:type="pct"/>
            <w:tcBorders>
              <w:top w:val="nil"/>
              <w:left w:val="nil"/>
              <w:bottom w:val="nil"/>
              <w:right w:val="nil"/>
            </w:tcBorders>
            <w:shd w:val="clear" w:color="auto" w:fill="auto"/>
            <w:noWrap/>
            <w:vAlign w:val="bottom"/>
            <w:hideMark/>
          </w:tcPr>
          <w:p w14:paraId="3DCD785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0E8EE459"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4906E523" w14:textId="77777777" w:rsidTr="0044406A">
        <w:trPr>
          <w:trHeight w:val="310"/>
        </w:trPr>
        <w:tc>
          <w:tcPr>
            <w:tcW w:w="94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F7BA4F"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xml:space="preserve">Account </w:t>
            </w:r>
            <w:proofErr w:type="spellStart"/>
            <w:r w:rsidRPr="00297091">
              <w:rPr>
                <w:rFonts w:eastAsia="Times New Roman" w:cs="Times New Roman"/>
                <w:color w:val="000000"/>
                <w:szCs w:val="24"/>
                <w:lang w:eastAsia="en-IN"/>
              </w:rPr>
              <w:t>recievable</w:t>
            </w:r>
            <w:proofErr w:type="spellEnd"/>
            <w:r w:rsidRPr="00297091">
              <w:rPr>
                <w:rFonts w:eastAsia="Times New Roman" w:cs="Times New Roman"/>
                <w:color w:val="000000"/>
                <w:szCs w:val="24"/>
                <w:lang w:eastAsia="en-IN"/>
              </w:rPr>
              <w:t xml:space="preserve"> turnover ratio</w:t>
            </w:r>
          </w:p>
        </w:tc>
        <w:tc>
          <w:tcPr>
            <w:tcW w:w="1572" w:type="pct"/>
            <w:tcBorders>
              <w:top w:val="single" w:sz="4" w:space="0" w:color="auto"/>
              <w:left w:val="nil"/>
              <w:bottom w:val="single" w:sz="4" w:space="0" w:color="auto"/>
              <w:right w:val="single" w:sz="4" w:space="0" w:color="auto"/>
            </w:tcBorders>
            <w:shd w:val="clear" w:color="auto" w:fill="auto"/>
            <w:noWrap/>
            <w:vAlign w:val="bottom"/>
            <w:hideMark/>
          </w:tcPr>
          <w:p w14:paraId="0FB350B4"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xml:space="preserve">(Net Sales/ account </w:t>
            </w:r>
            <w:proofErr w:type="spellStart"/>
            <w:r w:rsidRPr="00297091">
              <w:rPr>
                <w:rFonts w:eastAsia="Times New Roman" w:cs="Times New Roman"/>
                <w:color w:val="000000"/>
                <w:szCs w:val="24"/>
                <w:lang w:eastAsia="en-IN"/>
              </w:rPr>
              <w:t>recievable</w:t>
            </w:r>
            <w:proofErr w:type="spellEnd"/>
            <w:r w:rsidRPr="00297091">
              <w:rPr>
                <w:rFonts w:eastAsia="Times New Roman" w:cs="Times New Roman"/>
                <w:color w:val="000000"/>
                <w:szCs w:val="24"/>
                <w:lang w:eastAsia="en-IN"/>
              </w:rPr>
              <w:t>)</w:t>
            </w:r>
          </w:p>
        </w:tc>
        <w:tc>
          <w:tcPr>
            <w:tcW w:w="416" w:type="pct"/>
            <w:tcBorders>
              <w:top w:val="single" w:sz="4" w:space="0" w:color="auto"/>
              <w:left w:val="nil"/>
              <w:bottom w:val="single" w:sz="4" w:space="0" w:color="auto"/>
              <w:right w:val="single" w:sz="4" w:space="0" w:color="auto"/>
            </w:tcBorders>
            <w:shd w:val="clear" w:color="auto" w:fill="auto"/>
            <w:noWrap/>
            <w:vAlign w:val="bottom"/>
            <w:hideMark/>
          </w:tcPr>
          <w:p w14:paraId="6D2BC15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5.810093565</w:t>
            </w:r>
          </w:p>
        </w:tc>
        <w:tc>
          <w:tcPr>
            <w:tcW w:w="416" w:type="pct"/>
            <w:tcBorders>
              <w:top w:val="single" w:sz="4" w:space="0" w:color="auto"/>
              <w:left w:val="nil"/>
              <w:bottom w:val="single" w:sz="4" w:space="0" w:color="auto"/>
              <w:right w:val="single" w:sz="4" w:space="0" w:color="auto"/>
            </w:tcBorders>
            <w:shd w:val="clear" w:color="auto" w:fill="auto"/>
            <w:noWrap/>
            <w:vAlign w:val="bottom"/>
            <w:hideMark/>
          </w:tcPr>
          <w:p w14:paraId="42A5DA9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5.427176213</w:t>
            </w:r>
          </w:p>
        </w:tc>
        <w:tc>
          <w:tcPr>
            <w:tcW w:w="535" w:type="pct"/>
            <w:tcBorders>
              <w:top w:val="single" w:sz="4" w:space="0" w:color="auto"/>
              <w:left w:val="nil"/>
              <w:bottom w:val="single" w:sz="4" w:space="0" w:color="auto"/>
              <w:right w:val="single" w:sz="4" w:space="0" w:color="auto"/>
            </w:tcBorders>
            <w:shd w:val="clear" w:color="auto" w:fill="auto"/>
            <w:noWrap/>
            <w:vAlign w:val="bottom"/>
            <w:hideMark/>
          </w:tcPr>
          <w:p w14:paraId="6FBE8EC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4.841105794</w:t>
            </w:r>
          </w:p>
        </w:tc>
        <w:tc>
          <w:tcPr>
            <w:tcW w:w="581" w:type="pct"/>
            <w:tcBorders>
              <w:top w:val="single" w:sz="4" w:space="0" w:color="auto"/>
              <w:left w:val="nil"/>
              <w:bottom w:val="single" w:sz="4" w:space="0" w:color="auto"/>
              <w:right w:val="single" w:sz="4" w:space="0" w:color="auto"/>
            </w:tcBorders>
            <w:shd w:val="clear" w:color="auto" w:fill="auto"/>
            <w:noWrap/>
            <w:vAlign w:val="bottom"/>
            <w:hideMark/>
          </w:tcPr>
          <w:p w14:paraId="7C77E7D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5.388267816</w:t>
            </w:r>
          </w:p>
        </w:tc>
        <w:tc>
          <w:tcPr>
            <w:tcW w:w="535" w:type="pct"/>
            <w:tcBorders>
              <w:top w:val="single" w:sz="4" w:space="0" w:color="auto"/>
              <w:left w:val="nil"/>
              <w:bottom w:val="single" w:sz="4" w:space="0" w:color="auto"/>
              <w:right w:val="single" w:sz="4" w:space="0" w:color="auto"/>
            </w:tcBorders>
            <w:shd w:val="clear" w:color="auto" w:fill="auto"/>
            <w:noWrap/>
            <w:vAlign w:val="bottom"/>
            <w:hideMark/>
          </w:tcPr>
          <w:p w14:paraId="1F06200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8.133319093</w:t>
            </w:r>
          </w:p>
        </w:tc>
      </w:tr>
      <w:tr w:rsidR="00A933EF" w14:paraId="7E4F3B20"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28914596"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Account payable turnover ratio</w:t>
            </w:r>
          </w:p>
        </w:tc>
        <w:tc>
          <w:tcPr>
            <w:tcW w:w="1572" w:type="pct"/>
            <w:tcBorders>
              <w:top w:val="nil"/>
              <w:left w:val="nil"/>
              <w:bottom w:val="single" w:sz="4" w:space="0" w:color="auto"/>
              <w:right w:val="single" w:sz="4" w:space="0" w:color="auto"/>
            </w:tcBorders>
            <w:shd w:val="clear" w:color="auto" w:fill="auto"/>
            <w:noWrap/>
            <w:vAlign w:val="bottom"/>
            <w:hideMark/>
          </w:tcPr>
          <w:p w14:paraId="6827451C"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(Credit purchase/ Account payable)</w:t>
            </w:r>
          </w:p>
        </w:tc>
        <w:tc>
          <w:tcPr>
            <w:tcW w:w="416" w:type="pct"/>
            <w:tcBorders>
              <w:top w:val="nil"/>
              <w:left w:val="nil"/>
              <w:bottom w:val="single" w:sz="4" w:space="0" w:color="auto"/>
              <w:right w:val="single" w:sz="4" w:space="0" w:color="auto"/>
            </w:tcBorders>
            <w:shd w:val="clear" w:color="auto" w:fill="auto"/>
            <w:noWrap/>
            <w:vAlign w:val="bottom"/>
            <w:hideMark/>
          </w:tcPr>
          <w:p w14:paraId="4593372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7.816245301</w:t>
            </w:r>
          </w:p>
        </w:tc>
        <w:tc>
          <w:tcPr>
            <w:tcW w:w="416" w:type="pct"/>
            <w:tcBorders>
              <w:top w:val="nil"/>
              <w:left w:val="nil"/>
              <w:bottom w:val="single" w:sz="4" w:space="0" w:color="auto"/>
              <w:right w:val="single" w:sz="4" w:space="0" w:color="auto"/>
            </w:tcBorders>
            <w:shd w:val="clear" w:color="auto" w:fill="auto"/>
            <w:noWrap/>
            <w:vAlign w:val="bottom"/>
            <w:hideMark/>
          </w:tcPr>
          <w:p w14:paraId="3BB800A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7.068846816</w:t>
            </w:r>
          </w:p>
        </w:tc>
        <w:tc>
          <w:tcPr>
            <w:tcW w:w="535" w:type="pct"/>
            <w:tcBorders>
              <w:top w:val="nil"/>
              <w:left w:val="nil"/>
              <w:bottom w:val="single" w:sz="4" w:space="0" w:color="auto"/>
              <w:right w:val="single" w:sz="4" w:space="0" w:color="auto"/>
            </w:tcBorders>
            <w:shd w:val="clear" w:color="auto" w:fill="auto"/>
            <w:noWrap/>
            <w:vAlign w:val="bottom"/>
            <w:hideMark/>
          </w:tcPr>
          <w:p w14:paraId="1CFCE71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6.45185097</w:t>
            </w:r>
          </w:p>
        </w:tc>
        <w:tc>
          <w:tcPr>
            <w:tcW w:w="581" w:type="pct"/>
            <w:tcBorders>
              <w:top w:val="nil"/>
              <w:left w:val="nil"/>
              <w:bottom w:val="single" w:sz="4" w:space="0" w:color="auto"/>
              <w:right w:val="single" w:sz="4" w:space="0" w:color="auto"/>
            </w:tcBorders>
            <w:shd w:val="clear" w:color="auto" w:fill="auto"/>
            <w:noWrap/>
            <w:vAlign w:val="bottom"/>
            <w:hideMark/>
          </w:tcPr>
          <w:p w14:paraId="2D397B6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7.914354644</w:t>
            </w:r>
          </w:p>
        </w:tc>
        <w:tc>
          <w:tcPr>
            <w:tcW w:w="535" w:type="pct"/>
            <w:tcBorders>
              <w:top w:val="nil"/>
              <w:left w:val="nil"/>
              <w:bottom w:val="single" w:sz="4" w:space="0" w:color="auto"/>
              <w:right w:val="single" w:sz="4" w:space="0" w:color="auto"/>
            </w:tcBorders>
            <w:shd w:val="clear" w:color="auto" w:fill="auto"/>
            <w:noWrap/>
            <w:vAlign w:val="bottom"/>
            <w:hideMark/>
          </w:tcPr>
          <w:p w14:paraId="1140CEE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10.82632714</w:t>
            </w:r>
          </w:p>
        </w:tc>
      </w:tr>
      <w:tr w:rsidR="00A933EF" w14:paraId="5AAF555B" w14:textId="77777777" w:rsidTr="0044406A">
        <w:trPr>
          <w:trHeight w:val="310"/>
        </w:trPr>
        <w:tc>
          <w:tcPr>
            <w:tcW w:w="945" w:type="pct"/>
            <w:tcBorders>
              <w:top w:val="nil"/>
              <w:left w:val="nil"/>
              <w:bottom w:val="nil"/>
              <w:right w:val="nil"/>
            </w:tcBorders>
            <w:shd w:val="clear" w:color="auto" w:fill="auto"/>
            <w:noWrap/>
            <w:vAlign w:val="bottom"/>
            <w:hideMark/>
          </w:tcPr>
          <w:p w14:paraId="409C4372" w14:textId="77777777" w:rsidR="00E079C5" w:rsidRPr="00297091" w:rsidRDefault="00E079C5" w:rsidP="0044406A">
            <w:pPr>
              <w:spacing w:before="0" w:after="0" w:line="240" w:lineRule="auto"/>
              <w:jc w:val="right"/>
              <w:rPr>
                <w:rFonts w:eastAsia="Times New Roman" w:cs="Times New Roman"/>
                <w:color w:val="000000"/>
                <w:szCs w:val="24"/>
                <w:lang w:eastAsia="en-IN"/>
              </w:rPr>
            </w:pPr>
          </w:p>
        </w:tc>
        <w:tc>
          <w:tcPr>
            <w:tcW w:w="1572" w:type="pct"/>
            <w:tcBorders>
              <w:top w:val="nil"/>
              <w:left w:val="nil"/>
              <w:bottom w:val="nil"/>
              <w:right w:val="nil"/>
            </w:tcBorders>
            <w:shd w:val="clear" w:color="auto" w:fill="auto"/>
            <w:noWrap/>
            <w:vAlign w:val="bottom"/>
            <w:hideMark/>
          </w:tcPr>
          <w:p w14:paraId="45D439F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79C0927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6BC0DCD6"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60E501B0"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81" w:type="pct"/>
            <w:tcBorders>
              <w:top w:val="nil"/>
              <w:left w:val="nil"/>
              <w:bottom w:val="nil"/>
              <w:right w:val="nil"/>
            </w:tcBorders>
            <w:shd w:val="clear" w:color="auto" w:fill="auto"/>
            <w:noWrap/>
            <w:vAlign w:val="bottom"/>
            <w:hideMark/>
          </w:tcPr>
          <w:p w14:paraId="4C7EB832"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346D2849"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784B1832" w14:textId="77777777" w:rsidTr="0044406A">
        <w:trPr>
          <w:trHeight w:val="310"/>
        </w:trPr>
        <w:tc>
          <w:tcPr>
            <w:tcW w:w="945" w:type="pct"/>
            <w:tcBorders>
              <w:top w:val="nil"/>
              <w:left w:val="nil"/>
              <w:bottom w:val="nil"/>
              <w:right w:val="nil"/>
            </w:tcBorders>
            <w:shd w:val="clear" w:color="auto" w:fill="auto"/>
            <w:noWrap/>
            <w:vAlign w:val="bottom"/>
            <w:hideMark/>
          </w:tcPr>
          <w:p w14:paraId="136A5FEC"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572" w:type="pct"/>
            <w:tcBorders>
              <w:top w:val="nil"/>
              <w:left w:val="nil"/>
              <w:bottom w:val="nil"/>
              <w:right w:val="nil"/>
            </w:tcBorders>
            <w:shd w:val="clear" w:color="auto" w:fill="auto"/>
            <w:noWrap/>
            <w:vAlign w:val="bottom"/>
            <w:hideMark/>
          </w:tcPr>
          <w:p w14:paraId="72EEAEB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49B23F82"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16" w:type="pct"/>
            <w:tcBorders>
              <w:top w:val="nil"/>
              <w:left w:val="nil"/>
              <w:bottom w:val="nil"/>
              <w:right w:val="nil"/>
            </w:tcBorders>
            <w:shd w:val="clear" w:color="auto" w:fill="auto"/>
            <w:noWrap/>
            <w:vAlign w:val="bottom"/>
            <w:hideMark/>
          </w:tcPr>
          <w:p w14:paraId="563B3691"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38A9386F"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81" w:type="pct"/>
            <w:tcBorders>
              <w:top w:val="nil"/>
              <w:left w:val="nil"/>
              <w:bottom w:val="nil"/>
              <w:right w:val="nil"/>
            </w:tcBorders>
            <w:shd w:val="clear" w:color="auto" w:fill="auto"/>
            <w:noWrap/>
            <w:vAlign w:val="bottom"/>
            <w:hideMark/>
          </w:tcPr>
          <w:p w14:paraId="4EE6D968"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35" w:type="pct"/>
            <w:tcBorders>
              <w:top w:val="nil"/>
              <w:left w:val="nil"/>
              <w:bottom w:val="nil"/>
              <w:right w:val="nil"/>
            </w:tcBorders>
            <w:shd w:val="clear" w:color="auto" w:fill="auto"/>
            <w:noWrap/>
            <w:vAlign w:val="bottom"/>
            <w:hideMark/>
          </w:tcPr>
          <w:p w14:paraId="092F57E1"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4A3E47B5" w14:textId="77777777" w:rsidTr="0044406A">
        <w:trPr>
          <w:trHeight w:val="310"/>
        </w:trPr>
        <w:tc>
          <w:tcPr>
            <w:tcW w:w="94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EC1E9C"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Debt to Equity Ratio</w:t>
            </w:r>
          </w:p>
        </w:tc>
        <w:tc>
          <w:tcPr>
            <w:tcW w:w="1572" w:type="pct"/>
            <w:tcBorders>
              <w:top w:val="single" w:sz="4" w:space="0" w:color="auto"/>
              <w:left w:val="nil"/>
              <w:bottom w:val="single" w:sz="4" w:space="0" w:color="auto"/>
              <w:right w:val="single" w:sz="4" w:space="0" w:color="auto"/>
            </w:tcBorders>
            <w:shd w:val="clear" w:color="auto" w:fill="auto"/>
            <w:noWrap/>
            <w:vAlign w:val="bottom"/>
            <w:hideMark/>
          </w:tcPr>
          <w:p w14:paraId="445F4EF7"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Total liabilities/ Shareholder's Equity</w:t>
            </w:r>
          </w:p>
        </w:tc>
        <w:tc>
          <w:tcPr>
            <w:tcW w:w="416" w:type="pct"/>
            <w:tcBorders>
              <w:top w:val="single" w:sz="4" w:space="0" w:color="auto"/>
              <w:left w:val="nil"/>
              <w:bottom w:val="single" w:sz="4" w:space="0" w:color="auto"/>
              <w:right w:val="single" w:sz="4" w:space="0" w:color="auto"/>
            </w:tcBorders>
            <w:shd w:val="clear" w:color="auto" w:fill="auto"/>
            <w:noWrap/>
            <w:vAlign w:val="bottom"/>
            <w:hideMark/>
          </w:tcPr>
          <w:p w14:paraId="1765432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1.156857835</w:t>
            </w:r>
          </w:p>
        </w:tc>
        <w:tc>
          <w:tcPr>
            <w:tcW w:w="416" w:type="pct"/>
            <w:tcBorders>
              <w:top w:val="single" w:sz="4" w:space="0" w:color="auto"/>
              <w:left w:val="nil"/>
              <w:bottom w:val="single" w:sz="4" w:space="0" w:color="auto"/>
              <w:right w:val="single" w:sz="4" w:space="0" w:color="auto"/>
            </w:tcBorders>
            <w:shd w:val="clear" w:color="auto" w:fill="auto"/>
            <w:noWrap/>
            <w:vAlign w:val="bottom"/>
            <w:hideMark/>
          </w:tcPr>
          <w:p w14:paraId="22CE1ED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1.300260444</w:t>
            </w:r>
          </w:p>
        </w:tc>
        <w:tc>
          <w:tcPr>
            <w:tcW w:w="535" w:type="pct"/>
            <w:tcBorders>
              <w:top w:val="single" w:sz="4" w:space="0" w:color="auto"/>
              <w:left w:val="nil"/>
              <w:bottom w:val="single" w:sz="4" w:space="0" w:color="auto"/>
              <w:right w:val="single" w:sz="4" w:space="0" w:color="auto"/>
            </w:tcBorders>
            <w:shd w:val="clear" w:color="auto" w:fill="auto"/>
            <w:noWrap/>
            <w:vAlign w:val="bottom"/>
            <w:hideMark/>
          </w:tcPr>
          <w:p w14:paraId="5880DDC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1.306441396</w:t>
            </w:r>
          </w:p>
        </w:tc>
        <w:tc>
          <w:tcPr>
            <w:tcW w:w="581" w:type="pct"/>
            <w:tcBorders>
              <w:top w:val="single" w:sz="4" w:space="0" w:color="auto"/>
              <w:left w:val="nil"/>
              <w:bottom w:val="single" w:sz="4" w:space="0" w:color="auto"/>
              <w:right w:val="single" w:sz="4" w:space="0" w:color="auto"/>
            </w:tcBorders>
            <w:shd w:val="clear" w:color="auto" w:fill="auto"/>
            <w:noWrap/>
            <w:vAlign w:val="bottom"/>
            <w:hideMark/>
          </w:tcPr>
          <w:p w14:paraId="62C877A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1.392295157</w:t>
            </w:r>
          </w:p>
        </w:tc>
        <w:tc>
          <w:tcPr>
            <w:tcW w:w="535" w:type="pct"/>
            <w:tcBorders>
              <w:top w:val="single" w:sz="4" w:space="0" w:color="auto"/>
              <w:left w:val="nil"/>
              <w:bottom w:val="single" w:sz="4" w:space="0" w:color="auto"/>
              <w:right w:val="single" w:sz="4" w:space="0" w:color="auto"/>
            </w:tcBorders>
            <w:shd w:val="clear" w:color="auto" w:fill="auto"/>
            <w:noWrap/>
            <w:vAlign w:val="bottom"/>
            <w:hideMark/>
          </w:tcPr>
          <w:p w14:paraId="3FA223A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1.12290903</w:t>
            </w:r>
          </w:p>
        </w:tc>
      </w:tr>
      <w:tr w:rsidR="00A933EF" w14:paraId="05905EE7" w14:textId="77777777" w:rsidTr="0044406A">
        <w:trPr>
          <w:trHeight w:val="310"/>
        </w:trPr>
        <w:tc>
          <w:tcPr>
            <w:tcW w:w="945" w:type="pct"/>
            <w:tcBorders>
              <w:top w:val="nil"/>
              <w:left w:val="single" w:sz="4" w:space="0" w:color="auto"/>
              <w:bottom w:val="single" w:sz="4" w:space="0" w:color="auto"/>
              <w:right w:val="single" w:sz="4" w:space="0" w:color="auto"/>
            </w:tcBorders>
            <w:shd w:val="clear" w:color="auto" w:fill="auto"/>
            <w:noWrap/>
            <w:vAlign w:val="bottom"/>
            <w:hideMark/>
          </w:tcPr>
          <w:p w14:paraId="5251D1A1"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Total liabilities to Total asset</w:t>
            </w:r>
          </w:p>
        </w:tc>
        <w:tc>
          <w:tcPr>
            <w:tcW w:w="1572" w:type="pct"/>
            <w:tcBorders>
              <w:top w:val="nil"/>
              <w:left w:val="nil"/>
              <w:bottom w:val="single" w:sz="4" w:space="0" w:color="auto"/>
              <w:right w:val="single" w:sz="4" w:space="0" w:color="auto"/>
            </w:tcBorders>
            <w:shd w:val="clear" w:color="auto" w:fill="auto"/>
            <w:noWrap/>
            <w:vAlign w:val="bottom"/>
            <w:hideMark/>
          </w:tcPr>
          <w:p w14:paraId="27E3F664"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(Total liabilities/ Total assets)</w:t>
            </w:r>
          </w:p>
        </w:tc>
        <w:tc>
          <w:tcPr>
            <w:tcW w:w="416" w:type="pct"/>
            <w:tcBorders>
              <w:top w:val="nil"/>
              <w:left w:val="nil"/>
              <w:bottom w:val="single" w:sz="4" w:space="0" w:color="auto"/>
              <w:right w:val="single" w:sz="4" w:space="0" w:color="auto"/>
            </w:tcBorders>
            <w:shd w:val="clear" w:color="auto" w:fill="auto"/>
            <w:noWrap/>
            <w:vAlign w:val="bottom"/>
            <w:hideMark/>
          </w:tcPr>
          <w:p w14:paraId="6F70193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0.536362581</w:t>
            </w:r>
          </w:p>
        </w:tc>
        <w:tc>
          <w:tcPr>
            <w:tcW w:w="416" w:type="pct"/>
            <w:tcBorders>
              <w:top w:val="nil"/>
              <w:left w:val="nil"/>
              <w:bottom w:val="single" w:sz="4" w:space="0" w:color="auto"/>
              <w:right w:val="single" w:sz="4" w:space="0" w:color="auto"/>
            </w:tcBorders>
            <w:shd w:val="clear" w:color="auto" w:fill="auto"/>
            <w:noWrap/>
            <w:vAlign w:val="bottom"/>
            <w:hideMark/>
          </w:tcPr>
          <w:p w14:paraId="3A8355D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0.565266619</w:t>
            </w:r>
          </w:p>
        </w:tc>
        <w:tc>
          <w:tcPr>
            <w:tcW w:w="535" w:type="pct"/>
            <w:tcBorders>
              <w:top w:val="nil"/>
              <w:left w:val="nil"/>
              <w:bottom w:val="single" w:sz="4" w:space="0" w:color="auto"/>
              <w:right w:val="single" w:sz="4" w:space="0" w:color="auto"/>
            </w:tcBorders>
            <w:shd w:val="clear" w:color="auto" w:fill="auto"/>
            <w:noWrap/>
            <w:vAlign w:val="bottom"/>
            <w:hideMark/>
          </w:tcPr>
          <w:p w14:paraId="5B81592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0.566429749</w:t>
            </w:r>
          </w:p>
        </w:tc>
        <w:tc>
          <w:tcPr>
            <w:tcW w:w="581" w:type="pct"/>
            <w:tcBorders>
              <w:top w:val="nil"/>
              <w:left w:val="nil"/>
              <w:bottom w:val="single" w:sz="4" w:space="0" w:color="auto"/>
              <w:right w:val="single" w:sz="4" w:space="0" w:color="auto"/>
            </w:tcBorders>
            <w:shd w:val="clear" w:color="auto" w:fill="auto"/>
            <w:noWrap/>
            <w:vAlign w:val="bottom"/>
            <w:hideMark/>
          </w:tcPr>
          <w:p w14:paraId="0C45CF3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0.581991379</w:t>
            </w:r>
          </w:p>
        </w:tc>
        <w:tc>
          <w:tcPr>
            <w:tcW w:w="535" w:type="pct"/>
            <w:tcBorders>
              <w:top w:val="nil"/>
              <w:left w:val="nil"/>
              <w:bottom w:val="single" w:sz="4" w:space="0" w:color="auto"/>
              <w:right w:val="single" w:sz="4" w:space="0" w:color="auto"/>
            </w:tcBorders>
            <w:shd w:val="clear" w:color="auto" w:fill="auto"/>
            <w:noWrap/>
            <w:vAlign w:val="bottom"/>
            <w:hideMark/>
          </w:tcPr>
          <w:p w14:paraId="6D2A29B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0.528948256</w:t>
            </w:r>
          </w:p>
        </w:tc>
      </w:tr>
    </w:tbl>
    <w:p w14:paraId="0E958795" w14:textId="77777777" w:rsidR="00E079C5" w:rsidRDefault="00E079C5" w:rsidP="00E079C5"/>
    <w:tbl>
      <w:tblPr>
        <w:tblW w:w="5000" w:type="pct"/>
        <w:tblLook w:val="04A0" w:firstRow="1" w:lastRow="0" w:firstColumn="1" w:lastColumn="0" w:noHBand="0" w:noVBand="1"/>
      </w:tblPr>
      <w:tblGrid>
        <w:gridCol w:w="1840"/>
        <w:gridCol w:w="2930"/>
        <w:gridCol w:w="849"/>
        <w:gridCol w:w="850"/>
        <w:gridCol w:w="850"/>
        <w:gridCol w:w="850"/>
        <w:gridCol w:w="850"/>
      </w:tblGrid>
      <w:tr w:rsidR="00A933EF" w14:paraId="03581D4E" w14:textId="77777777" w:rsidTr="0044406A">
        <w:trPr>
          <w:trHeight w:val="310"/>
        </w:trPr>
        <w:tc>
          <w:tcPr>
            <w:tcW w:w="3566"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7F136E"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Income Statement</w:t>
            </w:r>
          </w:p>
        </w:tc>
        <w:tc>
          <w:tcPr>
            <w:tcW w:w="478" w:type="pct"/>
            <w:tcBorders>
              <w:top w:val="single" w:sz="4" w:space="0" w:color="auto"/>
              <w:left w:val="nil"/>
              <w:bottom w:val="single" w:sz="4" w:space="0" w:color="auto"/>
              <w:right w:val="single" w:sz="4" w:space="0" w:color="auto"/>
            </w:tcBorders>
            <w:shd w:val="clear" w:color="auto" w:fill="auto"/>
            <w:noWrap/>
            <w:vAlign w:val="bottom"/>
            <w:hideMark/>
          </w:tcPr>
          <w:p w14:paraId="3B19348F"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78" w:type="pct"/>
            <w:tcBorders>
              <w:top w:val="single" w:sz="4" w:space="0" w:color="auto"/>
              <w:left w:val="nil"/>
              <w:bottom w:val="single" w:sz="4" w:space="0" w:color="auto"/>
              <w:right w:val="single" w:sz="4" w:space="0" w:color="auto"/>
            </w:tcBorders>
            <w:shd w:val="clear" w:color="auto" w:fill="auto"/>
            <w:noWrap/>
            <w:vAlign w:val="bottom"/>
            <w:hideMark/>
          </w:tcPr>
          <w:p w14:paraId="5102245F"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78" w:type="pct"/>
            <w:tcBorders>
              <w:top w:val="single" w:sz="4" w:space="0" w:color="auto"/>
              <w:left w:val="nil"/>
              <w:bottom w:val="single" w:sz="4" w:space="0" w:color="auto"/>
              <w:right w:val="single" w:sz="4" w:space="0" w:color="auto"/>
            </w:tcBorders>
            <w:shd w:val="clear" w:color="auto" w:fill="auto"/>
            <w:noWrap/>
            <w:vAlign w:val="bottom"/>
            <w:hideMark/>
          </w:tcPr>
          <w:p w14:paraId="5A3A22DB"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r>
      <w:tr w:rsidR="00A933EF" w14:paraId="77891FAE"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6668E278"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1663" w:type="pct"/>
            <w:tcBorders>
              <w:top w:val="nil"/>
              <w:left w:val="nil"/>
              <w:bottom w:val="single" w:sz="4" w:space="0" w:color="auto"/>
              <w:right w:val="single" w:sz="4" w:space="0" w:color="auto"/>
            </w:tcBorders>
            <w:shd w:val="clear" w:color="auto" w:fill="auto"/>
            <w:noWrap/>
            <w:vAlign w:val="bottom"/>
            <w:hideMark/>
          </w:tcPr>
          <w:p w14:paraId="60C50B14"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2338" w:type="pct"/>
            <w:gridSpan w:val="5"/>
            <w:tcBorders>
              <w:top w:val="single" w:sz="4" w:space="0" w:color="auto"/>
              <w:left w:val="nil"/>
              <w:bottom w:val="single" w:sz="4" w:space="0" w:color="auto"/>
              <w:right w:val="single" w:sz="4" w:space="0" w:color="000000"/>
            </w:tcBorders>
            <w:shd w:val="clear" w:color="auto" w:fill="auto"/>
            <w:noWrap/>
            <w:vAlign w:val="bottom"/>
            <w:hideMark/>
          </w:tcPr>
          <w:p w14:paraId="0246F747"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Exxon Mobil</w:t>
            </w:r>
          </w:p>
        </w:tc>
      </w:tr>
      <w:tr w:rsidR="00A933EF" w14:paraId="27BF45CA"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62913B97"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1663" w:type="pct"/>
            <w:tcBorders>
              <w:top w:val="nil"/>
              <w:left w:val="nil"/>
              <w:bottom w:val="single" w:sz="4" w:space="0" w:color="auto"/>
              <w:right w:val="single" w:sz="4" w:space="0" w:color="auto"/>
            </w:tcBorders>
            <w:shd w:val="clear" w:color="auto" w:fill="auto"/>
            <w:noWrap/>
            <w:vAlign w:val="bottom"/>
            <w:hideMark/>
          </w:tcPr>
          <w:p w14:paraId="78A7F77A"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5ECE0B8A"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2023</w:t>
            </w:r>
          </w:p>
        </w:tc>
        <w:tc>
          <w:tcPr>
            <w:tcW w:w="452" w:type="pct"/>
            <w:tcBorders>
              <w:top w:val="nil"/>
              <w:left w:val="nil"/>
              <w:bottom w:val="single" w:sz="4" w:space="0" w:color="auto"/>
              <w:right w:val="single" w:sz="4" w:space="0" w:color="auto"/>
            </w:tcBorders>
            <w:shd w:val="clear" w:color="auto" w:fill="auto"/>
            <w:noWrap/>
            <w:vAlign w:val="bottom"/>
            <w:hideMark/>
          </w:tcPr>
          <w:p w14:paraId="219D8FAA"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2022</w:t>
            </w:r>
          </w:p>
        </w:tc>
        <w:tc>
          <w:tcPr>
            <w:tcW w:w="478" w:type="pct"/>
            <w:tcBorders>
              <w:top w:val="nil"/>
              <w:left w:val="nil"/>
              <w:bottom w:val="single" w:sz="4" w:space="0" w:color="auto"/>
              <w:right w:val="single" w:sz="4" w:space="0" w:color="auto"/>
            </w:tcBorders>
            <w:shd w:val="clear" w:color="auto" w:fill="auto"/>
            <w:noWrap/>
            <w:vAlign w:val="bottom"/>
            <w:hideMark/>
          </w:tcPr>
          <w:p w14:paraId="349D4121"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2021</w:t>
            </w:r>
          </w:p>
        </w:tc>
        <w:tc>
          <w:tcPr>
            <w:tcW w:w="478" w:type="pct"/>
            <w:tcBorders>
              <w:top w:val="nil"/>
              <w:left w:val="nil"/>
              <w:bottom w:val="single" w:sz="4" w:space="0" w:color="auto"/>
              <w:right w:val="single" w:sz="4" w:space="0" w:color="auto"/>
            </w:tcBorders>
            <w:shd w:val="clear" w:color="auto" w:fill="auto"/>
            <w:noWrap/>
            <w:vAlign w:val="bottom"/>
            <w:hideMark/>
          </w:tcPr>
          <w:p w14:paraId="0FD856B3"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2020</w:t>
            </w:r>
          </w:p>
        </w:tc>
        <w:tc>
          <w:tcPr>
            <w:tcW w:w="478" w:type="pct"/>
            <w:tcBorders>
              <w:top w:val="nil"/>
              <w:left w:val="nil"/>
              <w:bottom w:val="single" w:sz="4" w:space="0" w:color="auto"/>
              <w:right w:val="single" w:sz="4" w:space="0" w:color="auto"/>
            </w:tcBorders>
            <w:shd w:val="clear" w:color="auto" w:fill="auto"/>
            <w:noWrap/>
            <w:vAlign w:val="bottom"/>
            <w:hideMark/>
          </w:tcPr>
          <w:p w14:paraId="7982BDFB"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2019</w:t>
            </w:r>
          </w:p>
        </w:tc>
      </w:tr>
      <w:tr w:rsidR="00A933EF" w14:paraId="5F19950A"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6FE516BE"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xml:space="preserve">Revenue </w:t>
            </w:r>
          </w:p>
        </w:tc>
        <w:tc>
          <w:tcPr>
            <w:tcW w:w="1663" w:type="pct"/>
            <w:tcBorders>
              <w:top w:val="nil"/>
              <w:left w:val="nil"/>
              <w:bottom w:val="single" w:sz="4" w:space="0" w:color="auto"/>
              <w:right w:val="single" w:sz="4" w:space="0" w:color="auto"/>
            </w:tcBorders>
            <w:shd w:val="clear" w:color="auto" w:fill="auto"/>
            <w:noWrap/>
            <w:vAlign w:val="bottom"/>
            <w:hideMark/>
          </w:tcPr>
          <w:p w14:paraId="42A6785A"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0763DBF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3,33,711.00</w:t>
            </w:r>
          </w:p>
        </w:tc>
        <w:tc>
          <w:tcPr>
            <w:tcW w:w="452" w:type="pct"/>
            <w:tcBorders>
              <w:top w:val="nil"/>
              <w:left w:val="nil"/>
              <w:bottom w:val="single" w:sz="4" w:space="0" w:color="auto"/>
              <w:right w:val="single" w:sz="4" w:space="0" w:color="auto"/>
            </w:tcBorders>
            <w:shd w:val="clear" w:color="auto" w:fill="auto"/>
            <w:noWrap/>
            <w:vAlign w:val="bottom"/>
            <w:hideMark/>
          </w:tcPr>
          <w:p w14:paraId="1CF9EF8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4,00,438.00</w:t>
            </w:r>
          </w:p>
        </w:tc>
        <w:tc>
          <w:tcPr>
            <w:tcW w:w="478" w:type="pct"/>
            <w:tcBorders>
              <w:top w:val="nil"/>
              <w:left w:val="nil"/>
              <w:bottom w:val="single" w:sz="4" w:space="0" w:color="auto"/>
              <w:right w:val="single" w:sz="4" w:space="0" w:color="auto"/>
            </w:tcBorders>
            <w:shd w:val="clear" w:color="auto" w:fill="auto"/>
            <w:noWrap/>
            <w:vAlign w:val="bottom"/>
            <w:hideMark/>
          </w:tcPr>
          <w:p w14:paraId="3B66668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2,80,510.00</w:t>
            </w:r>
          </w:p>
        </w:tc>
        <w:tc>
          <w:tcPr>
            <w:tcW w:w="478" w:type="pct"/>
            <w:tcBorders>
              <w:top w:val="nil"/>
              <w:left w:val="nil"/>
              <w:bottom w:val="single" w:sz="4" w:space="0" w:color="auto"/>
              <w:right w:val="single" w:sz="4" w:space="0" w:color="auto"/>
            </w:tcBorders>
            <w:shd w:val="clear" w:color="auto" w:fill="auto"/>
            <w:noWrap/>
            <w:vAlign w:val="bottom"/>
            <w:hideMark/>
          </w:tcPr>
          <w:p w14:paraId="627939F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1,78,170.00</w:t>
            </w:r>
          </w:p>
        </w:tc>
        <w:tc>
          <w:tcPr>
            <w:tcW w:w="478" w:type="pct"/>
            <w:tcBorders>
              <w:top w:val="nil"/>
              <w:left w:val="nil"/>
              <w:bottom w:val="single" w:sz="4" w:space="0" w:color="auto"/>
              <w:right w:val="single" w:sz="4" w:space="0" w:color="auto"/>
            </w:tcBorders>
            <w:shd w:val="clear" w:color="auto" w:fill="auto"/>
            <w:noWrap/>
            <w:vAlign w:val="bottom"/>
            <w:hideMark/>
          </w:tcPr>
          <w:p w14:paraId="5FB2880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2,55,995.00</w:t>
            </w:r>
          </w:p>
        </w:tc>
      </w:tr>
      <w:tr w:rsidR="00A933EF" w14:paraId="735C3B68"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73777D51"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COGS</w:t>
            </w:r>
          </w:p>
        </w:tc>
        <w:tc>
          <w:tcPr>
            <w:tcW w:w="1663" w:type="pct"/>
            <w:tcBorders>
              <w:top w:val="nil"/>
              <w:left w:val="nil"/>
              <w:bottom w:val="single" w:sz="4" w:space="0" w:color="auto"/>
              <w:right w:val="single" w:sz="4" w:space="0" w:color="auto"/>
            </w:tcBorders>
            <w:shd w:val="clear" w:color="auto" w:fill="auto"/>
            <w:noWrap/>
            <w:vAlign w:val="bottom"/>
            <w:hideMark/>
          </w:tcPr>
          <w:p w14:paraId="4A0F80B7"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4FC9C2B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2,51,385.00</w:t>
            </w:r>
          </w:p>
        </w:tc>
        <w:tc>
          <w:tcPr>
            <w:tcW w:w="452" w:type="pct"/>
            <w:tcBorders>
              <w:top w:val="nil"/>
              <w:left w:val="nil"/>
              <w:bottom w:val="single" w:sz="4" w:space="0" w:color="auto"/>
              <w:right w:val="single" w:sz="4" w:space="0" w:color="auto"/>
            </w:tcBorders>
            <w:shd w:val="clear" w:color="auto" w:fill="auto"/>
            <w:noWrap/>
            <w:vAlign w:val="bottom"/>
            <w:hideMark/>
          </w:tcPr>
          <w:p w14:paraId="0A400FA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2,96,947.00</w:t>
            </w:r>
          </w:p>
        </w:tc>
        <w:tc>
          <w:tcPr>
            <w:tcW w:w="478" w:type="pct"/>
            <w:tcBorders>
              <w:top w:val="nil"/>
              <w:left w:val="nil"/>
              <w:bottom w:val="single" w:sz="4" w:space="0" w:color="auto"/>
              <w:right w:val="single" w:sz="4" w:space="0" w:color="auto"/>
            </w:tcBorders>
            <w:shd w:val="clear" w:color="auto" w:fill="auto"/>
            <w:noWrap/>
            <w:vAlign w:val="bottom"/>
            <w:hideMark/>
          </w:tcPr>
          <w:p w14:paraId="56A5F28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2,12,908.00</w:t>
            </w:r>
          </w:p>
        </w:tc>
        <w:tc>
          <w:tcPr>
            <w:tcW w:w="478" w:type="pct"/>
            <w:tcBorders>
              <w:top w:val="nil"/>
              <w:left w:val="nil"/>
              <w:bottom w:val="single" w:sz="4" w:space="0" w:color="auto"/>
              <w:right w:val="single" w:sz="4" w:space="0" w:color="auto"/>
            </w:tcBorders>
            <w:shd w:val="clear" w:color="auto" w:fill="auto"/>
            <w:noWrap/>
            <w:vAlign w:val="bottom"/>
            <w:hideMark/>
          </w:tcPr>
          <w:p w14:paraId="3755217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1,46,025.00</w:t>
            </w:r>
          </w:p>
        </w:tc>
        <w:tc>
          <w:tcPr>
            <w:tcW w:w="478" w:type="pct"/>
            <w:tcBorders>
              <w:top w:val="nil"/>
              <w:left w:val="nil"/>
              <w:bottom w:val="single" w:sz="4" w:space="0" w:color="auto"/>
              <w:right w:val="single" w:sz="4" w:space="0" w:color="auto"/>
            </w:tcBorders>
            <w:shd w:val="clear" w:color="auto" w:fill="auto"/>
            <w:noWrap/>
            <w:vAlign w:val="bottom"/>
            <w:hideMark/>
          </w:tcPr>
          <w:p w14:paraId="57F1D3E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2,00,973.00</w:t>
            </w:r>
          </w:p>
        </w:tc>
      </w:tr>
      <w:tr w:rsidR="00A933EF" w14:paraId="1169B68A"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345FFED7"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Gross profit</w:t>
            </w:r>
          </w:p>
        </w:tc>
        <w:tc>
          <w:tcPr>
            <w:tcW w:w="1663" w:type="pct"/>
            <w:tcBorders>
              <w:top w:val="nil"/>
              <w:left w:val="nil"/>
              <w:bottom w:val="single" w:sz="4" w:space="0" w:color="auto"/>
              <w:right w:val="single" w:sz="4" w:space="0" w:color="auto"/>
            </w:tcBorders>
            <w:shd w:val="clear" w:color="auto" w:fill="auto"/>
            <w:noWrap/>
            <w:vAlign w:val="bottom"/>
            <w:hideMark/>
          </w:tcPr>
          <w:p w14:paraId="61C053E6"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2A5F779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82,326.00</w:t>
            </w:r>
          </w:p>
        </w:tc>
        <w:tc>
          <w:tcPr>
            <w:tcW w:w="452" w:type="pct"/>
            <w:tcBorders>
              <w:top w:val="nil"/>
              <w:left w:val="nil"/>
              <w:bottom w:val="single" w:sz="4" w:space="0" w:color="auto"/>
              <w:right w:val="single" w:sz="4" w:space="0" w:color="auto"/>
            </w:tcBorders>
            <w:shd w:val="clear" w:color="auto" w:fill="auto"/>
            <w:noWrap/>
            <w:vAlign w:val="bottom"/>
            <w:hideMark/>
          </w:tcPr>
          <w:p w14:paraId="2B7AEDC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1,03,491.00</w:t>
            </w:r>
          </w:p>
        </w:tc>
        <w:tc>
          <w:tcPr>
            <w:tcW w:w="478" w:type="pct"/>
            <w:tcBorders>
              <w:top w:val="nil"/>
              <w:left w:val="nil"/>
              <w:bottom w:val="single" w:sz="4" w:space="0" w:color="auto"/>
              <w:right w:val="single" w:sz="4" w:space="0" w:color="auto"/>
            </w:tcBorders>
            <w:shd w:val="clear" w:color="auto" w:fill="auto"/>
            <w:noWrap/>
            <w:vAlign w:val="bottom"/>
            <w:hideMark/>
          </w:tcPr>
          <w:p w14:paraId="2601186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67,602.00</w:t>
            </w:r>
          </w:p>
        </w:tc>
        <w:tc>
          <w:tcPr>
            <w:tcW w:w="478" w:type="pct"/>
            <w:tcBorders>
              <w:top w:val="nil"/>
              <w:left w:val="nil"/>
              <w:bottom w:val="single" w:sz="4" w:space="0" w:color="auto"/>
              <w:right w:val="single" w:sz="4" w:space="0" w:color="auto"/>
            </w:tcBorders>
            <w:shd w:val="clear" w:color="auto" w:fill="auto"/>
            <w:noWrap/>
            <w:vAlign w:val="bottom"/>
            <w:hideMark/>
          </w:tcPr>
          <w:p w14:paraId="13110B5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32,145.00</w:t>
            </w:r>
          </w:p>
        </w:tc>
        <w:tc>
          <w:tcPr>
            <w:tcW w:w="478" w:type="pct"/>
            <w:tcBorders>
              <w:top w:val="nil"/>
              <w:left w:val="nil"/>
              <w:bottom w:val="single" w:sz="4" w:space="0" w:color="auto"/>
              <w:right w:val="single" w:sz="4" w:space="0" w:color="auto"/>
            </w:tcBorders>
            <w:shd w:val="clear" w:color="auto" w:fill="auto"/>
            <w:noWrap/>
            <w:vAlign w:val="bottom"/>
            <w:hideMark/>
          </w:tcPr>
          <w:p w14:paraId="0FECFB1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55,022.00</w:t>
            </w:r>
          </w:p>
        </w:tc>
      </w:tr>
      <w:tr w:rsidR="00A933EF" w14:paraId="7FA93287"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1F8C986A"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EBIT</w:t>
            </w:r>
          </w:p>
        </w:tc>
        <w:tc>
          <w:tcPr>
            <w:tcW w:w="1663" w:type="pct"/>
            <w:tcBorders>
              <w:top w:val="nil"/>
              <w:left w:val="nil"/>
              <w:bottom w:val="single" w:sz="4" w:space="0" w:color="auto"/>
              <w:right w:val="single" w:sz="4" w:space="0" w:color="auto"/>
            </w:tcBorders>
            <w:shd w:val="clear" w:color="auto" w:fill="auto"/>
            <w:noWrap/>
            <w:vAlign w:val="bottom"/>
            <w:hideMark/>
          </w:tcPr>
          <w:p w14:paraId="6FBFCA89"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2BC9D42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43,396.00</w:t>
            </w:r>
          </w:p>
        </w:tc>
        <w:tc>
          <w:tcPr>
            <w:tcW w:w="452" w:type="pct"/>
            <w:tcBorders>
              <w:top w:val="nil"/>
              <w:left w:val="nil"/>
              <w:bottom w:val="single" w:sz="4" w:space="0" w:color="auto"/>
              <w:right w:val="single" w:sz="4" w:space="0" w:color="auto"/>
            </w:tcBorders>
            <w:shd w:val="clear" w:color="auto" w:fill="auto"/>
            <w:noWrap/>
            <w:vAlign w:val="bottom"/>
            <w:hideMark/>
          </w:tcPr>
          <w:p w14:paraId="78DD4CC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65,477.00</w:t>
            </w:r>
          </w:p>
        </w:tc>
        <w:tc>
          <w:tcPr>
            <w:tcW w:w="478" w:type="pct"/>
            <w:tcBorders>
              <w:top w:val="nil"/>
              <w:left w:val="nil"/>
              <w:bottom w:val="single" w:sz="4" w:space="0" w:color="auto"/>
              <w:right w:val="single" w:sz="4" w:space="0" w:color="auto"/>
            </w:tcBorders>
            <w:shd w:val="clear" w:color="auto" w:fill="auto"/>
            <w:noWrap/>
            <w:vAlign w:val="bottom"/>
            <w:hideMark/>
          </w:tcPr>
          <w:p w14:paraId="5CD6B83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27,789.00</w:t>
            </w:r>
          </w:p>
        </w:tc>
        <w:tc>
          <w:tcPr>
            <w:tcW w:w="478" w:type="pct"/>
            <w:tcBorders>
              <w:top w:val="nil"/>
              <w:left w:val="nil"/>
              <w:bottom w:val="single" w:sz="4" w:space="0" w:color="auto"/>
              <w:right w:val="single" w:sz="4" w:space="0" w:color="auto"/>
            </w:tcBorders>
            <w:shd w:val="clear" w:color="auto" w:fill="auto"/>
            <w:noWrap/>
            <w:vAlign w:val="bottom"/>
            <w:hideMark/>
          </w:tcPr>
          <w:p w14:paraId="34652A9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-4,145.00</w:t>
            </w:r>
          </w:p>
        </w:tc>
        <w:tc>
          <w:tcPr>
            <w:tcW w:w="478" w:type="pct"/>
            <w:tcBorders>
              <w:top w:val="nil"/>
              <w:left w:val="nil"/>
              <w:bottom w:val="single" w:sz="4" w:space="0" w:color="auto"/>
              <w:right w:val="single" w:sz="4" w:space="0" w:color="auto"/>
            </w:tcBorders>
            <w:shd w:val="clear" w:color="auto" w:fill="auto"/>
            <w:noWrap/>
            <w:vAlign w:val="bottom"/>
            <w:hideMark/>
          </w:tcPr>
          <w:p w14:paraId="2820715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11,864.00</w:t>
            </w:r>
          </w:p>
        </w:tc>
      </w:tr>
      <w:tr w:rsidR="00A933EF" w14:paraId="17DEC5AE"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19046506"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lastRenderedPageBreak/>
              <w:t>Net income</w:t>
            </w:r>
          </w:p>
        </w:tc>
        <w:tc>
          <w:tcPr>
            <w:tcW w:w="1663" w:type="pct"/>
            <w:tcBorders>
              <w:top w:val="nil"/>
              <w:left w:val="nil"/>
              <w:bottom w:val="single" w:sz="4" w:space="0" w:color="auto"/>
              <w:right w:val="single" w:sz="4" w:space="0" w:color="auto"/>
            </w:tcBorders>
            <w:shd w:val="clear" w:color="auto" w:fill="auto"/>
            <w:noWrap/>
            <w:vAlign w:val="bottom"/>
            <w:hideMark/>
          </w:tcPr>
          <w:p w14:paraId="58A453F2"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333550A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36,010</w:t>
            </w:r>
          </w:p>
        </w:tc>
        <w:tc>
          <w:tcPr>
            <w:tcW w:w="452" w:type="pct"/>
            <w:tcBorders>
              <w:top w:val="nil"/>
              <w:left w:val="nil"/>
              <w:bottom w:val="single" w:sz="4" w:space="0" w:color="auto"/>
              <w:right w:val="single" w:sz="4" w:space="0" w:color="auto"/>
            </w:tcBorders>
            <w:shd w:val="clear" w:color="auto" w:fill="auto"/>
            <w:noWrap/>
            <w:vAlign w:val="bottom"/>
            <w:hideMark/>
          </w:tcPr>
          <w:p w14:paraId="1F647D3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55,740</w:t>
            </w:r>
          </w:p>
        </w:tc>
        <w:tc>
          <w:tcPr>
            <w:tcW w:w="478" w:type="pct"/>
            <w:tcBorders>
              <w:top w:val="nil"/>
              <w:left w:val="nil"/>
              <w:bottom w:val="single" w:sz="4" w:space="0" w:color="auto"/>
              <w:right w:val="single" w:sz="4" w:space="0" w:color="auto"/>
            </w:tcBorders>
            <w:shd w:val="clear" w:color="auto" w:fill="auto"/>
            <w:noWrap/>
            <w:vAlign w:val="bottom"/>
            <w:hideMark/>
          </w:tcPr>
          <w:p w14:paraId="6D24CA0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23,040</w:t>
            </w:r>
          </w:p>
        </w:tc>
        <w:tc>
          <w:tcPr>
            <w:tcW w:w="478" w:type="pct"/>
            <w:tcBorders>
              <w:top w:val="nil"/>
              <w:left w:val="nil"/>
              <w:bottom w:val="single" w:sz="4" w:space="0" w:color="auto"/>
              <w:right w:val="single" w:sz="4" w:space="0" w:color="auto"/>
            </w:tcBorders>
            <w:shd w:val="clear" w:color="auto" w:fill="auto"/>
            <w:noWrap/>
            <w:vAlign w:val="bottom"/>
            <w:hideMark/>
          </w:tcPr>
          <w:p w14:paraId="37672B9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-22,440</w:t>
            </w:r>
          </w:p>
        </w:tc>
        <w:tc>
          <w:tcPr>
            <w:tcW w:w="478" w:type="pct"/>
            <w:tcBorders>
              <w:top w:val="nil"/>
              <w:left w:val="nil"/>
              <w:bottom w:val="single" w:sz="4" w:space="0" w:color="auto"/>
              <w:right w:val="single" w:sz="4" w:space="0" w:color="auto"/>
            </w:tcBorders>
            <w:shd w:val="clear" w:color="auto" w:fill="auto"/>
            <w:noWrap/>
            <w:vAlign w:val="bottom"/>
            <w:hideMark/>
          </w:tcPr>
          <w:p w14:paraId="0C00DB0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14,340</w:t>
            </w:r>
          </w:p>
        </w:tc>
      </w:tr>
      <w:tr w:rsidR="00A933EF" w14:paraId="3D2C4795"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5852518B"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Basic earnings per share</w:t>
            </w:r>
          </w:p>
        </w:tc>
        <w:tc>
          <w:tcPr>
            <w:tcW w:w="1663" w:type="pct"/>
            <w:tcBorders>
              <w:top w:val="nil"/>
              <w:left w:val="nil"/>
              <w:bottom w:val="single" w:sz="4" w:space="0" w:color="auto"/>
              <w:right w:val="single" w:sz="4" w:space="0" w:color="auto"/>
            </w:tcBorders>
            <w:shd w:val="clear" w:color="auto" w:fill="auto"/>
            <w:noWrap/>
            <w:vAlign w:val="bottom"/>
            <w:hideMark/>
          </w:tcPr>
          <w:p w14:paraId="690F1736"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02FA6B0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8.89</w:t>
            </w:r>
          </w:p>
        </w:tc>
        <w:tc>
          <w:tcPr>
            <w:tcW w:w="452" w:type="pct"/>
            <w:tcBorders>
              <w:top w:val="nil"/>
              <w:left w:val="nil"/>
              <w:bottom w:val="single" w:sz="4" w:space="0" w:color="auto"/>
              <w:right w:val="single" w:sz="4" w:space="0" w:color="auto"/>
            </w:tcBorders>
            <w:shd w:val="clear" w:color="auto" w:fill="auto"/>
            <w:noWrap/>
            <w:vAlign w:val="bottom"/>
            <w:hideMark/>
          </w:tcPr>
          <w:p w14:paraId="5BE8C16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13.26</w:t>
            </w:r>
          </w:p>
        </w:tc>
        <w:tc>
          <w:tcPr>
            <w:tcW w:w="478" w:type="pct"/>
            <w:tcBorders>
              <w:top w:val="nil"/>
              <w:left w:val="nil"/>
              <w:bottom w:val="single" w:sz="4" w:space="0" w:color="auto"/>
              <w:right w:val="single" w:sz="4" w:space="0" w:color="auto"/>
            </w:tcBorders>
            <w:shd w:val="clear" w:color="auto" w:fill="auto"/>
            <w:noWrap/>
            <w:vAlign w:val="bottom"/>
            <w:hideMark/>
          </w:tcPr>
          <w:p w14:paraId="0B50B92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5.39</w:t>
            </w:r>
          </w:p>
        </w:tc>
        <w:tc>
          <w:tcPr>
            <w:tcW w:w="478" w:type="pct"/>
            <w:tcBorders>
              <w:top w:val="nil"/>
              <w:left w:val="nil"/>
              <w:bottom w:val="single" w:sz="4" w:space="0" w:color="auto"/>
              <w:right w:val="single" w:sz="4" w:space="0" w:color="auto"/>
            </w:tcBorders>
            <w:shd w:val="clear" w:color="auto" w:fill="auto"/>
            <w:noWrap/>
            <w:vAlign w:val="bottom"/>
            <w:hideMark/>
          </w:tcPr>
          <w:p w14:paraId="32DB0B9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-5.25</w:t>
            </w:r>
          </w:p>
        </w:tc>
        <w:tc>
          <w:tcPr>
            <w:tcW w:w="478" w:type="pct"/>
            <w:tcBorders>
              <w:top w:val="nil"/>
              <w:left w:val="nil"/>
              <w:bottom w:val="single" w:sz="4" w:space="0" w:color="auto"/>
              <w:right w:val="single" w:sz="4" w:space="0" w:color="auto"/>
            </w:tcBorders>
            <w:shd w:val="clear" w:color="auto" w:fill="auto"/>
            <w:noWrap/>
            <w:vAlign w:val="bottom"/>
            <w:hideMark/>
          </w:tcPr>
          <w:p w14:paraId="1859841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3.36</w:t>
            </w:r>
          </w:p>
        </w:tc>
      </w:tr>
      <w:tr w:rsidR="00A933EF" w14:paraId="3101EEAD"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66C2FCF0"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Diluted earnings per share</w:t>
            </w:r>
          </w:p>
        </w:tc>
        <w:tc>
          <w:tcPr>
            <w:tcW w:w="1663" w:type="pct"/>
            <w:tcBorders>
              <w:top w:val="nil"/>
              <w:left w:val="nil"/>
              <w:bottom w:val="single" w:sz="4" w:space="0" w:color="auto"/>
              <w:right w:val="single" w:sz="4" w:space="0" w:color="auto"/>
            </w:tcBorders>
            <w:shd w:val="clear" w:color="auto" w:fill="auto"/>
            <w:noWrap/>
            <w:vAlign w:val="bottom"/>
            <w:hideMark/>
          </w:tcPr>
          <w:p w14:paraId="616E6CE9"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64550BC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8.89</w:t>
            </w:r>
          </w:p>
        </w:tc>
        <w:tc>
          <w:tcPr>
            <w:tcW w:w="452" w:type="pct"/>
            <w:tcBorders>
              <w:top w:val="nil"/>
              <w:left w:val="nil"/>
              <w:bottom w:val="single" w:sz="4" w:space="0" w:color="auto"/>
              <w:right w:val="single" w:sz="4" w:space="0" w:color="auto"/>
            </w:tcBorders>
            <w:shd w:val="clear" w:color="auto" w:fill="auto"/>
            <w:noWrap/>
            <w:vAlign w:val="bottom"/>
            <w:hideMark/>
          </w:tcPr>
          <w:p w14:paraId="2DB2733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13.26</w:t>
            </w:r>
          </w:p>
        </w:tc>
        <w:tc>
          <w:tcPr>
            <w:tcW w:w="478" w:type="pct"/>
            <w:tcBorders>
              <w:top w:val="nil"/>
              <w:left w:val="nil"/>
              <w:bottom w:val="single" w:sz="4" w:space="0" w:color="auto"/>
              <w:right w:val="single" w:sz="4" w:space="0" w:color="auto"/>
            </w:tcBorders>
            <w:shd w:val="clear" w:color="auto" w:fill="auto"/>
            <w:noWrap/>
            <w:vAlign w:val="bottom"/>
            <w:hideMark/>
          </w:tcPr>
          <w:p w14:paraId="31F9EFB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5.39</w:t>
            </w:r>
          </w:p>
        </w:tc>
        <w:tc>
          <w:tcPr>
            <w:tcW w:w="478" w:type="pct"/>
            <w:tcBorders>
              <w:top w:val="nil"/>
              <w:left w:val="nil"/>
              <w:bottom w:val="single" w:sz="4" w:space="0" w:color="auto"/>
              <w:right w:val="single" w:sz="4" w:space="0" w:color="auto"/>
            </w:tcBorders>
            <w:shd w:val="clear" w:color="auto" w:fill="auto"/>
            <w:noWrap/>
            <w:vAlign w:val="bottom"/>
            <w:hideMark/>
          </w:tcPr>
          <w:p w14:paraId="5C6E6CA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-5.25</w:t>
            </w:r>
          </w:p>
        </w:tc>
        <w:tc>
          <w:tcPr>
            <w:tcW w:w="478" w:type="pct"/>
            <w:tcBorders>
              <w:top w:val="nil"/>
              <w:left w:val="nil"/>
              <w:bottom w:val="single" w:sz="4" w:space="0" w:color="auto"/>
              <w:right w:val="single" w:sz="4" w:space="0" w:color="auto"/>
            </w:tcBorders>
            <w:shd w:val="clear" w:color="auto" w:fill="auto"/>
            <w:noWrap/>
            <w:vAlign w:val="bottom"/>
            <w:hideMark/>
          </w:tcPr>
          <w:p w14:paraId="134AA0A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3.36</w:t>
            </w:r>
          </w:p>
        </w:tc>
      </w:tr>
      <w:tr w:rsidR="00A933EF" w14:paraId="358F224D"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322E2BAE"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1663" w:type="pct"/>
            <w:tcBorders>
              <w:top w:val="nil"/>
              <w:left w:val="nil"/>
              <w:bottom w:val="single" w:sz="4" w:space="0" w:color="auto"/>
              <w:right w:val="single" w:sz="4" w:space="0" w:color="auto"/>
            </w:tcBorders>
            <w:shd w:val="clear" w:color="auto" w:fill="auto"/>
            <w:noWrap/>
            <w:vAlign w:val="bottom"/>
            <w:hideMark/>
          </w:tcPr>
          <w:p w14:paraId="304E7AF8"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4DD03DE1"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48E2CD02"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78" w:type="pct"/>
            <w:tcBorders>
              <w:top w:val="nil"/>
              <w:left w:val="nil"/>
              <w:bottom w:val="single" w:sz="4" w:space="0" w:color="auto"/>
              <w:right w:val="single" w:sz="4" w:space="0" w:color="auto"/>
            </w:tcBorders>
            <w:shd w:val="clear" w:color="auto" w:fill="auto"/>
            <w:noWrap/>
            <w:vAlign w:val="bottom"/>
            <w:hideMark/>
          </w:tcPr>
          <w:p w14:paraId="3FDFB1A0"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78" w:type="pct"/>
            <w:tcBorders>
              <w:top w:val="nil"/>
              <w:left w:val="nil"/>
              <w:bottom w:val="single" w:sz="4" w:space="0" w:color="auto"/>
              <w:right w:val="single" w:sz="4" w:space="0" w:color="auto"/>
            </w:tcBorders>
            <w:shd w:val="clear" w:color="auto" w:fill="auto"/>
            <w:noWrap/>
            <w:vAlign w:val="bottom"/>
            <w:hideMark/>
          </w:tcPr>
          <w:p w14:paraId="03AE102F"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78" w:type="pct"/>
            <w:tcBorders>
              <w:top w:val="nil"/>
              <w:left w:val="nil"/>
              <w:bottom w:val="single" w:sz="4" w:space="0" w:color="auto"/>
              <w:right w:val="single" w:sz="4" w:space="0" w:color="auto"/>
            </w:tcBorders>
            <w:shd w:val="clear" w:color="auto" w:fill="auto"/>
            <w:noWrap/>
            <w:vAlign w:val="bottom"/>
            <w:hideMark/>
          </w:tcPr>
          <w:p w14:paraId="47AF925F"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r>
      <w:tr w:rsidR="00A933EF" w14:paraId="025FB3FA"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4F23AB01"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1663" w:type="pct"/>
            <w:tcBorders>
              <w:top w:val="nil"/>
              <w:left w:val="nil"/>
              <w:bottom w:val="single" w:sz="4" w:space="0" w:color="auto"/>
              <w:right w:val="single" w:sz="4" w:space="0" w:color="auto"/>
            </w:tcBorders>
            <w:shd w:val="clear" w:color="auto" w:fill="auto"/>
            <w:noWrap/>
            <w:vAlign w:val="bottom"/>
            <w:hideMark/>
          </w:tcPr>
          <w:p w14:paraId="266426B2"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6B2D52A1"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44C7CDC5"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78" w:type="pct"/>
            <w:tcBorders>
              <w:top w:val="nil"/>
              <w:left w:val="nil"/>
              <w:bottom w:val="single" w:sz="4" w:space="0" w:color="auto"/>
              <w:right w:val="single" w:sz="4" w:space="0" w:color="auto"/>
            </w:tcBorders>
            <w:shd w:val="clear" w:color="auto" w:fill="auto"/>
            <w:noWrap/>
            <w:vAlign w:val="bottom"/>
            <w:hideMark/>
          </w:tcPr>
          <w:p w14:paraId="402DCBF8"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78" w:type="pct"/>
            <w:tcBorders>
              <w:top w:val="nil"/>
              <w:left w:val="nil"/>
              <w:bottom w:val="single" w:sz="4" w:space="0" w:color="auto"/>
              <w:right w:val="single" w:sz="4" w:space="0" w:color="auto"/>
            </w:tcBorders>
            <w:shd w:val="clear" w:color="auto" w:fill="auto"/>
            <w:noWrap/>
            <w:vAlign w:val="bottom"/>
            <w:hideMark/>
          </w:tcPr>
          <w:p w14:paraId="37F6B4EC"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78" w:type="pct"/>
            <w:tcBorders>
              <w:top w:val="nil"/>
              <w:left w:val="nil"/>
              <w:bottom w:val="single" w:sz="4" w:space="0" w:color="auto"/>
              <w:right w:val="single" w:sz="4" w:space="0" w:color="auto"/>
            </w:tcBorders>
            <w:shd w:val="clear" w:color="auto" w:fill="auto"/>
            <w:noWrap/>
            <w:vAlign w:val="bottom"/>
            <w:hideMark/>
          </w:tcPr>
          <w:p w14:paraId="0E8794AF"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r>
      <w:tr w:rsidR="00A933EF" w14:paraId="3FD95791" w14:textId="77777777" w:rsidTr="0044406A">
        <w:trPr>
          <w:trHeight w:val="310"/>
        </w:trPr>
        <w:tc>
          <w:tcPr>
            <w:tcW w:w="3566"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882C5A"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Balance Sheet</w:t>
            </w:r>
          </w:p>
        </w:tc>
        <w:tc>
          <w:tcPr>
            <w:tcW w:w="478" w:type="pct"/>
            <w:tcBorders>
              <w:top w:val="nil"/>
              <w:left w:val="nil"/>
              <w:bottom w:val="single" w:sz="4" w:space="0" w:color="auto"/>
              <w:right w:val="single" w:sz="4" w:space="0" w:color="auto"/>
            </w:tcBorders>
            <w:shd w:val="clear" w:color="auto" w:fill="auto"/>
            <w:noWrap/>
            <w:vAlign w:val="bottom"/>
            <w:hideMark/>
          </w:tcPr>
          <w:p w14:paraId="7F1A4AD1"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78" w:type="pct"/>
            <w:tcBorders>
              <w:top w:val="nil"/>
              <w:left w:val="nil"/>
              <w:bottom w:val="single" w:sz="4" w:space="0" w:color="auto"/>
              <w:right w:val="single" w:sz="4" w:space="0" w:color="auto"/>
            </w:tcBorders>
            <w:shd w:val="clear" w:color="auto" w:fill="auto"/>
            <w:noWrap/>
            <w:vAlign w:val="bottom"/>
            <w:hideMark/>
          </w:tcPr>
          <w:p w14:paraId="2EB527C4"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78" w:type="pct"/>
            <w:tcBorders>
              <w:top w:val="nil"/>
              <w:left w:val="nil"/>
              <w:bottom w:val="single" w:sz="4" w:space="0" w:color="auto"/>
              <w:right w:val="single" w:sz="4" w:space="0" w:color="auto"/>
            </w:tcBorders>
            <w:shd w:val="clear" w:color="auto" w:fill="auto"/>
            <w:noWrap/>
            <w:vAlign w:val="bottom"/>
            <w:hideMark/>
          </w:tcPr>
          <w:p w14:paraId="76C35D25"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r>
      <w:tr w:rsidR="00A933EF" w14:paraId="29C79428"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10012AB9"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1663" w:type="pct"/>
            <w:tcBorders>
              <w:top w:val="nil"/>
              <w:left w:val="nil"/>
              <w:bottom w:val="single" w:sz="4" w:space="0" w:color="auto"/>
              <w:right w:val="single" w:sz="4" w:space="0" w:color="auto"/>
            </w:tcBorders>
            <w:shd w:val="clear" w:color="auto" w:fill="auto"/>
            <w:noWrap/>
            <w:vAlign w:val="bottom"/>
            <w:hideMark/>
          </w:tcPr>
          <w:p w14:paraId="17D0B4E8"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3CB8D683"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2023</w:t>
            </w:r>
          </w:p>
        </w:tc>
        <w:tc>
          <w:tcPr>
            <w:tcW w:w="452" w:type="pct"/>
            <w:tcBorders>
              <w:top w:val="nil"/>
              <w:left w:val="nil"/>
              <w:bottom w:val="single" w:sz="4" w:space="0" w:color="auto"/>
              <w:right w:val="single" w:sz="4" w:space="0" w:color="auto"/>
            </w:tcBorders>
            <w:shd w:val="clear" w:color="auto" w:fill="auto"/>
            <w:noWrap/>
            <w:vAlign w:val="bottom"/>
            <w:hideMark/>
          </w:tcPr>
          <w:p w14:paraId="1A0A3C34"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2022</w:t>
            </w:r>
          </w:p>
        </w:tc>
        <w:tc>
          <w:tcPr>
            <w:tcW w:w="478" w:type="pct"/>
            <w:tcBorders>
              <w:top w:val="nil"/>
              <w:left w:val="nil"/>
              <w:bottom w:val="single" w:sz="4" w:space="0" w:color="auto"/>
              <w:right w:val="single" w:sz="4" w:space="0" w:color="auto"/>
            </w:tcBorders>
            <w:shd w:val="clear" w:color="auto" w:fill="auto"/>
            <w:noWrap/>
            <w:vAlign w:val="bottom"/>
            <w:hideMark/>
          </w:tcPr>
          <w:p w14:paraId="15B45DDA"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2021</w:t>
            </w:r>
          </w:p>
        </w:tc>
        <w:tc>
          <w:tcPr>
            <w:tcW w:w="478" w:type="pct"/>
            <w:tcBorders>
              <w:top w:val="nil"/>
              <w:left w:val="nil"/>
              <w:bottom w:val="single" w:sz="4" w:space="0" w:color="auto"/>
              <w:right w:val="single" w:sz="4" w:space="0" w:color="auto"/>
            </w:tcBorders>
            <w:shd w:val="clear" w:color="auto" w:fill="auto"/>
            <w:noWrap/>
            <w:vAlign w:val="bottom"/>
            <w:hideMark/>
          </w:tcPr>
          <w:p w14:paraId="43812832"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2020</w:t>
            </w:r>
          </w:p>
        </w:tc>
        <w:tc>
          <w:tcPr>
            <w:tcW w:w="478" w:type="pct"/>
            <w:tcBorders>
              <w:top w:val="nil"/>
              <w:left w:val="nil"/>
              <w:bottom w:val="single" w:sz="4" w:space="0" w:color="auto"/>
              <w:right w:val="single" w:sz="4" w:space="0" w:color="auto"/>
            </w:tcBorders>
            <w:shd w:val="clear" w:color="auto" w:fill="auto"/>
            <w:noWrap/>
            <w:vAlign w:val="bottom"/>
            <w:hideMark/>
          </w:tcPr>
          <w:p w14:paraId="4CEFE240"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2019</w:t>
            </w:r>
          </w:p>
        </w:tc>
      </w:tr>
      <w:tr w:rsidR="00A933EF" w14:paraId="39CC436D"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688B9360"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1663" w:type="pct"/>
            <w:tcBorders>
              <w:top w:val="nil"/>
              <w:left w:val="nil"/>
              <w:bottom w:val="single" w:sz="4" w:space="0" w:color="auto"/>
              <w:right w:val="single" w:sz="4" w:space="0" w:color="auto"/>
            </w:tcBorders>
            <w:shd w:val="clear" w:color="auto" w:fill="auto"/>
            <w:noWrap/>
            <w:vAlign w:val="bottom"/>
            <w:hideMark/>
          </w:tcPr>
          <w:p w14:paraId="4DA1C9B4"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52C3D395"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3D98E920"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78" w:type="pct"/>
            <w:tcBorders>
              <w:top w:val="nil"/>
              <w:left w:val="nil"/>
              <w:bottom w:val="single" w:sz="4" w:space="0" w:color="auto"/>
              <w:right w:val="single" w:sz="4" w:space="0" w:color="auto"/>
            </w:tcBorders>
            <w:shd w:val="clear" w:color="auto" w:fill="auto"/>
            <w:noWrap/>
            <w:vAlign w:val="bottom"/>
            <w:hideMark/>
          </w:tcPr>
          <w:p w14:paraId="2E343CFA"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78" w:type="pct"/>
            <w:tcBorders>
              <w:top w:val="nil"/>
              <w:left w:val="nil"/>
              <w:bottom w:val="single" w:sz="4" w:space="0" w:color="auto"/>
              <w:right w:val="single" w:sz="4" w:space="0" w:color="auto"/>
            </w:tcBorders>
            <w:shd w:val="clear" w:color="auto" w:fill="auto"/>
            <w:noWrap/>
            <w:vAlign w:val="bottom"/>
            <w:hideMark/>
          </w:tcPr>
          <w:p w14:paraId="2514202F"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78" w:type="pct"/>
            <w:tcBorders>
              <w:top w:val="nil"/>
              <w:left w:val="nil"/>
              <w:bottom w:val="single" w:sz="4" w:space="0" w:color="auto"/>
              <w:right w:val="single" w:sz="4" w:space="0" w:color="auto"/>
            </w:tcBorders>
            <w:shd w:val="clear" w:color="auto" w:fill="auto"/>
            <w:noWrap/>
            <w:vAlign w:val="bottom"/>
            <w:hideMark/>
          </w:tcPr>
          <w:p w14:paraId="10236AFE"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r>
      <w:tr w:rsidR="00A933EF" w14:paraId="464A2BA0"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6C438C6E"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Trade and other receivables</w:t>
            </w:r>
          </w:p>
        </w:tc>
        <w:tc>
          <w:tcPr>
            <w:tcW w:w="1663" w:type="pct"/>
            <w:tcBorders>
              <w:top w:val="nil"/>
              <w:left w:val="nil"/>
              <w:bottom w:val="single" w:sz="4" w:space="0" w:color="auto"/>
              <w:right w:val="single" w:sz="4" w:space="0" w:color="auto"/>
            </w:tcBorders>
            <w:shd w:val="clear" w:color="auto" w:fill="auto"/>
            <w:noWrap/>
            <w:vAlign w:val="bottom"/>
            <w:hideMark/>
          </w:tcPr>
          <w:p w14:paraId="766F3E03"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24AAE23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38,015</w:t>
            </w:r>
          </w:p>
        </w:tc>
        <w:tc>
          <w:tcPr>
            <w:tcW w:w="452" w:type="pct"/>
            <w:tcBorders>
              <w:top w:val="nil"/>
              <w:left w:val="nil"/>
              <w:bottom w:val="single" w:sz="4" w:space="0" w:color="auto"/>
              <w:right w:val="single" w:sz="4" w:space="0" w:color="auto"/>
            </w:tcBorders>
            <w:shd w:val="clear" w:color="auto" w:fill="auto"/>
            <w:noWrap/>
            <w:vAlign w:val="bottom"/>
            <w:hideMark/>
          </w:tcPr>
          <w:p w14:paraId="4AB52BD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41,749</w:t>
            </w:r>
          </w:p>
        </w:tc>
        <w:tc>
          <w:tcPr>
            <w:tcW w:w="478" w:type="pct"/>
            <w:tcBorders>
              <w:top w:val="nil"/>
              <w:left w:val="nil"/>
              <w:bottom w:val="single" w:sz="4" w:space="0" w:color="auto"/>
              <w:right w:val="single" w:sz="4" w:space="0" w:color="auto"/>
            </w:tcBorders>
            <w:shd w:val="clear" w:color="auto" w:fill="auto"/>
            <w:noWrap/>
            <w:vAlign w:val="bottom"/>
            <w:hideMark/>
          </w:tcPr>
          <w:p w14:paraId="235F214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32,383</w:t>
            </w:r>
          </w:p>
        </w:tc>
        <w:tc>
          <w:tcPr>
            <w:tcW w:w="478" w:type="pct"/>
            <w:tcBorders>
              <w:top w:val="nil"/>
              <w:left w:val="nil"/>
              <w:bottom w:val="single" w:sz="4" w:space="0" w:color="auto"/>
              <w:right w:val="single" w:sz="4" w:space="0" w:color="auto"/>
            </w:tcBorders>
            <w:shd w:val="clear" w:color="auto" w:fill="auto"/>
            <w:noWrap/>
            <w:vAlign w:val="bottom"/>
            <w:hideMark/>
          </w:tcPr>
          <w:p w14:paraId="138D9D8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20,581</w:t>
            </w:r>
          </w:p>
        </w:tc>
        <w:tc>
          <w:tcPr>
            <w:tcW w:w="478" w:type="pct"/>
            <w:tcBorders>
              <w:top w:val="nil"/>
              <w:left w:val="nil"/>
              <w:bottom w:val="single" w:sz="4" w:space="0" w:color="auto"/>
              <w:right w:val="single" w:sz="4" w:space="0" w:color="auto"/>
            </w:tcBorders>
            <w:shd w:val="clear" w:color="auto" w:fill="auto"/>
            <w:noWrap/>
            <w:vAlign w:val="bottom"/>
            <w:hideMark/>
          </w:tcPr>
          <w:p w14:paraId="3AE0347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26,966</w:t>
            </w:r>
          </w:p>
        </w:tc>
      </w:tr>
      <w:tr w:rsidR="00A933EF" w14:paraId="3A0FC95E"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267863E8"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Inventories</w:t>
            </w:r>
          </w:p>
        </w:tc>
        <w:tc>
          <w:tcPr>
            <w:tcW w:w="1663" w:type="pct"/>
            <w:tcBorders>
              <w:top w:val="nil"/>
              <w:left w:val="nil"/>
              <w:bottom w:val="single" w:sz="4" w:space="0" w:color="auto"/>
              <w:right w:val="single" w:sz="4" w:space="0" w:color="auto"/>
            </w:tcBorders>
            <w:shd w:val="clear" w:color="auto" w:fill="auto"/>
            <w:noWrap/>
            <w:vAlign w:val="bottom"/>
            <w:hideMark/>
          </w:tcPr>
          <w:p w14:paraId="739D7965"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7B4707C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25,120</w:t>
            </w:r>
          </w:p>
        </w:tc>
        <w:tc>
          <w:tcPr>
            <w:tcW w:w="452" w:type="pct"/>
            <w:tcBorders>
              <w:top w:val="nil"/>
              <w:left w:val="nil"/>
              <w:bottom w:val="single" w:sz="4" w:space="0" w:color="auto"/>
              <w:right w:val="single" w:sz="4" w:space="0" w:color="auto"/>
            </w:tcBorders>
            <w:shd w:val="clear" w:color="auto" w:fill="auto"/>
            <w:noWrap/>
            <w:vAlign w:val="bottom"/>
            <w:hideMark/>
          </w:tcPr>
          <w:p w14:paraId="6F0279A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24,435</w:t>
            </w:r>
          </w:p>
        </w:tc>
        <w:tc>
          <w:tcPr>
            <w:tcW w:w="478" w:type="pct"/>
            <w:tcBorders>
              <w:top w:val="nil"/>
              <w:left w:val="nil"/>
              <w:bottom w:val="single" w:sz="4" w:space="0" w:color="auto"/>
              <w:right w:val="single" w:sz="4" w:space="0" w:color="auto"/>
            </w:tcBorders>
            <w:shd w:val="clear" w:color="auto" w:fill="auto"/>
            <w:noWrap/>
            <w:vAlign w:val="bottom"/>
            <w:hideMark/>
          </w:tcPr>
          <w:p w14:paraId="4D02724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18,780</w:t>
            </w:r>
          </w:p>
        </w:tc>
        <w:tc>
          <w:tcPr>
            <w:tcW w:w="478" w:type="pct"/>
            <w:tcBorders>
              <w:top w:val="nil"/>
              <w:left w:val="nil"/>
              <w:bottom w:val="single" w:sz="4" w:space="0" w:color="auto"/>
              <w:right w:val="single" w:sz="4" w:space="0" w:color="auto"/>
            </w:tcBorders>
            <w:shd w:val="clear" w:color="auto" w:fill="auto"/>
            <w:noWrap/>
            <w:vAlign w:val="bottom"/>
            <w:hideMark/>
          </w:tcPr>
          <w:p w14:paraId="71E61F6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18,850</w:t>
            </w:r>
          </w:p>
        </w:tc>
        <w:tc>
          <w:tcPr>
            <w:tcW w:w="478" w:type="pct"/>
            <w:tcBorders>
              <w:top w:val="nil"/>
              <w:left w:val="nil"/>
              <w:bottom w:val="single" w:sz="4" w:space="0" w:color="auto"/>
              <w:right w:val="single" w:sz="4" w:space="0" w:color="auto"/>
            </w:tcBorders>
            <w:shd w:val="clear" w:color="auto" w:fill="auto"/>
            <w:noWrap/>
            <w:vAlign w:val="bottom"/>
            <w:hideMark/>
          </w:tcPr>
          <w:p w14:paraId="24505D1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18,528</w:t>
            </w:r>
          </w:p>
        </w:tc>
      </w:tr>
      <w:tr w:rsidR="00A933EF" w14:paraId="212FDD78"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0AACF3B8"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Cash and cash equivalents</w:t>
            </w:r>
          </w:p>
        </w:tc>
        <w:tc>
          <w:tcPr>
            <w:tcW w:w="1663" w:type="pct"/>
            <w:tcBorders>
              <w:top w:val="nil"/>
              <w:left w:val="nil"/>
              <w:bottom w:val="single" w:sz="4" w:space="0" w:color="auto"/>
              <w:right w:val="single" w:sz="4" w:space="0" w:color="auto"/>
            </w:tcBorders>
            <w:shd w:val="clear" w:color="auto" w:fill="auto"/>
            <w:noWrap/>
            <w:vAlign w:val="bottom"/>
            <w:hideMark/>
          </w:tcPr>
          <w:p w14:paraId="280E81C8"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4F95A86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31,568</w:t>
            </w:r>
          </w:p>
        </w:tc>
        <w:tc>
          <w:tcPr>
            <w:tcW w:w="452" w:type="pct"/>
            <w:tcBorders>
              <w:top w:val="nil"/>
              <w:left w:val="nil"/>
              <w:bottom w:val="single" w:sz="4" w:space="0" w:color="auto"/>
              <w:right w:val="single" w:sz="4" w:space="0" w:color="auto"/>
            </w:tcBorders>
            <w:shd w:val="clear" w:color="auto" w:fill="auto"/>
            <w:noWrap/>
            <w:vAlign w:val="bottom"/>
            <w:hideMark/>
          </w:tcPr>
          <w:p w14:paraId="3B69591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29,665</w:t>
            </w:r>
          </w:p>
        </w:tc>
        <w:tc>
          <w:tcPr>
            <w:tcW w:w="478" w:type="pct"/>
            <w:tcBorders>
              <w:top w:val="nil"/>
              <w:left w:val="nil"/>
              <w:bottom w:val="single" w:sz="4" w:space="0" w:color="auto"/>
              <w:right w:val="single" w:sz="4" w:space="0" w:color="auto"/>
            </w:tcBorders>
            <w:shd w:val="clear" w:color="auto" w:fill="auto"/>
            <w:noWrap/>
            <w:vAlign w:val="bottom"/>
            <w:hideMark/>
          </w:tcPr>
          <w:p w14:paraId="538BCEF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6,802</w:t>
            </w:r>
          </w:p>
        </w:tc>
        <w:tc>
          <w:tcPr>
            <w:tcW w:w="478" w:type="pct"/>
            <w:tcBorders>
              <w:top w:val="nil"/>
              <w:left w:val="nil"/>
              <w:bottom w:val="single" w:sz="4" w:space="0" w:color="auto"/>
              <w:right w:val="single" w:sz="4" w:space="0" w:color="auto"/>
            </w:tcBorders>
            <w:shd w:val="clear" w:color="auto" w:fill="auto"/>
            <w:noWrap/>
            <w:vAlign w:val="bottom"/>
            <w:hideMark/>
          </w:tcPr>
          <w:p w14:paraId="35901DD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4,364</w:t>
            </w:r>
          </w:p>
        </w:tc>
        <w:tc>
          <w:tcPr>
            <w:tcW w:w="478" w:type="pct"/>
            <w:tcBorders>
              <w:top w:val="nil"/>
              <w:left w:val="nil"/>
              <w:bottom w:val="single" w:sz="4" w:space="0" w:color="auto"/>
              <w:right w:val="single" w:sz="4" w:space="0" w:color="auto"/>
            </w:tcBorders>
            <w:shd w:val="clear" w:color="auto" w:fill="auto"/>
            <w:noWrap/>
            <w:vAlign w:val="bottom"/>
            <w:hideMark/>
          </w:tcPr>
          <w:p w14:paraId="74D4C25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3,089</w:t>
            </w:r>
          </w:p>
        </w:tc>
      </w:tr>
      <w:tr w:rsidR="00A933EF" w14:paraId="2632375A"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44500D0D"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Current assets</w:t>
            </w:r>
          </w:p>
        </w:tc>
        <w:tc>
          <w:tcPr>
            <w:tcW w:w="1663" w:type="pct"/>
            <w:tcBorders>
              <w:top w:val="nil"/>
              <w:left w:val="nil"/>
              <w:bottom w:val="single" w:sz="4" w:space="0" w:color="auto"/>
              <w:right w:val="single" w:sz="4" w:space="0" w:color="auto"/>
            </w:tcBorders>
            <w:shd w:val="clear" w:color="auto" w:fill="auto"/>
            <w:noWrap/>
            <w:vAlign w:val="bottom"/>
            <w:hideMark/>
          </w:tcPr>
          <w:p w14:paraId="4E117800"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0F356E6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96,609</w:t>
            </w:r>
          </w:p>
        </w:tc>
        <w:tc>
          <w:tcPr>
            <w:tcW w:w="452" w:type="pct"/>
            <w:tcBorders>
              <w:top w:val="nil"/>
              <w:left w:val="nil"/>
              <w:bottom w:val="single" w:sz="4" w:space="0" w:color="auto"/>
              <w:right w:val="single" w:sz="4" w:space="0" w:color="auto"/>
            </w:tcBorders>
            <w:shd w:val="clear" w:color="auto" w:fill="auto"/>
            <w:noWrap/>
            <w:vAlign w:val="bottom"/>
            <w:hideMark/>
          </w:tcPr>
          <w:p w14:paraId="0FD8DCB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97,631</w:t>
            </w:r>
          </w:p>
        </w:tc>
        <w:tc>
          <w:tcPr>
            <w:tcW w:w="478" w:type="pct"/>
            <w:tcBorders>
              <w:top w:val="nil"/>
              <w:left w:val="nil"/>
              <w:bottom w:val="single" w:sz="4" w:space="0" w:color="auto"/>
              <w:right w:val="single" w:sz="4" w:space="0" w:color="auto"/>
            </w:tcBorders>
            <w:shd w:val="clear" w:color="auto" w:fill="auto"/>
            <w:noWrap/>
            <w:vAlign w:val="bottom"/>
            <w:hideMark/>
          </w:tcPr>
          <w:p w14:paraId="0D98A2B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59,154</w:t>
            </w:r>
          </w:p>
        </w:tc>
        <w:tc>
          <w:tcPr>
            <w:tcW w:w="478" w:type="pct"/>
            <w:tcBorders>
              <w:top w:val="nil"/>
              <w:left w:val="nil"/>
              <w:bottom w:val="single" w:sz="4" w:space="0" w:color="auto"/>
              <w:right w:val="single" w:sz="4" w:space="0" w:color="auto"/>
            </w:tcBorders>
            <w:shd w:val="clear" w:color="auto" w:fill="auto"/>
            <w:noWrap/>
            <w:vAlign w:val="bottom"/>
            <w:hideMark/>
          </w:tcPr>
          <w:p w14:paraId="33A7037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44,893</w:t>
            </w:r>
          </w:p>
        </w:tc>
        <w:tc>
          <w:tcPr>
            <w:tcW w:w="478" w:type="pct"/>
            <w:tcBorders>
              <w:top w:val="nil"/>
              <w:left w:val="nil"/>
              <w:bottom w:val="single" w:sz="4" w:space="0" w:color="auto"/>
              <w:right w:val="single" w:sz="4" w:space="0" w:color="auto"/>
            </w:tcBorders>
            <w:shd w:val="clear" w:color="auto" w:fill="auto"/>
            <w:noWrap/>
            <w:vAlign w:val="bottom"/>
            <w:hideMark/>
          </w:tcPr>
          <w:p w14:paraId="293D0D4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50,052</w:t>
            </w:r>
          </w:p>
        </w:tc>
      </w:tr>
      <w:tr w:rsidR="00A933EF" w14:paraId="21C4C429"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6F824F22"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Total asset</w:t>
            </w:r>
          </w:p>
        </w:tc>
        <w:tc>
          <w:tcPr>
            <w:tcW w:w="1663" w:type="pct"/>
            <w:tcBorders>
              <w:top w:val="nil"/>
              <w:left w:val="nil"/>
              <w:bottom w:val="single" w:sz="4" w:space="0" w:color="auto"/>
              <w:right w:val="single" w:sz="4" w:space="0" w:color="auto"/>
            </w:tcBorders>
            <w:shd w:val="clear" w:color="auto" w:fill="auto"/>
            <w:noWrap/>
            <w:vAlign w:val="bottom"/>
            <w:hideMark/>
          </w:tcPr>
          <w:p w14:paraId="7522CA94"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52C27A1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3,76,317</w:t>
            </w:r>
          </w:p>
        </w:tc>
        <w:tc>
          <w:tcPr>
            <w:tcW w:w="452" w:type="pct"/>
            <w:tcBorders>
              <w:top w:val="nil"/>
              <w:left w:val="nil"/>
              <w:bottom w:val="single" w:sz="4" w:space="0" w:color="auto"/>
              <w:right w:val="single" w:sz="4" w:space="0" w:color="auto"/>
            </w:tcBorders>
            <w:shd w:val="clear" w:color="auto" w:fill="auto"/>
            <w:noWrap/>
            <w:vAlign w:val="bottom"/>
            <w:hideMark/>
          </w:tcPr>
          <w:p w14:paraId="09D2949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3,69,067</w:t>
            </w:r>
          </w:p>
        </w:tc>
        <w:tc>
          <w:tcPr>
            <w:tcW w:w="478" w:type="pct"/>
            <w:tcBorders>
              <w:top w:val="nil"/>
              <w:left w:val="nil"/>
              <w:bottom w:val="single" w:sz="4" w:space="0" w:color="auto"/>
              <w:right w:val="single" w:sz="4" w:space="0" w:color="auto"/>
            </w:tcBorders>
            <w:shd w:val="clear" w:color="auto" w:fill="auto"/>
            <w:noWrap/>
            <w:vAlign w:val="bottom"/>
            <w:hideMark/>
          </w:tcPr>
          <w:p w14:paraId="6E9BC66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3,38,923</w:t>
            </w:r>
          </w:p>
        </w:tc>
        <w:tc>
          <w:tcPr>
            <w:tcW w:w="478" w:type="pct"/>
            <w:tcBorders>
              <w:top w:val="nil"/>
              <w:left w:val="nil"/>
              <w:bottom w:val="single" w:sz="4" w:space="0" w:color="auto"/>
              <w:right w:val="single" w:sz="4" w:space="0" w:color="auto"/>
            </w:tcBorders>
            <w:shd w:val="clear" w:color="auto" w:fill="auto"/>
            <w:noWrap/>
            <w:vAlign w:val="bottom"/>
            <w:hideMark/>
          </w:tcPr>
          <w:p w14:paraId="6916BA2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3,32,750</w:t>
            </w:r>
          </w:p>
        </w:tc>
        <w:tc>
          <w:tcPr>
            <w:tcW w:w="478" w:type="pct"/>
            <w:tcBorders>
              <w:top w:val="nil"/>
              <w:left w:val="nil"/>
              <w:bottom w:val="single" w:sz="4" w:space="0" w:color="auto"/>
              <w:right w:val="single" w:sz="4" w:space="0" w:color="auto"/>
            </w:tcBorders>
            <w:shd w:val="clear" w:color="auto" w:fill="auto"/>
            <w:noWrap/>
            <w:vAlign w:val="bottom"/>
            <w:hideMark/>
          </w:tcPr>
          <w:p w14:paraId="27EF48B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3,62,597</w:t>
            </w:r>
          </w:p>
        </w:tc>
      </w:tr>
      <w:tr w:rsidR="00A933EF" w14:paraId="56F83104"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14A6172A"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Trade and other payables</w:t>
            </w:r>
          </w:p>
        </w:tc>
        <w:tc>
          <w:tcPr>
            <w:tcW w:w="1663" w:type="pct"/>
            <w:tcBorders>
              <w:top w:val="nil"/>
              <w:left w:val="nil"/>
              <w:bottom w:val="single" w:sz="4" w:space="0" w:color="auto"/>
              <w:right w:val="single" w:sz="4" w:space="0" w:color="auto"/>
            </w:tcBorders>
            <w:shd w:val="clear" w:color="auto" w:fill="auto"/>
            <w:noWrap/>
            <w:vAlign w:val="bottom"/>
            <w:hideMark/>
          </w:tcPr>
          <w:p w14:paraId="42D35790"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40D2F6B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31,249</w:t>
            </w:r>
          </w:p>
        </w:tc>
        <w:tc>
          <w:tcPr>
            <w:tcW w:w="452" w:type="pct"/>
            <w:tcBorders>
              <w:top w:val="nil"/>
              <w:left w:val="nil"/>
              <w:bottom w:val="single" w:sz="4" w:space="0" w:color="auto"/>
              <w:right w:val="single" w:sz="4" w:space="0" w:color="auto"/>
            </w:tcBorders>
            <w:shd w:val="clear" w:color="auto" w:fill="auto"/>
            <w:noWrap/>
            <w:vAlign w:val="bottom"/>
            <w:hideMark/>
          </w:tcPr>
          <w:p w14:paraId="784FCEA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33,169</w:t>
            </w:r>
          </w:p>
        </w:tc>
        <w:tc>
          <w:tcPr>
            <w:tcW w:w="478" w:type="pct"/>
            <w:tcBorders>
              <w:top w:val="nil"/>
              <w:left w:val="nil"/>
              <w:bottom w:val="single" w:sz="4" w:space="0" w:color="auto"/>
              <w:right w:val="single" w:sz="4" w:space="0" w:color="auto"/>
            </w:tcBorders>
            <w:shd w:val="clear" w:color="auto" w:fill="auto"/>
            <w:noWrap/>
            <w:vAlign w:val="bottom"/>
            <w:hideMark/>
          </w:tcPr>
          <w:p w14:paraId="28B7C66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26,623</w:t>
            </w:r>
          </w:p>
        </w:tc>
        <w:tc>
          <w:tcPr>
            <w:tcW w:w="478" w:type="pct"/>
            <w:tcBorders>
              <w:top w:val="nil"/>
              <w:left w:val="nil"/>
              <w:bottom w:val="single" w:sz="4" w:space="0" w:color="auto"/>
              <w:right w:val="single" w:sz="4" w:space="0" w:color="auto"/>
            </w:tcBorders>
            <w:shd w:val="clear" w:color="auto" w:fill="auto"/>
            <w:noWrap/>
            <w:vAlign w:val="bottom"/>
            <w:hideMark/>
          </w:tcPr>
          <w:p w14:paraId="2D42CF8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17,499</w:t>
            </w:r>
          </w:p>
        </w:tc>
        <w:tc>
          <w:tcPr>
            <w:tcW w:w="478" w:type="pct"/>
            <w:tcBorders>
              <w:top w:val="nil"/>
              <w:left w:val="nil"/>
              <w:bottom w:val="single" w:sz="4" w:space="0" w:color="auto"/>
              <w:right w:val="single" w:sz="4" w:space="0" w:color="auto"/>
            </w:tcBorders>
            <w:shd w:val="clear" w:color="auto" w:fill="auto"/>
            <w:noWrap/>
            <w:vAlign w:val="bottom"/>
            <w:hideMark/>
          </w:tcPr>
          <w:p w14:paraId="772163A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24,694</w:t>
            </w:r>
          </w:p>
        </w:tc>
      </w:tr>
      <w:tr w:rsidR="00A933EF" w14:paraId="0D1F95C9"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0A7D4757"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Current liabilities</w:t>
            </w:r>
          </w:p>
        </w:tc>
        <w:tc>
          <w:tcPr>
            <w:tcW w:w="1663" w:type="pct"/>
            <w:tcBorders>
              <w:top w:val="nil"/>
              <w:left w:val="nil"/>
              <w:bottom w:val="single" w:sz="4" w:space="0" w:color="auto"/>
              <w:right w:val="single" w:sz="4" w:space="0" w:color="auto"/>
            </w:tcBorders>
            <w:shd w:val="clear" w:color="auto" w:fill="auto"/>
            <w:noWrap/>
            <w:vAlign w:val="bottom"/>
            <w:hideMark/>
          </w:tcPr>
          <w:p w14:paraId="032682C4"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7773487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65,316</w:t>
            </w:r>
          </w:p>
        </w:tc>
        <w:tc>
          <w:tcPr>
            <w:tcW w:w="452" w:type="pct"/>
            <w:tcBorders>
              <w:top w:val="nil"/>
              <w:left w:val="nil"/>
              <w:bottom w:val="single" w:sz="4" w:space="0" w:color="auto"/>
              <w:right w:val="single" w:sz="4" w:space="0" w:color="auto"/>
            </w:tcBorders>
            <w:shd w:val="clear" w:color="auto" w:fill="auto"/>
            <w:noWrap/>
            <w:vAlign w:val="bottom"/>
            <w:hideMark/>
          </w:tcPr>
          <w:p w14:paraId="1CB0882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69,045</w:t>
            </w:r>
          </w:p>
        </w:tc>
        <w:tc>
          <w:tcPr>
            <w:tcW w:w="478" w:type="pct"/>
            <w:tcBorders>
              <w:top w:val="nil"/>
              <w:left w:val="nil"/>
              <w:bottom w:val="single" w:sz="4" w:space="0" w:color="auto"/>
              <w:right w:val="single" w:sz="4" w:space="0" w:color="auto"/>
            </w:tcBorders>
            <w:shd w:val="clear" w:color="auto" w:fill="auto"/>
            <w:noWrap/>
            <w:vAlign w:val="bottom"/>
            <w:hideMark/>
          </w:tcPr>
          <w:p w14:paraId="3B6324B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56,643</w:t>
            </w:r>
          </w:p>
        </w:tc>
        <w:tc>
          <w:tcPr>
            <w:tcW w:w="478" w:type="pct"/>
            <w:tcBorders>
              <w:top w:val="nil"/>
              <w:left w:val="nil"/>
              <w:bottom w:val="single" w:sz="4" w:space="0" w:color="auto"/>
              <w:right w:val="single" w:sz="4" w:space="0" w:color="auto"/>
            </w:tcBorders>
            <w:shd w:val="clear" w:color="auto" w:fill="auto"/>
            <w:noWrap/>
            <w:vAlign w:val="bottom"/>
            <w:hideMark/>
          </w:tcPr>
          <w:p w14:paraId="658377C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56,363</w:t>
            </w:r>
          </w:p>
        </w:tc>
        <w:tc>
          <w:tcPr>
            <w:tcW w:w="478" w:type="pct"/>
            <w:tcBorders>
              <w:top w:val="nil"/>
              <w:left w:val="nil"/>
              <w:bottom w:val="single" w:sz="4" w:space="0" w:color="auto"/>
              <w:right w:val="single" w:sz="4" w:space="0" w:color="auto"/>
            </w:tcBorders>
            <w:shd w:val="clear" w:color="auto" w:fill="auto"/>
            <w:noWrap/>
            <w:vAlign w:val="bottom"/>
            <w:hideMark/>
          </w:tcPr>
          <w:p w14:paraId="7F98346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63,989</w:t>
            </w:r>
          </w:p>
        </w:tc>
      </w:tr>
      <w:tr w:rsidR="00A933EF" w14:paraId="114763EC"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0FC1FA64"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Total liabilities</w:t>
            </w:r>
          </w:p>
        </w:tc>
        <w:tc>
          <w:tcPr>
            <w:tcW w:w="1663" w:type="pct"/>
            <w:tcBorders>
              <w:top w:val="nil"/>
              <w:left w:val="nil"/>
              <w:bottom w:val="single" w:sz="4" w:space="0" w:color="auto"/>
              <w:right w:val="single" w:sz="4" w:space="0" w:color="auto"/>
            </w:tcBorders>
            <w:shd w:val="clear" w:color="auto" w:fill="auto"/>
            <w:noWrap/>
            <w:vAlign w:val="bottom"/>
            <w:hideMark/>
          </w:tcPr>
          <w:p w14:paraId="1FAF94EA"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2DF08C8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1,63,779</w:t>
            </w:r>
          </w:p>
        </w:tc>
        <w:tc>
          <w:tcPr>
            <w:tcW w:w="452" w:type="pct"/>
            <w:tcBorders>
              <w:top w:val="nil"/>
              <w:left w:val="nil"/>
              <w:bottom w:val="single" w:sz="4" w:space="0" w:color="auto"/>
              <w:right w:val="single" w:sz="4" w:space="0" w:color="auto"/>
            </w:tcBorders>
            <w:shd w:val="clear" w:color="auto" w:fill="auto"/>
            <w:noWrap/>
            <w:vAlign w:val="bottom"/>
            <w:hideMark/>
          </w:tcPr>
          <w:p w14:paraId="004C07B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1,66,594</w:t>
            </w:r>
          </w:p>
        </w:tc>
        <w:tc>
          <w:tcPr>
            <w:tcW w:w="478" w:type="pct"/>
            <w:tcBorders>
              <w:top w:val="nil"/>
              <w:left w:val="nil"/>
              <w:bottom w:val="single" w:sz="4" w:space="0" w:color="auto"/>
              <w:right w:val="single" w:sz="4" w:space="0" w:color="auto"/>
            </w:tcBorders>
            <w:shd w:val="clear" w:color="auto" w:fill="auto"/>
            <w:noWrap/>
            <w:vAlign w:val="bottom"/>
            <w:hideMark/>
          </w:tcPr>
          <w:p w14:paraId="7FD1985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1,63,240</w:t>
            </w:r>
          </w:p>
        </w:tc>
        <w:tc>
          <w:tcPr>
            <w:tcW w:w="478" w:type="pct"/>
            <w:tcBorders>
              <w:top w:val="nil"/>
              <w:left w:val="nil"/>
              <w:bottom w:val="single" w:sz="4" w:space="0" w:color="auto"/>
              <w:right w:val="single" w:sz="4" w:space="0" w:color="auto"/>
            </w:tcBorders>
            <w:shd w:val="clear" w:color="auto" w:fill="auto"/>
            <w:noWrap/>
            <w:vAlign w:val="bottom"/>
            <w:hideMark/>
          </w:tcPr>
          <w:p w14:paraId="26CDB0F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1,68,620</w:t>
            </w:r>
          </w:p>
        </w:tc>
        <w:tc>
          <w:tcPr>
            <w:tcW w:w="478" w:type="pct"/>
            <w:tcBorders>
              <w:top w:val="nil"/>
              <w:left w:val="nil"/>
              <w:bottom w:val="single" w:sz="4" w:space="0" w:color="auto"/>
              <w:right w:val="single" w:sz="4" w:space="0" w:color="auto"/>
            </w:tcBorders>
            <w:shd w:val="clear" w:color="auto" w:fill="auto"/>
            <w:noWrap/>
            <w:vAlign w:val="bottom"/>
            <w:hideMark/>
          </w:tcPr>
          <w:p w14:paraId="3C0B1C3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1,63,659</w:t>
            </w:r>
          </w:p>
        </w:tc>
      </w:tr>
      <w:tr w:rsidR="00A933EF" w14:paraId="128A95F6"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7AD10FB3"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Equity</w:t>
            </w:r>
          </w:p>
        </w:tc>
        <w:tc>
          <w:tcPr>
            <w:tcW w:w="1663" w:type="pct"/>
            <w:tcBorders>
              <w:top w:val="nil"/>
              <w:left w:val="nil"/>
              <w:bottom w:val="single" w:sz="4" w:space="0" w:color="auto"/>
              <w:right w:val="single" w:sz="4" w:space="0" w:color="auto"/>
            </w:tcBorders>
            <w:shd w:val="clear" w:color="auto" w:fill="auto"/>
            <w:noWrap/>
            <w:vAlign w:val="bottom"/>
            <w:hideMark/>
          </w:tcPr>
          <w:p w14:paraId="4154445B"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52" w:type="pct"/>
            <w:tcBorders>
              <w:top w:val="nil"/>
              <w:left w:val="nil"/>
              <w:bottom w:val="single" w:sz="4" w:space="0" w:color="auto"/>
              <w:right w:val="single" w:sz="4" w:space="0" w:color="auto"/>
            </w:tcBorders>
            <w:shd w:val="clear" w:color="auto" w:fill="auto"/>
            <w:noWrap/>
            <w:vAlign w:val="bottom"/>
            <w:hideMark/>
          </w:tcPr>
          <w:p w14:paraId="58CF3A7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2,92,64,213</w:t>
            </w:r>
          </w:p>
        </w:tc>
        <w:tc>
          <w:tcPr>
            <w:tcW w:w="452" w:type="pct"/>
            <w:tcBorders>
              <w:top w:val="nil"/>
              <w:left w:val="nil"/>
              <w:bottom w:val="single" w:sz="4" w:space="0" w:color="auto"/>
              <w:right w:val="single" w:sz="4" w:space="0" w:color="auto"/>
            </w:tcBorders>
            <w:shd w:val="clear" w:color="auto" w:fill="auto"/>
            <w:noWrap/>
            <w:vAlign w:val="bottom"/>
            <w:hideMark/>
          </w:tcPr>
          <w:p w14:paraId="2103A8A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2,71,54,820</w:t>
            </w:r>
          </w:p>
        </w:tc>
        <w:tc>
          <w:tcPr>
            <w:tcW w:w="478" w:type="pct"/>
            <w:tcBorders>
              <w:top w:val="nil"/>
              <w:left w:val="nil"/>
              <w:bottom w:val="single" w:sz="4" w:space="0" w:color="auto"/>
              <w:right w:val="single" w:sz="4" w:space="0" w:color="auto"/>
            </w:tcBorders>
            <w:shd w:val="clear" w:color="auto" w:fill="auto"/>
            <w:noWrap/>
            <w:vAlign w:val="bottom"/>
            <w:hideMark/>
          </w:tcPr>
          <w:p w14:paraId="246AB17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2,42,88,329</w:t>
            </w:r>
          </w:p>
        </w:tc>
        <w:tc>
          <w:tcPr>
            <w:tcW w:w="478" w:type="pct"/>
            <w:tcBorders>
              <w:top w:val="nil"/>
              <w:left w:val="nil"/>
              <w:bottom w:val="single" w:sz="4" w:space="0" w:color="auto"/>
              <w:right w:val="single" w:sz="4" w:space="0" w:color="auto"/>
            </w:tcBorders>
            <w:shd w:val="clear" w:color="auto" w:fill="auto"/>
            <w:noWrap/>
            <w:vAlign w:val="bottom"/>
            <w:hideMark/>
          </w:tcPr>
          <w:p w14:paraId="2C26FA0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2,13,39,012</w:t>
            </w:r>
          </w:p>
        </w:tc>
        <w:tc>
          <w:tcPr>
            <w:tcW w:w="478" w:type="pct"/>
            <w:tcBorders>
              <w:top w:val="nil"/>
              <w:left w:val="nil"/>
              <w:bottom w:val="single" w:sz="4" w:space="0" w:color="auto"/>
              <w:right w:val="single" w:sz="4" w:space="0" w:color="auto"/>
            </w:tcBorders>
            <w:shd w:val="clear" w:color="auto" w:fill="auto"/>
            <w:noWrap/>
            <w:vAlign w:val="bottom"/>
            <w:hideMark/>
          </w:tcPr>
          <w:p w14:paraId="6E5373B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2,05,65,210</w:t>
            </w:r>
          </w:p>
        </w:tc>
      </w:tr>
      <w:tr w:rsidR="00A933EF" w14:paraId="7803F715" w14:textId="77777777" w:rsidTr="0044406A">
        <w:trPr>
          <w:trHeight w:val="310"/>
        </w:trPr>
        <w:tc>
          <w:tcPr>
            <w:tcW w:w="999" w:type="pct"/>
            <w:tcBorders>
              <w:top w:val="nil"/>
              <w:left w:val="nil"/>
              <w:bottom w:val="nil"/>
              <w:right w:val="nil"/>
            </w:tcBorders>
            <w:shd w:val="clear" w:color="auto" w:fill="auto"/>
            <w:noWrap/>
            <w:vAlign w:val="bottom"/>
            <w:hideMark/>
          </w:tcPr>
          <w:p w14:paraId="69A7C2A0" w14:textId="77777777" w:rsidR="00E079C5" w:rsidRPr="00297091" w:rsidRDefault="00E079C5" w:rsidP="0044406A">
            <w:pPr>
              <w:spacing w:before="0" w:after="0" w:line="240" w:lineRule="auto"/>
              <w:jc w:val="right"/>
              <w:rPr>
                <w:rFonts w:eastAsia="Times New Roman" w:cs="Times New Roman"/>
                <w:color w:val="000000"/>
                <w:szCs w:val="24"/>
                <w:lang w:eastAsia="en-IN"/>
              </w:rPr>
            </w:pPr>
          </w:p>
        </w:tc>
        <w:tc>
          <w:tcPr>
            <w:tcW w:w="1663" w:type="pct"/>
            <w:tcBorders>
              <w:top w:val="nil"/>
              <w:left w:val="nil"/>
              <w:bottom w:val="nil"/>
              <w:right w:val="nil"/>
            </w:tcBorders>
            <w:shd w:val="clear" w:color="auto" w:fill="auto"/>
            <w:noWrap/>
            <w:vAlign w:val="bottom"/>
            <w:hideMark/>
          </w:tcPr>
          <w:p w14:paraId="63E2602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7E904EF9"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0132A23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0E86DAB3"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6680C504"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75131470"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3436C8CD" w14:textId="77777777" w:rsidTr="0044406A">
        <w:trPr>
          <w:trHeight w:val="310"/>
        </w:trPr>
        <w:tc>
          <w:tcPr>
            <w:tcW w:w="999" w:type="pct"/>
            <w:tcBorders>
              <w:top w:val="nil"/>
              <w:left w:val="nil"/>
              <w:bottom w:val="nil"/>
              <w:right w:val="nil"/>
            </w:tcBorders>
            <w:shd w:val="clear" w:color="auto" w:fill="auto"/>
            <w:noWrap/>
            <w:vAlign w:val="bottom"/>
            <w:hideMark/>
          </w:tcPr>
          <w:p w14:paraId="4B2ADE22"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663" w:type="pct"/>
            <w:tcBorders>
              <w:top w:val="nil"/>
              <w:left w:val="nil"/>
              <w:bottom w:val="nil"/>
              <w:right w:val="nil"/>
            </w:tcBorders>
            <w:shd w:val="clear" w:color="auto" w:fill="auto"/>
            <w:noWrap/>
            <w:vAlign w:val="bottom"/>
            <w:hideMark/>
          </w:tcPr>
          <w:p w14:paraId="4698A1C8"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688350E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10C42A5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50999683"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2F2FF4EF"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5DD44A64"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4C5B2696" w14:textId="77777777" w:rsidTr="0044406A">
        <w:trPr>
          <w:trHeight w:val="310"/>
        </w:trPr>
        <w:tc>
          <w:tcPr>
            <w:tcW w:w="999" w:type="pct"/>
            <w:tcBorders>
              <w:top w:val="nil"/>
              <w:left w:val="nil"/>
              <w:bottom w:val="nil"/>
              <w:right w:val="nil"/>
            </w:tcBorders>
            <w:shd w:val="clear" w:color="auto" w:fill="auto"/>
            <w:noWrap/>
            <w:vAlign w:val="bottom"/>
            <w:hideMark/>
          </w:tcPr>
          <w:p w14:paraId="34C23E95"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663" w:type="pct"/>
            <w:tcBorders>
              <w:top w:val="nil"/>
              <w:left w:val="nil"/>
              <w:bottom w:val="nil"/>
              <w:right w:val="nil"/>
            </w:tcBorders>
            <w:shd w:val="clear" w:color="auto" w:fill="auto"/>
            <w:noWrap/>
            <w:vAlign w:val="bottom"/>
            <w:hideMark/>
          </w:tcPr>
          <w:p w14:paraId="1AE7B95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46BEF974"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2774BAB9"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442C0E0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692396B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155A82DD"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0AEE0DB0" w14:textId="77777777" w:rsidTr="0044406A">
        <w:trPr>
          <w:trHeight w:val="310"/>
        </w:trPr>
        <w:tc>
          <w:tcPr>
            <w:tcW w:w="999" w:type="pct"/>
            <w:tcBorders>
              <w:top w:val="nil"/>
              <w:left w:val="nil"/>
              <w:bottom w:val="nil"/>
              <w:right w:val="nil"/>
            </w:tcBorders>
            <w:shd w:val="clear" w:color="auto" w:fill="auto"/>
            <w:noWrap/>
            <w:vAlign w:val="bottom"/>
            <w:hideMark/>
          </w:tcPr>
          <w:p w14:paraId="5FE41B36"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663" w:type="pct"/>
            <w:tcBorders>
              <w:top w:val="nil"/>
              <w:left w:val="nil"/>
              <w:bottom w:val="nil"/>
              <w:right w:val="nil"/>
            </w:tcBorders>
            <w:shd w:val="clear" w:color="auto" w:fill="auto"/>
            <w:noWrap/>
            <w:vAlign w:val="bottom"/>
            <w:hideMark/>
          </w:tcPr>
          <w:p w14:paraId="4CF4D4D6"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6795F6FF"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7F318BF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2AD49D0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39995596"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4A7523DF"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17E06990" w14:textId="77777777" w:rsidTr="0044406A">
        <w:trPr>
          <w:trHeight w:val="310"/>
        </w:trPr>
        <w:tc>
          <w:tcPr>
            <w:tcW w:w="3566" w:type="pct"/>
            <w:gridSpan w:val="4"/>
            <w:tcBorders>
              <w:top w:val="nil"/>
              <w:left w:val="nil"/>
              <w:bottom w:val="nil"/>
              <w:right w:val="nil"/>
            </w:tcBorders>
            <w:shd w:val="clear" w:color="auto" w:fill="auto"/>
            <w:noWrap/>
            <w:vAlign w:val="bottom"/>
            <w:hideMark/>
          </w:tcPr>
          <w:p w14:paraId="698FCD16"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 xml:space="preserve">Ratio analysis </w:t>
            </w:r>
          </w:p>
        </w:tc>
        <w:tc>
          <w:tcPr>
            <w:tcW w:w="478" w:type="pct"/>
            <w:tcBorders>
              <w:top w:val="nil"/>
              <w:left w:val="nil"/>
              <w:bottom w:val="nil"/>
              <w:right w:val="nil"/>
            </w:tcBorders>
            <w:shd w:val="clear" w:color="auto" w:fill="auto"/>
            <w:noWrap/>
            <w:vAlign w:val="bottom"/>
            <w:hideMark/>
          </w:tcPr>
          <w:p w14:paraId="4CBBAF04" w14:textId="77777777" w:rsidR="00E079C5" w:rsidRPr="00297091" w:rsidRDefault="00E079C5" w:rsidP="0044406A">
            <w:pPr>
              <w:spacing w:before="0" w:after="0" w:line="240" w:lineRule="auto"/>
              <w:jc w:val="center"/>
              <w:rPr>
                <w:rFonts w:eastAsia="Times New Roman" w:cs="Times New Roman"/>
                <w:b/>
                <w:bCs/>
                <w:color w:val="000000"/>
                <w:szCs w:val="24"/>
                <w:lang w:eastAsia="en-IN"/>
              </w:rPr>
            </w:pPr>
          </w:p>
        </w:tc>
        <w:tc>
          <w:tcPr>
            <w:tcW w:w="478" w:type="pct"/>
            <w:tcBorders>
              <w:top w:val="nil"/>
              <w:left w:val="nil"/>
              <w:bottom w:val="nil"/>
              <w:right w:val="nil"/>
            </w:tcBorders>
            <w:shd w:val="clear" w:color="auto" w:fill="auto"/>
            <w:noWrap/>
            <w:vAlign w:val="bottom"/>
            <w:hideMark/>
          </w:tcPr>
          <w:p w14:paraId="5736071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4EBBDB7F"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7281E3AA" w14:textId="77777777" w:rsidTr="0044406A">
        <w:trPr>
          <w:trHeight w:val="310"/>
        </w:trPr>
        <w:tc>
          <w:tcPr>
            <w:tcW w:w="999" w:type="pct"/>
            <w:tcBorders>
              <w:top w:val="nil"/>
              <w:left w:val="nil"/>
              <w:bottom w:val="nil"/>
              <w:right w:val="nil"/>
            </w:tcBorders>
            <w:shd w:val="clear" w:color="auto" w:fill="auto"/>
            <w:noWrap/>
            <w:vAlign w:val="bottom"/>
            <w:hideMark/>
          </w:tcPr>
          <w:p w14:paraId="173E654C"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663" w:type="pct"/>
            <w:tcBorders>
              <w:top w:val="nil"/>
              <w:left w:val="nil"/>
              <w:bottom w:val="nil"/>
              <w:right w:val="nil"/>
            </w:tcBorders>
            <w:shd w:val="clear" w:color="auto" w:fill="auto"/>
            <w:noWrap/>
            <w:vAlign w:val="bottom"/>
            <w:hideMark/>
          </w:tcPr>
          <w:p w14:paraId="4FC0DFFD"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355DBC69"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6811D744"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0F7C44B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2D64E15F"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1226B888"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5EF77094" w14:textId="77777777" w:rsidTr="0044406A">
        <w:trPr>
          <w:trHeight w:val="310"/>
        </w:trPr>
        <w:tc>
          <w:tcPr>
            <w:tcW w:w="99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07DBAD"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1663" w:type="pct"/>
            <w:tcBorders>
              <w:top w:val="single" w:sz="4" w:space="0" w:color="auto"/>
              <w:left w:val="nil"/>
              <w:bottom w:val="single" w:sz="4" w:space="0" w:color="auto"/>
              <w:right w:val="single" w:sz="4" w:space="0" w:color="auto"/>
            </w:tcBorders>
            <w:shd w:val="clear" w:color="auto" w:fill="auto"/>
            <w:noWrap/>
            <w:vAlign w:val="bottom"/>
            <w:hideMark/>
          </w:tcPr>
          <w:p w14:paraId="548383D7"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2338" w:type="pct"/>
            <w:gridSpan w:val="5"/>
            <w:tcBorders>
              <w:top w:val="single" w:sz="4" w:space="0" w:color="auto"/>
              <w:left w:val="nil"/>
              <w:bottom w:val="single" w:sz="4" w:space="0" w:color="auto"/>
              <w:right w:val="single" w:sz="4" w:space="0" w:color="000000"/>
            </w:tcBorders>
            <w:shd w:val="clear" w:color="auto" w:fill="auto"/>
            <w:noWrap/>
            <w:vAlign w:val="bottom"/>
            <w:hideMark/>
          </w:tcPr>
          <w:p w14:paraId="5465C305"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Exxon Mobil</w:t>
            </w:r>
          </w:p>
        </w:tc>
      </w:tr>
      <w:tr w:rsidR="00A933EF" w14:paraId="5F652F85"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55A6CED5"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Gross Margin</w:t>
            </w:r>
          </w:p>
        </w:tc>
        <w:tc>
          <w:tcPr>
            <w:tcW w:w="1663" w:type="pct"/>
            <w:tcBorders>
              <w:top w:val="nil"/>
              <w:left w:val="nil"/>
              <w:bottom w:val="single" w:sz="4" w:space="0" w:color="auto"/>
              <w:right w:val="single" w:sz="4" w:space="0" w:color="auto"/>
            </w:tcBorders>
            <w:shd w:val="clear" w:color="auto" w:fill="auto"/>
            <w:noWrap/>
            <w:vAlign w:val="bottom"/>
            <w:hideMark/>
          </w:tcPr>
          <w:p w14:paraId="7B599EE3"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Gross Profit/Sales revenue</w:t>
            </w:r>
          </w:p>
        </w:tc>
        <w:tc>
          <w:tcPr>
            <w:tcW w:w="452" w:type="pct"/>
            <w:tcBorders>
              <w:top w:val="nil"/>
              <w:left w:val="nil"/>
              <w:bottom w:val="single" w:sz="4" w:space="0" w:color="auto"/>
              <w:right w:val="single" w:sz="4" w:space="0" w:color="auto"/>
            </w:tcBorders>
            <w:shd w:val="clear" w:color="auto" w:fill="auto"/>
            <w:noWrap/>
            <w:vAlign w:val="bottom"/>
            <w:hideMark/>
          </w:tcPr>
          <w:p w14:paraId="38315EA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24.67%</w:t>
            </w:r>
          </w:p>
        </w:tc>
        <w:tc>
          <w:tcPr>
            <w:tcW w:w="452" w:type="pct"/>
            <w:tcBorders>
              <w:top w:val="nil"/>
              <w:left w:val="nil"/>
              <w:bottom w:val="single" w:sz="4" w:space="0" w:color="auto"/>
              <w:right w:val="single" w:sz="4" w:space="0" w:color="auto"/>
            </w:tcBorders>
            <w:shd w:val="clear" w:color="auto" w:fill="auto"/>
            <w:noWrap/>
            <w:vAlign w:val="bottom"/>
            <w:hideMark/>
          </w:tcPr>
          <w:p w14:paraId="590A088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25.84%</w:t>
            </w:r>
          </w:p>
        </w:tc>
        <w:tc>
          <w:tcPr>
            <w:tcW w:w="478" w:type="pct"/>
            <w:tcBorders>
              <w:top w:val="nil"/>
              <w:left w:val="nil"/>
              <w:bottom w:val="single" w:sz="4" w:space="0" w:color="auto"/>
              <w:right w:val="single" w:sz="4" w:space="0" w:color="auto"/>
            </w:tcBorders>
            <w:shd w:val="clear" w:color="auto" w:fill="auto"/>
            <w:noWrap/>
            <w:vAlign w:val="bottom"/>
            <w:hideMark/>
          </w:tcPr>
          <w:p w14:paraId="70F73D7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24.10%</w:t>
            </w:r>
          </w:p>
        </w:tc>
        <w:tc>
          <w:tcPr>
            <w:tcW w:w="478" w:type="pct"/>
            <w:tcBorders>
              <w:top w:val="nil"/>
              <w:left w:val="nil"/>
              <w:bottom w:val="single" w:sz="4" w:space="0" w:color="auto"/>
              <w:right w:val="single" w:sz="4" w:space="0" w:color="auto"/>
            </w:tcBorders>
            <w:shd w:val="clear" w:color="auto" w:fill="auto"/>
            <w:noWrap/>
            <w:vAlign w:val="bottom"/>
            <w:hideMark/>
          </w:tcPr>
          <w:p w14:paraId="57FF326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18.04%</w:t>
            </w:r>
          </w:p>
        </w:tc>
        <w:tc>
          <w:tcPr>
            <w:tcW w:w="478" w:type="pct"/>
            <w:tcBorders>
              <w:top w:val="nil"/>
              <w:left w:val="nil"/>
              <w:bottom w:val="single" w:sz="4" w:space="0" w:color="auto"/>
              <w:right w:val="single" w:sz="4" w:space="0" w:color="auto"/>
            </w:tcBorders>
            <w:shd w:val="clear" w:color="auto" w:fill="auto"/>
            <w:noWrap/>
            <w:vAlign w:val="bottom"/>
            <w:hideMark/>
          </w:tcPr>
          <w:p w14:paraId="743CE68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21.49%</w:t>
            </w:r>
          </w:p>
        </w:tc>
      </w:tr>
      <w:tr w:rsidR="00A933EF" w14:paraId="69FB0C68" w14:textId="77777777" w:rsidTr="0044406A">
        <w:trPr>
          <w:trHeight w:val="42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47DCF707"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Return on capital employed</w:t>
            </w:r>
          </w:p>
        </w:tc>
        <w:tc>
          <w:tcPr>
            <w:tcW w:w="1663" w:type="pct"/>
            <w:tcBorders>
              <w:top w:val="nil"/>
              <w:left w:val="nil"/>
              <w:bottom w:val="single" w:sz="4" w:space="0" w:color="auto"/>
              <w:right w:val="single" w:sz="4" w:space="0" w:color="auto"/>
            </w:tcBorders>
            <w:shd w:val="clear" w:color="auto" w:fill="auto"/>
            <w:noWrap/>
            <w:vAlign w:val="bottom"/>
            <w:hideMark/>
          </w:tcPr>
          <w:p w14:paraId="02FDAF19"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EBIT/ Total asset- Total current liabilities</w:t>
            </w:r>
          </w:p>
        </w:tc>
        <w:tc>
          <w:tcPr>
            <w:tcW w:w="452" w:type="pct"/>
            <w:tcBorders>
              <w:top w:val="nil"/>
              <w:left w:val="nil"/>
              <w:bottom w:val="single" w:sz="4" w:space="0" w:color="auto"/>
              <w:right w:val="single" w:sz="4" w:space="0" w:color="auto"/>
            </w:tcBorders>
            <w:shd w:val="clear" w:color="auto" w:fill="auto"/>
            <w:noWrap/>
            <w:vAlign w:val="bottom"/>
            <w:hideMark/>
          </w:tcPr>
          <w:p w14:paraId="5933069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13.95%</w:t>
            </w:r>
          </w:p>
        </w:tc>
        <w:tc>
          <w:tcPr>
            <w:tcW w:w="452" w:type="pct"/>
            <w:tcBorders>
              <w:top w:val="nil"/>
              <w:left w:val="nil"/>
              <w:bottom w:val="single" w:sz="4" w:space="0" w:color="auto"/>
              <w:right w:val="single" w:sz="4" w:space="0" w:color="auto"/>
            </w:tcBorders>
            <w:shd w:val="clear" w:color="auto" w:fill="auto"/>
            <w:noWrap/>
            <w:vAlign w:val="bottom"/>
            <w:hideMark/>
          </w:tcPr>
          <w:p w14:paraId="15914ED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21.82%</w:t>
            </w:r>
          </w:p>
        </w:tc>
        <w:tc>
          <w:tcPr>
            <w:tcW w:w="478" w:type="pct"/>
            <w:tcBorders>
              <w:top w:val="nil"/>
              <w:left w:val="nil"/>
              <w:bottom w:val="single" w:sz="4" w:space="0" w:color="auto"/>
              <w:right w:val="single" w:sz="4" w:space="0" w:color="auto"/>
            </w:tcBorders>
            <w:shd w:val="clear" w:color="auto" w:fill="auto"/>
            <w:noWrap/>
            <w:vAlign w:val="bottom"/>
            <w:hideMark/>
          </w:tcPr>
          <w:p w14:paraId="02895EA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9.84%</w:t>
            </w:r>
          </w:p>
        </w:tc>
        <w:tc>
          <w:tcPr>
            <w:tcW w:w="478" w:type="pct"/>
            <w:tcBorders>
              <w:top w:val="nil"/>
              <w:left w:val="nil"/>
              <w:bottom w:val="single" w:sz="4" w:space="0" w:color="auto"/>
              <w:right w:val="single" w:sz="4" w:space="0" w:color="auto"/>
            </w:tcBorders>
            <w:shd w:val="clear" w:color="auto" w:fill="auto"/>
            <w:noWrap/>
            <w:vAlign w:val="bottom"/>
            <w:hideMark/>
          </w:tcPr>
          <w:p w14:paraId="6AFFEA8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-1.50%</w:t>
            </w:r>
          </w:p>
        </w:tc>
        <w:tc>
          <w:tcPr>
            <w:tcW w:w="478" w:type="pct"/>
            <w:tcBorders>
              <w:top w:val="nil"/>
              <w:left w:val="nil"/>
              <w:bottom w:val="single" w:sz="4" w:space="0" w:color="auto"/>
              <w:right w:val="single" w:sz="4" w:space="0" w:color="auto"/>
            </w:tcBorders>
            <w:shd w:val="clear" w:color="auto" w:fill="auto"/>
            <w:noWrap/>
            <w:vAlign w:val="bottom"/>
            <w:hideMark/>
          </w:tcPr>
          <w:p w14:paraId="76D5250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3.97%</w:t>
            </w:r>
          </w:p>
        </w:tc>
      </w:tr>
      <w:tr w:rsidR="00A933EF" w14:paraId="4510CD89" w14:textId="77777777" w:rsidTr="0044406A">
        <w:trPr>
          <w:trHeight w:val="310"/>
        </w:trPr>
        <w:tc>
          <w:tcPr>
            <w:tcW w:w="999" w:type="pct"/>
            <w:tcBorders>
              <w:top w:val="nil"/>
              <w:left w:val="nil"/>
              <w:bottom w:val="nil"/>
              <w:right w:val="nil"/>
            </w:tcBorders>
            <w:shd w:val="clear" w:color="auto" w:fill="auto"/>
            <w:noWrap/>
            <w:vAlign w:val="bottom"/>
            <w:hideMark/>
          </w:tcPr>
          <w:p w14:paraId="5F17E3E5" w14:textId="77777777" w:rsidR="00E079C5" w:rsidRPr="00297091" w:rsidRDefault="00E079C5" w:rsidP="0044406A">
            <w:pPr>
              <w:spacing w:before="0" w:after="0" w:line="240" w:lineRule="auto"/>
              <w:jc w:val="left"/>
              <w:rPr>
                <w:rFonts w:eastAsia="Times New Roman" w:cs="Times New Roman"/>
                <w:color w:val="000000"/>
                <w:szCs w:val="24"/>
                <w:lang w:eastAsia="en-IN"/>
              </w:rPr>
            </w:pPr>
          </w:p>
        </w:tc>
        <w:tc>
          <w:tcPr>
            <w:tcW w:w="1663" w:type="pct"/>
            <w:tcBorders>
              <w:top w:val="nil"/>
              <w:left w:val="nil"/>
              <w:bottom w:val="nil"/>
              <w:right w:val="nil"/>
            </w:tcBorders>
            <w:shd w:val="clear" w:color="auto" w:fill="auto"/>
            <w:noWrap/>
            <w:vAlign w:val="bottom"/>
            <w:hideMark/>
          </w:tcPr>
          <w:p w14:paraId="328EBA88" w14:textId="77777777" w:rsidR="00E079C5" w:rsidRPr="00297091" w:rsidRDefault="00E079C5" w:rsidP="0044406A">
            <w:pPr>
              <w:spacing w:before="0" w:after="0" w:line="240" w:lineRule="auto"/>
              <w:jc w:val="left"/>
              <w:rPr>
                <w:rFonts w:eastAsia="Times New Roman" w:cs="Times New Roman"/>
                <w:color w:val="000000"/>
                <w:szCs w:val="24"/>
                <w:lang w:eastAsia="en-IN"/>
              </w:rPr>
            </w:pPr>
          </w:p>
        </w:tc>
        <w:tc>
          <w:tcPr>
            <w:tcW w:w="452" w:type="pct"/>
            <w:tcBorders>
              <w:top w:val="nil"/>
              <w:left w:val="nil"/>
              <w:bottom w:val="nil"/>
              <w:right w:val="nil"/>
            </w:tcBorders>
            <w:shd w:val="clear" w:color="auto" w:fill="auto"/>
            <w:noWrap/>
            <w:vAlign w:val="bottom"/>
            <w:hideMark/>
          </w:tcPr>
          <w:p w14:paraId="2896D44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3D5AEF6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649F180F"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466AE8E4"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0E754CD2"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0FDE9C71" w14:textId="77777777" w:rsidTr="0044406A">
        <w:trPr>
          <w:trHeight w:val="310"/>
        </w:trPr>
        <w:tc>
          <w:tcPr>
            <w:tcW w:w="999" w:type="pct"/>
            <w:tcBorders>
              <w:top w:val="nil"/>
              <w:left w:val="nil"/>
              <w:bottom w:val="nil"/>
              <w:right w:val="nil"/>
            </w:tcBorders>
            <w:shd w:val="clear" w:color="auto" w:fill="auto"/>
            <w:noWrap/>
            <w:vAlign w:val="bottom"/>
            <w:hideMark/>
          </w:tcPr>
          <w:p w14:paraId="30A9D1E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663" w:type="pct"/>
            <w:tcBorders>
              <w:top w:val="nil"/>
              <w:left w:val="nil"/>
              <w:bottom w:val="nil"/>
              <w:right w:val="nil"/>
            </w:tcBorders>
            <w:shd w:val="clear" w:color="auto" w:fill="auto"/>
            <w:noWrap/>
            <w:vAlign w:val="bottom"/>
            <w:hideMark/>
          </w:tcPr>
          <w:p w14:paraId="7DE6F358"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2012620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7C480933"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7295D51F"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791E002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0EF95FD8"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562560B0" w14:textId="77777777" w:rsidTr="0044406A">
        <w:trPr>
          <w:trHeight w:val="310"/>
        </w:trPr>
        <w:tc>
          <w:tcPr>
            <w:tcW w:w="99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244CA7"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Current Ratio</w:t>
            </w:r>
          </w:p>
        </w:tc>
        <w:tc>
          <w:tcPr>
            <w:tcW w:w="1663" w:type="pct"/>
            <w:tcBorders>
              <w:top w:val="single" w:sz="4" w:space="0" w:color="auto"/>
              <w:left w:val="nil"/>
              <w:bottom w:val="single" w:sz="4" w:space="0" w:color="auto"/>
              <w:right w:val="single" w:sz="4" w:space="0" w:color="auto"/>
            </w:tcBorders>
            <w:shd w:val="clear" w:color="auto" w:fill="auto"/>
            <w:noWrap/>
            <w:vAlign w:val="bottom"/>
            <w:hideMark/>
          </w:tcPr>
          <w:p w14:paraId="0D9D85F4"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Current assets/Current liabilities</w:t>
            </w:r>
          </w:p>
        </w:tc>
        <w:tc>
          <w:tcPr>
            <w:tcW w:w="452" w:type="pct"/>
            <w:tcBorders>
              <w:top w:val="single" w:sz="4" w:space="0" w:color="auto"/>
              <w:left w:val="nil"/>
              <w:bottom w:val="single" w:sz="4" w:space="0" w:color="auto"/>
              <w:right w:val="single" w:sz="4" w:space="0" w:color="auto"/>
            </w:tcBorders>
            <w:shd w:val="clear" w:color="auto" w:fill="auto"/>
            <w:noWrap/>
            <w:vAlign w:val="bottom"/>
            <w:hideMark/>
          </w:tcPr>
          <w:p w14:paraId="6F28889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1.479101598</w:t>
            </w:r>
          </w:p>
        </w:tc>
        <w:tc>
          <w:tcPr>
            <w:tcW w:w="452" w:type="pct"/>
            <w:tcBorders>
              <w:top w:val="single" w:sz="4" w:space="0" w:color="auto"/>
              <w:left w:val="nil"/>
              <w:bottom w:val="single" w:sz="4" w:space="0" w:color="auto"/>
              <w:right w:val="single" w:sz="4" w:space="0" w:color="auto"/>
            </w:tcBorders>
            <w:shd w:val="clear" w:color="auto" w:fill="auto"/>
            <w:noWrap/>
            <w:vAlign w:val="bottom"/>
            <w:hideMark/>
          </w:tcPr>
          <w:p w14:paraId="010D672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1.414019842</w:t>
            </w:r>
          </w:p>
        </w:tc>
        <w:tc>
          <w:tcPr>
            <w:tcW w:w="478" w:type="pct"/>
            <w:tcBorders>
              <w:top w:val="single" w:sz="4" w:space="0" w:color="auto"/>
              <w:left w:val="nil"/>
              <w:bottom w:val="single" w:sz="4" w:space="0" w:color="auto"/>
              <w:right w:val="single" w:sz="4" w:space="0" w:color="auto"/>
            </w:tcBorders>
            <w:shd w:val="clear" w:color="auto" w:fill="auto"/>
            <w:noWrap/>
            <w:vAlign w:val="bottom"/>
            <w:hideMark/>
          </w:tcPr>
          <w:p w14:paraId="7A3BB3C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1.044330279</w:t>
            </w:r>
          </w:p>
        </w:tc>
        <w:tc>
          <w:tcPr>
            <w:tcW w:w="478" w:type="pct"/>
            <w:tcBorders>
              <w:top w:val="single" w:sz="4" w:space="0" w:color="auto"/>
              <w:left w:val="nil"/>
              <w:bottom w:val="single" w:sz="4" w:space="0" w:color="auto"/>
              <w:right w:val="single" w:sz="4" w:space="0" w:color="auto"/>
            </w:tcBorders>
            <w:shd w:val="clear" w:color="auto" w:fill="auto"/>
            <w:noWrap/>
            <w:vAlign w:val="bottom"/>
            <w:hideMark/>
          </w:tcPr>
          <w:p w14:paraId="5F6C233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0.796497702</w:t>
            </w:r>
          </w:p>
        </w:tc>
        <w:tc>
          <w:tcPr>
            <w:tcW w:w="478" w:type="pct"/>
            <w:tcBorders>
              <w:top w:val="single" w:sz="4" w:space="0" w:color="auto"/>
              <w:left w:val="nil"/>
              <w:bottom w:val="single" w:sz="4" w:space="0" w:color="auto"/>
              <w:right w:val="single" w:sz="4" w:space="0" w:color="auto"/>
            </w:tcBorders>
            <w:shd w:val="clear" w:color="auto" w:fill="auto"/>
            <w:noWrap/>
            <w:vAlign w:val="bottom"/>
            <w:hideMark/>
          </w:tcPr>
          <w:p w14:paraId="528F14F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0.78219694</w:t>
            </w:r>
          </w:p>
        </w:tc>
      </w:tr>
      <w:tr w:rsidR="00A933EF" w14:paraId="30A29017"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72FB28E9"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lastRenderedPageBreak/>
              <w:t>Quick Ratio</w:t>
            </w:r>
          </w:p>
        </w:tc>
        <w:tc>
          <w:tcPr>
            <w:tcW w:w="1663" w:type="pct"/>
            <w:tcBorders>
              <w:top w:val="nil"/>
              <w:left w:val="nil"/>
              <w:bottom w:val="single" w:sz="4" w:space="0" w:color="auto"/>
              <w:right w:val="single" w:sz="4" w:space="0" w:color="auto"/>
            </w:tcBorders>
            <w:shd w:val="clear" w:color="auto" w:fill="auto"/>
            <w:noWrap/>
            <w:vAlign w:val="bottom"/>
            <w:hideMark/>
          </w:tcPr>
          <w:p w14:paraId="285D5ED8"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Current assets (excluding inventories)/Current liabilities</w:t>
            </w:r>
          </w:p>
        </w:tc>
        <w:tc>
          <w:tcPr>
            <w:tcW w:w="452" w:type="pct"/>
            <w:tcBorders>
              <w:top w:val="nil"/>
              <w:left w:val="nil"/>
              <w:bottom w:val="single" w:sz="4" w:space="0" w:color="auto"/>
              <w:right w:val="single" w:sz="4" w:space="0" w:color="auto"/>
            </w:tcBorders>
            <w:shd w:val="clear" w:color="auto" w:fill="auto"/>
            <w:noWrap/>
            <w:vAlign w:val="bottom"/>
            <w:hideMark/>
          </w:tcPr>
          <w:p w14:paraId="210C430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1.094509768</w:t>
            </w:r>
          </w:p>
        </w:tc>
        <w:tc>
          <w:tcPr>
            <w:tcW w:w="452" w:type="pct"/>
            <w:tcBorders>
              <w:top w:val="nil"/>
              <w:left w:val="nil"/>
              <w:bottom w:val="single" w:sz="4" w:space="0" w:color="auto"/>
              <w:right w:val="single" w:sz="4" w:space="0" w:color="auto"/>
            </w:tcBorders>
            <w:shd w:val="clear" w:color="auto" w:fill="auto"/>
            <w:noWrap/>
            <w:vAlign w:val="bottom"/>
            <w:hideMark/>
          </w:tcPr>
          <w:p w14:paraId="6E747D7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1.060120211</w:t>
            </w:r>
          </w:p>
        </w:tc>
        <w:tc>
          <w:tcPr>
            <w:tcW w:w="478" w:type="pct"/>
            <w:tcBorders>
              <w:top w:val="nil"/>
              <w:left w:val="nil"/>
              <w:bottom w:val="single" w:sz="4" w:space="0" w:color="auto"/>
              <w:right w:val="single" w:sz="4" w:space="0" w:color="auto"/>
            </w:tcBorders>
            <w:shd w:val="clear" w:color="auto" w:fill="auto"/>
            <w:noWrap/>
            <w:vAlign w:val="bottom"/>
            <w:hideMark/>
          </w:tcPr>
          <w:p w14:paraId="05FD5BB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0.712780043</w:t>
            </w:r>
          </w:p>
        </w:tc>
        <w:tc>
          <w:tcPr>
            <w:tcW w:w="478" w:type="pct"/>
            <w:tcBorders>
              <w:top w:val="nil"/>
              <w:left w:val="nil"/>
              <w:bottom w:val="single" w:sz="4" w:space="0" w:color="auto"/>
              <w:right w:val="single" w:sz="4" w:space="0" w:color="auto"/>
            </w:tcBorders>
            <w:shd w:val="clear" w:color="auto" w:fill="auto"/>
            <w:noWrap/>
            <w:vAlign w:val="bottom"/>
            <w:hideMark/>
          </w:tcPr>
          <w:p w14:paraId="63B3C16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0.462058443</w:t>
            </w:r>
          </w:p>
        </w:tc>
        <w:tc>
          <w:tcPr>
            <w:tcW w:w="478" w:type="pct"/>
            <w:tcBorders>
              <w:top w:val="nil"/>
              <w:left w:val="nil"/>
              <w:bottom w:val="single" w:sz="4" w:space="0" w:color="auto"/>
              <w:right w:val="single" w:sz="4" w:space="0" w:color="auto"/>
            </w:tcBorders>
            <w:shd w:val="clear" w:color="auto" w:fill="auto"/>
            <w:noWrap/>
            <w:vAlign w:val="bottom"/>
            <w:hideMark/>
          </w:tcPr>
          <w:p w14:paraId="020FBBC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0.492647174</w:t>
            </w:r>
          </w:p>
        </w:tc>
      </w:tr>
      <w:tr w:rsidR="00A933EF" w14:paraId="0FDA1423" w14:textId="77777777" w:rsidTr="0044406A">
        <w:trPr>
          <w:trHeight w:val="310"/>
        </w:trPr>
        <w:tc>
          <w:tcPr>
            <w:tcW w:w="999" w:type="pct"/>
            <w:tcBorders>
              <w:top w:val="nil"/>
              <w:left w:val="nil"/>
              <w:bottom w:val="nil"/>
              <w:right w:val="nil"/>
            </w:tcBorders>
            <w:shd w:val="clear" w:color="auto" w:fill="auto"/>
            <w:noWrap/>
            <w:vAlign w:val="bottom"/>
            <w:hideMark/>
          </w:tcPr>
          <w:p w14:paraId="677E85F1" w14:textId="77777777" w:rsidR="00E079C5" w:rsidRPr="00297091" w:rsidRDefault="00E079C5" w:rsidP="0044406A">
            <w:pPr>
              <w:spacing w:before="0" w:after="0" w:line="240" w:lineRule="auto"/>
              <w:jc w:val="right"/>
              <w:rPr>
                <w:rFonts w:eastAsia="Times New Roman" w:cs="Times New Roman"/>
                <w:color w:val="000000"/>
                <w:szCs w:val="24"/>
                <w:lang w:eastAsia="en-IN"/>
              </w:rPr>
            </w:pPr>
          </w:p>
        </w:tc>
        <w:tc>
          <w:tcPr>
            <w:tcW w:w="1663" w:type="pct"/>
            <w:tcBorders>
              <w:top w:val="nil"/>
              <w:left w:val="nil"/>
              <w:bottom w:val="nil"/>
              <w:right w:val="nil"/>
            </w:tcBorders>
            <w:shd w:val="clear" w:color="auto" w:fill="auto"/>
            <w:noWrap/>
            <w:vAlign w:val="bottom"/>
            <w:hideMark/>
          </w:tcPr>
          <w:p w14:paraId="7BE5593F"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289DB8E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45CB48DD"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22B7230C"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66C85840"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2EEE87BC"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6553FB59" w14:textId="77777777" w:rsidTr="0044406A">
        <w:trPr>
          <w:trHeight w:val="310"/>
        </w:trPr>
        <w:tc>
          <w:tcPr>
            <w:tcW w:w="999" w:type="pct"/>
            <w:tcBorders>
              <w:top w:val="nil"/>
              <w:left w:val="nil"/>
              <w:bottom w:val="nil"/>
              <w:right w:val="nil"/>
            </w:tcBorders>
            <w:shd w:val="clear" w:color="auto" w:fill="auto"/>
            <w:noWrap/>
            <w:vAlign w:val="bottom"/>
            <w:hideMark/>
          </w:tcPr>
          <w:p w14:paraId="3C43383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663" w:type="pct"/>
            <w:tcBorders>
              <w:top w:val="nil"/>
              <w:left w:val="nil"/>
              <w:bottom w:val="nil"/>
              <w:right w:val="nil"/>
            </w:tcBorders>
            <w:shd w:val="clear" w:color="auto" w:fill="auto"/>
            <w:noWrap/>
            <w:vAlign w:val="bottom"/>
            <w:hideMark/>
          </w:tcPr>
          <w:p w14:paraId="79D063F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4A987165"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55430808"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0797FAA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6C782AD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59106733"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2C0A1BCE" w14:textId="77777777" w:rsidTr="0044406A">
        <w:trPr>
          <w:trHeight w:val="310"/>
        </w:trPr>
        <w:tc>
          <w:tcPr>
            <w:tcW w:w="99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DE6DC8"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xml:space="preserve">Account </w:t>
            </w:r>
            <w:proofErr w:type="spellStart"/>
            <w:r w:rsidRPr="00297091">
              <w:rPr>
                <w:rFonts w:eastAsia="Times New Roman" w:cs="Times New Roman"/>
                <w:color w:val="000000"/>
                <w:szCs w:val="24"/>
                <w:lang w:eastAsia="en-IN"/>
              </w:rPr>
              <w:t>recievable</w:t>
            </w:r>
            <w:proofErr w:type="spellEnd"/>
            <w:r w:rsidRPr="00297091">
              <w:rPr>
                <w:rFonts w:eastAsia="Times New Roman" w:cs="Times New Roman"/>
                <w:color w:val="000000"/>
                <w:szCs w:val="24"/>
                <w:lang w:eastAsia="en-IN"/>
              </w:rPr>
              <w:t xml:space="preserve"> turnover ratio</w:t>
            </w:r>
          </w:p>
        </w:tc>
        <w:tc>
          <w:tcPr>
            <w:tcW w:w="1663" w:type="pct"/>
            <w:tcBorders>
              <w:top w:val="single" w:sz="4" w:space="0" w:color="auto"/>
              <w:left w:val="nil"/>
              <w:bottom w:val="single" w:sz="4" w:space="0" w:color="auto"/>
              <w:right w:val="single" w:sz="4" w:space="0" w:color="auto"/>
            </w:tcBorders>
            <w:shd w:val="clear" w:color="auto" w:fill="auto"/>
            <w:noWrap/>
            <w:vAlign w:val="bottom"/>
            <w:hideMark/>
          </w:tcPr>
          <w:p w14:paraId="2D267370"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xml:space="preserve">(Net Sales/ account </w:t>
            </w:r>
            <w:proofErr w:type="spellStart"/>
            <w:r w:rsidRPr="00297091">
              <w:rPr>
                <w:rFonts w:eastAsia="Times New Roman" w:cs="Times New Roman"/>
                <w:color w:val="000000"/>
                <w:szCs w:val="24"/>
                <w:lang w:eastAsia="en-IN"/>
              </w:rPr>
              <w:t>recievable</w:t>
            </w:r>
            <w:proofErr w:type="spellEnd"/>
            <w:r w:rsidRPr="00297091">
              <w:rPr>
                <w:rFonts w:eastAsia="Times New Roman" w:cs="Times New Roman"/>
                <w:color w:val="000000"/>
                <w:szCs w:val="24"/>
                <w:lang w:eastAsia="en-IN"/>
              </w:rPr>
              <w:t>)</w:t>
            </w:r>
          </w:p>
        </w:tc>
        <w:tc>
          <w:tcPr>
            <w:tcW w:w="452" w:type="pct"/>
            <w:tcBorders>
              <w:top w:val="single" w:sz="4" w:space="0" w:color="auto"/>
              <w:left w:val="nil"/>
              <w:bottom w:val="single" w:sz="4" w:space="0" w:color="auto"/>
              <w:right w:val="single" w:sz="4" w:space="0" w:color="auto"/>
            </w:tcBorders>
            <w:shd w:val="clear" w:color="auto" w:fill="auto"/>
            <w:noWrap/>
            <w:vAlign w:val="bottom"/>
            <w:hideMark/>
          </w:tcPr>
          <w:p w14:paraId="37276B1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8.778403262</w:t>
            </w:r>
          </w:p>
        </w:tc>
        <w:tc>
          <w:tcPr>
            <w:tcW w:w="452" w:type="pct"/>
            <w:tcBorders>
              <w:top w:val="single" w:sz="4" w:space="0" w:color="auto"/>
              <w:left w:val="nil"/>
              <w:bottom w:val="single" w:sz="4" w:space="0" w:color="auto"/>
              <w:right w:val="single" w:sz="4" w:space="0" w:color="auto"/>
            </w:tcBorders>
            <w:shd w:val="clear" w:color="auto" w:fill="auto"/>
            <w:noWrap/>
            <w:vAlign w:val="bottom"/>
            <w:hideMark/>
          </w:tcPr>
          <w:p w14:paraId="7E448EF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9.591559079</w:t>
            </w:r>
          </w:p>
        </w:tc>
        <w:tc>
          <w:tcPr>
            <w:tcW w:w="478" w:type="pct"/>
            <w:tcBorders>
              <w:top w:val="single" w:sz="4" w:space="0" w:color="auto"/>
              <w:left w:val="nil"/>
              <w:bottom w:val="single" w:sz="4" w:space="0" w:color="auto"/>
              <w:right w:val="single" w:sz="4" w:space="0" w:color="auto"/>
            </w:tcBorders>
            <w:shd w:val="clear" w:color="auto" w:fill="auto"/>
            <w:noWrap/>
            <w:vAlign w:val="bottom"/>
            <w:hideMark/>
          </w:tcPr>
          <w:p w14:paraId="272EC29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8.662261063</w:t>
            </w:r>
          </w:p>
        </w:tc>
        <w:tc>
          <w:tcPr>
            <w:tcW w:w="478" w:type="pct"/>
            <w:tcBorders>
              <w:top w:val="single" w:sz="4" w:space="0" w:color="auto"/>
              <w:left w:val="nil"/>
              <w:bottom w:val="single" w:sz="4" w:space="0" w:color="auto"/>
              <w:right w:val="single" w:sz="4" w:space="0" w:color="auto"/>
            </w:tcBorders>
            <w:shd w:val="clear" w:color="auto" w:fill="auto"/>
            <w:noWrap/>
            <w:vAlign w:val="bottom"/>
            <w:hideMark/>
          </w:tcPr>
          <w:p w14:paraId="47EB57A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8.657013751</w:t>
            </w:r>
          </w:p>
        </w:tc>
        <w:tc>
          <w:tcPr>
            <w:tcW w:w="478" w:type="pct"/>
            <w:tcBorders>
              <w:top w:val="single" w:sz="4" w:space="0" w:color="auto"/>
              <w:left w:val="nil"/>
              <w:bottom w:val="single" w:sz="4" w:space="0" w:color="auto"/>
              <w:right w:val="single" w:sz="4" w:space="0" w:color="auto"/>
            </w:tcBorders>
            <w:shd w:val="clear" w:color="auto" w:fill="auto"/>
            <w:noWrap/>
            <w:vAlign w:val="bottom"/>
            <w:hideMark/>
          </w:tcPr>
          <w:p w14:paraId="2A8E316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9.49325076</w:t>
            </w:r>
          </w:p>
        </w:tc>
      </w:tr>
      <w:tr w:rsidR="00A933EF" w14:paraId="6C43312C"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hideMark/>
          </w:tcPr>
          <w:p w14:paraId="1AD96A15"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Account payable turnover ratio</w:t>
            </w:r>
          </w:p>
        </w:tc>
        <w:tc>
          <w:tcPr>
            <w:tcW w:w="1663" w:type="pct"/>
            <w:tcBorders>
              <w:top w:val="nil"/>
              <w:left w:val="nil"/>
              <w:bottom w:val="single" w:sz="4" w:space="0" w:color="auto"/>
              <w:right w:val="single" w:sz="4" w:space="0" w:color="auto"/>
            </w:tcBorders>
            <w:shd w:val="clear" w:color="auto" w:fill="auto"/>
            <w:noWrap/>
            <w:vAlign w:val="bottom"/>
            <w:hideMark/>
          </w:tcPr>
          <w:p w14:paraId="21C75C9B"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(Credit purchase/ Account payable)</w:t>
            </w:r>
          </w:p>
        </w:tc>
        <w:tc>
          <w:tcPr>
            <w:tcW w:w="452" w:type="pct"/>
            <w:tcBorders>
              <w:top w:val="nil"/>
              <w:left w:val="nil"/>
              <w:bottom w:val="single" w:sz="4" w:space="0" w:color="auto"/>
              <w:right w:val="single" w:sz="4" w:space="0" w:color="auto"/>
            </w:tcBorders>
            <w:shd w:val="clear" w:color="auto" w:fill="auto"/>
            <w:noWrap/>
            <w:vAlign w:val="bottom"/>
            <w:hideMark/>
          </w:tcPr>
          <w:p w14:paraId="783869E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8.044577426</w:t>
            </w:r>
          </w:p>
        </w:tc>
        <w:tc>
          <w:tcPr>
            <w:tcW w:w="452" w:type="pct"/>
            <w:tcBorders>
              <w:top w:val="nil"/>
              <w:left w:val="nil"/>
              <w:bottom w:val="single" w:sz="4" w:space="0" w:color="auto"/>
              <w:right w:val="single" w:sz="4" w:space="0" w:color="auto"/>
            </w:tcBorders>
            <w:shd w:val="clear" w:color="auto" w:fill="auto"/>
            <w:noWrap/>
            <w:vAlign w:val="bottom"/>
            <w:hideMark/>
          </w:tcPr>
          <w:p w14:paraId="274349E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8.952546052</w:t>
            </w:r>
          </w:p>
        </w:tc>
        <w:tc>
          <w:tcPr>
            <w:tcW w:w="478" w:type="pct"/>
            <w:tcBorders>
              <w:top w:val="nil"/>
              <w:left w:val="nil"/>
              <w:bottom w:val="single" w:sz="4" w:space="0" w:color="auto"/>
              <w:right w:val="single" w:sz="4" w:space="0" w:color="auto"/>
            </w:tcBorders>
            <w:shd w:val="clear" w:color="auto" w:fill="auto"/>
            <w:noWrap/>
            <w:vAlign w:val="bottom"/>
            <w:hideMark/>
          </w:tcPr>
          <w:p w14:paraId="5B765F4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7.997145325</w:t>
            </w:r>
          </w:p>
        </w:tc>
        <w:tc>
          <w:tcPr>
            <w:tcW w:w="478" w:type="pct"/>
            <w:tcBorders>
              <w:top w:val="nil"/>
              <w:left w:val="nil"/>
              <w:bottom w:val="single" w:sz="4" w:space="0" w:color="auto"/>
              <w:right w:val="single" w:sz="4" w:space="0" w:color="auto"/>
            </w:tcBorders>
            <w:shd w:val="clear" w:color="auto" w:fill="auto"/>
            <w:noWrap/>
            <w:vAlign w:val="bottom"/>
            <w:hideMark/>
          </w:tcPr>
          <w:p w14:paraId="67313FF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8.344762558</w:t>
            </w:r>
          </w:p>
        </w:tc>
        <w:tc>
          <w:tcPr>
            <w:tcW w:w="478" w:type="pct"/>
            <w:tcBorders>
              <w:top w:val="nil"/>
              <w:left w:val="nil"/>
              <w:bottom w:val="single" w:sz="4" w:space="0" w:color="auto"/>
              <w:right w:val="single" w:sz="4" w:space="0" w:color="auto"/>
            </w:tcBorders>
            <w:shd w:val="clear" w:color="auto" w:fill="auto"/>
            <w:noWrap/>
            <w:vAlign w:val="bottom"/>
            <w:hideMark/>
          </w:tcPr>
          <w:p w14:paraId="6770C50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8.138535677</w:t>
            </w:r>
          </w:p>
        </w:tc>
      </w:tr>
      <w:tr w:rsidR="00A933EF" w14:paraId="13D95EE6" w14:textId="77777777" w:rsidTr="0044406A">
        <w:trPr>
          <w:trHeight w:val="310"/>
        </w:trPr>
        <w:tc>
          <w:tcPr>
            <w:tcW w:w="999" w:type="pct"/>
            <w:tcBorders>
              <w:top w:val="nil"/>
              <w:left w:val="nil"/>
              <w:bottom w:val="nil"/>
              <w:right w:val="nil"/>
            </w:tcBorders>
            <w:shd w:val="clear" w:color="auto" w:fill="auto"/>
            <w:noWrap/>
            <w:vAlign w:val="bottom"/>
            <w:hideMark/>
          </w:tcPr>
          <w:p w14:paraId="68C25573" w14:textId="77777777" w:rsidR="00E079C5" w:rsidRPr="00297091" w:rsidRDefault="00E079C5" w:rsidP="0044406A">
            <w:pPr>
              <w:spacing w:before="0" w:after="0" w:line="240" w:lineRule="auto"/>
              <w:jc w:val="right"/>
              <w:rPr>
                <w:rFonts w:eastAsia="Times New Roman" w:cs="Times New Roman"/>
                <w:color w:val="000000"/>
                <w:szCs w:val="24"/>
                <w:lang w:eastAsia="en-IN"/>
              </w:rPr>
            </w:pPr>
          </w:p>
        </w:tc>
        <w:tc>
          <w:tcPr>
            <w:tcW w:w="1663" w:type="pct"/>
            <w:tcBorders>
              <w:top w:val="nil"/>
              <w:left w:val="nil"/>
              <w:bottom w:val="nil"/>
              <w:right w:val="nil"/>
            </w:tcBorders>
            <w:shd w:val="clear" w:color="auto" w:fill="auto"/>
            <w:noWrap/>
            <w:vAlign w:val="bottom"/>
            <w:hideMark/>
          </w:tcPr>
          <w:p w14:paraId="02550F59"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143A7265"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214354D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2F1AF69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38734FC2"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3AC788D6"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40D698AE" w14:textId="77777777" w:rsidTr="0044406A">
        <w:trPr>
          <w:trHeight w:val="310"/>
        </w:trPr>
        <w:tc>
          <w:tcPr>
            <w:tcW w:w="999" w:type="pct"/>
            <w:tcBorders>
              <w:top w:val="nil"/>
              <w:left w:val="nil"/>
              <w:bottom w:val="nil"/>
              <w:right w:val="nil"/>
            </w:tcBorders>
            <w:shd w:val="clear" w:color="auto" w:fill="auto"/>
            <w:noWrap/>
            <w:vAlign w:val="bottom"/>
            <w:hideMark/>
          </w:tcPr>
          <w:p w14:paraId="151A594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663" w:type="pct"/>
            <w:tcBorders>
              <w:top w:val="nil"/>
              <w:left w:val="nil"/>
              <w:bottom w:val="nil"/>
              <w:right w:val="nil"/>
            </w:tcBorders>
            <w:shd w:val="clear" w:color="auto" w:fill="auto"/>
            <w:noWrap/>
            <w:vAlign w:val="bottom"/>
            <w:hideMark/>
          </w:tcPr>
          <w:p w14:paraId="2EDFA35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548A9421"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52" w:type="pct"/>
            <w:tcBorders>
              <w:top w:val="nil"/>
              <w:left w:val="nil"/>
              <w:bottom w:val="nil"/>
              <w:right w:val="nil"/>
            </w:tcBorders>
            <w:shd w:val="clear" w:color="auto" w:fill="auto"/>
            <w:noWrap/>
            <w:vAlign w:val="bottom"/>
            <w:hideMark/>
          </w:tcPr>
          <w:p w14:paraId="6361870F"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2F8738D2"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719B991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78" w:type="pct"/>
            <w:tcBorders>
              <w:top w:val="nil"/>
              <w:left w:val="nil"/>
              <w:bottom w:val="nil"/>
              <w:right w:val="nil"/>
            </w:tcBorders>
            <w:shd w:val="clear" w:color="auto" w:fill="auto"/>
            <w:noWrap/>
            <w:vAlign w:val="bottom"/>
            <w:hideMark/>
          </w:tcPr>
          <w:p w14:paraId="794E0304"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7A16E337" w14:textId="77777777" w:rsidTr="0044406A">
        <w:trPr>
          <w:trHeight w:val="310"/>
        </w:trPr>
        <w:tc>
          <w:tcPr>
            <w:tcW w:w="99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AC182B"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Debt to Equity Ratio</w:t>
            </w:r>
          </w:p>
        </w:tc>
        <w:tc>
          <w:tcPr>
            <w:tcW w:w="1663" w:type="pct"/>
            <w:tcBorders>
              <w:top w:val="single" w:sz="4" w:space="0" w:color="auto"/>
              <w:left w:val="nil"/>
              <w:bottom w:val="single" w:sz="4" w:space="0" w:color="auto"/>
              <w:right w:val="single" w:sz="4" w:space="0" w:color="auto"/>
            </w:tcBorders>
            <w:shd w:val="clear" w:color="auto" w:fill="auto"/>
            <w:noWrap/>
            <w:vAlign w:val="bottom"/>
            <w:hideMark/>
          </w:tcPr>
          <w:p w14:paraId="7C27CBA3"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Total liabilities/ Shareholder's Equity</w:t>
            </w:r>
          </w:p>
        </w:tc>
        <w:tc>
          <w:tcPr>
            <w:tcW w:w="452" w:type="pct"/>
            <w:tcBorders>
              <w:top w:val="single" w:sz="4" w:space="0" w:color="auto"/>
              <w:left w:val="nil"/>
              <w:bottom w:val="single" w:sz="4" w:space="0" w:color="auto"/>
              <w:right w:val="single" w:sz="4" w:space="0" w:color="auto"/>
            </w:tcBorders>
            <w:shd w:val="clear" w:color="auto" w:fill="auto"/>
            <w:noWrap/>
            <w:vAlign w:val="bottom"/>
            <w:hideMark/>
          </w:tcPr>
          <w:p w14:paraId="1DBC17E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0.005596563</w:t>
            </w:r>
          </w:p>
        </w:tc>
        <w:tc>
          <w:tcPr>
            <w:tcW w:w="452" w:type="pct"/>
            <w:tcBorders>
              <w:top w:val="single" w:sz="4" w:space="0" w:color="auto"/>
              <w:left w:val="nil"/>
              <w:bottom w:val="single" w:sz="4" w:space="0" w:color="auto"/>
              <w:right w:val="single" w:sz="4" w:space="0" w:color="auto"/>
            </w:tcBorders>
            <w:shd w:val="clear" w:color="auto" w:fill="auto"/>
            <w:noWrap/>
            <w:vAlign w:val="bottom"/>
            <w:hideMark/>
          </w:tcPr>
          <w:p w14:paraId="53ED3A0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0.00613497</w:t>
            </w:r>
          </w:p>
        </w:tc>
        <w:tc>
          <w:tcPr>
            <w:tcW w:w="478" w:type="pct"/>
            <w:tcBorders>
              <w:top w:val="single" w:sz="4" w:space="0" w:color="auto"/>
              <w:left w:val="nil"/>
              <w:bottom w:val="single" w:sz="4" w:space="0" w:color="auto"/>
              <w:right w:val="single" w:sz="4" w:space="0" w:color="auto"/>
            </w:tcBorders>
            <w:shd w:val="clear" w:color="auto" w:fill="auto"/>
            <w:noWrap/>
            <w:vAlign w:val="bottom"/>
            <w:hideMark/>
          </w:tcPr>
          <w:p w14:paraId="4ED8F5B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0.006720923</w:t>
            </w:r>
          </w:p>
        </w:tc>
        <w:tc>
          <w:tcPr>
            <w:tcW w:w="478" w:type="pct"/>
            <w:tcBorders>
              <w:top w:val="single" w:sz="4" w:space="0" w:color="auto"/>
              <w:left w:val="nil"/>
              <w:bottom w:val="single" w:sz="4" w:space="0" w:color="auto"/>
              <w:right w:val="single" w:sz="4" w:space="0" w:color="auto"/>
            </w:tcBorders>
            <w:shd w:val="clear" w:color="auto" w:fill="auto"/>
            <w:noWrap/>
            <w:vAlign w:val="bottom"/>
            <w:hideMark/>
          </w:tcPr>
          <w:p w14:paraId="7457440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0.007901959</w:t>
            </w:r>
          </w:p>
        </w:tc>
        <w:tc>
          <w:tcPr>
            <w:tcW w:w="478" w:type="pct"/>
            <w:tcBorders>
              <w:top w:val="single" w:sz="4" w:space="0" w:color="auto"/>
              <w:left w:val="nil"/>
              <w:bottom w:val="single" w:sz="4" w:space="0" w:color="auto"/>
              <w:right w:val="single" w:sz="4" w:space="0" w:color="auto"/>
            </w:tcBorders>
            <w:shd w:val="clear" w:color="auto" w:fill="auto"/>
            <w:noWrap/>
            <w:vAlign w:val="bottom"/>
            <w:hideMark/>
          </w:tcPr>
          <w:p w14:paraId="52D96C2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0.007958051</w:t>
            </w:r>
          </w:p>
        </w:tc>
      </w:tr>
      <w:tr w:rsidR="00A933EF" w14:paraId="4DE2611A" w14:textId="77777777" w:rsidTr="0044406A">
        <w:trPr>
          <w:trHeight w:val="310"/>
        </w:trPr>
        <w:tc>
          <w:tcPr>
            <w:tcW w:w="999" w:type="pct"/>
            <w:tcBorders>
              <w:top w:val="nil"/>
              <w:left w:val="single" w:sz="4" w:space="0" w:color="auto"/>
              <w:bottom w:val="nil"/>
              <w:right w:val="single" w:sz="4" w:space="0" w:color="auto"/>
            </w:tcBorders>
            <w:shd w:val="clear" w:color="auto" w:fill="auto"/>
            <w:noWrap/>
            <w:vAlign w:val="bottom"/>
            <w:hideMark/>
          </w:tcPr>
          <w:p w14:paraId="5B17A705"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Total liabilities to Total asset</w:t>
            </w:r>
          </w:p>
        </w:tc>
        <w:tc>
          <w:tcPr>
            <w:tcW w:w="1663" w:type="pct"/>
            <w:tcBorders>
              <w:top w:val="nil"/>
              <w:left w:val="nil"/>
              <w:bottom w:val="nil"/>
              <w:right w:val="single" w:sz="4" w:space="0" w:color="auto"/>
            </w:tcBorders>
            <w:shd w:val="clear" w:color="auto" w:fill="auto"/>
            <w:noWrap/>
            <w:vAlign w:val="bottom"/>
            <w:hideMark/>
          </w:tcPr>
          <w:p w14:paraId="356F5657"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(Total liabilities/ Total assets)</w:t>
            </w:r>
          </w:p>
        </w:tc>
        <w:tc>
          <w:tcPr>
            <w:tcW w:w="452" w:type="pct"/>
            <w:tcBorders>
              <w:top w:val="nil"/>
              <w:left w:val="nil"/>
              <w:bottom w:val="nil"/>
              <w:right w:val="single" w:sz="4" w:space="0" w:color="auto"/>
            </w:tcBorders>
            <w:shd w:val="clear" w:color="auto" w:fill="auto"/>
            <w:noWrap/>
            <w:vAlign w:val="bottom"/>
            <w:hideMark/>
          </w:tcPr>
          <w:p w14:paraId="0B50143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0.435215523</w:t>
            </w:r>
          </w:p>
        </w:tc>
        <w:tc>
          <w:tcPr>
            <w:tcW w:w="452" w:type="pct"/>
            <w:tcBorders>
              <w:top w:val="nil"/>
              <w:left w:val="nil"/>
              <w:bottom w:val="nil"/>
              <w:right w:val="single" w:sz="4" w:space="0" w:color="auto"/>
            </w:tcBorders>
            <w:shd w:val="clear" w:color="auto" w:fill="auto"/>
            <w:noWrap/>
            <w:vAlign w:val="bottom"/>
            <w:hideMark/>
          </w:tcPr>
          <w:p w14:paraId="1A231AF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0.451392295</w:t>
            </w:r>
          </w:p>
        </w:tc>
        <w:tc>
          <w:tcPr>
            <w:tcW w:w="478" w:type="pct"/>
            <w:tcBorders>
              <w:top w:val="nil"/>
              <w:left w:val="nil"/>
              <w:bottom w:val="nil"/>
              <w:right w:val="single" w:sz="4" w:space="0" w:color="auto"/>
            </w:tcBorders>
            <w:shd w:val="clear" w:color="auto" w:fill="auto"/>
            <w:noWrap/>
            <w:vAlign w:val="bottom"/>
            <w:hideMark/>
          </w:tcPr>
          <w:p w14:paraId="4FCEC2B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0.481643323</w:t>
            </w:r>
          </w:p>
        </w:tc>
        <w:tc>
          <w:tcPr>
            <w:tcW w:w="478" w:type="pct"/>
            <w:tcBorders>
              <w:top w:val="nil"/>
              <w:left w:val="nil"/>
              <w:bottom w:val="nil"/>
              <w:right w:val="single" w:sz="4" w:space="0" w:color="auto"/>
            </w:tcBorders>
            <w:shd w:val="clear" w:color="auto" w:fill="auto"/>
            <w:noWrap/>
            <w:vAlign w:val="bottom"/>
            <w:hideMark/>
          </w:tcPr>
          <w:p w14:paraId="4A117EF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0.506746807</w:t>
            </w:r>
          </w:p>
        </w:tc>
        <w:tc>
          <w:tcPr>
            <w:tcW w:w="478" w:type="pct"/>
            <w:tcBorders>
              <w:top w:val="nil"/>
              <w:left w:val="nil"/>
              <w:bottom w:val="nil"/>
              <w:right w:val="single" w:sz="4" w:space="0" w:color="auto"/>
            </w:tcBorders>
            <w:shd w:val="clear" w:color="auto" w:fill="auto"/>
            <w:noWrap/>
            <w:vAlign w:val="bottom"/>
            <w:hideMark/>
          </w:tcPr>
          <w:p w14:paraId="1C3F927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0.451352328</w:t>
            </w:r>
          </w:p>
        </w:tc>
      </w:tr>
      <w:tr w:rsidR="00A933EF" w14:paraId="3C1BCD56" w14:textId="77777777" w:rsidTr="0044406A">
        <w:trPr>
          <w:trHeight w:val="310"/>
        </w:trPr>
        <w:tc>
          <w:tcPr>
            <w:tcW w:w="999" w:type="pct"/>
            <w:tcBorders>
              <w:top w:val="nil"/>
              <w:left w:val="single" w:sz="4" w:space="0" w:color="auto"/>
              <w:bottom w:val="single" w:sz="4" w:space="0" w:color="auto"/>
              <w:right w:val="single" w:sz="4" w:space="0" w:color="auto"/>
            </w:tcBorders>
            <w:shd w:val="clear" w:color="auto" w:fill="auto"/>
            <w:noWrap/>
            <w:vAlign w:val="bottom"/>
          </w:tcPr>
          <w:p w14:paraId="00B4110B" w14:textId="77777777" w:rsidR="00E079C5" w:rsidRPr="00297091" w:rsidRDefault="00E079C5" w:rsidP="0044406A">
            <w:pPr>
              <w:spacing w:before="0" w:after="0" w:line="240" w:lineRule="auto"/>
              <w:jc w:val="left"/>
              <w:rPr>
                <w:rFonts w:eastAsia="Times New Roman" w:cs="Times New Roman"/>
                <w:color w:val="000000"/>
                <w:szCs w:val="24"/>
                <w:lang w:eastAsia="en-IN"/>
              </w:rPr>
            </w:pPr>
          </w:p>
        </w:tc>
        <w:tc>
          <w:tcPr>
            <w:tcW w:w="1663" w:type="pct"/>
            <w:tcBorders>
              <w:top w:val="nil"/>
              <w:left w:val="nil"/>
              <w:bottom w:val="single" w:sz="4" w:space="0" w:color="auto"/>
              <w:right w:val="single" w:sz="4" w:space="0" w:color="auto"/>
            </w:tcBorders>
            <w:shd w:val="clear" w:color="auto" w:fill="auto"/>
            <w:noWrap/>
            <w:vAlign w:val="bottom"/>
          </w:tcPr>
          <w:p w14:paraId="16FE8A5F" w14:textId="77777777" w:rsidR="00E079C5" w:rsidRPr="00297091" w:rsidRDefault="00E079C5" w:rsidP="0044406A">
            <w:pPr>
              <w:spacing w:before="0" w:after="0" w:line="240" w:lineRule="auto"/>
              <w:jc w:val="left"/>
              <w:rPr>
                <w:rFonts w:eastAsia="Times New Roman" w:cs="Times New Roman"/>
                <w:color w:val="000000"/>
                <w:szCs w:val="24"/>
                <w:lang w:eastAsia="en-IN"/>
              </w:rPr>
            </w:pPr>
          </w:p>
        </w:tc>
        <w:tc>
          <w:tcPr>
            <w:tcW w:w="452" w:type="pct"/>
            <w:tcBorders>
              <w:top w:val="nil"/>
              <w:left w:val="nil"/>
              <w:bottom w:val="single" w:sz="4" w:space="0" w:color="auto"/>
              <w:right w:val="single" w:sz="4" w:space="0" w:color="auto"/>
            </w:tcBorders>
            <w:shd w:val="clear" w:color="auto" w:fill="auto"/>
            <w:noWrap/>
            <w:vAlign w:val="bottom"/>
          </w:tcPr>
          <w:p w14:paraId="3E0F1AE8" w14:textId="77777777" w:rsidR="00E079C5" w:rsidRPr="00297091" w:rsidRDefault="00E079C5" w:rsidP="0044406A">
            <w:pPr>
              <w:spacing w:before="0" w:after="0" w:line="240" w:lineRule="auto"/>
              <w:jc w:val="right"/>
              <w:rPr>
                <w:rFonts w:eastAsia="Times New Roman" w:cs="Times New Roman"/>
                <w:color w:val="000000"/>
                <w:szCs w:val="24"/>
                <w:lang w:eastAsia="en-IN"/>
              </w:rPr>
            </w:pPr>
          </w:p>
        </w:tc>
        <w:tc>
          <w:tcPr>
            <w:tcW w:w="452" w:type="pct"/>
            <w:tcBorders>
              <w:top w:val="nil"/>
              <w:left w:val="nil"/>
              <w:bottom w:val="single" w:sz="4" w:space="0" w:color="auto"/>
              <w:right w:val="single" w:sz="4" w:space="0" w:color="auto"/>
            </w:tcBorders>
            <w:shd w:val="clear" w:color="auto" w:fill="auto"/>
            <w:noWrap/>
            <w:vAlign w:val="bottom"/>
          </w:tcPr>
          <w:p w14:paraId="648804B1" w14:textId="77777777" w:rsidR="00E079C5" w:rsidRPr="00297091" w:rsidRDefault="00E079C5" w:rsidP="0044406A">
            <w:pPr>
              <w:spacing w:before="0" w:after="0" w:line="240" w:lineRule="auto"/>
              <w:jc w:val="right"/>
              <w:rPr>
                <w:rFonts w:eastAsia="Times New Roman" w:cs="Times New Roman"/>
                <w:color w:val="000000"/>
                <w:szCs w:val="24"/>
                <w:lang w:eastAsia="en-IN"/>
              </w:rPr>
            </w:pPr>
          </w:p>
        </w:tc>
        <w:tc>
          <w:tcPr>
            <w:tcW w:w="478" w:type="pct"/>
            <w:tcBorders>
              <w:top w:val="nil"/>
              <w:left w:val="nil"/>
              <w:bottom w:val="single" w:sz="4" w:space="0" w:color="auto"/>
              <w:right w:val="single" w:sz="4" w:space="0" w:color="auto"/>
            </w:tcBorders>
            <w:shd w:val="clear" w:color="auto" w:fill="auto"/>
            <w:noWrap/>
            <w:vAlign w:val="bottom"/>
          </w:tcPr>
          <w:p w14:paraId="5128EAB1" w14:textId="77777777" w:rsidR="00E079C5" w:rsidRPr="00297091" w:rsidRDefault="00E079C5" w:rsidP="0044406A">
            <w:pPr>
              <w:spacing w:before="0" w:after="0" w:line="240" w:lineRule="auto"/>
              <w:jc w:val="right"/>
              <w:rPr>
                <w:rFonts w:eastAsia="Times New Roman" w:cs="Times New Roman"/>
                <w:color w:val="000000"/>
                <w:szCs w:val="24"/>
                <w:lang w:eastAsia="en-IN"/>
              </w:rPr>
            </w:pPr>
          </w:p>
        </w:tc>
        <w:tc>
          <w:tcPr>
            <w:tcW w:w="478" w:type="pct"/>
            <w:tcBorders>
              <w:top w:val="nil"/>
              <w:left w:val="nil"/>
              <w:bottom w:val="single" w:sz="4" w:space="0" w:color="auto"/>
              <w:right w:val="single" w:sz="4" w:space="0" w:color="auto"/>
            </w:tcBorders>
            <w:shd w:val="clear" w:color="auto" w:fill="auto"/>
            <w:noWrap/>
            <w:vAlign w:val="bottom"/>
          </w:tcPr>
          <w:p w14:paraId="29C073D3" w14:textId="77777777" w:rsidR="00E079C5" w:rsidRPr="00297091" w:rsidRDefault="00E079C5" w:rsidP="0044406A">
            <w:pPr>
              <w:spacing w:before="0" w:after="0" w:line="240" w:lineRule="auto"/>
              <w:jc w:val="right"/>
              <w:rPr>
                <w:rFonts w:eastAsia="Times New Roman" w:cs="Times New Roman"/>
                <w:color w:val="000000"/>
                <w:szCs w:val="24"/>
                <w:lang w:eastAsia="en-IN"/>
              </w:rPr>
            </w:pPr>
          </w:p>
        </w:tc>
        <w:tc>
          <w:tcPr>
            <w:tcW w:w="478" w:type="pct"/>
            <w:tcBorders>
              <w:top w:val="nil"/>
              <w:left w:val="nil"/>
              <w:bottom w:val="single" w:sz="4" w:space="0" w:color="auto"/>
              <w:right w:val="single" w:sz="4" w:space="0" w:color="auto"/>
            </w:tcBorders>
            <w:shd w:val="clear" w:color="auto" w:fill="auto"/>
            <w:noWrap/>
            <w:vAlign w:val="bottom"/>
          </w:tcPr>
          <w:p w14:paraId="5728323A" w14:textId="77777777" w:rsidR="00E079C5" w:rsidRPr="00297091" w:rsidRDefault="00E079C5" w:rsidP="0044406A">
            <w:pPr>
              <w:spacing w:before="0" w:after="0" w:line="240" w:lineRule="auto"/>
              <w:jc w:val="right"/>
              <w:rPr>
                <w:rFonts w:eastAsia="Times New Roman" w:cs="Times New Roman"/>
                <w:color w:val="000000"/>
                <w:szCs w:val="24"/>
                <w:lang w:eastAsia="en-IN"/>
              </w:rPr>
            </w:pPr>
          </w:p>
        </w:tc>
      </w:tr>
    </w:tbl>
    <w:p w14:paraId="11A13629" w14:textId="77777777" w:rsidR="00E079C5" w:rsidRDefault="00E079C5" w:rsidP="00E079C5"/>
    <w:tbl>
      <w:tblPr>
        <w:tblW w:w="5000" w:type="pct"/>
        <w:tblLook w:val="04A0" w:firstRow="1" w:lastRow="0" w:firstColumn="1" w:lastColumn="0" w:noHBand="0" w:noVBand="1"/>
      </w:tblPr>
      <w:tblGrid>
        <w:gridCol w:w="1840"/>
        <w:gridCol w:w="2930"/>
        <w:gridCol w:w="849"/>
        <w:gridCol w:w="850"/>
        <w:gridCol w:w="850"/>
        <w:gridCol w:w="850"/>
        <w:gridCol w:w="850"/>
      </w:tblGrid>
      <w:tr w:rsidR="00A933EF" w14:paraId="4F8B8922" w14:textId="77777777" w:rsidTr="0044406A">
        <w:trPr>
          <w:trHeight w:val="310"/>
        </w:trPr>
        <w:tc>
          <w:tcPr>
            <w:tcW w:w="354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A7752B"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Income Statement</w:t>
            </w:r>
          </w:p>
        </w:tc>
        <w:tc>
          <w:tcPr>
            <w:tcW w:w="487" w:type="pct"/>
            <w:tcBorders>
              <w:top w:val="single" w:sz="4" w:space="0" w:color="auto"/>
              <w:left w:val="nil"/>
              <w:bottom w:val="single" w:sz="4" w:space="0" w:color="auto"/>
              <w:right w:val="single" w:sz="4" w:space="0" w:color="auto"/>
            </w:tcBorders>
            <w:shd w:val="clear" w:color="auto" w:fill="auto"/>
            <w:noWrap/>
            <w:vAlign w:val="bottom"/>
            <w:hideMark/>
          </w:tcPr>
          <w:p w14:paraId="6346EE40"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87" w:type="pct"/>
            <w:tcBorders>
              <w:top w:val="single" w:sz="4" w:space="0" w:color="auto"/>
              <w:left w:val="nil"/>
              <w:bottom w:val="single" w:sz="4" w:space="0" w:color="auto"/>
              <w:right w:val="single" w:sz="4" w:space="0" w:color="auto"/>
            </w:tcBorders>
            <w:shd w:val="clear" w:color="auto" w:fill="auto"/>
            <w:noWrap/>
            <w:vAlign w:val="bottom"/>
            <w:hideMark/>
          </w:tcPr>
          <w:p w14:paraId="332F025D"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87" w:type="pct"/>
            <w:tcBorders>
              <w:top w:val="single" w:sz="4" w:space="0" w:color="auto"/>
              <w:left w:val="nil"/>
              <w:bottom w:val="single" w:sz="4" w:space="0" w:color="auto"/>
              <w:right w:val="single" w:sz="4" w:space="0" w:color="auto"/>
            </w:tcBorders>
            <w:shd w:val="clear" w:color="auto" w:fill="auto"/>
            <w:noWrap/>
            <w:vAlign w:val="bottom"/>
            <w:hideMark/>
          </w:tcPr>
          <w:p w14:paraId="2D7A7FF4"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r>
      <w:tr w:rsidR="00A933EF" w14:paraId="2B9E81B7"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3718C0DB"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1651" w:type="pct"/>
            <w:tcBorders>
              <w:top w:val="nil"/>
              <w:left w:val="nil"/>
              <w:bottom w:val="single" w:sz="4" w:space="0" w:color="auto"/>
              <w:right w:val="single" w:sz="4" w:space="0" w:color="auto"/>
            </w:tcBorders>
            <w:shd w:val="clear" w:color="auto" w:fill="auto"/>
            <w:noWrap/>
            <w:vAlign w:val="bottom"/>
            <w:hideMark/>
          </w:tcPr>
          <w:p w14:paraId="4BAB73CA"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2357" w:type="pct"/>
            <w:gridSpan w:val="5"/>
            <w:tcBorders>
              <w:top w:val="single" w:sz="4" w:space="0" w:color="auto"/>
              <w:left w:val="nil"/>
              <w:bottom w:val="single" w:sz="4" w:space="0" w:color="auto"/>
              <w:right w:val="single" w:sz="4" w:space="0" w:color="000000"/>
            </w:tcBorders>
            <w:shd w:val="clear" w:color="auto" w:fill="auto"/>
            <w:noWrap/>
            <w:vAlign w:val="bottom"/>
            <w:hideMark/>
          </w:tcPr>
          <w:p w14:paraId="0B85EB3F"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Total Energy</w:t>
            </w:r>
          </w:p>
        </w:tc>
      </w:tr>
      <w:tr w:rsidR="00A933EF" w14:paraId="40F234A3"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7AE31B4D"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1651" w:type="pct"/>
            <w:tcBorders>
              <w:top w:val="nil"/>
              <w:left w:val="nil"/>
              <w:bottom w:val="single" w:sz="4" w:space="0" w:color="auto"/>
              <w:right w:val="single" w:sz="4" w:space="0" w:color="auto"/>
            </w:tcBorders>
            <w:shd w:val="clear" w:color="auto" w:fill="auto"/>
            <w:noWrap/>
            <w:vAlign w:val="bottom"/>
            <w:hideMark/>
          </w:tcPr>
          <w:p w14:paraId="759B404C"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5FFE9007"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2023</w:t>
            </w:r>
          </w:p>
        </w:tc>
        <w:tc>
          <w:tcPr>
            <w:tcW w:w="449" w:type="pct"/>
            <w:tcBorders>
              <w:top w:val="nil"/>
              <w:left w:val="nil"/>
              <w:bottom w:val="single" w:sz="4" w:space="0" w:color="auto"/>
              <w:right w:val="single" w:sz="4" w:space="0" w:color="auto"/>
            </w:tcBorders>
            <w:shd w:val="clear" w:color="auto" w:fill="auto"/>
            <w:noWrap/>
            <w:vAlign w:val="bottom"/>
            <w:hideMark/>
          </w:tcPr>
          <w:p w14:paraId="43E85674"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2022</w:t>
            </w:r>
          </w:p>
        </w:tc>
        <w:tc>
          <w:tcPr>
            <w:tcW w:w="487" w:type="pct"/>
            <w:tcBorders>
              <w:top w:val="nil"/>
              <w:left w:val="nil"/>
              <w:bottom w:val="single" w:sz="4" w:space="0" w:color="auto"/>
              <w:right w:val="single" w:sz="4" w:space="0" w:color="auto"/>
            </w:tcBorders>
            <w:shd w:val="clear" w:color="auto" w:fill="auto"/>
            <w:noWrap/>
            <w:vAlign w:val="bottom"/>
            <w:hideMark/>
          </w:tcPr>
          <w:p w14:paraId="434967EC"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2021</w:t>
            </w:r>
          </w:p>
        </w:tc>
        <w:tc>
          <w:tcPr>
            <w:tcW w:w="487" w:type="pct"/>
            <w:tcBorders>
              <w:top w:val="nil"/>
              <w:left w:val="nil"/>
              <w:bottom w:val="single" w:sz="4" w:space="0" w:color="auto"/>
              <w:right w:val="single" w:sz="4" w:space="0" w:color="auto"/>
            </w:tcBorders>
            <w:shd w:val="clear" w:color="auto" w:fill="auto"/>
            <w:noWrap/>
            <w:vAlign w:val="bottom"/>
            <w:hideMark/>
          </w:tcPr>
          <w:p w14:paraId="7224A305"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2020</w:t>
            </w:r>
          </w:p>
        </w:tc>
        <w:tc>
          <w:tcPr>
            <w:tcW w:w="487" w:type="pct"/>
            <w:tcBorders>
              <w:top w:val="nil"/>
              <w:left w:val="nil"/>
              <w:bottom w:val="single" w:sz="4" w:space="0" w:color="auto"/>
              <w:right w:val="single" w:sz="4" w:space="0" w:color="auto"/>
            </w:tcBorders>
            <w:shd w:val="clear" w:color="auto" w:fill="auto"/>
            <w:noWrap/>
            <w:vAlign w:val="bottom"/>
            <w:hideMark/>
          </w:tcPr>
          <w:p w14:paraId="028EF24D"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2019</w:t>
            </w:r>
          </w:p>
        </w:tc>
      </w:tr>
      <w:tr w:rsidR="00A933EF" w14:paraId="1BF2A811"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26DA21B1"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xml:space="preserve">Revenue </w:t>
            </w:r>
          </w:p>
        </w:tc>
        <w:tc>
          <w:tcPr>
            <w:tcW w:w="1651" w:type="pct"/>
            <w:tcBorders>
              <w:top w:val="nil"/>
              <w:left w:val="nil"/>
              <w:bottom w:val="single" w:sz="4" w:space="0" w:color="auto"/>
              <w:right w:val="single" w:sz="4" w:space="0" w:color="auto"/>
            </w:tcBorders>
            <w:shd w:val="clear" w:color="auto" w:fill="auto"/>
            <w:noWrap/>
            <w:vAlign w:val="bottom"/>
            <w:hideMark/>
          </w:tcPr>
          <w:p w14:paraId="194B50EE"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796C74D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2,02,518.00</w:t>
            </w:r>
          </w:p>
        </w:tc>
        <w:tc>
          <w:tcPr>
            <w:tcW w:w="449" w:type="pct"/>
            <w:tcBorders>
              <w:top w:val="nil"/>
              <w:left w:val="nil"/>
              <w:bottom w:val="single" w:sz="4" w:space="0" w:color="auto"/>
              <w:right w:val="single" w:sz="4" w:space="0" w:color="auto"/>
            </w:tcBorders>
            <w:shd w:val="clear" w:color="auto" w:fill="auto"/>
            <w:noWrap/>
            <w:vAlign w:val="bottom"/>
            <w:hideMark/>
          </w:tcPr>
          <w:p w14:paraId="50CAD5F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2,50,539.00</w:t>
            </w:r>
          </w:p>
        </w:tc>
        <w:tc>
          <w:tcPr>
            <w:tcW w:w="487" w:type="pct"/>
            <w:tcBorders>
              <w:top w:val="nil"/>
              <w:left w:val="nil"/>
              <w:bottom w:val="single" w:sz="4" w:space="0" w:color="auto"/>
              <w:right w:val="single" w:sz="4" w:space="0" w:color="auto"/>
            </w:tcBorders>
            <w:shd w:val="clear" w:color="auto" w:fill="auto"/>
            <w:noWrap/>
            <w:vAlign w:val="bottom"/>
            <w:hideMark/>
          </w:tcPr>
          <w:p w14:paraId="107F1C6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1,56,207.00</w:t>
            </w:r>
          </w:p>
        </w:tc>
        <w:tc>
          <w:tcPr>
            <w:tcW w:w="487" w:type="pct"/>
            <w:tcBorders>
              <w:top w:val="nil"/>
              <w:left w:val="nil"/>
              <w:bottom w:val="single" w:sz="4" w:space="0" w:color="auto"/>
              <w:right w:val="single" w:sz="4" w:space="0" w:color="auto"/>
            </w:tcBorders>
            <w:shd w:val="clear" w:color="auto" w:fill="auto"/>
            <w:noWrap/>
            <w:vAlign w:val="bottom"/>
            <w:hideMark/>
          </w:tcPr>
          <w:p w14:paraId="777173A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1,05,006.00</w:t>
            </w:r>
          </w:p>
        </w:tc>
        <w:tc>
          <w:tcPr>
            <w:tcW w:w="487" w:type="pct"/>
            <w:tcBorders>
              <w:top w:val="nil"/>
              <w:left w:val="nil"/>
              <w:bottom w:val="single" w:sz="4" w:space="0" w:color="auto"/>
              <w:right w:val="single" w:sz="4" w:space="0" w:color="auto"/>
            </w:tcBorders>
            <w:shd w:val="clear" w:color="auto" w:fill="auto"/>
            <w:noWrap/>
            <w:vAlign w:val="bottom"/>
            <w:hideMark/>
          </w:tcPr>
          <w:p w14:paraId="566FD95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1,57,471.00</w:t>
            </w:r>
          </w:p>
        </w:tc>
      </w:tr>
      <w:tr w:rsidR="00A933EF" w14:paraId="3AD38172"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47266180"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COGS</w:t>
            </w:r>
          </w:p>
        </w:tc>
        <w:tc>
          <w:tcPr>
            <w:tcW w:w="1651" w:type="pct"/>
            <w:tcBorders>
              <w:top w:val="nil"/>
              <w:left w:val="nil"/>
              <w:bottom w:val="single" w:sz="4" w:space="0" w:color="auto"/>
              <w:right w:val="single" w:sz="4" w:space="0" w:color="auto"/>
            </w:tcBorders>
            <w:shd w:val="clear" w:color="auto" w:fill="auto"/>
            <w:noWrap/>
            <w:vAlign w:val="bottom"/>
            <w:hideMark/>
          </w:tcPr>
          <w:p w14:paraId="267756B9"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4B46CE4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1,73,610.00</w:t>
            </w:r>
          </w:p>
        </w:tc>
        <w:tc>
          <w:tcPr>
            <w:tcW w:w="449" w:type="pct"/>
            <w:tcBorders>
              <w:top w:val="nil"/>
              <w:left w:val="nil"/>
              <w:bottom w:val="single" w:sz="4" w:space="0" w:color="auto"/>
              <w:right w:val="single" w:sz="4" w:space="0" w:color="auto"/>
            </w:tcBorders>
            <w:shd w:val="clear" w:color="auto" w:fill="auto"/>
            <w:noWrap/>
            <w:vAlign w:val="bottom"/>
            <w:hideMark/>
          </w:tcPr>
          <w:p w14:paraId="76642FD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2,02,979.00</w:t>
            </w:r>
          </w:p>
        </w:tc>
        <w:tc>
          <w:tcPr>
            <w:tcW w:w="487" w:type="pct"/>
            <w:tcBorders>
              <w:top w:val="nil"/>
              <w:left w:val="nil"/>
              <w:bottom w:val="single" w:sz="4" w:space="0" w:color="auto"/>
              <w:right w:val="single" w:sz="4" w:space="0" w:color="auto"/>
            </w:tcBorders>
            <w:shd w:val="clear" w:color="auto" w:fill="auto"/>
            <w:noWrap/>
            <w:vAlign w:val="bottom"/>
            <w:hideMark/>
          </w:tcPr>
          <w:p w14:paraId="7C8B3D5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1,36,305.00</w:t>
            </w:r>
          </w:p>
        </w:tc>
        <w:tc>
          <w:tcPr>
            <w:tcW w:w="487" w:type="pct"/>
            <w:tcBorders>
              <w:top w:val="nil"/>
              <w:left w:val="nil"/>
              <w:bottom w:val="single" w:sz="4" w:space="0" w:color="auto"/>
              <w:right w:val="single" w:sz="4" w:space="0" w:color="auto"/>
            </w:tcBorders>
            <w:shd w:val="clear" w:color="auto" w:fill="auto"/>
            <w:noWrap/>
            <w:vAlign w:val="bottom"/>
            <w:hideMark/>
          </w:tcPr>
          <w:p w14:paraId="04BD195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1,04,141.00</w:t>
            </w:r>
          </w:p>
        </w:tc>
        <w:tc>
          <w:tcPr>
            <w:tcW w:w="487" w:type="pct"/>
            <w:tcBorders>
              <w:top w:val="nil"/>
              <w:left w:val="nil"/>
              <w:bottom w:val="single" w:sz="4" w:space="0" w:color="auto"/>
              <w:right w:val="single" w:sz="4" w:space="0" w:color="auto"/>
            </w:tcBorders>
            <w:shd w:val="clear" w:color="auto" w:fill="auto"/>
            <w:noWrap/>
            <w:vAlign w:val="bottom"/>
            <w:hideMark/>
          </w:tcPr>
          <w:p w14:paraId="6581ACE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1,43,821.00</w:t>
            </w:r>
          </w:p>
        </w:tc>
      </w:tr>
      <w:tr w:rsidR="00A933EF" w14:paraId="23ACEC5E"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5F19D697"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Gross profit</w:t>
            </w:r>
          </w:p>
        </w:tc>
        <w:tc>
          <w:tcPr>
            <w:tcW w:w="1651" w:type="pct"/>
            <w:tcBorders>
              <w:top w:val="nil"/>
              <w:left w:val="nil"/>
              <w:bottom w:val="single" w:sz="4" w:space="0" w:color="auto"/>
              <w:right w:val="single" w:sz="4" w:space="0" w:color="auto"/>
            </w:tcBorders>
            <w:shd w:val="clear" w:color="auto" w:fill="auto"/>
            <w:noWrap/>
            <w:vAlign w:val="bottom"/>
            <w:hideMark/>
          </w:tcPr>
          <w:p w14:paraId="7D4A596F"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2855FDD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28,908.00</w:t>
            </w:r>
          </w:p>
        </w:tc>
        <w:tc>
          <w:tcPr>
            <w:tcW w:w="449" w:type="pct"/>
            <w:tcBorders>
              <w:top w:val="nil"/>
              <w:left w:val="nil"/>
              <w:bottom w:val="single" w:sz="4" w:space="0" w:color="auto"/>
              <w:right w:val="single" w:sz="4" w:space="0" w:color="auto"/>
            </w:tcBorders>
            <w:shd w:val="clear" w:color="auto" w:fill="auto"/>
            <w:noWrap/>
            <w:vAlign w:val="bottom"/>
            <w:hideMark/>
          </w:tcPr>
          <w:p w14:paraId="05F73CE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47,560.00</w:t>
            </w:r>
          </w:p>
        </w:tc>
        <w:tc>
          <w:tcPr>
            <w:tcW w:w="487" w:type="pct"/>
            <w:tcBorders>
              <w:top w:val="nil"/>
              <w:left w:val="nil"/>
              <w:bottom w:val="single" w:sz="4" w:space="0" w:color="auto"/>
              <w:right w:val="single" w:sz="4" w:space="0" w:color="auto"/>
            </w:tcBorders>
            <w:shd w:val="clear" w:color="auto" w:fill="auto"/>
            <w:noWrap/>
            <w:vAlign w:val="bottom"/>
            <w:hideMark/>
          </w:tcPr>
          <w:p w14:paraId="78E92F8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19,902.00</w:t>
            </w:r>
          </w:p>
        </w:tc>
        <w:tc>
          <w:tcPr>
            <w:tcW w:w="487" w:type="pct"/>
            <w:tcBorders>
              <w:top w:val="nil"/>
              <w:left w:val="nil"/>
              <w:bottom w:val="single" w:sz="4" w:space="0" w:color="auto"/>
              <w:right w:val="single" w:sz="4" w:space="0" w:color="auto"/>
            </w:tcBorders>
            <w:shd w:val="clear" w:color="auto" w:fill="auto"/>
            <w:noWrap/>
            <w:vAlign w:val="bottom"/>
            <w:hideMark/>
          </w:tcPr>
          <w:p w14:paraId="24D2442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865.00</w:t>
            </w:r>
          </w:p>
        </w:tc>
        <w:tc>
          <w:tcPr>
            <w:tcW w:w="487" w:type="pct"/>
            <w:tcBorders>
              <w:top w:val="nil"/>
              <w:left w:val="nil"/>
              <w:bottom w:val="single" w:sz="4" w:space="0" w:color="auto"/>
              <w:right w:val="single" w:sz="4" w:space="0" w:color="auto"/>
            </w:tcBorders>
            <w:shd w:val="clear" w:color="auto" w:fill="auto"/>
            <w:noWrap/>
            <w:vAlign w:val="bottom"/>
            <w:hideMark/>
          </w:tcPr>
          <w:p w14:paraId="318DB03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13,650.00</w:t>
            </w:r>
          </w:p>
        </w:tc>
      </w:tr>
      <w:tr w:rsidR="00A933EF" w14:paraId="5656D20D"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3BF49E34"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EBIT</w:t>
            </w:r>
          </w:p>
        </w:tc>
        <w:tc>
          <w:tcPr>
            <w:tcW w:w="1651" w:type="pct"/>
            <w:tcBorders>
              <w:top w:val="nil"/>
              <w:left w:val="nil"/>
              <w:bottom w:val="single" w:sz="4" w:space="0" w:color="auto"/>
              <w:right w:val="single" w:sz="4" w:space="0" w:color="auto"/>
            </w:tcBorders>
            <w:shd w:val="clear" w:color="auto" w:fill="auto"/>
            <w:noWrap/>
            <w:vAlign w:val="bottom"/>
            <w:hideMark/>
          </w:tcPr>
          <w:p w14:paraId="3265F261"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0C1043A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29,582.00</w:t>
            </w:r>
          </w:p>
        </w:tc>
        <w:tc>
          <w:tcPr>
            <w:tcW w:w="449" w:type="pct"/>
            <w:tcBorders>
              <w:top w:val="nil"/>
              <w:left w:val="nil"/>
              <w:bottom w:val="single" w:sz="4" w:space="0" w:color="auto"/>
              <w:right w:val="single" w:sz="4" w:space="0" w:color="auto"/>
            </w:tcBorders>
            <w:shd w:val="clear" w:color="auto" w:fill="auto"/>
            <w:noWrap/>
            <w:vAlign w:val="bottom"/>
            <w:hideMark/>
          </w:tcPr>
          <w:p w14:paraId="66FF9A3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48,414.00</w:t>
            </w:r>
          </w:p>
        </w:tc>
        <w:tc>
          <w:tcPr>
            <w:tcW w:w="487" w:type="pct"/>
            <w:tcBorders>
              <w:top w:val="nil"/>
              <w:left w:val="nil"/>
              <w:bottom w:val="single" w:sz="4" w:space="0" w:color="auto"/>
              <w:right w:val="single" w:sz="4" w:space="0" w:color="auto"/>
            </w:tcBorders>
            <w:shd w:val="clear" w:color="auto" w:fill="auto"/>
            <w:noWrap/>
            <w:vAlign w:val="bottom"/>
            <w:hideMark/>
          </w:tcPr>
          <w:p w14:paraId="76CCB75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20,976.00</w:t>
            </w:r>
          </w:p>
        </w:tc>
        <w:tc>
          <w:tcPr>
            <w:tcW w:w="487" w:type="pct"/>
            <w:tcBorders>
              <w:top w:val="nil"/>
              <w:left w:val="nil"/>
              <w:bottom w:val="single" w:sz="4" w:space="0" w:color="auto"/>
              <w:right w:val="single" w:sz="4" w:space="0" w:color="auto"/>
            </w:tcBorders>
            <w:shd w:val="clear" w:color="auto" w:fill="auto"/>
            <w:noWrap/>
            <w:vAlign w:val="bottom"/>
            <w:hideMark/>
          </w:tcPr>
          <w:p w14:paraId="26A2E37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1,480.00</w:t>
            </w:r>
          </w:p>
        </w:tc>
        <w:tc>
          <w:tcPr>
            <w:tcW w:w="487" w:type="pct"/>
            <w:tcBorders>
              <w:top w:val="nil"/>
              <w:left w:val="nil"/>
              <w:bottom w:val="single" w:sz="4" w:space="0" w:color="auto"/>
              <w:right w:val="single" w:sz="4" w:space="0" w:color="auto"/>
            </w:tcBorders>
            <w:shd w:val="clear" w:color="auto" w:fill="auto"/>
            <w:noWrap/>
            <w:vAlign w:val="bottom"/>
            <w:hideMark/>
          </w:tcPr>
          <w:p w14:paraId="51FC47A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14,538.00</w:t>
            </w:r>
          </w:p>
        </w:tc>
      </w:tr>
      <w:tr w:rsidR="00A933EF" w14:paraId="7B500F72"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5BC50F84"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Net income</w:t>
            </w:r>
          </w:p>
        </w:tc>
        <w:tc>
          <w:tcPr>
            <w:tcW w:w="1651" w:type="pct"/>
            <w:tcBorders>
              <w:top w:val="nil"/>
              <w:left w:val="nil"/>
              <w:bottom w:val="single" w:sz="4" w:space="0" w:color="auto"/>
              <w:right w:val="single" w:sz="4" w:space="0" w:color="auto"/>
            </w:tcBorders>
            <w:shd w:val="clear" w:color="auto" w:fill="auto"/>
            <w:noWrap/>
            <w:vAlign w:val="bottom"/>
            <w:hideMark/>
          </w:tcPr>
          <w:p w14:paraId="31F13024"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0CD0B23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19,780</w:t>
            </w:r>
          </w:p>
        </w:tc>
        <w:tc>
          <w:tcPr>
            <w:tcW w:w="449" w:type="pct"/>
            <w:tcBorders>
              <w:top w:val="nil"/>
              <w:left w:val="nil"/>
              <w:bottom w:val="single" w:sz="4" w:space="0" w:color="auto"/>
              <w:right w:val="single" w:sz="4" w:space="0" w:color="auto"/>
            </w:tcBorders>
            <w:shd w:val="clear" w:color="auto" w:fill="auto"/>
            <w:noWrap/>
            <w:vAlign w:val="bottom"/>
            <w:hideMark/>
          </w:tcPr>
          <w:p w14:paraId="3D51B95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19,530</w:t>
            </w:r>
          </w:p>
        </w:tc>
        <w:tc>
          <w:tcPr>
            <w:tcW w:w="487" w:type="pct"/>
            <w:tcBorders>
              <w:top w:val="nil"/>
              <w:left w:val="nil"/>
              <w:bottom w:val="single" w:sz="4" w:space="0" w:color="auto"/>
              <w:right w:val="single" w:sz="4" w:space="0" w:color="auto"/>
            </w:tcBorders>
            <w:shd w:val="clear" w:color="auto" w:fill="auto"/>
            <w:noWrap/>
            <w:vAlign w:val="bottom"/>
            <w:hideMark/>
          </w:tcPr>
          <w:p w14:paraId="0340959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13,564</w:t>
            </w:r>
          </w:p>
        </w:tc>
        <w:tc>
          <w:tcPr>
            <w:tcW w:w="487" w:type="pct"/>
            <w:tcBorders>
              <w:top w:val="nil"/>
              <w:left w:val="nil"/>
              <w:bottom w:val="single" w:sz="4" w:space="0" w:color="auto"/>
              <w:right w:val="single" w:sz="4" w:space="0" w:color="auto"/>
            </w:tcBorders>
            <w:shd w:val="clear" w:color="auto" w:fill="auto"/>
            <w:noWrap/>
            <w:vAlign w:val="bottom"/>
            <w:hideMark/>
          </w:tcPr>
          <w:p w14:paraId="5FB7071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-6,353</w:t>
            </w:r>
          </w:p>
        </w:tc>
        <w:tc>
          <w:tcPr>
            <w:tcW w:w="487" w:type="pct"/>
            <w:tcBorders>
              <w:top w:val="nil"/>
              <w:left w:val="nil"/>
              <w:bottom w:val="single" w:sz="4" w:space="0" w:color="auto"/>
              <w:right w:val="single" w:sz="4" w:space="0" w:color="auto"/>
            </w:tcBorders>
            <w:shd w:val="clear" w:color="auto" w:fill="auto"/>
            <w:noWrap/>
            <w:vAlign w:val="bottom"/>
            <w:hideMark/>
          </w:tcPr>
          <w:p w14:paraId="0B98ADC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10,067</w:t>
            </w:r>
          </w:p>
        </w:tc>
      </w:tr>
      <w:tr w:rsidR="00A933EF" w14:paraId="19A7F7B2"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496D8C4A"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Basic earnings per share</w:t>
            </w:r>
          </w:p>
        </w:tc>
        <w:tc>
          <w:tcPr>
            <w:tcW w:w="1651" w:type="pct"/>
            <w:tcBorders>
              <w:top w:val="nil"/>
              <w:left w:val="nil"/>
              <w:bottom w:val="single" w:sz="4" w:space="0" w:color="auto"/>
              <w:right w:val="single" w:sz="4" w:space="0" w:color="auto"/>
            </w:tcBorders>
            <w:shd w:val="clear" w:color="auto" w:fill="auto"/>
            <w:noWrap/>
            <w:vAlign w:val="bottom"/>
            <w:hideMark/>
          </w:tcPr>
          <w:p w14:paraId="0AABC0BD"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7A0DBB9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8.18</w:t>
            </w:r>
          </w:p>
        </w:tc>
        <w:tc>
          <w:tcPr>
            <w:tcW w:w="449" w:type="pct"/>
            <w:tcBorders>
              <w:top w:val="nil"/>
              <w:left w:val="nil"/>
              <w:bottom w:val="single" w:sz="4" w:space="0" w:color="auto"/>
              <w:right w:val="single" w:sz="4" w:space="0" w:color="auto"/>
            </w:tcBorders>
            <w:shd w:val="clear" w:color="auto" w:fill="auto"/>
            <w:noWrap/>
            <w:vAlign w:val="bottom"/>
            <w:hideMark/>
          </w:tcPr>
          <w:p w14:paraId="7BE1B09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7.64</w:t>
            </w:r>
          </w:p>
        </w:tc>
        <w:tc>
          <w:tcPr>
            <w:tcW w:w="487" w:type="pct"/>
            <w:tcBorders>
              <w:top w:val="nil"/>
              <w:left w:val="nil"/>
              <w:bottom w:val="single" w:sz="4" w:space="0" w:color="auto"/>
              <w:right w:val="single" w:sz="4" w:space="0" w:color="auto"/>
            </w:tcBorders>
            <w:shd w:val="clear" w:color="auto" w:fill="auto"/>
            <w:noWrap/>
            <w:vAlign w:val="bottom"/>
            <w:hideMark/>
          </w:tcPr>
          <w:p w14:paraId="1C41A2D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5.15</w:t>
            </w:r>
          </w:p>
        </w:tc>
        <w:tc>
          <w:tcPr>
            <w:tcW w:w="487" w:type="pct"/>
            <w:tcBorders>
              <w:top w:val="nil"/>
              <w:left w:val="nil"/>
              <w:bottom w:val="single" w:sz="4" w:space="0" w:color="auto"/>
              <w:right w:val="single" w:sz="4" w:space="0" w:color="auto"/>
            </w:tcBorders>
            <w:shd w:val="clear" w:color="auto" w:fill="auto"/>
            <w:noWrap/>
            <w:vAlign w:val="bottom"/>
            <w:hideMark/>
          </w:tcPr>
          <w:p w14:paraId="1D1125A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-2.44</w:t>
            </w:r>
          </w:p>
        </w:tc>
        <w:tc>
          <w:tcPr>
            <w:tcW w:w="487" w:type="pct"/>
            <w:tcBorders>
              <w:top w:val="nil"/>
              <w:left w:val="nil"/>
              <w:bottom w:val="single" w:sz="4" w:space="0" w:color="auto"/>
              <w:right w:val="single" w:sz="4" w:space="0" w:color="auto"/>
            </w:tcBorders>
            <w:shd w:val="clear" w:color="auto" w:fill="auto"/>
            <w:noWrap/>
            <w:vAlign w:val="bottom"/>
            <w:hideMark/>
          </w:tcPr>
          <w:p w14:paraId="35DDD10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3.87</w:t>
            </w:r>
          </w:p>
        </w:tc>
      </w:tr>
      <w:tr w:rsidR="00A933EF" w14:paraId="56AF5DB1"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5BD62375"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Diluted earnings per share</w:t>
            </w:r>
          </w:p>
        </w:tc>
        <w:tc>
          <w:tcPr>
            <w:tcW w:w="1651" w:type="pct"/>
            <w:tcBorders>
              <w:top w:val="nil"/>
              <w:left w:val="nil"/>
              <w:bottom w:val="single" w:sz="4" w:space="0" w:color="auto"/>
              <w:right w:val="single" w:sz="4" w:space="0" w:color="auto"/>
            </w:tcBorders>
            <w:shd w:val="clear" w:color="auto" w:fill="auto"/>
            <w:noWrap/>
            <w:vAlign w:val="bottom"/>
            <w:hideMark/>
          </w:tcPr>
          <w:p w14:paraId="411B1765"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475D5A0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8.13</w:t>
            </w:r>
          </w:p>
        </w:tc>
        <w:tc>
          <w:tcPr>
            <w:tcW w:w="449" w:type="pct"/>
            <w:tcBorders>
              <w:top w:val="nil"/>
              <w:left w:val="nil"/>
              <w:bottom w:val="single" w:sz="4" w:space="0" w:color="auto"/>
              <w:right w:val="single" w:sz="4" w:space="0" w:color="auto"/>
            </w:tcBorders>
            <w:shd w:val="clear" w:color="auto" w:fill="auto"/>
            <w:noWrap/>
            <w:vAlign w:val="bottom"/>
            <w:hideMark/>
          </w:tcPr>
          <w:p w14:paraId="6352A9C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7.59</w:t>
            </w:r>
          </w:p>
        </w:tc>
        <w:tc>
          <w:tcPr>
            <w:tcW w:w="487" w:type="pct"/>
            <w:tcBorders>
              <w:top w:val="nil"/>
              <w:left w:val="nil"/>
              <w:bottom w:val="single" w:sz="4" w:space="0" w:color="auto"/>
              <w:right w:val="single" w:sz="4" w:space="0" w:color="auto"/>
            </w:tcBorders>
            <w:shd w:val="clear" w:color="auto" w:fill="auto"/>
            <w:noWrap/>
            <w:vAlign w:val="bottom"/>
            <w:hideMark/>
          </w:tcPr>
          <w:p w14:paraId="7549550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5.12</w:t>
            </w:r>
          </w:p>
        </w:tc>
        <w:tc>
          <w:tcPr>
            <w:tcW w:w="487" w:type="pct"/>
            <w:tcBorders>
              <w:top w:val="nil"/>
              <w:left w:val="nil"/>
              <w:bottom w:val="single" w:sz="4" w:space="0" w:color="auto"/>
              <w:right w:val="single" w:sz="4" w:space="0" w:color="auto"/>
            </w:tcBorders>
            <w:shd w:val="clear" w:color="auto" w:fill="auto"/>
            <w:noWrap/>
            <w:vAlign w:val="bottom"/>
            <w:hideMark/>
          </w:tcPr>
          <w:p w14:paraId="195087F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-2.44</w:t>
            </w:r>
          </w:p>
        </w:tc>
        <w:tc>
          <w:tcPr>
            <w:tcW w:w="487" w:type="pct"/>
            <w:tcBorders>
              <w:top w:val="nil"/>
              <w:left w:val="nil"/>
              <w:bottom w:val="single" w:sz="4" w:space="0" w:color="auto"/>
              <w:right w:val="single" w:sz="4" w:space="0" w:color="auto"/>
            </w:tcBorders>
            <w:shd w:val="clear" w:color="auto" w:fill="auto"/>
            <w:noWrap/>
            <w:vAlign w:val="bottom"/>
            <w:hideMark/>
          </w:tcPr>
          <w:p w14:paraId="417C3FF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3.85</w:t>
            </w:r>
          </w:p>
        </w:tc>
      </w:tr>
      <w:tr w:rsidR="00A933EF" w14:paraId="162B2E09"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20AA4384"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1651" w:type="pct"/>
            <w:tcBorders>
              <w:top w:val="nil"/>
              <w:left w:val="nil"/>
              <w:bottom w:val="single" w:sz="4" w:space="0" w:color="auto"/>
              <w:right w:val="single" w:sz="4" w:space="0" w:color="auto"/>
            </w:tcBorders>
            <w:shd w:val="clear" w:color="auto" w:fill="auto"/>
            <w:noWrap/>
            <w:vAlign w:val="bottom"/>
            <w:hideMark/>
          </w:tcPr>
          <w:p w14:paraId="3EECEE3A"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227C07A8"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0B3E70AE"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87" w:type="pct"/>
            <w:tcBorders>
              <w:top w:val="nil"/>
              <w:left w:val="nil"/>
              <w:bottom w:val="single" w:sz="4" w:space="0" w:color="auto"/>
              <w:right w:val="single" w:sz="4" w:space="0" w:color="auto"/>
            </w:tcBorders>
            <w:shd w:val="clear" w:color="auto" w:fill="auto"/>
            <w:noWrap/>
            <w:vAlign w:val="bottom"/>
            <w:hideMark/>
          </w:tcPr>
          <w:p w14:paraId="757582F9"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87" w:type="pct"/>
            <w:tcBorders>
              <w:top w:val="nil"/>
              <w:left w:val="nil"/>
              <w:bottom w:val="single" w:sz="4" w:space="0" w:color="auto"/>
              <w:right w:val="single" w:sz="4" w:space="0" w:color="auto"/>
            </w:tcBorders>
            <w:shd w:val="clear" w:color="auto" w:fill="auto"/>
            <w:noWrap/>
            <w:vAlign w:val="bottom"/>
            <w:hideMark/>
          </w:tcPr>
          <w:p w14:paraId="382E7A67"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87" w:type="pct"/>
            <w:tcBorders>
              <w:top w:val="nil"/>
              <w:left w:val="nil"/>
              <w:bottom w:val="single" w:sz="4" w:space="0" w:color="auto"/>
              <w:right w:val="single" w:sz="4" w:space="0" w:color="auto"/>
            </w:tcBorders>
            <w:shd w:val="clear" w:color="auto" w:fill="auto"/>
            <w:noWrap/>
            <w:vAlign w:val="bottom"/>
            <w:hideMark/>
          </w:tcPr>
          <w:p w14:paraId="6A1A8347"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r>
      <w:tr w:rsidR="00A933EF" w14:paraId="342825AA"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1191D0AF"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1651" w:type="pct"/>
            <w:tcBorders>
              <w:top w:val="nil"/>
              <w:left w:val="nil"/>
              <w:bottom w:val="single" w:sz="4" w:space="0" w:color="auto"/>
              <w:right w:val="single" w:sz="4" w:space="0" w:color="auto"/>
            </w:tcBorders>
            <w:shd w:val="clear" w:color="auto" w:fill="auto"/>
            <w:noWrap/>
            <w:vAlign w:val="bottom"/>
            <w:hideMark/>
          </w:tcPr>
          <w:p w14:paraId="21FF9302"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64B76780"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6B0A870B"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87" w:type="pct"/>
            <w:tcBorders>
              <w:top w:val="nil"/>
              <w:left w:val="nil"/>
              <w:bottom w:val="single" w:sz="4" w:space="0" w:color="auto"/>
              <w:right w:val="single" w:sz="4" w:space="0" w:color="auto"/>
            </w:tcBorders>
            <w:shd w:val="clear" w:color="auto" w:fill="auto"/>
            <w:noWrap/>
            <w:vAlign w:val="bottom"/>
            <w:hideMark/>
          </w:tcPr>
          <w:p w14:paraId="0DEBA045"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87" w:type="pct"/>
            <w:tcBorders>
              <w:top w:val="nil"/>
              <w:left w:val="nil"/>
              <w:bottom w:val="single" w:sz="4" w:space="0" w:color="auto"/>
              <w:right w:val="single" w:sz="4" w:space="0" w:color="auto"/>
            </w:tcBorders>
            <w:shd w:val="clear" w:color="auto" w:fill="auto"/>
            <w:noWrap/>
            <w:vAlign w:val="bottom"/>
            <w:hideMark/>
          </w:tcPr>
          <w:p w14:paraId="23702081"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87" w:type="pct"/>
            <w:tcBorders>
              <w:top w:val="nil"/>
              <w:left w:val="nil"/>
              <w:bottom w:val="single" w:sz="4" w:space="0" w:color="auto"/>
              <w:right w:val="single" w:sz="4" w:space="0" w:color="auto"/>
            </w:tcBorders>
            <w:shd w:val="clear" w:color="auto" w:fill="auto"/>
            <w:noWrap/>
            <w:vAlign w:val="bottom"/>
            <w:hideMark/>
          </w:tcPr>
          <w:p w14:paraId="1F9BB980"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r>
      <w:tr w:rsidR="00A933EF" w14:paraId="21028469" w14:textId="77777777" w:rsidTr="0044406A">
        <w:trPr>
          <w:trHeight w:val="310"/>
        </w:trPr>
        <w:tc>
          <w:tcPr>
            <w:tcW w:w="354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39AD26"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Balance Sheet</w:t>
            </w:r>
          </w:p>
        </w:tc>
        <w:tc>
          <w:tcPr>
            <w:tcW w:w="487" w:type="pct"/>
            <w:tcBorders>
              <w:top w:val="nil"/>
              <w:left w:val="nil"/>
              <w:bottom w:val="single" w:sz="4" w:space="0" w:color="auto"/>
              <w:right w:val="single" w:sz="4" w:space="0" w:color="auto"/>
            </w:tcBorders>
            <w:shd w:val="clear" w:color="auto" w:fill="auto"/>
            <w:noWrap/>
            <w:vAlign w:val="bottom"/>
            <w:hideMark/>
          </w:tcPr>
          <w:p w14:paraId="56B43BBB"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87" w:type="pct"/>
            <w:tcBorders>
              <w:top w:val="nil"/>
              <w:left w:val="nil"/>
              <w:bottom w:val="single" w:sz="4" w:space="0" w:color="auto"/>
              <w:right w:val="single" w:sz="4" w:space="0" w:color="auto"/>
            </w:tcBorders>
            <w:shd w:val="clear" w:color="auto" w:fill="auto"/>
            <w:noWrap/>
            <w:vAlign w:val="bottom"/>
            <w:hideMark/>
          </w:tcPr>
          <w:p w14:paraId="5B64663A"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87" w:type="pct"/>
            <w:tcBorders>
              <w:top w:val="nil"/>
              <w:left w:val="nil"/>
              <w:bottom w:val="single" w:sz="4" w:space="0" w:color="auto"/>
              <w:right w:val="single" w:sz="4" w:space="0" w:color="auto"/>
            </w:tcBorders>
            <w:shd w:val="clear" w:color="auto" w:fill="auto"/>
            <w:noWrap/>
            <w:vAlign w:val="bottom"/>
            <w:hideMark/>
          </w:tcPr>
          <w:p w14:paraId="35B2A220"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r>
      <w:tr w:rsidR="00A933EF" w14:paraId="1FCEFF67"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789E815D"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1651" w:type="pct"/>
            <w:tcBorders>
              <w:top w:val="nil"/>
              <w:left w:val="nil"/>
              <w:bottom w:val="single" w:sz="4" w:space="0" w:color="auto"/>
              <w:right w:val="single" w:sz="4" w:space="0" w:color="auto"/>
            </w:tcBorders>
            <w:shd w:val="clear" w:color="auto" w:fill="auto"/>
            <w:noWrap/>
            <w:vAlign w:val="bottom"/>
            <w:hideMark/>
          </w:tcPr>
          <w:p w14:paraId="73D5C917"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6B905E61"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2023</w:t>
            </w:r>
          </w:p>
        </w:tc>
        <w:tc>
          <w:tcPr>
            <w:tcW w:w="449" w:type="pct"/>
            <w:tcBorders>
              <w:top w:val="nil"/>
              <w:left w:val="nil"/>
              <w:bottom w:val="single" w:sz="4" w:space="0" w:color="auto"/>
              <w:right w:val="single" w:sz="4" w:space="0" w:color="auto"/>
            </w:tcBorders>
            <w:shd w:val="clear" w:color="auto" w:fill="auto"/>
            <w:noWrap/>
            <w:vAlign w:val="bottom"/>
            <w:hideMark/>
          </w:tcPr>
          <w:p w14:paraId="1C81A627"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2022</w:t>
            </w:r>
          </w:p>
        </w:tc>
        <w:tc>
          <w:tcPr>
            <w:tcW w:w="487" w:type="pct"/>
            <w:tcBorders>
              <w:top w:val="nil"/>
              <w:left w:val="nil"/>
              <w:bottom w:val="single" w:sz="4" w:space="0" w:color="auto"/>
              <w:right w:val="single" w:sz="4" w:space="0" w:color="auto"/>
            </w:tcBorders>
            <w:shd w:val="clear" w:color="auto" w:fill="auto"/>
            <w:noWrap/>
            <w:vAlign w:val="bottom"/>
            <w:hideMark/>
          </w:tcPr>
          <w:p w14:paraId="34CFE3D6"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2021</w:t>
            </w:r>
          </w:p>
        </w:tc>
        <w:tc>
          <w:tcPr>
            <w:tcW w:w="487" w:type="pct"/>
            <w:tcBorders>
              <w:top w:val="nil"/>
              <w:left w:val="nil"/>
              <w:bottom w:val="single" w:sz="4" w:space="0" w:color="auto"/>
              <w:right w:val="single" w:sz="4" w:space="0" w:color="auto"/>
            </w:tcBorders>
            <w:shd w:val="clear" w:color="auto" w:fill="auto"/>
            <w:noWrap/>
            <w:vAlign w:val="bottom"/>
            <w:hideMark/>
          </w:tcPr>
          <w:p w14:paraId="26644F07"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2020</w:t>
            </w:r>
          </w:p>
        </w:tc>
        <w:tc>
          <w:tcPr>
            <w:tcW w:w="487" w:type="pct"/>
            <w:tcBorders>
              <w:top w:val="nil"/>
              <w:left w:val="nil"/>
              <w:bottom w:val="single" w:sz="4" w:space="0" w:color="auto"/>
              <w:right w:val="single" w:sz="4" w:space="0" w:color="auto"/>
            </w:tcBorders>
            <w:shd w:val="clear" w:color="auto" w:fill="auto"/>
            <w:noWrap/>
            <w:vAlign w:val="bottom"/>
            <w:hideMark/>
          </w:tcPr>
          <w:p w14:paraId="7138818D" w14:textId="77777777" w:rsidR="00E079C5" w:rsidRPr="00297091" w:rsidRDefault="00357ABC" w:rsidP="0044406A">
            <w:pPr>
              <w:spacing w:before="0" w:after="0" w:line="240" w:lineRule="auto"/>
              <w:jc w:val="right"/>
              <w:rPr>
                <w:rFonts w:eastAsia="Times New Roman" w:cs="Times New Roman"/>
                <w:b/>
                <w:bCs/>
                <w:color w:val="000000"/>
                <w:szCs w:val="24"/>
                <w:lang w:eastAsia="en-IN"/>
              </w:rPr>
            </w:pPr>
            <w:r w:rsidRPr="00297091">
              <w:rPr>
                <w:rFonts w:eastAsia="Times New Roman" w:cs="Times New Roman"/>
                <w:b/>
                <w:bCs/>
                <w:color w:val="000000"/>
                <w:szCs w:val="24"/>
                <w:lang w:eastAsia="en-IN"/>
              </w:rPr>
              <w:t>2019</w:t>
            </w:r>
          </w:p>
        </w:tc>
      </w:tr>
      <w:tr w:rsidR="00A933EF" w14:paraId="67C7D43C"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6328CB96"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1651" w:type="pct"/>
            <w:tcBorders>
              <w:top w:val="nil"/>
              <w:left w:val="nil"/>
              <w:bottom w:val="single" w:sz="4" w:space="0" w:color="auto"/>
              <w:right w:val="single" w:sz="4" w:space="0" w:color="auto"/>
            </w:tcBorders>
            <w:shd w:val="clear" w:color="auto" w:fill="auto"/>
            <w:noWrap/>
            <w:vAlign w:val="bottom"/>
            <w:hideMark/>
          </w:tcPr>
          <w:p w14:paraId="2F172A09"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26B46E5E"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72FAD07B"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87" w:type="pct"/>
            <w:tcBorders>
              <w:top w:val="nil"/>
              <w:left w:val="nil"/>
              <w:bottom w:val="single" w:sz="4" w:space="0" w:color="auto"/>
              <w:right w:val="single" w:sz="4" w:space="0" w:color="auto"/>
            </w:tcBorders>
            <w:shd w:val="clear" w:color="auto" w:fill="auto"/>
            <w:noWrap/>
            <w:vAlign w:val="bottom"/>
            <w:hideMark/>
          </w:tcPr>
          <w:p w14:paraId="1B1CF1B3"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87" w:type="pct"/>
            <w:tcBorders>
              <w:top w:val="nil"/>
              <w:left w:val="nil"/>
              <w:bottom w:val="single" w:sz="4" w:space="0" w:color="auto"/>
              <w:right w:val="single" w:sz="4" w:space="0" w:color="auto"/>
            </w:tcBorders>
            <w:shd w:val="clear" w:color="auto" w:fill="auto"/>
            <w:noWrap/>
            <w:vAlign w:val="bottom"/>
            <w:hideMark/>
          </w:tcPr>
          <w:p w14:paraId="407132F9"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87" w:type="pct"/>
            <w:tcBorders>
              <w:top w:val="nil"/>
              <w:left w:val="nil"/>
              <w:bottom w:val="single" w:sz="4" w:space="0" w:color="auto"/>
              <w:right w:val="single" w:sz="4" w:space="0" w:color="auto"/>
            </w:tcBorders>
            <w:shd w:val="clear" w:color="auto" w:fill="auto"/>
            <w:noWrap/>
            <w:vAlign w:val="bottom"/>
            <w:hideMark/>
          </w:tcPr>
          <w:p w14:paraId="51BD5738"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r>
      <w:tr w:rsidR="00A933EF" w14:paraId="04C4073D"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7825FA47"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xml:space="preserve">Trade and other </w:t>
            </w:r>
            <w:r w:rsidRPr="00297091">
              <w:rPr>
                <w:rFonts w:eastAsia="Times New Roman" w:cs="Times New Roman"/>
                <w:color w:val="000000"/>
                <w:szCs w:val="24"/>
                <w:lang w:eastAsia="en-IN"/>
              </w:rPr>
              <w:lastRenderedPageBreak/>
              <w:t>receivables</w:t>
            </w:r>
          </w:p>
        </w:tc>
        <w:tc>
          <w:tcPr>
            <w:tcW w:w="1651" w:type="pct"/>
            <w:tcBorders>
              <w:top w:val="nil"/>
              <w:left w:val="nil"/>
              <w:bottom w:val="single" w:sz="4" w:space="0" w:color="auto"/>
              <w:right w:val="single" w:sz="4" w:space="0" w:color="auto"/>
            </w:tcBorders>
            <w:shd w:val="clear" w:color="auto" w:fill="auto"/>
            <w:noWrap/>
            <w:vAlign w:val="bottom"/>
            <w:hideMark/>
          </w:tcPr>
          <w:p w14:paraId="63FF78FE"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lastRenderedPageBreak/>
              <w:t> </w:t>
            </w:r>
          </w:p>
        </w:tc>
        <w:tc>
          <w:tcPr>
            <w:tcW w:w="449" w:type="pct"/>
            <w:tcBorders>
              <w:top w:val="nil"/>
              <w:left w:val="nil"/>
              <w:bottom w:val="single" w:sz="4" w:space="0" w:color="auto"/>
              <w:right w:val="single" w:sz="4" w:space="0" w:color="auto"/>
            </w:tcBorders>
            <w:shd w:val="clear" w:color="auto" w:fill="auto"/>
            <w:noWrap/>
            <w:vAlign w:val="bottom"/>
            <w:hideMark/>
          </w:tcPr>
          <w:p w14:paraId="5AD1843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21,22</w:t>
            </w:r>
            <w:r w:rsidRPr="00297091">
              <w:rPr>
                <w:rFonts w:eastAsia="Times New Roman" w:cs="Times New Roman"/>
                <w:color w:val="000000"/>
                <w:szCs w:val="24"/>
                <w:lang w:eastAsia="en-IN"/>
              </w:rPr>
              <w:lastRenderedPageBreak/>
              <w:t>1</w:t>
            </w:r>
          </w:p>
        </w:tc>
        <w:tc>
          <w:tcPr>
            <w:tcW w:w="449" w:type="pct"/>
            <w:tcBorders>
              <w:top w:val="nil"/>
              <w:left w:val="nil"/>
              <w:bottom w:val="single" w:sz="4" w:space="0" w:color="auto"/>
              <w:right w:val="single" w:sz="4" w:space="0" w:color="auto"/>
            </w:tcBorders>
            <w:shd w:val="clear" w:color="auto" w:fill="auto"/>
            <w:noWrap/>
            <w:vAlign w:val="bottom"/>
            <w:hideMark/>
          </w:tcPr>
          <w:p w14:paraId="32C9E09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lastRenderedPageBreak/>
              <w:t>55,39</w:t>
            </w:r>
            <w:r w:rsidRPr="00297091">
              <w:rPr>
                <w:rFonts w:eastAsia="Times New Roman" w:cs="Times New Roman"/>
                <w:color w:val="000000"/>
                <w:szCs w:val="24"/>
                <w:lang w:eastAsia="en-IN"/>
              </w:rPr>
              <w:lastRenderedPageBreak/>
              <w:t>5</w:t>
            </w:r>
          </w:p>
        </w:tc>
        <w:tc>
          <w:tcPr>
            <w:tcW w:w="487" w:type="pct"/>
            <w:tcBorders>
              <w:top w:val="nil"/>
              <w:left w:val="nil"/>
              <w:bottom w:val="single" w:sz="4" w:space="0" w:color="auto"/>
              <w:right w:val="single" w:sz="4" w:space="0" w:color="auto"/>
            </w:tcBorders>
            <w:shd w:val="clear" w:color="auto" w:fill="auto"/>
            <w:noWrap/>
            <w:vAlign w:val="bottom"/>
            <w:hideMark/>
          </w:tcPr>
          <w:p w14:paraId="05B9B39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lastRenderedPageBreak/>
              <w:t>48,65</w:t>
            </w:r>
            <w:r w:rsidRPr="00297091">
              <w:rPr>
                <w:rFonts w:eastAsia="Times New Roman" w:cs="Times New Roman"/>
                <w:color w:val="000000"/>
                <w:szCs w:val="24"/>
                <w:lang w:eastAsia="en-IN"/>
              </w:rPr>
              <w:lastRenderedPageBreak/>
              <w:t>2</w:t>
            </w:r>
          </w:p>
        </w:tc>
        <w:tc>
          <w:tcPr>
            <w:tcW w:w="487" w:type="pct"/>
            <w:tcBorders>
              <w:top w:val="nil"/>
              <w:left w:val="nil"/>
              <w:bottom w:val="single" w:sz="4" w:space="0" w:color="auto"/>
              <w:right w:val="single" w:sz="4" w:space="0" w:color="auto"/>
            </w:tcBorders>
            <w:shd w:val="clear" w:color="auto" w:fill="auto"/>
            <w:noWrap/>
            <w:vAlign w:val="bottom"/>
            <w:hideMark/>
          </w:tcPr>
          <w:p w14:paraId="402B33D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lastRenderedPageBreak/>
              <w:t>21,04</w:t>
            </w:r>
            <w:r w:rsidRPr="00297091">
              <w:rPr>
                <w:rFonts w:eastAsia="Times New Roman" w:cs="Times New Roman"/>
                <w:color w:val="000000"/>
                <w:szCs w:val="24"/>
                <w:lang w:eastAsia="en-IN"/>
              </w:rPr>
              <w:lastRenderedPageBreak/>
              <w:t>8</w:t>
            </w:r>
          </w:p>
        </w:tc>
        <w:tc>
          <w:tcPr>
            <w:tcW w:w="487" w:type="pct"/>
            <w:tcBorders>
              <w:top w:val="nil"/>
              <w:left w:val="nil"/>
              <w:bottom w:val="single" w:sz="4" w:space="0" w:color="auto"/>
              <w:right w:val="single" w:sz="4" w:space="0" w:color="auto"/>
            </w:tcBorders>
            <w:shd w:val="clear" w:color="auto" w:fill="auto"/>
            <w:noWrap/>
            <w:vAlign w:val="bottom"/>
            <w:hideMark/>
          </w:tcPr>
          <w:p w14:paraId="5470C1B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lastRenderedPageBreak/>
              <w:t>30,51</w:t>
            </w:r>
            <w:r w:rsidRPr="00297091">
              <w:rPr>
                <w:rFonts w:eastAsia="Times New Roman" w:cs="Times New Roman"/>
                <w:color w:val="000000"/>
                <w:szCs w:val="24"/>
                <w:lang w:eastAsia="en-IN"/>
              </w:rPr>
              <w:lastRenderedPageBreak/>
              <w:t>5</w:t>
            </w:r>
          </w:p>
        </w:tc>
      </w:tr>
      <w:tr w:rsidR="00A933EF" w14:paraId="0F279F5B"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6F565166"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lastRenderedPageBreak/>
              <w:t>Inventories</w:t>
            </w:r>
          </w:p>
        </w:tc>
        <w:tc>
          <w:tcPr>
            <w:tcW w:w="1651" w:type="pct"/>
            <w:tcBorders>
              <w:top w:val="nil"/>
              <w:left w:val="nil"/>
              <w:bottom w:val="single" w:sz="4" w:space="0" w:color="auto"/>
              <w:right w:val="single" w:sz="4" w:space="0" w:color="auto"/>
            </w:tcBorders>
            <w:shd w:val="clear" w:color="auto" w:fill="auto"/>
            <w:noWrap/>
            <w:vAlign w:val="bottom"/>
            <w:hideMark/>
          </w:tcPr>
          <w:p w14:paraId="5D7DB6A1"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3AD4330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17,487</w:t>
            </w:r>
          </w:p>
        </w:tc>
        <w:tc>
          <w:tcPr>
            <w:tcW w:w="449" w:type="pct"/>
            <w:tcBorders>
              <w:top w:val="nil"/>
              <w:left w:val="nil"/>
              <w:bottom w:val="single" w:sz="4" w:space="0" w:color="auto"/>
              <w:right w:val="single" w:sz="4" w:space="0" w:color="auto"/>
            </w:tcBorders>
            <w:shd w:val="clear" w:color="auto" w:fill="auto"/>
            <w:noWrap/>
            <w:vAlign w:val="bottom"/>
            <w:hideMark/>
          </w:tcPr>
          <w:p w14:paraId="79B5722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21,491</w:t>
            </w:r>
          </w:p>
        </w:tc>
        <w:tc>
          <w:tcPr>
            <w:tcW w:w="487" w:type="pct"/>
            <w:tcBorders>
              <w:top w:val="nil"/>
              <w:left w:val="nil"/>
              <w:bottom w:val="single" w:sz="4" w:space="0" w:color="auto"/>
              <w:right w:val="single" w:sz="4" w:space="0" w:color="auto"/>
            </w:tcBorders>
            <w:shd w:val="clear" w:color="auto" w:fill="auto"/>
            <w:noWrap/>
            <w:vAlign w:val="bottom"/>
            <w:hideMark/>
          </w:tcPr>
          <w:p w14:paraId="40E8EBE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17,545</w:t>
            </w:r>
          </w:p>
        </w:tc>
        <w:tc>
          <w:tcPr>
            <w:tcW w:w="487" w:type="pct"/>
            <w:tcBorders>
              <w:top w:val="nil"/>
              <w:left w:val="nil"/>
              <w:bottom w:val="single" w:sz="4" w:space="0" w:color="auto"/>
              <w:right w:val="single" w:sz="4" w:space="0" w:color="auto"/>
            </w:tcBorders>
            <w:shd w:val="clear" w:color="auto" w:fill="auto"/>
            <w:noWrap/>
            <w:vAlign w:val="bottom"/>
            <w:hideMark/>
          </w:tcPr>
          <w:p w14:paraId="42AEDD8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12,039</w:t>
            </w:r>
          </w:p>
        </w:tc>
        <w:tc>
          <w:tcPr>
            <w:tcW w:w="487" w:type="pct"/>
            <w:tcBorders>
              <w:top w:val="nil"/>
              <w:left w:val="nil"/>
              <w:bottom w:val="single" w:sz="4" w:space="0" w:color="auto"/>
              <w:right w:val="single" w:sz="4" w:space="0" w:color="auto"/>
            </w:tcBorders>
            <w:shd w:val="clear" w:color="auto" w:fill="auto"/>
            <w:noWrap/>
            <w:vAlign w:val="bottom"/>
            <w:hideMark/>
          </w:tcPr>
          <w:p w14:paraId="4974568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15,262</w:t>
            </w:r>
          </w:p>
        </w:tc>
      </w:tr>
      <w:tr w:rsidR="00A933EF" w14:paraId="6DD713DD"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7E192FA2"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Cash and cash equivalents</w:t>
            </w:r>
          </w:p>
        </w:tc>
        <w:tc>
          <w:tcPr>
            <w:tcW w:w="1651" w:type="pct"/>
            <w:tcBorders>
              <w:top w:val="nil"/>
              <w:left w:val="nil"/>
              <w:bottom w:val="single" w:sz="4" w:space="0" w:color="auto"/>
              <w:right w:val="single" w:sz="4" w:space="0" w:color="auto"/>
            </w:tcBorders>
            <w:shd w:val="clear" w:color="auto" w:fill="auto"/>
            <w:noWrap/>
            <w:vAlign w:val="bottom"/>
            <w:hideMark/>
          </w:tcPr>
          <w:p w14:paraId="2745684B"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2CBEC44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30,641</w:t>
            </w:r>
          </w:p>
        </w:tc>
        <w:tc>
          <w:tcPr>
            <w:tcW w:w="449" w:type="pct"/>
            <w:tcBorders>
              <w:top w:val="nil"/>
              <w:left w:val="nil"/>
              <w:bottom w:val="single" w:sz="4" w:space="0" w:color="auto"/>
              <w:right w:val="single" w:sz="4" w:space="0" w:color="auto"/>
            </w:tcBorders>
            <w:shd w:val="clear" w:color="auto" w:fill="auto"/>
            <w:noWrap/>
            <w:vAlign w:val="bottom"/>
            <w:hideMark/>
          </w:tcPr>
          <w:p w14:paraId="2D7C0EF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38,962</w:t>
            </w:r>
          </w:p>
        </w:tc>
        <w:tc>
          <w:tcPr>
            <w:tcW w:w="487" w:type="pct"/>
            <w:tcBorders>
              <w:top w:val="nil"/>
              <w:left w:val="nil"/>
              <w:bottom w:val="single" w:sz="4" w:space="0" w:color="auto"/>
              <w:right w:val="single" w:sz="4" w:space="0" w:color="auto"/>
            </w:tcBorders>
            <w:shd w:val="clear" w:color="auto" w:fill="auto"/>
            <w:noWrap/>
            <w:vAlign w:val="bottom"/>
            <w:hideMark/>
          </w:tcPr>
          <w:p w14:paraId="0B56DE4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29,480</w:t>
            </w:r>
          </w:p>
        </w:tc>
        <w:tc>
          <w:tcPr>
            <w:tcW w:w="487" w:type="pct"/>
            <w:tcBorders>
              <w:top w:val="nil"/>
              <w:left w:val="nil"/>
              <w:bottom w:val="single" w:sz="4" w:space="0" w:color="auto"/>
              <w:right w:val="single" w:sz="4" w:space="0" w:color="auto"/>
            </w:tcBorders>
            <w:shd w:val="clear" w:color="auto" w:fill="auto"/>
            <w:noWrap/>
            <w:vAlign w:val="bottom"/>
            <w:hideMark/>
          </w:tcPr>
          <w:p w14:paraId="1E9A9E7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29,248</w:t>
            </w:r>
          </w:p>
        </w:tc>
        <w:tc>
          <w:tcPr>
            <w:tcW w:w="487" w:type="pct"/>
            <w:tcBorders>
              <w:top w:val="nil"/>
              <w:left w:val="nil"/>
              <w:bottom w:val="single" w:sz="4" w:space="0" w:color="auto"/>
              <w:right w:val="single" w:sz="4" w:space="0" w:color="auto"/>
            </w:tcBorders>
            <w:shd w:val="clear" w:color="auto" w:fill="auto"/>
            <w:noWrap/>
            <w:vAlign w:val="bottom"/>
            <w:hideMark/>
          </w:tcPr>
          <w:p w14:paraId="2CBD1B8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27,794</w:t>
            </w:r>
          </w:p>
        </w:tc>
      </w:tr>
      <w:tr w:rsidR="00A933EF" w14:paraId="5B5EF44C"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6F21FA19"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Current assets</w:t>
            </w:r>
          </w:p>
        </w:tc>
        <w:tc>
          <w:tcPr>
            <w:tcW w:w="1651" w:type="pct"/>
            <w:tcBorders>
              <w:top w:val="nil"/>
              <w:left w:val="nil"/>
              <w:bottom w:val="single" w:sz="4" w:space="0" w:color="auto"/>
              <w:right w:val="single" w:sz="4" w:space="0" w:color="auto"/>
            </w:tcBorders>
            <w:shd w:val="clear" w:color="auto" w:fill="auto"/>
            <w:noWrap/>
            <w:vAlign w:val="bottom"/>
            <w:hideMark/>
          </w:tcPr>
          <w:p w14:paraId="058471D1"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450F259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90,100</w:t>
            </w:r>
          </w:p>
        </w:tc>
        <w:tc>
          <w:tcPr>
            <w:tcW w:w="449" w:type="pct"/>
            <w:tcBorders>
              <w:top w:val="nil"/>
              <w:left w:val="nil"/>
              <w:bottom w:val="single" w:sz="4" w:space="0" w:color="auto"/>
              <w:right w:val="single" w:sz="4" w:space="0" w:color="auto"/>
            </w:tcBorders>
            <w:shd w:val="clear" w:color="auto" w:fill="auto"/>
            <w:noWrap/>
            <w:vAlign w:val="bottom"/>
            <w:hideMark/>
          </w:tcPr>
          <w:p w14:paraId="7121A9F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1,17,802</w:t>
            </w:r>
          </w:p>
        </w:tc>
        <w:tc>
          <w:tcPr>
            <w:tcW w:w="487" w:type="pct"/>
            <w:tcBorders>
              <w:top w:val="nil"/>
              <w:left w:val="nil"/>
              <w:bottom w:val="single" w:sz="4" w:space="0" w:color="auto"/>
              <w:right w:val="single" w:sz="4" w:space="0" w:color="auto"/>
            </w:tcBorders>
            <w:shd w:val="clear" w:color="auto" w:fill="auto"/>
            <w:noWrap/>
            <w:vAlign w:val="bottom"/>
            <w:hideMark/>
          </w:tcPr>
          <w:p w14:paraId="3382EEC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97,728</w:t>
            </w:r>
          </w:p>
        </w:tc>
        <w:tc>
          <w:tcPr>
            <w:tcW w:w="487" w:type="pct"/>
            <w:tcBorders>
              <w:top w:val="nil"/>
              <w:left w:val="nil"/>
              <w:bottom w:val="single" w:sz="4" w:space="0" w:color="auto"/>
              <w:right w:val="single" w:sz="4" w:space="0" w:color="auto"/>
            </w:tcBorders>
            <w:shd w:val="clear" w:color="auto" w:fill="auto"/>
            <w:noWrap/>
            <w:vAlign w:val="bottom"/>
            <w:hideMark/>
          </w:tcPr>
          <w:p w14:paraId="410E439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65,121</w:t>
            </w:r>
          </w:p>
        </w:tc>
        <w:tc>
          <w:tcPr>
            <w:tcW w:w="487" w:type="pct"/>
            <w:tcBorders>
              <w:top w:val="nil"/>
              <w:left w:val="nil"/>
              <w:bottom w:val="single" w:sz="4" w:space="0" w:color="auto"/>
              <w:right w:val="single" w:sz="4" w:space="0" w:color="auto"/>
            </w:tcBorders>
            <w:shd w:val="clear" w:color="auto" w:fill="auto"/>
            <w:noWrap/>
            <w:vAlign w:val="bottom"/>
            <w:hideMark/>
          </w:tcPr>
          <w:p w14:paraId="5B44041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75,960</w:t>
            </w:r>
          </w:p>
        </w:tc>
      </w:tr>
      <w:tr w:rsidR="00A933EF" w14:paraId="31B7F48B"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64CEFC0C"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Total asset</w:t>
            </w:r>
          </w:p>
        </w:tc>
        <w:tc>
          <w:tcPr>
            <w:tcW w:w="1651" w:type="pct"/>
            <w:tcBorders>
              <w:top w:val="nil"/>
              <w:left w:val="nil"/>
              <w:bottom w:val="single" w:sz="4" w:space="0" w:color="auto"/>
              <w:right w:val="single" w:sz="4" w:space="0" w:color="auto"/>
            </w:tcBorders>
            <w:shd w:val="clear" w:color="auto" w:fill="auto"/>
            <w:noWrap/>
            <w:vAlign w:val="bottom"/>
            <w:hideMark/>
          </w:tcPr>
          <w:p w14:paraId="73A83C89"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18274E5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2,56,782</w:t>
            </w:r>
          </w:p>
        </w:tc>
        <w:tc>
          <w:tcPr>
            <w:tcW w:w="449" w:type="pct"/>
            <w:tcBorders>
              <w:top w:val="nil"/>
              <w:left w:val="nil"/>
              <w:bottom w:val="single" w:sz="4" w:space="0" w:color="auto"/>
              <w:right w:val="single" w:sz="4" w:space="0" w:color="auto"/>
            </w:tcBorders>
            <w:shd w:val="clear" w:color="auto" w:fill="auto"/>
            <w:noWrap/>
            <w:vAlign w:val="bottom"/>
            <w:hideMark/>
          </w:tcPr>
          <w:p w14:paraId="36F5B2D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2,84,717</w:t>
            </w:r>
          </w:p>
        </w:tc>
        <w:tc>
          <w:tcPr>
            <w:tcW w:w="487" w:type="pct"/>
            <w:tcBorders>
              <w:top w:val="nil"/>
              <w:left w:val="nil"/>
              <w:bottom w:val="single" w:sz="4" w:space="0" w:color="auto"/>
              <w:right w:val="single" w:sz="4" w:space="0" w:color="auto"/>
            </w:tcBorders>
            <w:shd w:val="clear" w:color="auto" w:fill="auto"/>
            <w:noWrap/>
            <w:vAlign w:val="bottom"/>
            <w:hideMark/>
          </w:tcPr>
          <w:p w14:paraId="0ADA4A9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2,58,053</w:t>
            </w:r>
          </w:p>
        </w:tc>
        <w:tc>
          <w:tcPr>
            <w:tcW w:w="487" w:type="pct"/>
            <w:tcBorders>
              <w:top w:val="nil"/>
              <w:left w:val="nil"/>
              <w:bottom w:val="single" w:sz="4" w:space="0" w:color="auto"/>
              <w:right w:val="single" w:sz="4" w:space="0" w:color="auto"/>
            </w:tcBorders>
            <w:shd w:val="clear" w:color="auto" w:fill="auto"/>
            <w:noWrap/>
            <w:vAlign w:val="bottom"/>
            <w:hideMark/>
          </w:tcPr>
          <w:p w14:paraId="736BE84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2,17,508</w:t>
            </w:r>
          </w:p>
        </w:tc>
        <w:tc>
          <w:tcPr>
            <w:tcW w:w="487" w:type="pct"/>
            <w:tcBorders>
              <w:top w:val="nil"/>
              <w:left w:val="nil"/>
              <w:bottom w:val="single" w:sz="4" w:space="0" w:color="auto"/>
              <w:right w:val="single" w:sz="4" w:space="0" w:color="auto"/>
            </w:tcBorders>
            <w:shd w:val="clear" w:color="auto" w:fill="auto"/>
            <w:noWrap/>
            <w:vAlign w:val="bottom"/>
            <w:hideMark/>
          </w:tcPr>
          <w:p w14:paraId="0DB9F35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2,43,469</w:t>
            </w:r>
          </w:p>
        </w:tc>
      </w:tr>
      <w:tr w:rsidR="00A933EF" w14:paraId="68E739A3"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792D3FF9"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Trade and other payables</w:t>
            </w:r>
          </w:p>
        </w:tc>
        <w:tc>
          <w:tcPr>
            <w:tcW w:w="1651" w:type="pct"/>
            <w:tcBorders>
              <w:top w:val="nil"/>
              <w:left w:val="nil"/>
              <w:bottom w:val="single" w:sz="4" w:space="0" w:color="auto"/>
              <w:right w:val="single" w:sz="4" w:space="0" w:color="auto"/>
            </w:tcBorders>
            <w:shd w:val="clear" w:color="auto" w:fill="auto"/>
            <w:noWrap/>
            <w:vAlign w:val="bottom"/>
            <w:hideMark/>
          </w:tcPr>
          <w:p w14:paraId="57FC3E99"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02FA594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37,419</w:t>
            </w:r>
          </w:p>
        </w:tc>
        <w:tc>
          <w:tcPr>
            <w:tcW w:w="449" w:type="pct"/>
            <w:tcBorders>
              <w:top w:val="nil"/>
              <w:left w:val="nil"/>
              <w:bottom w:val="single" w:sz="4" w:space="0" w:color="auto"/>
              <w:right w:val="single" w:sz="4" w:space="0" w:color="auto"/>
            </w:tcBorders>
            <w:shd w:val="clear" w:color="auto" w:fill="auto"/>
            <w:noWrap/>
            <w:vAlign w:val="bottom"/>
            <w:hideMark/>
          </w:tcPr>
          <w:p w14:paraId="593F257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38,741</w:t>
            </w:r>
          </w:p>
        </w:tc>
        <w:tc>
          <w:tcPr>
            <w:tcW w:w="487" w:type="pct"/>
            <w:tcBorders>
              <w:top w:val="nil"/>
              <w:left w:val="nil"/>
              <w:bottom w:val="single" w:sz="4" w:space="0" w:color="auto"/>
              <w:right w:val="single" w:sz="4" w:space="0" w:color="auto"/>
            </w:tcBorders>
            <w:shd w:val="clear" w:color="auto" w:fill="auto"/>
            <w:noWrap/>
            <w:vAlign w:val="bottom"/>
            <w:hideMark/>
          </w:tcPr>
          <w:p w14:paraId="668D6D6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32,393</w:t>
            </w:r>
          </w:p>
        </w:tc>
        <w:tc>
          <w:tcPr>
            <w:tcW w:w="487" w:type="pct"/>
            <w:tcBorders>
              <w:top w:val="nil"/>
              <w:left w:val="nil"/>
              <w:bottom w:val="single" w:sz="4" w:space="0" w:color="auto"/>
              <w:right w:val="single" w:sz="4" w:space="0" w:color="auto"/>
            </w:tcBorders>
            <w:shd w:val="clear" w:color="auto" w:fill="auto"/>
            <w:noWrap/>
            <w:vAlign w:val="bottom"/>
            <w:hideMark/>
          </w:tcPr>
          <w:p w14:paraId="5AAAB5C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19,267</w:t>
            </w:r>
          </w:p>
        </w:tc>
        <w:tc>
          <w:tcPr>
            <w:tcW w:w="487" w:type="pct"/>
            <w:tcBorders>
              <w:top w:val="nil"/>
              <w:left w:val="nil"/>
              <w:bottom w:val="single" w:sz="4" w:space="0" w:color="auto"/>
              <w:right w:val="single" w:sz="4" w:space="0" w:color="auto"/>
            </w:tcBorders>
            <w:shd w:val="clear" w:color="auto" w:fill="auto"/>
            <w:noWrap/>
            <w:vAlign w:val="bottom"/>
            <w:hideMark/>
          </w:tcPr>
          <w:p w14:paraId="620B5C7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25,295</w:t>
            </w:r>
          </w:p>
        </w:tc>
      </w:tr>
      <w:tr w:rsidR="00A933EF" w14:paraId="2E170C0B"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099B1E73"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Current liabilities</w:t>
            </w:r>
          </w:p>
        </w:tc>
        <w:tc>
          <w:tcPr>
            <w:tcW w:w="1651" w:type="pct"/>
            <w:tcBorders>
              <w:top w:val="nil"/>
              <w:left w:val="nil"/>
              <w:bottom w:val="single" w:sz="4" w:space="0" w:color="auto"/>
              <w:right w:val="single" w:sz="4" w:space="0" w:color="auto"/>
            </w:tcBorders>
            <w:shd w:val="clear" w:color="auto" w:fill="auto"/>
            <w:noWrap/>
            <w:vAlign w:val="bottom"/>
            <w:hideMark/>
          </w:tcPr>
          <w:p w14:paraId="1EEBDB66"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594CA5A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80,374</w:t>
            </w:r>
          </w:p>
        </w:tc>
        <w:tc>
          <w:tcPr>
            <w:tcW w:w="449" w:type="pct"/>
            <w:tcBorders>
              <w:top w:val="nil"/>
              <w:left w:val="nil"/>
              <w:bottom w:val="single" w:sz="4" w:space="0" w:color="auto"/>
              <w:right w:val="single" w:sz="4" w:space="0" w:color="auto"/>
            </w:tcBorders>
            <w:shd w:val="clear" w:color="auto" w:fill="auto"/>
            <w:noWrap/>
            <w:vAlign w:val="bottom"/>
            <w:hideMark/>
          </w:tcPr>
          <w:p w14:paraId="6C7CE4F1"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1,02,861</w:t>
            </w:r>
          </w:p>
        </w:tc>
        <w:tc>
          <w:tcPr>
            <w:tcW w:w="487" w:type="pct"/>
            <w:tcBorders>
              <w:top w:val="nil"/>
              <w:left w:val="nil"/>
              <w:bottom w:val="single" w:sz="4" w:space="0" w:color="auto"/>
              <w:right w:val="single" w:sz="4" w:space="0" w:color="auto"/>
            </w:tcBorders>
            <w:shd w:val="clear" w:color="auto" w:fill="auto"/>
            <w:noWrap/>
            <w:vAlign w:val="bottom"/>
            <w:hideMark/>
          </w:tcPr>
          <w:p w14:paraId="0E67DE8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83,628</w:t>
            </w:r>
          </w:p>
        </w:tc>
        <w:tc>
          <w:tcPr>
            <w:tcW w:w="487" w:type="pct"/>
            <w:tcBorders>
              <w:top w:val="nil"/>
              <w:left w:val="nil"/>
              <w:bottom w:val="single" w:sz="4" w:space="0" w:color="auto"/>
              <w:right w:val="single" w:sz="4" w:space="0" w:color="auto"/>
            </w:tcBorders>
            <w:shd w:val="clear" w:color="auto" w:fill="auto"/>
            <w:noWrap/>
            <w:vAlign w:val="bottom"/>
            <w:hideMark/>
          </w:tcPr>
          <w:p w14:paraId="41CF8C2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52,859</w:t>
            </w:r>
          </w:p>
        </w:tc>
        <w:tc>
          <w:tcPr>
            <w:tcW w:w="487" w:type="pct"/>
            <w:tcBorders>
              <w:top w:val="nil"/>
              <w:left w:val="nil"/>
              <w:bottom w:val="single" w:sz="4" w:space="0" w:color="auto"/>
              <w:right w:val="single" w:sz="4" w:space="0" w:color="auto"/>
            </w:tcBorders>
            <w:shd w:val="clear" w:color="auto" w:fill="auto"/>
            <w:noWrap/>
            <w:vAlign w:val="bottom"/>
            <w:hideMark/>
          </w:tcPr>
          <w:p w14:paraId="52414C4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62,578</w:t>
            </w:r>
          </w:p>
        </w:tc>
      </w:tr>
      <w:tr w:rsidR="00A933EF" w14:paraId="6383F322"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4535BED6"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Total liabilities</w:t>
            </w:r>
          </w:p>
        </w:tc>
        <w:tc>
          <w:tcPr>
            <w:tcW w:w="1651" w:type="pct"/>
            <w:tcBorders>
              <w:top w:val="nil"/>
              <w:left w:val="nil"/>
              <w:bottom w:val="single" w:sz="4" w:space="0" w:color="auto"/>
              <w:right w:val="single" w:sz="4" w:space="0" w:color="auto"/>
            </w:tcBorders>
            <w:shd w:val="clear" w:color="auto" w:fill="auto"/>
            <w:noWrap/>
            <w:vAlign w:val="bottom"/>
            <w:hideMark/>
          </w:tcPr>
          <w:p w14:paraId="39E70477"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6EA3123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1,48,645</w:t>
            </w:r>
          </w:p>
        </w:tc>
        <w:tc>
          <w:tcPr>
            <w:tcW w:w="449" w:type="pct"/>
            <w:tcBorders>
              <w:top w:val="nil"/>
              <w:left w:val="nil"/>
              <w:bottom w:val="single" w:sz="4" w:space="0" w:color="auto"/>
              <w:right w:val="single" w:sz="4" w:space="0" w:color="auto"/>
            </w:tcBorders>
            <w:shd w:val="clear" w:color="auto" w:fill="auto"/>
            <w:noWrap/>
            <w:vAlign w:val="bottom"/>
            <w:hideMark/>
          </w:tcPr>
          <w:p w14:paraId="00FE785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1,77,366</w:t>
            </w:r>
          </w:p>
        </w:tc>
        <w:tc>
          <w:tcPr>
            <w:tcW w:w="487" w:type="pct"/>
            <w:tcBorders>
              <w:top w:val="nil"/>
              <w:left w:val="nil"/>
              <w:bottom w:val="single" w:sz="4" w:space="0" w:color="auto"/>
              <w:right w:val="single" w:sz="4" w:space="0" w:color="auto"/>
            </w:tcBorders>
            <w:shd w:val="clear" w:color="auto" w:fill="auto"/>
            <w:noWrap/>
            <w:vAlign w:val="bottom"/>
            <w:hideMark/>
          </w:tcPr>
          <w:p w14:paraId="3D5A4EA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1,56,928</w:t>
            </w:r>
          </w:p>
        </w:tc>
        <w:tc>
          <w:tcPr>
            <w:tcW w:w="487" w:type="pct"/>
            <w:tcBorders>
              <w:top w:val="nil"/>
              <w:left w:val="nil"/>
              <w:bottom w:val="single" w:sz="4" w:space="0" w:color="auto"/>
              <w:right w:val="single" w:sz="4" w:space="0" w:color="auto"/>
            </w:tcBorders>
            <w:shd w:val="clear" w:color="auto" w:fill="auto"/>
            <w:noWrap/>
            <w:vAlign w:val="bottom"/>
            <w:hideMark/>
          </w:tcPr>
          <w:p w14:paraId="4C895D3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1,30,805</w:t>
            </w:r>
          </w:p>
        </w:tc>
        <w:tc>
          <w:tcPr>
            <w:tcW w:w="487" w:type="pct"/>
            <w:tcBorders>
              <w:top w:val="nil"/>
              <w:left w:val="nil"/>
              <w:bottom w:val="single" w:sz="4" w:space="0" w:color="auto"/>
              <w:right w:val="single" w:sz="4" w:space="0" w:color="auto"/>
            </w:tcBorders>
            <w:shd w:val="clear" w:color="auto" w:fill="auto"/>
            <w:noWrap/>
            <w:vAlign w:val="bottom"/>
            <w:hideMark/>
          </w:tcPr>
          <w:p w14:paraId="4CC959B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1,37,184</w:t>
            </w:r>
          </w:p>
        </w:tc>
      </w:tr>
      <w:tr w:rsidR="00A933EF" w14:paraId="623A61B3"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581352E4"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Equity</w:t>
            </w:r>
          </w:p>
        </w:tc>
        <w:tc>
          <w:tcPr>
            <w:tcW w:w="1651" w:type="pct"/>
            <w:tcBorders>
              <w:top w:val="nil"/>
              <w:left w:val="nil"/>
              <w:bottom w:val="single" w:sz="4" w:space="0" w:color="auto"/>
              <w:right w:val="single" w:sz="4" w:space="0" w:color="auto"/>
            </w:tcBorders>
            <w:shd w:val="clear" w:color="auto" w:fill="auto"/>
            <w:noWrap/>
            <w:vAlign w:val="bottom"/>
            <w:hideMark/>
          </w:tcPr>
          <w:p w14:paraId="785FD21C"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0F0C81D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1,08,137</w:t>
            </w:r>
          </w:p>
        </w:tc>
        <w:tc>
          <w:tcPr>
            <w:tcW w:w="449" w:type="pct"/>
            <w:tcBorders>
              <w:top w:val="nil"/>
              <w:left w:val="nil"/>
              <w:bottom w:val="single" w:sz="4" w:space="0" w:color="auto"/>
              <w:right w:val="single" w:sz="4" w:space="0" w:color="auto"/>
            </w:tcBorders>
            <w:shd w:val="clear" w:color="auto" w:fill="auto"/>
            <w:noWrap/>
            <w:vAlign w:val="bottom"/>
            <w:hideMark/>
          </w:tcPr>
          <w:p w14:paraId="6DDE171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1,07,351</w:t>
            </w:r>
          </w:p>
        </w:tc>
        <w:tc>
          <w:tcPr>
            <w:tcW w:w="487" w:type="pct"/>
            <w:tcBorders>
              <w:top w:val="nil"/>
              <w:left w:val="nil"/>
              <w:bottom w:val="single" w:sz="4" w:space="0" w:color="auto"/>
              <w:right w:val="single" w:sz="4" w:space="0" w:color="auto"/>
            </w:tcBorders>
            <w:shd w:val="clear" w:color="auto" w:fill="auto"/>
            <w:noWrap/>
            <w:vAlign w:val="bottom"/>
            <w:hideMark/>
          </w:tcPr>
          <w:p w14:paraId="7C29464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1,01,125</w:t>
            </w:r>
          </w:p>
        </w:tc>
        <w:tc>
          <w:tcPr>
            <w:tcW w:w="487" w:type="pct"/>
            <w:tcBorders>
              <w:top w:val="nil"/>
              <w:left w:val="nil"/>
              <w:bottom w:val="single" w:sz="4" w:space="0" w:color="auto"/>
              <w:right w:val="single" w:sz="4" w:space="0" w:color="auto"/>
            </w:tcBorders>
            <w:shd w:val="clear" w:color="auto" w:fill="auto"/>
            <w:noWrap/>
            <w:vAlign w:val="bottom"/>
            <w:hideMark/>
          </w:tcPr>
          <w:p w14:paraId="5679886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86,703</w:t>
            </w:r>
          </w:p>
        </w:tc>
        <w:tc>
          <w:tcPr>
            <w:tcW w:w="487" w:type="pct"/>
            <w:tcBorders>
              <w:top w:val="nil"/>
              <w:left w:val="nil"/>
              <w:bottom w:val="single" w:sz="4" w:space="0" w:color="auto"/>
              <w:right w:val="single" w:sz="4" w:space="0" w:color="auto"/>
            </w:tcBorders>
            <w:shd w:val="clear" w:color="auto" w:fill="auto"/>
            <w:noWrap/>
            <w:vAlign w:val="bottom"/>
            <w:hideMark/>
          </w:tcPr>
          <w:p w14:paraId="0F73A2D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1,06,285</w:t>
            </w:r>
          </w:p>
        </w:tc>
      </w:tr>
      <w:tr w:rsidR="00A933EF" w14:paraId="326C05FF" w14:textId="77777777" w:rsidTr="0044406A">
        <w:trPr>
          <w:trHeight w:val="310"/>
        </w:trPr>
        <w:tc>
          <w:tcPr>
            <w:tcW w:w="992" w:type="pct"/>
            <w:tcBorders>
              <w:top w:val="nil"/>
              <w:left w:val="nil"/>
              <w:bottom w:val="nil"/>
              <w:right w:val="nil"/>
            </w:tcBorders>
            <w:shd w:val="clear" w:color="auto" w:fill="auto"/>
            <w:noWrap/>
            <w:vAlign w:val="bottom"/>
            <w:hideMark/>
          </w:tcPr>
          <w:p w14:paraId="74C30330" w14:textId="77777777" w:rsidR="00E079C5" w:rsidRPr="00297091" w:rsidRDefault="00E079C5" w:rsidP="0044406A">
            <w:pPr>
              <w:spacing w:before="0" w:after="0" w:line="240" w:lineRule="auto"/>
              <w:jc w:val="right"/>
              <w:rPr>
                <w:rFonts w:eastAsia="Times New Roman" w:cs="Times New Roman"/>
                <w:color w:val="000000"/>
                <w:szCs w:val="24"/>
                <w:lang w:eastAsia="en-IN"/>
              </w:rPr>
            </w:pPr>
          </w:p>
        </w:tc>
        <w:tc>
          <w:tcPr>
            <w:tcW w:w="1651" w:type="pct"/>
            <w:tcBorders>
              <w:top w:val="nil"/>
              <w:left w:val="nil"/>
              <w:bottom w:val="nil"/>
              <w:right w:val="nil"/>
            </w:tcBorders>
            <w:shd w:val="clear" w:color="auto" w:fill="auto"/>
            <w:noWrap/>
            <w:vAlign w:val="bottom"/>
            <w:hideMark/>
          </w:tcPr>
          <w:p w14:paraId="785E4F9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5520E139"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696D218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1AACC989"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71BC3FC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5DE84355"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2DB60870" w14:textId="77777777" w:rsidTr="0044406A">
        <w:trPr>
          <w:trHeight w:val="310"/>
        </w:trPr>
        <w:tc>
          <w:tcPr>
            <w:tcW w:w="992" w:type="pct"/>
            <w:tcBorders>
              <w:top w:val="nil"/>
              <w:left w:val="nil"/>
              <w:bottom w:val="nil"/>
              <w:right w:val="nil"/>
            </w:tcBorders>
            <w:shd w:val="clear" w:color="auto" w:fill="auto"/>
            <w:noWrap/>
            <w:vAlign w:val="bottom"/>
            <w:hideMark/>
          </w:tcPr>
          <w:p w14:paraId="752ED39C"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651" w:type="pct"/>
            <w:tcBorders>
              <w:top w:val="nil"/>
              <w:left w:val="nil"/>
              <w:bottom w:val="nil"/>
              <w:right w:val="nil"/>
            </w:tcBorders>
            <w:shd w:val="clear" w:color="auto" w:fill="auto"/>
            <w:noWrap/>
            <w:vAlign w:val="bottom"/>
            <w:hideMark/>
          </w:tcPr>
          <w:p w14:paraId="20790EE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5F3E21F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6DA9DD5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289D3FED"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33AA418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25A107D4"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0136857A" w14:textId="77777777" w:rsidTr="0044406A">
        <w:trPr>
          <w:trHeight w:val="310"/>
        </w:trPr>
        <w:tc>
          <w:tcPr>
            <w:tcW w:w="992" w:type="pct"/>
            <w:tcBorders>
              <w:top w:val="nil"/>
              <w:left w:val="nil"/>
              <w:bottom w:val="nil"/>
              <w:right w:val="nil"/>
            </w:tcBorders>
            <w:shd w:val="clear" w:color="auto" w:fill="auto"/>
            <w:noWrap/>
            <w:vAlign w:val="bottom"/>
            <w:hideMark/>
          </w:tcPr>
          <w:p w14:paraId="3B6E81E9"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651" w:type="pct"/>
            <w:tcBorders>
              <w:top w:val="nil"/>
              <w:left w:val="nil"/>
              <w:bottom w:val="nil"/>
              <w:right w:val="nil"/>
            </w:tcBorders>
            <w:shd w:val="clear" w:color="auto" w:fill="auto"/>
            <w:noWrap/>
            <w:vAlign w:val="bottom"/>
            <w:hideMark/>
          </w:tcPr>
          <w:p w14:paraId="197A9D9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0FFC6A72"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618C60E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616EF87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793F49B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0BFCEDAC"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6A32B759" w14:textId="77777777" w:rsidTr="0044406A">
        <w:trPr>
          <w:trHeight w:val="310"/>
        </w:trPr>
        <w:tc>
          <w:tcPr>
            <w:tcW w:w="992" w:type="pct"/>
            <w:tcBorders>
              <w:top w:val="nil"/>
              <w:left w:val="nil"/>
              <w:bottom w:val="nil"/>
              <w:right w:val="nil"/>
            </w:tcBorders>
            <w:shd w:val="clear" w:color="auto" w:fill="auto"/>
            <w:noWrap/>
            <w:vAlign w:val="bottom"/>
            <w:hideMark/>
          </w:tcPr>
          <w:p w14:paraId="23AB5052"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651" w:type="pct"/>
            <w:tcBorders>
              <w:top w:val="nil"/>
              <w:left w:val="nil"/>
              <w:bottom w:val="nil"/>
              <w:right w:val="nil"/>
            </w:tcBorders>
            <w:shd w:val="clear" w:color="auto" w:fill="auto"/>
            <w:noWrap/>
            <w:vAlign w:val="bottom"/>
            <w:hideMark/>
          </w:tcPr>
          <w:p w14:paraId="7E3519B3"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5627F168"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5565114D"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21558DB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6A2B7289"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1FD5DAAC"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38798987" w14:textId="77777777" w:rsidTr="0044406A">
        <w:trPr>
          <w:trHeight w:val="310"/>
        </w:trPr>
        <w:tc>
          <w:tcPr>
            <w:tcW w:w="3540" w:type="pct"/>
            <w:gridSpan w:val="4"/>
            <w:tcBorders>
              <w:top w:val="nil"/>
              <w:left w:val="nil"/>
              <w:bottom w:val="nil"/>
              <w:right w:val="nil"/>
            </w:tcBorders>
            <w:shd w:val="clear" w:color="auto" w:fill="auto"/>
            <w:noWrap/>
            <w:vAlign w:val="bottom"/>
            <w:hideMark/>
          </w:tcPr>
          <w:p w14:paraId="36B0BA62"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 xml:space="preserve">Ratio analysis </w:t>
            </w:r>
          </w:p>
        </w:tc>
        <w:tc>
          <w:tcPr>
            <w:tcW w:w="487" w:type="pct"/>
            <w:tcBorders>
              <w:top w:val="nil"/>
              <w:left w:val="nil"/>
              <w:bottom w:val="nil"/>
              <w:right w:val="nil"/>
            </w:tcBorders>
            <w:shd w:val="clear" w:color="auto" w:fill="auto"/>
            <w:noWrap/>
            <w:vAlign w:val="bottom"/>
            <w:hideMark/>
          </w:tcPr>
          <w:p w14:paraId="34EB0E67" w14:textId="77777777" w:rsidR="00E079C5" w:rsidRPr="00297091" w:rsidRDefault="00E079C5" w:rsidP="0044406A">
            <w:pPr>
              <w:spacing w:before="0" w:after="0" w:line="240" w:lineRule="auto"/>
              <w:jc w:val="center"/>
              <w:rPr>
                <w:rFonts w:eastAsia="Times New Roman" w:cs="Times New Roman"/>
                <w:b/>
                <w:bCs/>
                <w:color w:val="000000"/>
                <w:szCs w:val="24"/>
                <w:lang w:eastAsia="en-IN"/>
              </w:rPr>
            </w:pPr>
          </w:p>
        </w:tc>
        <w:tc>
          <w:tcPr>
            <w:tcW w:w="487" w:type="pct"/>
            <w:tcBorders>
              <w:top w:val="nil"/>
              <w:left w:val="nil"/>
              <w:bottom w:val="nil"/>
              <w:right w:val="nil"/>
            </w:tcBorders>
            <w:shd w:val="clear" w:color="auto" w:fill="auto"/>
            <w:noWrap/>
            <w:vAlign w:val="bottom"/>
            <w:hideMark/>
          </w:tcPr>
          <w:p w14:paraId="3894663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30228C9F"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136873BA" w14:textId="77777777" w:rsidTr="0044406A">
        <w:trPr>
          <w:trHeight w:val="310"/>
        </w:trPr>
        <w:tc>
          <w:tcPr>
            <w:tcW w:w="992" w:type="pct"/>
            <w:tcBorders>
              <w:top w:val="nil"/>
              <w:left w:val="nil"/>
              <w:bottom w:val="nil"/>
              <w:right w:val="nil"/>
            </w:tcBorders>
            <w:shd w:val="clear" w:color="auto" w:fill="auto"/>
            <w:noWrap/>
            <w:vAlign w:val="bottom"/>
            <w:hideMark/>
          </w:tcPr>
          <w:p w14:paraId="299DCAC0"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651" w:type="pct"/>
            <w:tcBorders>
              <w:top w:val="nil"/>
              <w:left w:val="nil"/>
              <w:bottom w:val="nil"/>
              <w:right w:val="nil"/>
            </w:tcBorders>
            <w:shd w:val="clear" w:color="auto" w:fill="auto"/>
            <w:noWrap/>
            <w:vAlign w:val="bottom"/>
            <w:hideMark/>
          </w:tcPr>
          <w:p w14:paraId="2577DEE6"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02AEEB69"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0B89C40F"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3F332DAC"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296BEF20"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2CC16C67"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7081CB3C" w14:textId="77777777" w:rsidTr="0044406A">
        <w:trPr>
          <w:trHeight w:val="310"/>
        </w:trPr>
        <w:tc>
          <w:tcPr>
            <w:tcW w:w="99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2C64EA"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1651" w:type="pct"/>
            <w:tcBorders>
              <w:top w:val="single" w:sz="4" w:space="0" w:color="auto"/>
              <w:left w:val="nil"/>
              <w:bottom w:val="single" w:sz="4" w:space="0" w:color="auto"/>
              <w:right w:val="single" w:sz="4" w:space="0" w:color="auto"/>
            </w:tcBorders>
            <w:shd w:val="clear" w:color="auto" w:fill="auto"/>
            <w:noWrap/>
            <w:vAlign w:val="bottom"/>
            <w:hideMark/>
          </w:tcPr>
          <w:p w14:paraId="27281D48" w14:textId="77777777" w:rsidR="00E079C5" w:rsidRPr="00297091" w:rsidRDefault="00357ABC" w:rsidP="0044406A">
            <w:pPr>
              <w:spacing w:before="0" w:after="0" w:line="240" w:lineRule="auto"/>
              <w:jc w:val="left"/>
              <w:rPr>
                <w:rFonts w:eastAsia="Times New Roman" w:cs="Times New Roman"/>
                <w:b/>
                <w:bCs/>
                <w:color w:val="000000"/>
                <w:szCs w:val="24"/>
                <w:lang w:eastAsia="en-IN"/>
              </w:rPr>
            </w:pPr>
            <w:r w:rsidRPr="00297091">
              <w:rPr>
                <w:rFonts w:eastAsia="Times New Roman" w:cs="Times New Roman"/>
                <w:b/>
                <w:bCs/>
                <w:color w:val="000000"/>
                <w:szCs w:val="24"/>
                <w:lang w:eastAsia="en-IN"/>
              </w:rPr>
              <w:t> </w:t>
            </w:r>
          </w:p>
        </w:tc>
        <w:tc>
          <w:tcPr>
            <w:tcW w:w="2357" w:type="pct"/>
            <w:gridSpan w:val="5"/>
            <w:tcBorders>
              <w:top w:val="single" w:sz="4" w:space="0" w:color="auto"/>
              <w:left w:val="nil"/>
              <w:bottom w:val="single" w:sz="4" w:space="0" w:color="auto"/>
              <w:right w:val="single" w:sz="4" w:space="0" w:color="000000"/>
            </w:tcBorders>
            <w:shd w:val="clear" w:color="auto" w:fill="auto"/>
            <w:noWrap/>
            <w:vAlign w:val="bottom"/>
            <w:hideMark/>
          </w:tcPr>
          <w:p w14:paraId="48F81671" w14:textId="77777777" w:rsidR="00E079C5" w:rsidRPr="00297091" w:rsidRDefault="00357ABC" w:rsidP="0044406A">
            <w:pPr>
              <w:spacing w:before="0" w:after="0" w:line="240" w:lineRule="auto"/>
              <w:jc w:val="center"/>
              <w:rPr>
                <w:rFonts w:eastAsia="Times New Roman" w:cs="Times New Roman"/>
                <w:b/>
                <w:bCs/>
                <w:color w:val="000000"/>
                <w:szCs w:val="24"/>
                <w:lang w:eastAsia="en-IN"/>
              </w:rPr>
            </w:pPr>
            <w:r w:rsidRPr="00297091">
              <w:rPr>
                <w:rFonts w:eastAsia="Times New Roman" w:cs="Times New Roman"/>
                <w:b/>
                <w:bCs/>
                <w:color w:val="000000"/>
                <w:szCs w:val="24"/>
                <w:lang w:eastAsia="en-IN"/>
              </w:rPr>
              <w:t>Total Energy</w:t>
            </w:r>
          </w:p>
        </w:tc>
      </w:tr>
      <w:tr w:rsidR="00A933EF" w14:paraId="75C94A16"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3E5EA300"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Gross Margin</w:t>
            </w:r>
          </w:p>
        </w:tc>
        <w:tc>
          <w:tcPr>
            <w:tcW w:w="1651" w:type="pct"/>
            <w:tcBorders>
              <w:top w:val="nil"/>
              <w:left w:val="nil"/>
              <w:bottom w:val="single" w:sz="4" w:space="0" w:color="auto"/>
              <w:right w:val="single" w:sz="4" w:space="0" w:color="auto"/>
            </w:tcBorders>
            <w:shd w:val="clear" w:color="auto" w:fill="auto"/>
            <w:noWrap/>
            <w:vAlign w:val="bottom"/>
            <w:hideMark/>
          </w:tcPr>
          <w:p w14:paraId="4FA0078C"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Gross Profit/Sales revenue</w:t>
            </w:r>
          </w:p>
        </w:tc>
        <w:tc>
          <w:tcPr>
            <w:tcW w:w="449" w:type="pct"/>
            <w:tcBorders>
              <w:top w:val="nil"/>
              <w:left w:val="nil"/>
              <w:bottom w:val="single" w:sz="4" w:space="0" w:color="auto"/>
              <w:right w:val="single" w:sz="4" w:space="0" w:color="auto"/>
            </w:tcBorders>
            <w:shd w:val="clear" w:color="auto" w:fill="auto"/>
            <w:noWrap/>
            <w:vAlign w:val="bottom"/>
            <w:hideMark/>
          </w:tcPr>
          <w:p w14:paraId="494E69D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14.27%</w:t>
            </w:r>
          </w:p>
        </w:tc>
        <w:tc>
          <w:tcPr>
            <w:tcW w:w="449" w:type="pct"/>
            <w:tcBorders>
              <w:top w:val="nil"/>
              <w:left w:val="nil"/>
              <w:bottom w:val="single" w:sz="4" w:space="0" w:color="auto"/>
              <w:right w:val="single" w:sz="4" w:space="0" w:color="auto"/>
            </w:tcBorders>
            <w:shd w:val="clear" w:color="auto" w:fill="auto"/>
            <w:noWrap/>
            <w:vAlign w:val="bottom"/>
            <w:hideMark/>
          </w:tcPr>
          <w:p w14:paraId="603E363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18.98%</w:t>
            </w:r>
          </w:p>
        </w:tc>
        <w:tc>
          <w:tcPr>
            <w:tcW w:w="487" w:type="pct"/>
            <w:tcBorders>
              <w:top w:val="nil"/>
              <w:left w:val="nil"/>
              <w:bottom w:val="single" w:sz="4" w:space="0" w:color="auto"/>
              <w:right w:val="single" w:sz="4" w:space="0" w:color="auto"/>
            </w:tcBorders>
            <w:shd w:val="clear" w:color="auto" w:fill="auto"/>
            <w:noWrap/>
            <w:vAlign w:val="bottom"/>
            <w:hideMark/>
          </w:tcPr>
          <w:p w14:paraId="4DB3AEA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12.74%</w:t>
            </w:r>
          </w:p>
        </w:tc>
        <w:tc>
          <w:tcPr>
            <w:tcW w:w="487" w:type="pct"/>
            <w:tcBorders>
              <w:top w:val="nil"/>
              <w:left w:val="nil"/>
              <w:bottom w:val="single" w:sz="4" w:space="0" w:color="auto"/>
              <w:right w:val="single" w:sz="4" w:space="0" w:color="auto"/>
            </w:tcBorders>
            <w:shd w:val="clear" w:color="auto" w:fill="auto"/>
            <w:noWrap/>
            <w:vAlign w:val="bottom"/>
            <w:hideMark/>
          </w:tcPr>
          <w:p w14:paraId="01403D7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0.82%</w:t>
            </w:r>
          </w:p>
        </w:tc>
        <w:tc>
          <w:tcPr>
            <w:tcW w:w="487" w:type="pct"/>
            <w:tcBorders>
              <w:top w:val="nil"/>
              <w:left w:val="nil"/>
              <w:bottom w:val="single" w:sz="4" w:space="0" w:color="auto"/>
              <w:right w:val="single" w:sz="4" w:space="0" w:color="auto"/>
            </w:tcBorders>
            <w:shd w:val="clear" w:color="auto" w:fill="auto"/>
            <w:noWrap/>
            <w:vAlign w:val="bottom"/>
            <w:hideMark/>
          </w:tcPr>
          <w:p w14:paraId="188307A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8.67%</w:t>
            </w:r>
          </w:p>
        </w:tc>
      </w:tr>
      <w:tr w:rsidR="00A933EF" w14:paraId="20375297" w14:textId="77777777" w:rsidTr="0044406A">
        <w:trPr>
          <w:trHeight w:val="45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462C3114"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Return on capital employed</w:t>
            </w:r>
          </w:p>
        </w:tc>
        <w:tc>
          <w:tcPr>
            <w:tcW w:w="1651" w:type="pct"/>
            <w:tcBorders>
              <w:top w:val="nil"/>
              <w:left w:val="nil"/>
              <w:bottom w:val="single" w:sz="4" w:space="0" w:color="auto"/>
              <w:right w:val="single" w:sz="4" w:space="0" w:color="auto"/>
            </w:tcBorders>
            <w:shd w:val="clear" w:color="auto" w:fill="auto"/>
            <w:noWrap/>
            <w:vAlign w:val="bottom"/>
            <w:hideMark/>
          </w:tcPr>
          <w:p w14:paraId="2863B0E5"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EBIT/ Total asset- Total current liabilities</w:t>
            </w:r>
          </w:p>
        </w:tc>
        <w:tc>
          <w:tcPr>
            <w:tcW w:w="449" w:type="pct"/>
            <w:tcBorders>
              <w:top w:val="nil"/>
              <w:left w:val="nil"/>
              <w:bottom w:val="single" w:sz="4" w:space="0" w:color="auto"/>
              <w:right w:val="single" w:sz="4" w:space="0" w:color="auto"/>
            </w:tcBorders>
            <w:shd w:val="clear" w:color="auto" w:fill="auto"/>
            <w:noWrap/>
            <w:vAlign w:val="bottom"/>
            <w:hideMark/>
          </w:tcPr>
          <w:p w14:paraId="138618D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16.77%</w:t>
            </w:r>
          </w:p>
        </w:tc>
        <w:tc>
          <w:tcPr>
            <w:tcW w:w="449" w:type="pct"/>
            <w:tcBorders>
              <w:top w:val="nil"/>
              <w:left w:val="nil"/>
              <w:bottom w:val="single" w:sz="4" w:space="0" w:color="auto"/>
              <w:right w:val="single" w:sz="4" w:space="0" w:color="auto"/>
            </w:tcBorders>
            <w:shd w:val="clear" w:color="auto" w:fill="auto"/>
            <w:noWrap/>
            <w:vAlign w:val="bottom"/>
            <w:hideMark/>
          </w:tcPr>
          <w:p w14:paraId="1A74775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26.62%</w:t>
            </w:r>
          </w:p>
        </w:tc>
        <w:tc>
          <w:tcPr>
            <w:tcW w:w="487" w:type="pct"/>
            <w:tcBorders>
              <w:top w:val="nil"/>
              <w:left w:val="nil"/>
              <w:bottom w:val="single" w:sz="4" w:space="0" w:color="auto"/>
              <w:right w:val="single" w:sz="4" w:space="0" w:color="auto"/>
            </w:tcBorders>
            <w:shd w:val="clear" w:color="auto" w:fill="auto"/>
            <w:noWrap/>
            <w:vAlign w:val="bottom"/>
            <w:hideMark/>
          </w:tcPr>
          <w:p w14:paraId="0112AF5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12.03%</w:t>
            </w:r>
          </w:p>
        </w:tc>
        <w:tc>
          <w:tcPr>
            <w:tcW w:w="487" w:type="pct"/>
            <w:tcBorders>
              <w:top w:val="nil"/>
              <w:left w:val="nil"/>
              <w:bottom w:val="single" w:sz="4" w:space="0" w:color="auto"/>
              <w:right w:val="single" w:sz="4" w:space="0" w:color="auto"/>
            </w:tcBorders>
            <w:shd w:val="clear" w:color="auto" w:fill="auto"/>
            <w:noWrap/>
            <w:vAlign w:val="bottom"/>
            <w:hideMark/>
          </w:tcPr>
          <w:p w14:paraId="44DCECE0"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0.90%</w:t>
            </w:r>
          </w:p>
        </w:tc>
        <w:tc>
          <w:tcPr>
            <w:tcW w:w="487" w:type="pct"/>
            <w:tcBorders>
              <w:top w:val="nil"/>
              <w:left w:val="nil"/>
              <w:bottom w:val="single" w:sz="4" w:space="0" w:color="auto"/>
              <w:right w:val="single" w:sz="4" w:space="0" w:color="auto"/>
            </w:tcBorders>
            <w:shd w:val="clear" w:color="auto" w:fill="auto"/>
            <w:noWrap/>
            <w:vAlign w:val="bottom"/>
            <w:hideMark/>
          </w:tcPr>
          <w:p w14:paraId="6A78328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8.04%</w:t>
            </w:r>
          </w:p>
        </w:tc>
      </w:tr>
      <w:tr w:rsidR="00A933EF" w14:paraId="04B91FB0" w14:textId="77777777" w:rsidTr="0044406A">
        <w:trPr>
          <w:trHeight w:val="310"/>
        </w:trPr>
        <w:tc>
          <w:tcPr>
            <w:tcW w:w="992" w:type="pct"/>
            <w:tcBorders>
              <w:top w:val="nil"/>
              <w:left w:val="nil"/>
              <w:bottom w:val="nil"/>
              <w:right w:val="nil"/>
            </w:tcBorders>
            <w:shd w:val="clear" w:color="auto" w:fill="auto"/>
            <w:noWrap/>
            <w:vAlign w:val="bottom"/>
            <w:hideMark/>
          </w:tcPr>
          <w:p w14:paraId="056833C4" w14:textId="77777777" w:rsidR="00E079C5" w:rsidRPr="00297091" w:rsidRDefault="00E079C5" w:rsidP="0044406A">
            <w:pPr>
              <w:spacing w:before="0" w:after="0" w:line="240" w:lineRule="auto"/>
              <w:jc w:val="left"/>
              <w:rPr>
                <w:rFonts w:eastAsia="Times New Roman" w:cs="Times New Roman"/>
                <w:color w:val="000000"/>
                <w:szCs w:val="24"/>
                <w:lang w:eastAsia="en-IN"/>
              </w:rPr>
            </w:pPr>
          </w:p>
        </w:tc>
        <w:tc>
          <w:tcPr>
            <w:tcW w:w="1651" w:type="pct"/>
            <w:tcBorders>
              <w:top w:val="nil"/>
              <w:left w:val="nil"/>
              <w:bottom w:val="nil"/>
              <w:right w:val="nil"/>
            </w:tcBorders>
            <w:shd w:val="clear" w:color="auto" w:fill="auto"/>
            <w:noWrap/>
            <w:vAlign w:val="bottom"/>
            <w:hideMark/>
          </w:tcPr>
          <w:p w14:paraId="09968F91" w14:textId="77777777" w:rsidR="00E079C5" w:rsidRPr="00297091" w:rsidRDefault="00E079C5" w:rsidP="0044406A">
            <w:pPr>
              <w:spacing w:before="0" w:after="0" w:line="240" w:lineRule="auto"/>
              <w:jc w:val="left"/>
              <w:rPr>
                <w:rFonts w:eastAsia="Times New Roman" w:cs="Times New Roman"/>
                <w:color w:val="000000"/>
                <w:szCs w:val="24"/>
                <w:lang w:eastAsia="en-IN"/>
              </w:rPr>
            </w:pPr>
          </w:p>
        </w:tc>
        <w:tc>
          <w:tcPr>
            <w:tcW w:w="449" w:type="pct"/>
            <w:tcBorders>
              <w:top w:val="nil"/>
              <w:left w:val="nil"/>
              <w:bottom w:val="nil"/>
              <w:right w:val="nil"/>
            </w:tcBorders>
            <w:shd w:val="clear" w:color="auto" w:fill="auto"/>
            <w:noWrap/>
            <w:vAlign w:val="bottom"/>
            <w:hideMark/>
          </w:tcPr>
          <w:p w14:paraId="700E6B5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7438D540"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4359E0C6"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6A10F4C1"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278A6E60"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47C110DE" w14:textId="77777777" w:rsidTr="0044406A">
        <w:trPr>
          <w:trHeight w:val="310"/>
        </w:trPr>
        <w:tc>
          <w:tcPr>
            <w:tcW w:w="992" w:type="pct"/>
            <w:tcBorders>
              <w:top w:val="nil"/>
              <w:left w:val="nil"/>
              <w:bottom w:val="nil"/>
              <w:right w:val="nil"/>
            </w:tcBorders>
            <w:shd w:val="clear" w:color="auto" w:fill="auto"/>
            <w:noWrap/>
            <w:vAlign w:val="bottom"/>
            <w:hideMark/>
          </w:tcPr>
          <w:p w14:paraId="4D014900"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651" w:type="pct"/>
            <w:tcBorders>
              <w:top w:val="nil"/>
              <w:left w:val="nil"/>
              <w:bottom w:val="nil"/>
              <w:right w:val="nil"/>
            </w:tcBorders>
            <w:shd w:val="clear" w:color="auto" w:fill="auto"/>
            <w:noWrap/>
            <w:vAlign w:val="bottom"/>
            <w:hideMark/>
          </w:tcPr>
          <w:p w14:paraId="455A6954"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38879DAC"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45B8A760"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57F9EA2F"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299A04E3"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14BA3CF4"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24211124" w14:textId="77777777" w:rsidTr="0044406A">
        <w:trPr>
          <w:trHeight w:val="310"/>
        </w:trPr>
        <w:tc>
          <w:tcPr>
            <w:tcW w:w="99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B0DF47"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Current Ratio</w:t>
            </w:r>
          </w:p>
        </w:tc>
        <w:tc>
          <w:tcPr>
            <w:tcW w:w="1651" w:type="pct"/>
            <w:tcBorders>
              <w:top w:val="single" w:sz="4" w:space="0" w:color="auto"/>
              <w:left w:val="nil"/>
              <w:bottom w:val="single" w:sz="4" w:space="0" w:color="auto"/>
              <w:right w:val="single" w:sz="4" w:space="0" w:color="auto"/>
            </w:tcBorders>
            <w:shd w:val="clear" w:color="auto" w:fill="auto"/>
            <w:noWrap/>
            <w:vAlign w:val="bottom"/>
            <w:hideMark/>
          </w:tcPr>
          <w:p w14:paraId="20727D56"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Current assets/Current liabilities</w:t>
            </w:r>
          </w:p>
        </w:tc>
        <w:tc>
          <w:tcPr>
            <w:tcW w:w="449" w:type="pct"/>
            <w:tcBorders>
              <w:top w:val="single" w:sz="4" w:space="0" w:color="auto"/>
              <w:left w:val="nil"/>
              <w:bottom w:val="single" w:sz="4" w:space="0" w:color="auto"/>
              <w:right w:val="single" w:sz="4" w:space="0" w:color="auto"/>
            </w:tcBorders>
            <w:shd w:val="clear" w:color="auto" w:fill="auto"/>
            <w:noWrap/>
            <w:vAlign w:val="bottom"/>
            <w:hideMark/>
          </w:tcPr>
          <w:p w14:paraId="633F1E3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1.121009282</w:t>
            </w:r>
          </w:p>
        </w:tc>
        <w:tc>
          <w:tcPr>
            <w:tcW w:w="449" w:type="pct"/>
            <w:tcBorders>
              <w:top w:val="single" w:sz="4" w:space="0" w:color="auto"/>
              <w:left w:val="nil"/>
              <w:bottom w:val="single" w:sz="4" w:space="0" w:color="auto"/>
              <w:right w:val="single" w:sz="4" w:space="0" w:color="auto"/>
            </w:tcBorders>
            <w:shd w:val="clear" w:color="auto" w:fill="auto"/>
            <w:noWrap/>
            <w:vAlign w:val="bottom"/>
            <w:hideMark/>
          </w:tcPr>
          <w:p w14:paraId="0776F2E2"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1.145254275</w:t>
            </w:r>
          </w:p>
        </w:tc>
        <w:tc>
          <w:tcPr>
            <w:tcW w:w="487" w:type="pct"/>
            <w:tcBorders>
              <w:top w:val="single" w:sz="4" w:space="0" w:color="auto"/>
              <w:left w:val="nil"/>
              <w:bottom w:val="single" w:sz="4" w:space="0" w:color="auto"/>
              <w:right w:val="single" w:sz="4" w:space="0" w:color="auto"/>
            </w:tcBorders>
            <w:shd w:val="clear" w:color="auto" w:fill="auto"/>
            <w:noWrap/>
            <w:vAlign w:val="bottom"/>
            <w:hideMark/>
          </w:tcPr>
          <w:p w14:paraId="795085D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1.168603817</w:t>
            </w:r>
          </w:p>
        </w:tc>
        <w:tc>
          <w:tcPr>
            <w:tcW w:w="487" w:type="pct"/>
            <w:tcBorders>
              <w:top w:val="single" w:sz="4" w:space="0" w:color="auto"/>
              <w:left w:val="nil"/>
              <w:bottom w:val="single" w:sz="4" w:space="0" w:color="auto"/>
              <w:right w:val="single" w:sz="4" w:space="0" w:color="auto"/>
            </w:tcBorders>
            <w:shd w:val="clear" w:color="auto" w:fill="auto"/>
            <w:noWrap/>
            <w:vAlign w:val="bottom"/>
            <w:hideMark/>
          </w:tcPr>
          <w:p w14:paraId="212B7CB9"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1.231975633</w:t>
            </w:r>
          </w:p>
        </w:tc>
        <w:tc>
          <w:tcPr>
            <w:tcW w:w="487" w:type="pct"/>
            <w:tcBorders>
              <w:top w:val="single" w:sz="4" w:space="0" w:color="auto"/>
              <w:left w:val="nil"/>
              <w:bottom w:val="single" w:sz="4" w:space="0" w:color="auto"/>
              <w:right w:val="single" w:sz="4" w:space="0" w:color="auto"/>
            </w:tcBorders>
            <w:shd w:val="clear" w:color="auto" w:fill="auto"/>
            <w:noWrap/>
            <w:vAlign w:val="bottom"/>
            <w:hideMark/>
          </w:tcPr>
          <w:p w14:paraId="1C5C832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1.213845121</w:t>
            </w:r>
          </w:p>
        </w:tc>
      </w:tr>
      <w:tr w:rsidR="00A933EF" w14:paraId="3B7E9D17"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239B69F9"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Quick Ratio</w:t>
            </w:r>
          </w:p>
        </w:tc>
        <w:tc>
          <w:tcPr>
            <w:tcW w:w="1651" w:type="pct"/>
            <w:tcBorders>
              <w:top w:val="nil"/>
              <w:left w:val="nil"/>
              <w:bottom w:val="single" w:sz="4" w:space="0" w:color="auto"/>
              <w:right w:val="single" w:sz="4" w:space="0" w:color="auto"/>
            </w:tcBorders>
            <w:shd w:val="clear" w:color="auto" w:fill="auto"/>
            <w:noWrap/>
            <w:vAlign w:val="bottom"/>
            <w:hideMark/>
          </w:tcPr>
          <w:p w14:paraId="1C3D2B68"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Current assets (excluding inventories)/Current liabilities</w:t>
            </w:r>
          </w:p>
        </w:tc>
        <w:tc>
          <w:tcPr>
            <w:tcW w:w="449" w:type="pct"/>
            <w:tcBorders>
              <w:top w:val="nil"/>
              <w:left w:val="nil"/>
              <w:bottom w:val="single" w:sz="4" w:space="0" w:color="auto"/>
              <w:right w:val="single" w:sz="4" w:space="0" w:color="auto"/>
            </w:tcBorders>
            <w:shd w:val="clear" w:color="auto" w:fill="auto"/>
            <w:noWrap/>
            <w:vAlign w:val="bottom"/>
            <w:hideMark/>
          </w:tcPr>
          <w:p w14:paraId="71B7063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0.903438923</w:t>
            </w:r>
          </w:p>
        </w:tc>
        <w:tc>
          <w:tcPr>
            <w:tcW w:w="449" w:type="pct"/>
            <w:tcBorders>
              <w:top w:val="nil"/>
              <w:left w:val="nil"/>
              <w:bottom w:val="single" w:sz="4" w:space="0" w:color="auto"/>
              <w:right w:val="single" w:sz="4" w:space="0" w:color="auto"/>
            </w:tcBorders>
            <w:shd w:val="clear" w:color="auto" w:fill="auto"/>
            <w:noWrap/>
            <w:vAlign w:val="bottom"/>
            <w:hideMark/>
          </w:tcPr>
          <w:p w14:paraId="1576C9EC"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0.936321832</w:t>
            </w:r>
          </w:p>
        </w:tc>
        <w:tc>
          <w:tcPr>
            <w:tcW w:w="487" w:type="pct"/>
            <w:tcBorders>
              <w:top w:val="nil"/>
              <w:left w:val="nil"/>
              <w:bottom w:val="single" w:sz="4" w:space="0" w:color="auto"/>
              <w:right w:val="single" w:sz="4" w:space="0" w:color="auto"/>
            </w:tcBorders>
            <w:shd w:val="clear" w:color="auto" w:fill="auto"/>
            <w:noWrap/>
            <w:vAlign w:val="bottom"/>
            <w:hideMark/>
          </w:tcPr>
          <w:p w14:paraId="092D171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0.958805663</w:t>
            </w:r>
          </w:p>
        </w:tc>
        <w:tc>
          <w:tcPr>
            <w:tcW w:w="487" w:type="pct"/>
            <w:tcBorders>
              <w:top w:val="nil"/>
              <w:left w:val="nil"/>
              <w:bottom w:val="single" w:sz="4" w:space="0" w:color="auto"/>
              <w:right w:val="single" w:sz="4" w:space="0" w:color="auto"/>
            </w:tcBorders>
            <w:shd w:val="clear" w:color="auto" w:fill="auto"/>
            <w:noWrap/>
            <w:vAlign w:val="bottom"/>
            <w:hideMark/>
          </w:tcPr>
          <w:p w14:paraId="21DC65B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1.004218771</w:t>
            </w:r>
          </w:p>
        </w:tc>
        <w:tc>
          <w:tcPr>
            <w:tcW w:w="487" w:type="pct"/>
            <w:tcBorders>
              <w:top w:val="nil"/>
              <w:left w:val="nil"/>
              <w:bottom w:val="single" w:sz="4" w:space="0" w:color="auto"/>
              <w:right w:val="single" w:sz="4" w:space="0" w:color="auto"/>
            </w:tcBorders>
            <w:shd w:val="clear" w:color="auto" w:fill="auto"/>
            <w:noWrap/>
            <w:vAlign w:val="bottom"/>
            <w:hideMark/>
          </w:tcPr>
          <w:p w14:paraId="1F37D1F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0.969957493</w:t>
            </w:r>
          </w:p>
        </w:tc>
      </w:tr>
      <w:tr w:rsidR="00A933EF" w14:paraId="2A307AF7" w14:textId="77777777" w:rsidTr="0044406A">
        <w:trPr>
          <w:trHeight w:val="310"/>
        </w:trPr>
        <w:tc>
          <w:tcPr>
            <w:tcW w:w="992" w:type="pct"/>
            <w:tcBorders>
              <w:top w:val="nil"/>
              <w:left w:val="nil"/>
              <w:bottom w:val="nil"/>
              <w:right w:val="nil"/>
            </w:tcBorders>
            <w:shd w:val="clear" w:color="auto" w:fill="auto"/>
            <w:noWrap/>
            <w:vAlign w:val="bottom"/>
            <w:hideMark/>
          </w:tcPr>
          <w:p w14:paraId="035D4337" w14:textId="77777777" w:rsidR="00E079C5" w:rsidRPr="00297091" w:rsidRDefault="00E079C5" w:rsidP="0044406A">
            <w:pPr>
              <w:spacing w:before="0" w:after="0" w:line="240" w:lineRule="auto"/>
              <w:jc w:val="right"/>
              <w:rPr>
                <w:rFonts w:eastAsia="Times New Roman" w:cs="Times New Roman"/>
                <w:color w:val="000000"/>
                <w:szCs w:val="24"/>
                <w:lang w:eastAsia="en-IN"/>
              </w:rPr>
            </w:pPr>
          </w:p>
        </w:tc>
        <w:tc>
          <w:tcPr>
            <w:tcW w:w="1651" w:type="pct"/>
            <w:tcBorders>
              <w:top w:val="nil"/>
              <w:left w:val="nil"/>
              <w:bottom w:val="nil"/>
              <w:right w:val="nil"/>
            </w:tcBorders>
            <w:shd w:val="clear" w:color="auto" w:fill="auto"/>
            <w:noWrap/>
            <w:vAlign w:val="bottom"/>
            <w:hideMark/>
          </w:tcPr>
          <w:p w14:paraId="2BE84FE0"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0A4D1560"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4A39C4E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254411F6"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3F71D2C0"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0CAED510"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32B9F0E3" w14:textId="77777777" w:rsidTr="0044406A">
        <w:trPr>
          <w:trHeight w:val="310"/>
        </w:trPr>
        <w:tc>
          <w:tcPr>
            <w:tcW w:w="992" w:type="pct"/>
            <w:tcBorders>
              <w:top w:val="nil"/>
              <w:left w:val="nil"/>
              <w:bottom w:val="nil"/>
              <w:right w:val="nil"/>
            </w:tcBorders>
            <w:shd w:val="clear" w:color="auto" w:fill="auto"/>
            <w:noWrap/>
            <w:vAlign w:val="bottom"/>
            <w:hideMark/>
          </w:tcPr>
          <w:p w14:paraId="20EA1965"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651" w:type="pct"/>
            <w:tcBorders>
              <w:top w:val="nil"/>
              <w:left w:val="nil"/>
              <w:bottom w:val="nil"/>
              <w:right w:val="nil"/>
            </w:tcBorders>
            <w:shd w:val="clear" w:color="auto" w:fill="auto"/>
            <w:noWrap/>
            <w:vAlign w:val="bottom"/>
            <w:hideMark/>
          </w:tcPr>
          <w:p w14:paraId="4FDCEBF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695640D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2D037D6F"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79EFDDA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0217DAD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68341FEF"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0701A50B" w14:textId="77777777" w:rsidTr="0044406A">
        <w:trPr>
          <w:trHeight w:val="310"/>
        </w:trPr>
        <w:tc>
          <w:tcPr>
            <w:tcW w:w="99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5B15E0"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xml:space="preserve">Account </w:t>
            </w:r>
            <w:proofErr w:type="spellStart"/>
            <w:r w:rsidRPr="00297091">
              <w:rPr>
                <w:rFonts w:eastAsia="Times New Roman" w:cs="Times New Roman"/>
                <w:color w:val="000000"/>
                <w:szCs w:val="24"/>
                <w:lang w:eastAsia="en-IN"/>
              </w:rPr>
              <w:t>recievable</w:t>
            </w:r>
            <w:proofErr w:type="spellEnd"/>
            <w:r w:rsidRPr="00297091">
              <w:rPr>
                <w:rFonts w:eastAsia="Times New Roman" w:cs="Times New Roman"/>
                <w:color w:val="000000"/>
                <w:szCs w:val="24"/>
                <w:lang w:eastAsia="en-IN"/>
              </w:rPr>
              <w:t xml:space="preserve"> turnover ratio</w:t>
            </w:r>
          </w:p>
        </w:tc>
        <w:tc>
          <w:tcPr>
            <w:tcW w:w="1651" w:type="pct"/>
            <w:tcBorders>
              <w:top w:val="single" w:sz="4" w:space="0" w:color="auto"/>
              <w:left w:val="nil"/>
              <w:bottom w:val="single" w:sz="4" w:space="0" w:color="auto"/>
              <w:right w:val="single" w:sz="4" w:space="0" w:color="auto"/>
            </w:tcBorders>
            <w:shd w:val="clear" w:color="auto" w:fill="auto"/>
            <w:noWrap/>
            <w:vAlign w:val="bottom"/>
            <w:hideMark/>
          </w:tcPr>
          <w:p w14:paraId="1B62EAF3"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 xml:space="preserve">(Net Sales/ account </w:t>
            </w:r>
            <w:proofErr w:type="spellStart"/>
            <w:r w:rsidRPr="00297091">
              <w:rPr>
                <w:rFonts w:eastAsia="Times New Roman" w:cs="Times New Roman"/>
                <w:color w:val="000000"/>
                <w:szCs w:val="24"/>
                <w:lang w:eastAsia="en-IN"/>
              </w:rPr>
              <w:t>recievable</w:t>
            </w:r>
            <w:proofErr w:type="spellEnd"/>
            <w:r w:rsidRPr="00297091">
              <w:rPr>
                <w:rFonts w:eastAsia="Times New Roman" w:cs="Times New Roman"/>
                <w:color w:val="000000"/>
                <w:szCs w:val="24"/>
                <w:lang w:eastAsia="en-IN"/>
              </w:rPr>
              <w:t>)</w:t>
            </w:r>
          </w:p>
        </w:tc>
        <w:tc>
          <w:tcPr>
            <w:tcW w:w="449" w:type="pct"/>
            <w:tcBorders>
              <w:top w:val="single" w:sz="4" w:space="0" w:color="auto"/>
              <w:left w:val="nil"/>
              <w:bottom w:val="single" w:sz="4" w:space="0" w:color="auto"/>
              <w:right w:val="single" w:sz="4" w:space="0" w:color="auto"/>
            </w:tcBorders>
            <w:shd w:val="clear" w:color="auto" w:fill="auto"/>
            <w:noWrap/>
            <w:vAlign w:val="bottom"/>
            <w:hideMark/>
          </w:tcPr>
          <w:p w14:paraId="3CDC251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9.543282597</w:t>
            </w:r>
          </w:p>
        </w:tc>
        <w:tc>
          <w:tcPr>
            <w:tcW w:w="449" w:type="pct"/>
            <w:tcBorders>
              <w:top w:val="single" w:sz="4" w:space="0" w:color="auto"/>
              <w:left w:val="nil"/>
              <w:bottom w:val="single" w:sz="4" w:space="0" w:color="auto"/>
              <w:right w:val="single" w:sz="4" w:space="0" w:color="auto"/>
            </w:tcBorders>
            <w:shd w:val="clear" w:color="auto" w:fill="auto"/>
            <w:noWrap/>
            <w:vAlign w:val="bottom"/>
            <w:hideMark/>
          </w:tcPr>
          <w:p w14:paraId="6487179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4.522772813</w:t>
            </w:r>
          </w:p>
        </w:tc>
        <w:tc>
          <w:tcPr>
            <w:tcW w:w="487" w:type="pct"/>
            <w:tcBorders>
              <w:top w:val="single" w:sz="4" w:space="0" w:color="auto"/>
              <w:left w:val="nil"/>
              <w:bottom w:val="single" w:sz="4" w:space="0" w:color="auto"/>
              <w:right w:val="single" w:sz="4" w:space="0" w:color="auto"/>
            </w:tcBorders>
            <w:shd w:val="clear" w:color="auto" w:fill="auto"/>
            <w:noWrap/>
            <w:vAlign w:val="bottom"/>
            <w:hideMark/>
          </w:tcPr>
          <w:p w14:paraId="2DA156A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3.210700485</w:t>
            </w:r>
          </w:p>
        </w:tc>
        <w:tc>
          <w:tcPr>
            <w:tcW w:w="487" w:type="pct"/>
            <w:tcBorders>
              <w:top w:val="single" w:sz="4" w:space="0" w:color="auto"/>
              <w:left w:val="nil"/>
              <w:bottom w:val="single" w:sz="4" w:space="0" w:color="auto"/>
              <w:right w:val="single" w:sz="4" w:space="0" w:color="auto"/>
            </w:tcBorders>
            <w:shd w:val="clear" w:color="auto" w:fill="auto"/>
            <w:noWrap/>
            <w:vAlign w:val="bottom"/>
            <w:hideMark/>
          </w:tcPr>
          <w:p w14:paraId="2185E0C5"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4.988882554</w:t>
            </w:r>
          </w:p>
        </w:tc>
        <w:tc>
          <w:tcPr>
            <w:tcW w:w="487" w:type="pct"/>
            <w:tcBorders>
              <w:top w:val="single" w:sz="4" w:space="0" w:color="auto"/>
              <w:left w:val="nil"/>
              <w:bottom w:val="single" w:sz="4" w:space="0" w:color="auto"/>
              <w:right w:val="single" w:sz="4" w:space="0" w:color="auto"/>
            </w:tcBorders>
            <w:shd w:val="clear" w:color="auto" w:fill="auto"/>
            <w:noWrap/>
            <w:vAlign w:val="bottom"/>
            <w:hideMark/>
          </w:tcPr>
          <w:p w14:paraId="280C9D77"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5.160445682</w:t>
            </w:r>
          </w:p>
        </w:tc>
      </w:tr>
      <w:tr w:rsidR="00A933EF" w14:paraId="498796F7"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65253D0F"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Account payable turnover ratio</w:t>
            </w:r>
          </w:p>
        </w:tc>
        <w:tc>
          <w:tcPr>
            <w:tcW w:w="1651" w:type="pct"/>
            <w:tcBorders>
              <w:top w:val="nil"/>
              <w:left w:val="nil"/>
              <w:bottom w:val="single" w:sz="4" w:space="0" w:color="auto"/>
              <w:right w:val="single" w:sz="4" w:space="0" w:color="auto"/>
            </w:tcBorders>
            <w:shd w:val="clear" w:color="auto" w:fill="auto"/>
            <w:noWrap/>
            <w:vAlign w:val="bottom"/>
            <w:hideMark/>
          </w:tcPr>
          <w:p w14:paraId="60A44CC7"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(Credit purchase/ Account payable)</w:t>
            </w:r>
          </w:p>
        </w:tc>
        <w:tc>
          <w:tcPr>
            <w:tcW w:w="449" w:type="pct"/>
            <w:tcBorders>
              <w:top w:val="nil"/>
              <w:left w:val="nil"/>
              <w:bottom w:val="single" w:sz="4" w:space="0" w:color="auto"/>
              <w:right w:val="single" w:sz="4" w:space="0" w:color="auto"/>
            </w:tcBorders>
            <w:shd w:val="clear" w:color="auto" w:fill="auto"/>
            <w:noWrap/>
            <w:vAlign w:val="bottom"/>
            <w:hideMark/>
          </w:tcPr>
          <w:p w14:paraId="1A22507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4.639621583</w:t>
            </w:r>
          </w:p>
        </w:tc>
        <w:tc>
          <w:tcPr>
            <w:tcW w:w="449" w:type="pct"/>
            <w:tcBorders>
              <w:top w:val="nil"/>
              <w:left w:val="nil"/>
              <w:bottom w:val="single" w:sz="4" w:space="0" w:color="auto"/>
              <w:right w:val="single" w:sz="4" w:space="0" w:color="auto"/>
            </w:tcBorders>
            <w:shd w:val="clear" w:color="auto" w:fill="auto"/>
            <w:noWrap/>
            <w:vAlign w:val="bottom"/>
            <w:hideMark/>
          </w:tcPr>
          <w:p w14:paraId="317523A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5.239384631</w:t>
            </w:r>
          </w:p>
        </w:tc>
        <w:tc>
          <w:tcPr>
            <w:tcW w:w="487" w:type="pct"/>
            <w:tcBorders>
              <w:top w:val="nil"/>
              <w:left w:val="nil"/>
              <w:bottom w:val="single" w:sz="4" w:space="0" w:color="auto"/>
              <w:right w:val="single" w:sz="4" w:space="0" w:color="auto"/>
            </w:tcBorders>
            <w:shd w:val="clear" w:color="auto" w:fill="auto"/>
            <w:noWrap/>
            <w:vAlign w:val="bottom"/>
            <w:hideMark/>
          </w:tcPr>
          <w:p w14:paraId="75E6336E"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4.207853549</w:t>
            </w:r>
          </w:p>
        </w:tc>
        <w:tc>
          <w:tcPr>
            <w:tcW w:w="487" w:type="pct"/>
            <w:tcBorders>
              <w:top w:val="nil"/>
              <w:left w:val="nil"/>
              <w:bottom w:val="single" w:sz="4" w:space="0" w:color="auto"/>
              <w:right w:val="single" w:sz="4" w:space="0" w:color="auto"/>
            </w:tcBorders>
            <w:shd w:val="clear" w:color="auto" w:fill="auto"/>
            <w:noWrap/>
            <w:vAlign w:val="bottom"/>
            <w:hideMark/>
          </w:tcPr>
          <w:p w14:paraId="1B4FFAC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5.4051487</w:t>
            </w:r>
          </w:p>
        </w:tc>
        <w:tc>
          <w:tcPr>
            <w:tcW w:w="487" w:type="pct"/>
            <w:tcBorders>
              <w:top w:val="nil"/>
              <w:left w:val="nil"/>
              <w:bottom w:val="single" w:sz="4" w:space="0" w:color="auto"/>
              <w:right w:val="single" w:sz="4" w:space="0" w:color="auto"/>
            </w:tcBorders>
            <w:shd w:val="clear" w:color="auto" w:fill="auto"/>
            <w:noWrap/>
            <w:vAlign w:val="bottom"/>
            <w:hideMark/>
          </w:tcPr>
          <w:p w14:paraId="6654427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5.685748172</w:t>
            </w:r>
          </w:p>
        </w:tc>
      </w:tr>
      <w:tr w:rsidR="00A933EF" w14:paraId="67CA50EC" w14:textId="77777777" w:rsidTr="0044406A">
        <w:trPr>
          <w:trHeight w:val="310"/>
        </w:trPr>
        <w:tc>
          <w:tcPr>
            <w:tcW w:w="992" w:type="pct"/>
            <w:tcBorders>
              <w:top w:val="nil"/>
              <w:left w:val="nil"/>
              <w:bottom w:val="nil"/>
              <w:right w:val="nil"/>
            </w:tcBorders>
            <w:shd w:val="clear" w:color="auto" w:fill="auto"/>
            <w:noWrap/>
            <w:vAlign w:val="bottom"/>
            <w:hideMark/>
          </w:tcPr>
          <w:p w14:paraId="71B76E99" w14:textId="77777777" w:rsidR="00E079C5" w:rsidRPr="00297091" w:rsidRDefault="00E079C5" w:rsidP="0044406A">
            <w:pPr>
              <w:spacing w:before="0" w:after="0" w:line="240" w:lineRule="auto"/>
              <w:jc w:val="right"/>
              <w:rPr>
                <w:rFonts w:eastAsia="Times New Roman" w:cs="Times New Roman"/>
                <w:color w:val="000000"/>
                <w:szCs w:val="24"/>
                <w:lang w:eastAsia="en-IN"/>
              </w:rPr>
            </w:pPr>
          </w:p>
        </w:tc>
        <w:tc>
          <w:tcPr>
            <w:tcW w:w="1651" w:type="pct"/>
            <w:tcBorders>
              <w:top w:val="nil"/>
              <w:left w:val="nil"/>
              <w:bottom w:val="nil"/>
              <w:right w:val="nil"/>
            </w:tcBorders>
            <w:shd w:val="clear" w:color="auto" w:fill="auto"/>
            <w:noWrap/>
            <w:vAlign w:val="bottom"/>
            <w:hideMark/>
          </w:tcPr>
          <w:p w14:paraId="251AE0DD"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13314CBD"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6559A8F4"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3BB37E9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700D556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4A9240BC"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32DAAB53" w14:textId="77777777" w:rsidTr="0044406A">
        <w:trPr>
          <w:trHeight w:val="310"/>
        </w:trPr>
        <w:tc>
          <w:tcPr>
            <w:tcW w:w="992" w:type="pct"/>
            <w:tcBorders>
              <w:top w:val="nil"/>
              <w:left w:val="nil"/>
              <w:bottom w:val="nil"/>
              <w:right w:val="nil"/>
            </w:tcBorders>
            <w:shd w:val="clear" w:color="auto" w:fill="auto"/>
            <w:noWrap/>
            <w:vAlign w:val="bottom"/>
            <w:hideMark/>
          </w:tcPr>
          <w:p w14:paraId="578F6BC3"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651" w:type="pct"/>
            <w:tcBorders>
              <w:top w:val="nil"/>
              <w:left w:val="nil"/>
              <w:bottom w:val="nil"/>
              <w:right w:val="nil"/>
            </w:tcBorders>
            <w:shd w:val="clear" w:color="auto" w:fill="auto"/>
            <w:noWrap/>
            <w:vAlign w:val="bottom"/>
            <w:hideMark/>
          </w:tcPr>
          <w:p w14:paraId="3426059C"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31B20F7C"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49" w:type="pct"/>
            <w:tcBorders>
              <w:top w:val="nil"/>
              <w:left w:val="nil"/>
              <w:bottom w:val="nil"/>
              <w:right w:val="nil"/>
            </w:tcBorders>
            <w:shd w:val="clear" w:color="auto" w:fill="auto"/>
            <w:noWrap/>
            <w:vAlign w:val="bottom"/>
            <w:hideMark/>
          </w:tcPr>
          <w:p w14:paraId="1708CB69"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477039EF"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376B67E8"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487" w:type="pct"/>
            <w:tcBorders>
              <w:top w:val="nil"/>
              <w:left w:val="nil"/>
              <w:bottom w:val="nil"/>
              <w:right w:val="nil"/>
            </w:tcBorders>
            <w:shd w:val="clear" w:color="auto" w:fill="auto"/>
            <w:noWrap/>
            <w:vAlign w:val="bottom"/>
            <w:hideMark/>
          </w:tcPr>
          <w:p w14:paraId="2E7E0035"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2E7C243D" w14:textId="77777777" w:rsidTr="0044406A">
        <w:trPr>
          <w:trHeight w:val="310"/>
        </w:trPr>
        <w:tc>
          <w:tcPr>
            <w:tcW w:w="99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EB603A"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Debt to Equity Ratio</w:t>
            </w:r>
          </w:p>
        </w:tc>
        <w:tc>
          <w:tcPr>
            <w:tcW w:w="1651" w:type="pct"/>
            <w:tcBorders>
              <w:top w:val="single" w:sz="4" w:space="0" w:color="auto"/>
              <w:left w:val="nil"/>
              <w:bottom w:val="single" w:sz="4" w:space="0" w:color="auto"/>
              <w:right w:val="single" w:sz="4" w:space="0" w:color="auto"/>
            </w:tcBorders>
            <w:shd w:val="clear" w:color="auto" w:fill="auto"/>
            <w:noWrap/>
            <w:vAlign w:val="bottom"/>
            <w:hideMark/>
          </w:tcPr>
          <w:p w14:paraId="25D75914"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Total liabilities/ Shareholder's Equity</w:t>
            </w:r>
          </w:p>
        </w:tc>
        <w:tc>
          <w:tcPr>
            <w:tcW w:w="449" w:type="pct"/>
            <w:tcBorders>
              <w:top w:val="single" w:sz="4" w:space="0" w:color="auto"/>
              <w:left w:val="nil"/>
              <w:bottom w:val="single" w:sz="4" w:space="0" w:color="auto"/>
              <w:right w:val="single" w:sz="4" w:space="0" w:color="auto"/>
            </w:tcBorders>
            <w:shd w:val="clear" w:color="auto" w:fill="auto"/>
            <w:noWrap/>
            <w:vAlign w:val="bottom"/>
            <w:hideMark/>
          </w:tcPr>
          <w:p w14:paraId="51811D1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1.37459888</w:t>
            </w:r>
            <w:r w:rsidRPr="00297091">
              <w:rPr>
                <w:rFonts w:eastAsia="Times New Roman" w:cs="Times New Roman"/>
                <w:color w:val="000000"/>
                <w:szCs w:val="24"/>
                <w:lang w:eastAsia="en-IN"/>
              </w:rPr>
              <w:lastRenderedPageBreak/>
              <w:t>8</w:t>
            </w:r>
          </w:p>
        </w:tc>
        <w:tc>
          <w:tcPr>
            <w:tcW w:w="449" w:type="pct"/>
            <w:tcBorders>
              <w:top w:val="single" w:sz="4" w:space="0" w:color="auto"/>
              <w:left w:val="nil"/>
              <w:bottom w:val="single" w:sz="4" w:space="0" w:color="auto"/>
              <w:right w:val="single" w:sz="4" w:space="0" w:color="auto"/>
            </w:tcBorders>
            <w:shd w:val="clear" w:color="auto" w:fill="auto"/>
            <w:noWrap/>
            <w:vAlign w:val="bottom"/>
            <w:hideMark/>
          </w:tcPr>
          <w:p w14:paraId="614610D6"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lastRenderedPageBreak/>
              <w:t>1.65220631</w:t>
            </w:r>
            <w:r w:rsidRPr="00297091">
              <w:rPr>
                <w:rFonts w:eastAsia="Times New Roman" w:cs="Times New Roman"/>
                <w:color w:val="000000"/>
                <w:szCs w:val="24"/>
                <w:lang w:eastAsia="en-IN"/>
              </w:rPr>
              <w:lastRenderedPageBreak/>
              <w:t>4</w:t>
            </w:r>
          </w:p>
        </w:tc>
        <w:tc>
          <w:tcPr>
            <w:tcW w:w="487" w:type="pct"/>
            <w:tcBorders>
              <w:top w:val="single" w:sz="4" w:space="0" w:color="auto"/>
              <w:left w:val="nil"/>
              <w:bottom w:val="single" w:sz="4" w:space="0" w:color="auto"/>
              <w:right w:val="single" w:sz="4" w:space="0" w:color="auto"/>
            </w:tcBorders>
            <w:shd w:val="clear" w:color="auto" w:fill="auto"/>
            <w:noWrap/>
            <w:vAlign w:val="bottom"/>
            <w:hideMark/>
          </w:tcPr>
          <w:p w14:paraId="5800C9E4"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lastRenderedPageBreak/>
              <w:t>1.55182200</w:t>
            </w:r>
            <w:r w:rsidRPr="00297091">
              <w:rPr>
                <w:rFonts w:eastAsia="Times New Roman" w:cs="Times New Roman"/>
                <w:color w:val="000000"/>
                <w:szCs w:val="24"/>
                <w:lang w:eastAsia="en-IN"/>
              </w:rPr>
              <w:lastRenderedPageBreak/>
              <w:t>2</w:t>
            </w:r>
          </w:p>
        </w:tc>
        <w:tc>
          <w:tcPr>
            <w:tcW w:w="487" w:type="pct"/>
            <w:tcBorders>
              <w:top w:val="single" w:sz="4" w:space="0" w:color="auto"/>
              <w:left w:val="nil"/>
              <w:bottom w:val="single" w:sz="4" w:space="0" w:color="auto"/>
              <w:right w:val="single" w:sz="4" w:space="0" w:color="auto"/>
            </w:tcBorders>
            <w:shd w:val="clear" w:color="auto" w:fill="auto"/>
            <w:noWrap/>
            <w:vAlign w:val="bottom"/>
            <w:hideMark/>
          </w:tcPr>
          <w:p w14:paraId="314E1C1A"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lastRenderedPageBreak/>
              <w:t>1.50865598</w:t>
            </w:r>
            <w:r w:rsidRPr="00297091">
              <w:rPr>
                <w:rFonts w:eastAsia="Times New Roman" w:cs="Times New Roman"/>
                <w:color w:val="000000"/>
                <w:szCs w:val="24"/>
                <w:lang w:eastAsia="en-IN"/>
              </w:rPr>
              <w:lastRenderedPageBreak/>
              <w:t>7</w:t>
            </w:r>
          </w:p>
        </w:tc>
        <w:tc>
          <w:tcPr>
            <w:tcW w:w="487" w:type="pct"/>
            <w:tcBorders>
              <w:top w:val="single" w:sz="4" w:space="0" w:color="auto"/>
              <w:left w:val="nil"/>
              <w:bottom w:val="single" w:sz="4" w:space="0" w:color="auto"/>
              <w:right w:val="single" w:sz="4" w:space="0" w:color="auto"/>
            </w:tcBorders>
            <w:shd w:val="clear" w:color="auto" w:fill="auto"/>
            <w:noWrap/>
            <w:vAlign w:val="bottom"/>
            <w:hideMark/>
          </w:tcPr>
          <w:p w14:paraId="1C98D6FB"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lastRenderedPageBreak/>
              <w:t>1.29071835</w:t>
            </w:r>
            <w:r w:rsidRPr="00297091">
              <w:rPr>
                <w:rFonts w:eastAsia="Times New Roman" w:cs="Times New Roman"/>
                <w:color w:val="000000"/>
                <w:szCs w:val="24"/>
                <w:lang w:eastAsia="en-IN"/>
              </w:rPr>
              <w:lastRenderedPageBreak/>
              <w:t>2</w:t>
            </w:r>
          </w:p>
        </w:tc>
      </w:tr>
      <w:tr w:rsidR="00A933EF" w14:paraId="055EC749" w14:textId="77777777" w:rsidTr="0044406A">
        <w:trPr>
          <w:trHeight w:val="310"/>
        </w:trPr>
        <w:tc>
          <w:tcPr>
            <w:tcW w:w="992" w:type="pct"/>
            <w:tcBorders>
              <w:top w:val="nil"/>
              <w:left w:val="single" w:sz="4" w:space="0" w:color="auto"/>
              <w:bottom w:val="single" w:sz="4" w:space="0" w:color="auto"/>
              <w:right w:val="single" w:sz="4" w:space="0" w:color="auto"/>
            </w:tcBorders>
            <w:shd w:val="clear" w:color="auto" w:fill="auto"/>
            <w:noWrap/>
            <w:vAlign w:val="bottom"/>
            <w:hideMark/>
          </w:tcPr>
          <w:p w14:paraId="6B8715D1"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lastRenderedPageBreak/>
              <w:t>Total liabilities to Total asset</w:t>
            </w:r>
          </w:p>
        </w:tc>
        <w:tc>
          <w:tcPr>
            <w:tcW w:w="1651" w:type="pct"/>
            <w:tcBorders>
              <w:top w:val="nil"/>
              <w:left w:val="nil"/>
              <w:bottom w:val="single" w:sz="4" w:space="0" w:color="auto"/>
              <w:right w:val="single" w:sz="4" w:space="0" w:color="auto"/>
            </w:tcBorders>
            <w:shd w:val="clear" w:color="auto" w:fill="auto"/>
            <w:noWrap/>
            <w:vAlign w:val="bottom"/>
            <w:hideMark/>
          </w:tcPr>
          <w:p w14:paraId="385CF514" w14:textId="77777777" w:rsidR="00E079C5" w:rsidRPr="00297091" w:rsidRDefault="00357ABC" w:rsidP="0044406A">
            <w:pPr>
              <w:spacing w:before="0" w:after="0" w:line="240" w:lineRule="auto"/>
              <w:jc w:val="left"/>
              <w:rPr>
                <w:rFonts w:eastAsia="Times New Roman" w:cs="Times New Roman"/>
                <w:color w:val="000000"/>
                <w:szCs w:val="24"/>
                <w:lang w:eastAsia="en-IN"/>
              </w:rPr>
            </w:pPr>
            <w:r w:rsidRPr="00297091">
              <w:rPr>
                <w:rFonts w:eastAsia="Times New Roman" w:cs="Times New Roman"/>
                <w:color w:val="000000"/>
                <w:szCs w:val="24"/>
                <w:lang w:eastAsia="en-IN"/>
              </w:rPr>
              <w:t>(Total liabilities/ Total assets)</w:t>
            </w:r>
          </w:p>
        </w:tc>
        <w:tc>
          <w:tcPr>
            <w:tcW w:w="449" w:type="pct"/>
            <w:tcBorders>
              <w:top w:val="nil"/>
              <w:left w:val="nil"/>
              <w:bottom w:val="single" w:sz="4" w:space="0" w:color="auto"/>
              <w:right w:val="single" w:sz="4" w:space="0" w:color="auto"/>
            </w:tcBorders>
            <w:shd w:val="clear" w:color="auto" w:fill="auto"/>
            <w:noWrap/>
            <w:vAlign w:val="bottom"/>
            <w:hideMark/>
          </w:tcPr>
          <w:p w14:paraId="6132C75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0.578876245</w:t>
            </w:r>
          </w:p>
        </w:tc>
        <w:tc>
          <w:tcPr>
            <w:tcW w:w="449" w:type="pct"/>
            <w:tcBorders>
              <w:top w:val="nil"/>
              <w:left w:val="nil"/>
              <w:bottom w:val="single" w:sz="4" w:space="0" w:color="auto"/>
              <w:right w:val="single" w:sz="4" w:space="0" w:color="auto"/>
            </w:tcBorders>
            <w:shd w:val="clear" w:color="auto" w:fill="auto"/>
            <w:noWrap/>
            <w:vAlign w:val="bottom"/>
            <w:hideMark/>
          </w:tcPr>
          <w:p w14:paraId="74176FCF"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0.622955426</w:t>
            </w:r>
          </w:p>
        </w:tc>
        <w:tc>
          <w:tcPr>
            <w:tcW w:w="487" w:type="pct"/>
            <w:tcBorders>
              <w:top w:val="nil"/>
              <w:left w:val="nil"/>
              <w:bottom w:val="single" w:sz="4" w:space="0" w:color="auto"/>
              <w:right w:val="single" w:sz="4" w:space="0" w:color="auto"/>
            </w:tcBorders>
            <w:shd w:val="clear" w:color="auto" w:fill="auto"/>
            <w:noWrap/>
            <w:vAlign w:val="bottom"/>
            <w:hideMark/>
          </w:tcPr>
          <w:p w14:paraId="42295268"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0.608123137</w:t>
            </w:r>
          </w:p>
        </w:tc>
        <w:tc>
          <w:tcPr>
            <w:tcW w:w="487" w:type="pct"/>
            <w:tcBorders>
              <w:top w:val="nil"/>
              <w:left w:val="nil"/>
              <w:bottom w:val="single" w:sz="4" w:space="0" w:color="auto"/>
              <w:right w:val="single" w:sz="4" w:space="0" w:color="auto"/>
            </w:tcBorders>
            <w:shd w:val="clear" w:color="auto" w:fill="auto"/>
            <w:noWrap/>
            <w:vAlign w:val="bottom"/>
            <w:hideMark/>
          </w:tcPr>
          <w:p w14:paraId="464B4383"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0.601380179</w:t>
            </w:r>
          </w:p>
        </w:tc>
        <w:tc>
          <w:tcPr>
            <w:tcW w:w="487" w:type="pct"/>
            <w:tcBorders>
              <w:top w:val="nil"/>
              <w:left w:val="nil"/>
              <w:bottom w:val="single" w:sz="4" w:space="0" w:color="auto"/>
              <w:right w:val="single" w:sz="4" w:space="0" w:color="auto"/>
            </w:tcBorders>
            <w:shd w:val="clear" w:color="auto" w:fill="auto"/>
            <w:noWrap/>
            <w:vAlign w:val="bottom"/>
            <w:hideMark/>
          </w:tcPr>
          <w:p w14:paraId="5069C95D" w14:textId="77777777" w:rsidR="00E079C5" w:rsidRPr="00297091" w:rsidRDefault="00357ABC" w:rsidP="0044406A">
            <w:pPr>
              <w:spacing w:before="0" w:after="0" w:line="240" w:lineRule="auto"/>
              <w:jc w:val="right"/>
              <w:rPr>
                <w:rFonts w:eastAsia="Times New Roman" w:cs="Times New Roman"/>
                <w:color w:val="000000"/>
                <w:szCs w:val="24"/>
                <w:lang w:eastAsia="en-IN"/>
              </w:rPr>
            </w:pPr>
            <w:r w:rsidRPr="00297091">
              <w:rPr>
                <w:rFonts w:eastAsia="Times New Roman" w:cs="Times New Roman"/>
                <w:color w:val="000000"/>
                <w:szCs w:val="24"/>
                <w:lang w:eastAsia="en-IN"/>
              </w:rPr>
              <w:t>0.563455717</w:t>
            </w:r>
          </w:p>
        </w:tc>
      </w:tr>
    </w:tbl>
    <w:p w14:paraId="200FEE79" w14:textId="77777777" w:rsidR="00E079C5" w:rsidRDefault="00E079C5" w:rsidP="00E079C5"/>
    <w:tbl>
      <w:tblPr>
        <w:tblW w:w="5000" w:type="pct"/>
        <w:tblLook w:val="04A0" w:firstRow="1" w:lastRow="0" w:firstColumn="1" w:lastColumn="0" w:noHBand="0" w:noVBand="1"/>
      </w:tblPr>
      <w:tblGrid>
        <w:gridCol w:w="456"/>
        <w:gridCol w:w="1005"/>
        <w:gridCol w:w="1096"/>
        <w:gridCol w:w="246"/>
        <w:gridCol w:w="220"/>
        <w:gridCol w:w="456"/>
        <w:gridCol w:w="1005"/>
        <w:gridCol w:w="980"/>
        <w:gridCol w:w="947"/>
        <w:gridCol w:w="220"/>
        <w:gridCol w:w="1383"/>
        <w:gridCol w:w="1005"/>
      </w:tblGrid>
      <w:tr w:rsidR="00A933EF" w14:paraId="0D1D90DC" w14:textId="77777777" w:rsidTr="0044406A">
        <w:trPr>
          <w:trHeight w:val="290"/>
        </w:trPr>
        <w:tc>
          <w:tcPr>
            <w:tcW w:w="5000" w:type="pct"/>
            <w:gridSpan w:val="1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3C5F37" w14:textId="77777777" w:rsidR="00E079C5" w:rsidRPr="00297091" w:rsidRDefault="00357ABC" w:rsidP="0044406A">
            <w:pPr>
              <w:spacing w:before="0" w:after="0" w:line="240" w:lineRule="auto"/>
              <w:jc w:val="center"/>
              <w:rPr>
                <w:rFonts w:ascii="Calibri" w:eastAsia="Times New Roman" w:hAnsi="Calibri" w:cs="Calibri"/>
                <w:color w:val="000000"/>
                <w:lang w:eastAsia="en-IN"/>
              </w:rPr>
            </w:pPr>
            <w:r w:rsidRPr="00297091">
              <w:rPr>
                <w:rFonts w:ascii="Calibri" w:eastAsia="Times New Roman" w:hAnsi="Calibri" w:cs="Calibri"/>
                <w:color w:val="000000"/>
                <w:sz w:val="22"/>
                <w:lang w:eastAsia="en-IN"/>
              </w:rPr>
              <w:t>Project 1</w:t>
            </w:r>
          </w:p>
        </w:tc>
      </w:tr>
      <w:tr w:rsidR="00A933EF" w14:paraId="26BD4ADB" w14:textId="77777777" w:rsidTr="0044406A">
        <w:trPr>
          <w:trHeight w:val="290"/>
        </w:trPr>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424AED29"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Year</w:t>
            </w:r>
          </w:p>
        </w:tc>
        <w:tc>
          <w:tcPr>
            <w:tcW w:w="564" w:type="pct"/>
            <w:tcBorders>
              <w:top w:val="nil"/>
              <w:left w:val="nil"/>
              <w:bottom w:val="single" w:sz="4" w:space="0" w:color="auto"/>
              <w:right w:val="single" w:sz="4" w:space="0" w:color="auto"/>
            </w:tcBorders>
            <w:shd w:val="clear" w:color="auto" w:fill="auto"/>
            <w:noWrap/>
            <w:vAlign w:val="bottom"/>
            <w:hideMark/>
          </w:tcPr>
          <w:p w14:paraId="4F79224C"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Projected cash</w:t>
            </w:r>
          </w:p>
        </w:tc>
        <w:tc>
          <w:tcPr>
            <w:tcW w:w="628" w:type="pct"/>
            <w:tcBorders>
              <w:top w:val="nil"/>
              <w:left w:val="nil"/>
              <w:bottom w:val="single" w:sz="4" w:space="0" w:color="auto"/>
              <w:right w:val="single" w:sz="4" w:space="0" w:color="auto"/>
            </w:tcBorders>
            <w:shd w:val="clear" w:color="auto" w:fill="auto"/>
            <w:noWrap/>
            <w:vAlign w:val="bottom"/>
            <w:hideMark/>
          </w:tcPr>
          <w:p w14:paraId="7525A6BB"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 xml:space="preserve">Cumulative cash </w:t>
            </w:r>
          </w:p>
        </w:tc>
        <w:tc>
          <w:tcPr>
            <w:tcW w:w="107" w:type="pct"/>
            <w:tcBorders>
              <w:top w:val="nil"/>
              <w:left w:val="nil"/>
              <w:bottom w:val="single" w:sz="4" w:space="0" w:color="auto"/>
              <w:right w:val="single" w:sz="4" w:space="0" w:color="auto"/>
            </w:tcBorders>
            <w:shd w:val="clear" w:color="auto" w:fill="auto"/>
            <w:noWrap/>
            <w:vAlign w:val="bottom"/>
            <w:hideMark/>
          </w:tcPr>
          <w:p w14:paraId="407A4E11"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 </w:t>
            </w:r>
          </w:p>
        </w:tc>
        <w:tc>
          <w:tcPr>
            <w:tcW w:w="89" w:type="pct"/>
            <w:tcBorders>
              <w:top w:val="nil"/>
              <w:left w:val="nil"/>
              <w:bottom w:val="nil"/>
              <w:right w:val="nil"/>
            </w:tcBorders>
            <w:shd w:val="clear" w:color="auto" w:fill="auto"/>
            <w:noWrap/>
            <w:vAlign w:val="bottom"/>
            <w:hideMark/>
          </w:tcPr>
          <w:p w14:paraId="2F11BF03" w14:textId="77777777" w:rsidR="00E079C5" w:rsidRPr="00297091" w:rsidRDefault="00E079C5" w:rsidP="0044406A">
            <w:pPr>
              <w:spacing w:before="0" w:after="0" w:line="240" w:lineRule="auto"/>
              <w:jc w:val="left"/>
              <w:rPr>
                <w:rFonts w:ascii="Calibri" w:eastAsia="Times New Roman" w:hAnsi="Calibri" w:cs="Calibri"/>
                <w:color w:val="000000"/>
                <w:lang w:eastAsia="en-IN"/>
              </w:rPr>
            </w:pPr>
          </w:p>
        </w:tc>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56D9B1F3"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Year</w:t>
            </w:r>
          </w:p>
        </w:tc>
        <w:tc>
          <w:tcPr>
            <w:tcW w:w="564" w:type="pct"/>
            <w:tcBorders>
              <w:top w:val="nil"/>
              <w:left w:val="nil"/>
              <w:bottom w:val="single" w:sz="4" w:space="0" w:color="auto"/>
              <w:right w:val="single" w:sz="4" w:space="0" w:color="auto"/>
            </w:tcBorders>
            <w:shd w:val="clear" w:color="auto" w:fill="auto"/>
            <w:noWrap/>
            <w:vAlign w:val="bottom"/>
            <w:hideMark/>
          </w:tcPr>
          <w:p w14:paraId="788CABA3"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Projected cash</w:t>
            </w:r>
          </w:p>
        </w:tc>
        <w:tc>
          <w:tcPr>
            <w:tcW w:w="547" w:type="pct"/>
            <w:tcBorders>
              <w:top w:val="nil"/>
              <w:left w:val="nil"/>
              <w:bottom w:val="single" w:sz="4" w:space="0" w:color="auto"/>
              <w:right w:val="single" w:sz="4" w:space="0" w:color="auto"/>
            </w:tcBorders>
            <w:shd w:val="clear" w:color="auto" w:fill="auto"/>
            <w:noWrap/>
            <w:vAlign w:val="bottom"/>
            <w:hideMark/>
          </w:tcPr>
          <w:p w14:paraId="47A18FCA"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Cost of capital</w:t>
            </w:r>
          </w:p>
        </w:tc>
        <w:tc>
          <w:tcPr>
            <w:tcW w:w="524" w:type="pct"/>
            <w:tcBorders>
              <w:top w:val="nil"/>
              <w:left w:val="nil"/>
              <w:bottom w:val="single" w:sz="4" w:space="0" w:color="auto"/>
              <w:right w:val="single" w:sz="4" w:space="0" w:color="auto"/>
            </w:tcBorders>
            <w:shd w:val="clear" w:color="auto" w:fill="auto"/>
            <w:noWrap/>
            <w:vAlign w:val="bottom"/>
            <w:hideMark/>
          </w:tcPr>
          <w:p w14:paraId="1C1610BA"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 xml:space="preserve">Present value </w:t>
            </w:r>
          </w:p>
        </w:tc>
        <w:tc>
          <w:tcPr>
            <w:tcW w:w="89" w:type="pct"/>
            <w:tcBorders>
              <w:top w:val="nil"/>
              <w:left w:val="nil"/>
              <w:bottom w:val="nil"/>
              <w:right w:val="nil"/>
            </w:tcBorders>
            <w:shd w:val="clear" w:color="auto" w:fill="auto"/>
            <w:noWrap/>
            <w:vAlign w:val="bottom"/>
            <w:hideMark/>
          </w:tcPr>
          <w:p w14:paraId="158C68F8" w14:textId="77777777" w:rsidR="00E079C5" w:rsidRPr="00297091" w:rsidRDefault="00E079C5" w:rsidP="0044406A">
            <w:pPr>
              <w:spacing w:before="0" w:after="0" w:line="240" w:lineRule="auto"/>
              <w:jc w:val="left"/>
              <w:rPr>
                <w:rFonts w:ascii="Calibri" w:eastAsia="Times New Roman" w:hAnsi="Calibri" w:cs="Calibri"/>
                <w:color w:val="000000"/>
                <w:lang w:eastAsia="en-IN"/>
              </w:rPr>
            </w:pPr>
          </w:p>
        </w:tc>
        <w:tc>
          <w:tcPr>
            <w:tcW w:w="828" w:type="pct"/>
            <w:tcBorders>
              <w:top w:val="nil"/>
              <w:left w:val="single" w:sz="4" w:space="0" w:color="auto"/>
              <w:bottom w:val="single" w:sz="4" w:space="0" w:color="auto"/>
              <w:right w:val="single" w:sz="4" w:space="0" w:color="auto"/>
            </w:tcBorders>
            <w:shd w:val="clear" w:color="auto" w:fill="auto"/>
            <w:noWrap/>
            <w:vAlign w:val="bottom"/>
            <w:hideMark/>
          </w:tcPr>
          <w:p w14:paraId="46A3AAD0"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Year</w:t>
            </w:r>
          </w:p>
        </w:tc>
        <w:tc>
          <w:tcPr>
            <w:tcW w:w="564" w:type="pct"/>
            <w:tcBorders>
              <w:top w:val="nil"/>
              <w:left w:val="nil"/>
              <w:bottom w:val="single" w:sz="4" w:space="0" w:color="auto"/>
              <w:right w:val="single" w:sz="4" w:space="0" w:color="auto"/>
            </w:tcBorders>
            <w:shd w:val="clear" w:color="auto" w:fill="auto"/>
            <w:noWrap/>
            <w:vAlign w:val="bottom"/>
            <w:hideMark/>
          </w:tcPr>
          <w:p w14:paraId="0FDCDAA9"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Projected cash</w:t>
            </w:r>
          </w:p>
        </w:tc>
      </w:tr>
      <w:tr w:rsidR="00A933EF" w14:paraId="64EE2F41" w14:textId="77777777" w:rsidTr="0044406A">
        <w:trPr>
          <w:trHeight w:val="290"/>
        </w:trPr>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46ED75A5"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0</w:t>
            </w:r>
          </w:p>
        </w:tc>
        <w:tc>
          <w:tcPr>
            <w:tcW w:w="564" w:type="pct"/>
            <w:tcBorders>
              <w:top w:val="nil"/>
              <w:left w:val="nil"/>
              <w:bottom w:val="single" w:sz="4" w:space="0" w:color="auto"/>
              <w:right w:val="single" w:sz="4" w:space="0" w:color="auto"/>
            </w:tcBorders>
            <w:shd w:val="clear" w:color="auto" w:fill="auto"/>
            <w:noWrap/>
            <w:vAlign w:val="bottom"/>
            <w:hideMark/>
          </w:tcPr>
          <w:p w14:paraId="1EC71CBA"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-80</w:t>
            </w:r>
          </w:p>
        </w:tc>
        <w:tc>
          <w:tcPr>
            <w:tcW w:w="628" w:type="pct"/>
            <w:tcBorders>
              <w:top w:val="nil"/>
              <w:left w:val="nil"/>
              <w:bottom w:val="single" w:sz="4" w:space="0" w:color="auto"/>
              <w:right w:val="single" w:sz="4" w:space="0" w:color="auto"/>
            </w:tcBorders>
            <w:shd w:val="clear" w:color="auto" w:fill="auto"/>
            <w:noWrap/>
            <w:vAlign w:val="bottom"/>
            <w:hideMark/>
          </w:tcPr>
          <w:p w14:paraId="57A5C09E"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-80</w:t>
            </w:r>
          </w:p>
        </w:tc>
        <w:tc>
          <w:tcPr>
            <w:tcW w:w="107" w:type="pct"/>
            <w:tcBorders>
              <w:top w:val="nil"/>
              <w:left w:val="nil"/>
              <w:bottom w:val="single" w:sz="4" w:space="0" w:color="auto"/>
              <w:right w:val="single" w:sz="4" w:space="0" w:color="auto"/>
            </w:tcBorders>
            <w:shd w:val="clear" w:color="auto" w:fill="auto"/>
            <w:noWrap/>
            <w:vAlign w:val="bottom"/>
            <w:hideMark/>
          </w:tcPr>
          <w:p w14:paraId="0CDB5E52"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 </w:t>
            </w:r>
          </w:p>
        </w:tc>
        <w:tc>
          <w:tcPr>
            <w:tcW w:w="89" w:type="pct"/>
            <w:tcBorders>
              <w:top w:val="nil"/>
              <w:left w:val="nil"/>
              <w:bottom w:val="nil"/>
              <w:right w:val="nil"/>
            </w:tcBorders>
            <w:shd w:val="clear" w:color="auto" w:fill="auto"/>
            <w:noWrap/>
            <w:vAlign w:val="bottom"/>
            <w:hideMark/>
          </w:tcPr>
          <w:p w14:paraId="56BE1900" w14:textId="77777777" w:rsidR="00E079C5" w:rsidRPr="00297091" w:rsidRDefault="00E079C5" w:rsidP="0044406A">
            <w:pPr>
              <w:spacing w:before="0" w:after="0" w:line="240" w:lineRule="auto"/>
              <w:jc w:val="left"/>
              <w:rPr>
                <w:rFonts w:ascii="Calibri" w:eastAsia="Times New Roman" w:hAnsi="Calibri" w:cs="Calibri"/>
                <w:color w:val="000000"/>
                <w:lang w:eastAsia="en-IN"/>
              </w:rPr>
            </w:pPr>
          </w:p>
        </w:tc>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55D1EB17"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0</w:t>
            </w:r>
          </w:p>
        </w:tc>
        <w:tc>
          <w:tcPr>
            <w:tcW w:w="564" w:type="pct"/>
            <w:tcBorders>
              <w:top w:val="nil"/>
              <w:left w:val="nil"/>
              <w:bottom w:val="single" w:sz="4" w:space="0" w:color="auto"/>
              <w:right w:val="single" w:sz="4" w:space="0" w:color="auto"/>
            </w:tcBorders>
            <w:shd w:val="clear" w:color="auto" w:fill="auto"/>
            <w:noWrap/>
            <w:vAlign w:val="bottom"/>
            <w:hideMark/>
          </w:tcPr>
          <w:p w14:paraId="7134C63E"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-80</w:t>
            </w:r>
          </w:p>
        </w:tc>
        <w:tc>
          <w:tcPr>
            <w:tcW w:w="547" w:type="pct"/>
            <w:tcBorders>
              <w:top w:val="nil"/>
              <w:left w:val="nil"/>
              <w:bottom w:val="single" w:sz="4" w:space="0" w:color="auto"/>
              <w:right w:val="single" w:sz="4" w:space="0" w:color="auto"/>
            </w:tcBorders>
            <w:shd w:val="clear" w:color="auto" w:fill="auto"/>
            <w:noWrap/>
            <w:vAlign w:val="bottom"/>
            <w:hideMark/>
          </w:tcPr>
          <w:p w14:paraId="10A62027"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w:t>
            </w:r>
          </w:p>
        </w:tc>
        <w:tc>
          <w:tcPr>
            <w:tcW w:w="524" w:type="pct"/>
            <w:tcBorders>
              <w:top w:val="nil"/>
              <w:left w:val="nil"/>
              <w:bottom w:val="single" w:sz="4" w:space="0" w:color="auto"/>
              <w:right w:val="single" w:sz="4" w:space="0" w:color="auto"/>
            </w:tcBorders>
            <w:shd w:val="clear" w:color="auto" w:fill="auto"/>
            <w:noWrap/>
            <w:vAlign w:val="bottom"/>
            <w:hideMark/>
          </w:tcPr>
          <w:p w14:paraId="502C33BC"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-80</w:t>
            </w:r>
          </w:p>
        </w:tc>
        <w:tc>
          <w:tcPr>
            <w:tcW w:w="89" w:type="pct"/>
            <w:tcBorders>
              <w:top w:val="nil"/>
              <w:left w:val="nil"/>
              <w:bottom w:val="nil"/>
              <w:right w:val="nil"/>
            </w:tcBorders>
            <w:shd w:val="clear" w:color="auto" w:fill="auto"/>
            <w:noWrap/>
            <w:vAlign w:val="bottom"/>
            <w:hideMark/>
          </w:tcPr>
          <w:p w14:paraId="4AC99CA5"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28" w:type="pct"/>
            <w:tcBorders>
              <w:top w:val="nil"/>
              <w:left w:val="single" w:sz="4" w:space="0" w:color="auto"/>
              <w:bottom w:val="single" w:sz="4" w:space="0" w:color="auto"/>
              <w:right w:val="single" w:sz="4" w:space="0" w:color="auto"/>
            </w:tcBorders>
            <w:shd w:val="clear" w:color="auto" w:fill="auto"/>
            <w:noWrap/>
            <w:vAlign w:val="bottom"/>
            <w:hideMark/>
          </w:tcPr>
          <w:p w14:paraId="338B4E9E"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0</w:t>
            </w:r>
          </w:p>
        </w:tc>
        <w:tc>
          <w:tcPr>
            <w:tcW w:w="564" w:type="pct"/>
            <w:tcBorders>
              <w:top w:val="nil"/>
              <w:left w:val="nil"/>
              <w:bottom w:val="single" w:sz="4" w:space="0" w:color="auto"/>
              <w:right w:val="single" w:sz="4" w:space="0" w:color="auto"/>
            </w:tcBorders>
            <w:shd w:val="clear" w:color="auto" w:fill="auto"/>
            <w:noWrap/>
            <w:vAlign w:val="bottom"/>
            <w:hideMark/>
          </w:tcPr>
          <w:p w14:paraId="0253D3BA"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-80</w:t>
            </w:r>
          </w:p>
        </w:tc>
      </w:tr>
      <w:tr w:rsidR="00A933EF" w14:paraId="35579CAD" w14:textId="77777777" w:rsidTr="0044406A">
        <w:trPr>
          <w:trHeight w:val="290"/>
        </w:trPr>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2097C2A9"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w:t>
            </w:r>
          </w:p>
        </w:tc>
        <w:tc>
          <w:tcPr>
            <w:tcW w:w="564" w:type="pct"/>
            <w:tcBorders>
              <w:top w:val="nil"/>
              <w:left w:val="nil"/>
              <w:bottom w:val="single" w:sz="4" w:space="0" w:color="auto"/>
              <w:right w:val="single" w:sz="4" w:space="0" w:color="auto"/>
            </w:tcBorders>
            <w:shd w:val="clear" w:color="auto" w:fill="auto"/>
            <w:noWrap/>
            <w:vAlign w:val="bottom"/>
            <w:hideMark/>
          </w:tcPr>
          <w:p w14:paraId="7913830A"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25</w:t>
            </w:r>
          </w:p>
        </w:tc>
        <w:tc>
          <w:tcPr>
            <w:tcW w:w="628" w:type="pct"/>
            <w:tcBorders>
              <w:top w:val="nil"/>
              <w:left w:val="nil"/>
              <w:bottom w:val="single" w:sz="4" w:space="0" w:color="auto"/>
              <w:right w:val="single" w:sz="4" w:space="0" w:color="auto"/>
            </w:tcBorders>
            <w:shd w:val="clear" w:color="auto" w:fill="auto"/>
            <w:noWrap/>
            <w:vAlign w:val="bottom"/>
            <w:hideMark/>
          </w:tcPr>
          <w:p w14:paraId="7C9718EE"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-55</w:t>
            </w:r>
          </w:p>
        </w:tc>
        <w:tc>
          <w:tcPr>
            <w:tcW w:w="107" w:type="pct"/>
            <w:tcBorders>
              <w:top w:val="nil"/>
              <w:left w:val="nil"/>
              <w:bottom w:val="single" w:sz="4" w:space="0" w:color="auto"/>
              <w:right w:val="single" w:sz="4" w:space="0" w:color="auto"/>
            </w:tcBorders>
            <w:shd w:val="clear" w:color="auto" w:fill="auto"/>
            <w:noWrap/>
            <w:vAlign w:val="bottom"/>
            <w:hideMark/>
          </w:tcPr>
          <w:p w14:paraId="4BA45DDE"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 </w:t>
            </w:r>
          </w:p>
        </w:tc>
        <w:tc>
          <w:tcPr>
            <w:tcW w:w="89" w:type="pct"/>
            <w:tcBorders>
              <w:top w:val="nil"/>
              <w:left w:val="nil"/>
              <w:bottom w:val="nil"/>
              <w:right w:val="nil"/>
            </w:tcBorders>
            <w:shd w:val="clear" w:color="auto" w:fill="auto"/>
            <w:noWrap/>
            <w:vAlign w:val="bottom"/>
            <w:hideMark/>
          </w:tcPr>
          <w:p w14:paraId="7BB1EDC7" w14:textId="77777777" w:rsidR="00E079C5" w:rsidRPr="00297091" w:rsidRDefault="00E079C5" w:rsidP="0044406A">
            <w:pPr>
              <w:spacing w:before="0" w:after="0" w:line="240" w:lineRule="auto"/>
              <w:jc w:val="left"/>
              <w:rPr>
                <w:rFonts w:ascii="Calibri" w:eastAsia="Times New Roman" w:hAnsi="Calibri" w:cs="Calibri"/>
                <w:color w:val="000000"/>
                <w:lang w:eastAsia="en-IN"/>
              </w:rPr>
            </w:pPr>
          </w:p>
        </w:tc>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73FBED37"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w:t>
            </w:r>
          </w:p>
        </w:tc>
        <w:tc>
          <w:tcPr>
            <w:tcW w:w="564" w:type="pct"/>
            <w:tcBorders>
              <w:top w:val="nil"/>
              <w:left w:val="nil"/>
              <w:bottom w:val="single" w:sz="4" w:space="0" w:color="auto"/>
              <w:right w:val="single" w:sz="4" w:space="0" w:color="auto"/>
            </w:tcBorders>
            <w:shd w:val="clear" w:color="auto" w:fill="auto"/>
            <w:noWrap/>
            <w:vAlign w:val="bottom"/>
            <w:hideMark/>
          </w:tcPr>
          <w:p w14:paraId="22C855FC"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25</w:t>
            </w:r>
          </w:p>
        </w:tc>
        <w:tc>
          <w:tcPr>
            <w:tcW w:w="547" w:type="pct"/>
            <w:tcBorders>
              <w:top w:val="nil"/>
              <w:left w:val="nil"/>
              <w:bottom w:val="single" w:sz="4" w:space="0" w:color="auto"/>
              <w:right w:val="single" w:sz="4" w:space="0" w:color="auto"/>
            </w:tcBorders>
            <w:shd w:val="clear" w:color="auto" w:fill="auto"/>
            <w:noWrap/>
            <w:vAlign w:val="bottom"/>
            <w:hideMark/>
          </w:tcPr>
          <w:p w14:paraId="7A9779E3"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1.0975</w:t>
            </w:r>
          </w:p>
        </w:tc>
        <w:tc>
          <w:tcPr>
            <w:tcW w:w="524" w:type="pct"/>
            <w:tcBorders>
              <w:top w:val="nil"/>
              <w:left w:val="nil"/>
              <w:bottom w:val="single" w:sz="4" w:space="0" w:color="auto"/>
              <w:right w:val="single" w:sz="4" w:space="0" w:color="auto"/>
            </w:tcBorders>
            <w:shd w:val="clear" w:color="auto" w:fill="auto"/>
            <w:noWrap/>
            <w:vAlign w:val="bottom"/>
            <w:hideMark/>
          </w:tcPr>
          <w:p w14:paraId="202BF566"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22.77904</w:t>
            </w:r>
          </w:p>
        </w:tc>
        <w:tc>
          <w:tcPr>
            <w:tcW w:w="89" w:type="pct"/>
            <w:tcBorders>
              <w:top w:val="nil"/>
              <w:left w:val="nil"/>
              <w:bottom w:val="nil"/>
              <w:right w:val="nil"/>
            </w:tcBorders>
            <w:shd w:val="clear" w:color="auto" w:fill="auto"/>
            <w:noWrap/>
            <w:vAlign w:val="bottom"/>
            <w:hideMark/>
          </w:tcPr>
          <w:p w14:paraId="51720E50"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28" w:type="pct"/>
            <w:tcBorders>
              <w:top w:val="nil"/>
              <w:left w:val="single" w:sz="4" w:space="0" w:color="auto"/>
              <w:bottom w:val="single" w:sz="4" w:space="0" w:color="auto"/>
              <w:right w:val="single" w:sz="4" w:space="0" w:color="auto"/>
            </w:tcBorders>
            <w:shd w:val="clear" w:color="auto" w:fill="auto"/>
            <w:noWrap/>
            <w:vAlign w:val="bottom"/>
            <w:hideMark/>
          </w:tcPr>
          <w:p w14:paraId="1F9BFF1D"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w:t>
            </w:r>
          </w:p>
        </w:tc>
        <w:tc>
          <w:tcPr>
            <w:tcW w:w="564" w:type="pct"/>
            <w:tcBorders>
              <w:top w:val="nil"/>
              <w:left w:val="nil"/>
              <w:bottom w:val="single" w:sz="4" w:space="0" w:color="auto"/>
              <w:right w:val="single" w:sz="4" w:space="0" w:color="auto"/>
            </w:tcBorders>
            <w:shd w:val="clear" w:color="auto" w:fill="auto"/>
            <w:noWrap/>
            <w:vAlign w:val="bottom"/>
            <w:hideMark/>
          </w:tcPr>
          <w:p w14:paraId="3E96AC2A"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25</w:t>
            </w:r>
          </w:p>
        </w:tc>
      </w:tr>
      <w:tr w:rsidR="00A933EF" w14:paraId="15E3D39B" w14:textId="77777777" w:rsidTr="0044406A">
        <w:trPr>
          <w:trHeight w:val="290"/>
        </w:trPr>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7D227561"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w:t>
            </w:r>
          </w:p>
        </w:tc>
        <w:tc>
          <w:tcPr>
            <w:tcW w:w="564" w:type="pct"/>
            <w:tcBorders>
              <w:top w:val="nil"/>
              <w:left w:val="nil"/>
              <w:bottom w:val="single" w:sz="4" w:space="0" w:color="auto"/>
              <w:right w:val="single" w:sz="4" w:space="0" w:color="auto"/>
            </w:tcBorders>
            <w:shd w:val="clear" w:color="auto" w:fill="auto"/>
            <w:noWrap/>
            <w:vAlign w:val="bottom"/>
            <w:hideMark/>
          </w:tcPr>
          <w:p w14:paraId="2DFE16F4"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25</w:t>
            </w:r>
          </w:p>
        </w:tc>
        <w:tc>
          <w:tcPr>
            <w:tcW w:w="628" w:type="pct"/>
            <w:tcBorders>
              <w:top w:val="nil"/>
              <w:left w:val="nil"/>
              <w:bottom w:val="single" w:sz="4" w:space="0" w:color="auto"/>
              <w:right w:val="single" w:sz="4" w:space="0" w:color="auto"/>
            </w:tcBorders>
            <w:shd w:val="clear" w:color="auto" w:fill="auto"/>
            <w:noWrap/>
            <w:vAlign w:val="bottom"/>
            <w:hideMark/>
          </w:tcPr>
          <w:p w14:paraId="07C36D47"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-30</w:t>
            </w:r>
          </w:p>
        </w:tc>
        <w:tc>
          <w:tcPr>
            <w:tcW w:w="107" w:type="pct"/>
            <w:tcBorders>
              <w:top w:val="nil"/>
              <w:left w:val="nil"/>
              <w:bottom w:val="single" w:sz="4" w:space="0" w:color="auto"/>
              <w:right w:val="single" w:sz="4" w:space="0" w:color="auto"/>
            </w:tcBorders>
            <w:shd w:val="clear" w:color="auto" w:fill="auto"/>
            <w:noWrap/>
            <w:vAlign w:val="bottom"/>
            <w:hideMark/>
          </w:tcPr>
          <w:p w14:paraId="6F440013"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 </w:t>
            </w:r>
          </w:p>
        </w:tc>
        <w:tc>
          <w:tcPr>
            <w:tcW w:w="89" w:type="pct"/>
            <w:tcBorders>
              <w:top w:val="nil"/>
              <w:left w:val="nil"/>
              <w:bottom w:val="nil"/>
              <w:right w:val="nil"/>
            </w:tcBorders>
            <w:shd w:val="clear" w:color="auto" w:fill="auto"/>
            <w:noWrap/>
            <w:vAlign w:val="bottom"/>
            <w:hideMark/>
          </w:tcPr>
          <w:p w14:paraId="1EC3DD74" w14:textId="77777777" w:rsidR="00E079C5" w:rsidRPr="00297091" w:rsidRDefault="00E079C5" w:rsidP="0044406A">
            <w:pPr>
              <w:spacing w:before="0" w:after="0" w:line="240" w:lineRule="auto"/>
              <w:jc w:val="left"/>
              <w:rPr>
                <w:rFonts w:ascii="Calibri" w:eastAsia="Times New Roman" w:hAnsi="Calibri" w:cs="Calibri"/>
                <w:color w:val="000000"/>
                <w:lang w:eastAsia="en-IN"/>
              </w:rPr>
            </w:pPr>
          </w:p>
        </w:tc>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5B136B0E"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w:t>
            </w:r>
          </w:p>
        </w:tc>
        <w:tc>
          <w:tcPr>
            <w:tcW w:w="564" w:type="pct"/>
            <w:tcBorders>
              <w:top w:val="nil"/>
              <w:left w:val="nil"/>
              <w:bottom w:val="single" w:sz="4" w:space="0" w:color="auto"/>
              <w:right w:val="single" w:sz="4" w:space="0" w:color="auto"/>
            </w:tcBorders>
            <w:shd w:val="clear" w:color="auto" w:fill="auto"/>
            <w:noWrap/>
            <w:vAlign w:val="bottom"/>
            <w:hideMark/>
          </w:tcPr>
          <w:p w14:paraId="12FECF9B"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25</w:t>
            </w:r>
          </w:p>
        </w:tc>
        <w:tc>
          <w:tcPr>
            <w:tcW w:w="547" w:type="pct"/>
            <w:tcBorders>
              <w:top w:val="nil"/>
              <w:left w:val="nil"/>
              <w:bottom w:val="single" w:sz="4" w:space="0" w:color="auto"/>
              <w:right w:val="single" w:sz="4" w:space="0" w:color="auto"/>
            </w:tcBorders>
            <w:shd w:val="clear" w:color="auto" w:fill="auto"/>
            <w:noWrap/>
            <w:vAlign w:val="bottom"/>
            <w:hideMark/>
          </w:tcPr>
          <w:p w14:paraId="546F26C7"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1.204506</w:t>
            </w:r>
          </w:p>
        </w:tc>
        <w:tc>
          <w:tcPr>
            <w:tcW w:w="524" w:type="pct"/>
            <w:tcBorders>
              <w:top w:val="nil"/>
              <w:left w:val="nil"/>
              <w:bottom w:val="single" w:sz="4" w:space="0" w:color="auto"/>
              <w:right w:val="single" w:sz="4" w:space="0" w:color="auto"/>
            </w:tcBorders>
            <w:shd w:val="clear" w:color="auto" w:fill="auto"/>
            <w:noWrap/>
            <w:vAlign w:val="bottom"/>
            <w:hideMark/>
          </w:tcPr>
          <w:p w14:paraId="472F8658"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20.75539</w:t>
            </w:r>
          </w:p>
        </w:tc>
        <w:tc>
          <w:tcPr>
            <w:tcW w:w="89" w:type="pct"/>
            <w:tcBorders>
              <w:top w:val="nil"/>
              <w:left w:val="nil"/>
              <w:bottom w:val="nil"/>
              <w:right w:val="nil"/>
            </w:tcBorders>
            <w:shd w:val="clear" w:color="auto" w:fill="auto"/>
            <w:noWrap/>
            <w:vAlign w:val="bottom"/>
            <w:hideMark/>
          </w:tcPr>
          <w:p w14:paraId="0541C6F2"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28" w:type="pct"/>
            <w:tcBorders>
              <w:top w:val="nil"/>
              <w:left w:val="single" w:sz="4" w:space="0" w:color="auto"/>
              <w:bottom w:val="single" w:sz="4" w:space="0" w:color="auto"/>
              <w:right w:val="single" w:sz="4" w:space="0" w:color="auto"/>
            </w:tcBorders>
            <w:shd w:val="clear" w:color="auto" w:fill="auto"/>
            <w:noWrap/>
            <w:vAlign w:val="bottom"/>
            <w:hideMark/>
          </w:tcPr>
          <w:p w14:paraId="4779F7BF"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w:t>
            </w:r>
          </w:p>
        </w:tc>
        <w:tc>
          <w:tcPr>
            <w:tcW w:w="564" w:type="pct"/>
            <w:tcBorders>
              <w:top w:val="nil"/>
              <w:left w:val="nil"/>
              <w:bottom w:val="single" w:sz="4" w:space="0" w:color="auto"/>
              <w:right w:val="single" w:sz="4" w:space="0" w:color="auto"/>
            </w:tcBorders>
            <w:shd w:val="clear" w:color="auto" w:fill="auto"/>
            <w:noWrap/>
            <w:vAlign w:val="bottom"/>
            <w:hideMark/>
          </w:tcPr>
          <w:p w14:paraId="2D223F51"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25</w:t>
            </w:r>
          </w:p>
        </w:tc>
      </w:tr>
      <w:tr w:rsidR="00A933EF" w14:paraId="51F64F26" w14:textId="77777777" w:rsidTr="0044406A">
        <w:trPr>
          <w:trHeight w:val="290"/>
        </w:trPr>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6039983B"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3</w:t>
            </w:r>
          </w:p>
        </w:tc>
        <w:tc>
          <w:tcPr>
            <w:tcW w:w="564" w:type="pct"/>
            <w:tcBorders>
              <w:top w:val="nil"/>
              <w:left w:val="nil"/>
              <w:bottom w:val="single" w:sz="4" w:space="0" w:color="auto"/>
              <w:right w:val="single" w:sz="4" w:space="0" w:color="auto"/>
            </w:tcBorders>
            <w:shd w:val="clear" w:color="auto" w:fill="auto"/>
            <w:noWrap/>
            <w:vAlign w:val="bottom"/>
            <w:hideMark/>
          </w:tcPr>
          <w:p w14:paraId="1C91EEBF"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20</w:t>
            </w:r>
          </w:p>
        </w:tc>
        <w:tc>
          <w:tcPr>
            <w:tcW w:w="628" w:type="pct"/>
            <w:tcBorders>
              <w:top w:val="nil"/>
              <w:left w:val="nil"/>
              <w:bottom w:val="single" w:sz="4" w:space="0" w:color="auto"/>
              <w:right w:val="single" w:sz="4" w:space="0" w:color="auto"/>
            </w:tcBorders>
            <w:shd w:val="clear" w:color="auto" w:fill="auto"/>
            <w:noWrap/>
            <w:vAlign w:val="bottom"/>
            <w:hideMark/>
          </w:tcPr>
          <w:p w14:paraId="2580CAAA"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-10</w:t>
            </w:r>
          </w:p>
        </w:tc>
        <w:tc>
          <w:tcPr>
            <w:tcW w:w="107" w:type="pct"/>
            <w:tcBorders>
              <w:top w:val="nil"/>
              <w:left w:val="nil"/>
              <w:bottom w:val="single" w:sz="4" w:space="0" w:color="auto"/>
              <w:right w:val="single" w:sz="4" w:space="0" w:color="auto"/>
            </w:tcBorders>
            <w:shd w:val="clear" w:color="auto" w:fill="auto"/>
            <w:noWrap/>
            <w:vAlign w:val="bottom"/>
            <w:hideMark/>
          </w:tcPr>
          <w:p w14:paraId="58EB94DA"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 </w:t>
            </w:r>
          </w:p>
        </w:tc>
        <w:tc>
          <w:tcPr>
            <w:tcW w:w="89" w:type="pct"/>
            <w:tcBorders>
              <w:top w:val="nil"/>
              <w:left w:val="nil"/>
              <w:bottom w:val="nil"/>
              <w:right w:val="nil"/>
            </w:tcBorders>
            <w:shd w:val="clear" w:color="auto" w:fill="auto"/>
            <w:noWrap/>
            <w:vAlign w:val="bottom"/>
            <w:hideMark/>
          </w:tcPr>
          <w:p w14:paraId="60BA58C5" w14:textId="77777777" w:rsidR="00E079C5" w:rsidRPr="00297091" w:rsidRDefault="00E079C5" w:rsidP="0044406A">
            <w:pPr>
              <w:spacing w:before="0" w:after="0" w:line="240" w:lineRule="auto"/>
              <w:jc w:val="left"/>
              <w:rPr>
                <w:rFonts w:ascii="Calibri" w:eastAsia="Times New Roman" w:hAnsi="Calibri" w:cs="Calibri"/>
                <w:color w:val="000000"/>
                <w:lang w:eastAsia="en-IN"/>
              </w:rPr>
            </w:pPr>
          </w:p>
        </w:tc>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67EC54C8"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3</w:t>
            </w:r>
          </w:p>
        </w:tc>
        <w:tc>
          <w:tcPr>
            <w:tcW w:w="564" w:type="pct"/>
            <w:tcBorders>
              <w:top w:val="nil"/>
              <w:left w:val="nil"/>
              <w:bottom w:val="single" w:sz="4" w:space="0" w:color="auto"/>
              <w:right w:val="single" w:sz="4" w:space="0" w:color="auto"/>
            </w:tcBorders>
            <w:shd w:val="clear" w:color="auto" w:fill="auto"/>
            <w:noWrap/>
            <w:vAlign w:val="bottom"/>
            <w:hideMark/>
          </w:tcPr>
          <w:p w14:paraId="707D66FA"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20</w:t>
            </w:r>
          </w:p>
        </w:tc>
        <w:tc>
          <w:tcPr>
            <w:tcW w:w="547" w:type="pct"/>
            <w:tcBorders>
              <w:top w:val="nil"/>
              <w:left w:val="nil"/>
              <w:bottom w:val="single" w:sz="4" w:space="0" w:color="auto"/>
              <w:right w:val="single" w:sz="4" w:space="0" w:color="auto"/>
            </w:tcBorders>
            <w:shd w:val="clear" w:color="auto" w:fill="auto"/>
            <w:noWrap/>
            <w:vAlign w:val="bottom"/>
            <w:hideMark/>
          </w:tcPr>
          <w:p w14:paraId="15E47B5C"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1.321946</w:t>
            </w:r>
          </w:p>
        </w:tc>
        <w:tc>
          <w:tcPr>
            <w:tcW w:w="524" w:type="pct"/>
            <w:tcBorders>
              <w:top w:val="nil"/>
              <w:left w:val="nil"/>
              <w:bottom w:val="single" w:sz="4" w:space="0" w:color="auto"/>
              <w:right w:val="single" w:sz="4" w:space="0" w:color="auto"/>
            </w:tcBorders>
            <w:shd w:val="clear" w:color="auto" w:fill="auto"/>
            <w:noWrap/>
            <w:vAlign w:val="bottom"/>
            <w:hideMark/>
          </w:tcPr>
          <w:p w14:paraId="795D39AE"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15.12922</w:t>
            </w:r>
          </w:p>
        </w:tc>
        <w:tc>
          <w:tcPr>
            <w:tcW w:w="89" w:type="pct"/>
            <w:tcBorders>
              <w:top w:val="nil"/>
              <w:left w:val="nil"/>
              <w:bottom w:val="nil"/>
              <w:right w:val="nil"/>
            </w:tcBorders>
            <w:shd w:val="clear" w:color="auto" w:fill="auto"/>
            <w:noWrap/>
            <w:vAlign w:val="bottom"/>
            <w:hideMark/>
          </w:tcPr>
          <w:p w14:paraId="087AD06F"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28" w:type="pct"/>
            <w:tcBorders>
              <w:top w:val="nil"/>
              <w:left w:val="single" w:sz="4" w:space="0" w:color="auto"/>
              <w:bottom w:val="single" w:sz="4" w:space="0" w:color="auto"/>
              <w:right w:val="single" w:sz="4" w:space="0" w:color="auto"/>
            </w:tcBorders>
            <w:shd w:val="clear" w:color="auto" w:fill="auto"/>
            <w:noWrap/>
            <w:vAlign w:val="bottom"/>
            <w:hideMark/>
          </w:tcPr>
          <w:p w14:paraId="6A9AEE7D"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3</w:t>
            </w:r>
          </w:p>
        </w:tc>
        <w:tc>
          <w:tcPr>
            <w:tcW w:w="564" w:type="pct"/>
            <w:tcBorders>
              <w:top w:val="nil"/>
              <w:left w:val="nil"/>
              <w:bottom w:val="single" w:sz="4" w:space="0" w:color="auto"/>
              <w:right w:val="single" w:sz="4" w:space="0" w:color="auto"/>
            </w:tcBorders>
            <w:shd w:val="clear" w:color="auto" w:fill="auto"/>
            <w:noWrap/>
            <w:vAlign w:val="bottom"/>
            <w:hideMark/>
          </w:tcPr>
          <w:p w14:paraId="54BC2C24"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20</w:t>
            </w:r>
          </w:p>
        </w:tc>
      </w:tr>
      <w:tr w:rsidR="00A933EF" w14:paraId="21EC55F1" w14:textId="77777777" w:rsidTr="0044406A">
        <w:trPr>
          <w:trHeight w:val="290"/>
        </w:trPr>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7147381F"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4</w:t>
            </w:r>
          </w:p>
        </w:tc>
        <w:tc>
          <w:tcPr>
            <w:tcW w:w="564" w:type="pct"/>
            <w:tcBorders>
              <w:top w:val="nil"/>
              <w:left w:val="nil"/>
              <w:bottom w:val="single" w:sz="4" w:space="0" w:color="auto"/>
              <w:right w:val="single" w:sz="4" w:space="0" w:color="auto"/>
            </w:tcBorders>
            <w:shd w:val="clear" w:color="auto" w:fill="auto"/>
            <w:noWrap/>
            <w:vAlign w:val="bottom"/>
            <w:hideMark/>
          </w:tcPr>
          <w:p w14:paraId="5440FCDD"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55</w:t>
            </w:r>
          </w:p>
        </w:tc>
        <w:tc>
          <w:tcPr>
            <w:tcW w:w="628" w:type="pct"/>
            <w:tcBorders>
              <w:top w:val="nil"/>
              <w:left w:val="nil"/>
              <w:bottom w:val="single" w:sz="4" w:space="0" w:color="auto"/>
              <w:right w:val="single" w:sz="4" w:space="0" w:color="auto"/>
            </w:tcBorders>
            <w:shd w:val="clear" w:color="auto" w:fill="auto"/>
            <w:noWrap/>
            <w:vAlign w:val="bottom"/>
            <w:hideMark/>
          </w:tcPr>
          <w:p w14:paraId="5C319103"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45</w:t>
            </w:r>
          </w:p>
        </w:tc>
        <w:tc>
          <w:tcPr>
            <w:tcW w:w="107" w:type="pct"/>
            <w:tcBorders>
              <w:top w:val="nil"/>
              <w:left w:val="nil"/>
              <w:bottom w:val="single" w:sz="4" w:space="0" w:color="auto"/>
              <w:right w:val="single" w:sz="4" w:space="0" w:color="auto"/>
            </w:tcBorders>
            <w:shd w:val="clear" w:color="auto" w:fill="auto"/>
            <w:noWrap/>
            <w:vAlign w:val="bottom"/>
            <w:hideMark/>
          </w:tcPr>
          <w:p w14:paraId="7494FB0D"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 </w:t>
            </w:r>
          </w:p>
        </w:tc>
        <w:tc>
          <w:tcPr>
            <w:tcW w:w="89" w:type="pct"/>
            <w:tcBorders>
              <w:top w:val="nil"/>
              <w:left w:val="nil"/>
              <w:bottom w:val="nil"/>
              <w:right w:val="nil"/>
            </w:tcBorders>
            <w:shd w:val="clear" w:color="auto" w:fill="auto"/>
            <w:noWrap/>
            <w:vAlign w:val="bottom"/>
            <w:hideMark/>
          </w:tcPr>
          <w:p w14:paraId="12700F32" w14:textId="77777777" w:rsidR="00E079C5" w:rsidRPr="00297091" w:rsidRDefault="00E079C5" w:rsidP="0044406A">
            <w:pPr>
              <w:spacing w:before="0" w:after="0" w:line="240" w:lineRule="auto"/>
              <w:jc w:val="left"/>
              <w:rPr>
                <w:rFonts w:ascii="Calibri" w:eastAsia="Times New Roman" w:hAnsi="Calibri" w:cs="Calibri"/>
                <w:color w:val="000000"/>
                <w:lang w:eastAsia="en-IN"/>
              </w:rPr>
            </w:pPr>
          </w:p>
        </w:tc>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7003B32C"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4</w:t>
            </w:r>
          </w:p>
        </w:tc>
        <w:tc>
          <w:tcPr>
            <w:tcW w:w="564" w:type="pct"/>
            <w:tcBorders>
              <w:top w:val="nil"/>
              <w:left w:val="nil"/>
              <w:bottom w:val="single" w:sz="4" w:space="0" w:color="auto"/>
              <w:right w:val="single" w:sz="4" w:space="0" w:color="auto"/>
            </w:tcBorders>
            <w:shd w:val="clear" w:color="auto" w:fill="auto"/>
            <w:noWrap/>
            <w:vAlign w:val="bottom"/>
            <w:hideMark/>
          </w:tcPr>
          <w:p w14:paraId="58FDA029"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55</w:t>
            </w:r>
          </w:p>
        </w:tc>
        <w:tc>
          <w:tcPr>
            <w:tcW w:w="547" w:type="pct"/>
            <w:tcBorders>
              <w:top w:val="nil"/>
              <w:left w:val="nil"/>
              <w:bottom w:val="single" w:sz="4" w:space="0" w:color="auto"/>
              <w:right w:val="single" w:sz="4" w:space="0" w:color="auto"/>
            </w:tcBorders>
            <w:shd w:val="clear" w:color="auto" w:fill="auto"/>
            <w:noWrap/>
            <w:vAlign w:val="bottom"/>
            <w:hideMark/>
          </w:tcPr>
          <w:p w14:paraId="14F6246E"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1.450835</w:t>
            </w:r>
          </w:p>
        </w:tc>
        <w:tc>
          <w:tcPr>
            <w:tcW w:w="524" w:type="pct"/>
            <w:tcBorders>
              <w:top w:val="nil"/>
              <w:left w:val="nil"/>
              <w:bottom w:val="single" w:sz="4" w:space="0" w:color="auto"/>
              <w:right w:val="single" w:sz="4" w:space="0" w:color="auto"/>
            </w:tcBorders>
            <w:shd w:val="clear" w:color="auto" w:fill="auto"/>
            <w:noWrap/>
            <w:vAlign w:val="bottom"/>
            <w:hideMark/>
          </w:tcPr>
          <w:p w14:paraId="41E05A24"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37.9092</w:t>
            </w:r>
          </w:p>
        </w:tc>
        <w:tc>
          <w:tcPr>
            <w:tcW w:w="89" w:type="pct"/>
            <w:tcBorders>
              <w:top w:val="nil"/>
              <w:left w:val="nil"/>
              <w:bottom w:val="nil"/>
              <w:right w:val="nil"/>
            </w:tcBorders>
            <w:shd w:val="clear" w:color="auto" w:fill="auto"/>
            <w:noWrap/>
            <w:vAlign w:val="bottom"/>
            <w:hideMark/>
          </w:tcPr>
          <w:p w14:paraId="56EEEA2C"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28" w:type="pct"/>
            <w:tcBorders>
              <w:top w:val="nil"/>
              <w:left w:val="single" w:sz="4" w:space="0" w:color="auto"/>
              <w:bottom w:val="single" w:sz="4" w:space="0" w:color="auto"/>
              <w:right w:val="single" w:sz="4" w:space="0" w:color="auto"/>
            </w:tcBorders>
            <w:shd w:val="clear" w:color="auto" w:fill="auto"/>
            <w:noWrap/>
            <w:vAlign w:val="bottom"/>
            <w:hideMark/>
          </w:tcPr>
          <w:p w14:paraId="269A84AF"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4</w:t>
            </w:r>
          </w:p>
        </w:tc>
        <w:tc>
          <w:tcPr>
            <w:tcW w:w="564" w:type="pct"/>
            <w:tcBorders>
              <w:top w:val="nil"/>
              <w:left w:val="nil"/>
              <w:bottom w:val="single" w:sz="4" w:space="0" w:color="auto"/>
              <w:right w:val="single" w:sz="4" w:space="0" w:color="auto"/>
            </w:tcBorders>
            <w:shd w:val="clear" w:color="auto" w:fill="auto"/>
            <w:noWrap/>
            <w:vAlign w:val="bottom"/>
            <w:hideMark/>
          </w:tcPr>
          <w:p w14:paraId="10E0FA3B"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55</w:t>
            </w:r>
          </w:p>
        </w:tc>
      </w:tr>
      <w:tr w:rsidR="00A933EF" w14:paraId="1075D690" w14:textId="77777777" w:rsidTr="0044406A">
        <w:trPr>
          <w:trHeight w:val="290"/>
        </w:trPr>
        <w:tc>
          <w:tcPr>
            <w:tcW w:w="812" w:type="pct"/>
            <w:gridSpan w:val="2"/>
            <w:tcBorders>
              <w:top w:val="single" w:sz="4" w:space="0" w:color="auto"/>
              <w:left w:val="single" w:sz="4" w:space="0" w:color="auto"/>
              <w:bottom w:val="single" w:sz="4" w:space="0" w:color="auto"/>
              <w:right w:val="single" w:sz="4" w:space="0" w:color="000000"/>
            </w:tcBorders>
            <w:shd w:val="clear" w:color="000000" w:fill="EBF1DE"/>
            <w:noWrap/>
            <w:vAlign w:val="bottom"/>
            <w:hideMark/>
          </w:tcPr>
          <w:p w14:paraId="02A9D459" w14:textId="77777777" w:rsidR="00E079C5" w:rsidRPr="00297091" w:rsidRDefault="00357ABC" w:rsidP="0044406A">
            <w:pPr>
              <w:spacing w:before="0" w:after="0" w:line="240" w:lineRule="auto"/>
              <w:jc w:val="center"/>
              <w:rPr>
                <w:rFonts w:ascii="Calibri" w:eastAsia="Times New Roman" w:hAnsi="Calibri" w:cs="Calibri"/>
                <w:color w:val="000000"/>
                <w:lang w:eastAsia="en-IN"/>
              </w:rPr>
            </w:pPr>
            <w:r w:rsidRPr="00297091">
              <w:rPr>
                <w:rFonts w:ascii="Calibri" w:eastAsia="Times New Roman" w:hAnsi="Calibri" w:cs="Calibri"/>
                <w:color w:val="000000"/>
                <w:sz w:val="22"/>
                <w:lang w:eastAsia="en-IN"/>
              </w:rPr>
              <w:t>Payback period</w:t>
            </w:r>
          </w:p>
        </w:tc>
        <w:tc>
          <w:tcPr>
            <w:tcW w:w="628" w:type="pct"/>
            <w:tcBorders>
              <w:top w:val="nil"/>
              <w:left w:val="nil"/>
              <w:bottom w:val="single" w:sz="4" w:space="0" w:color="auto"/>
              <w:right w:val="single" w:sz="4" w:space="0" w:color="auto"/>
            </w:tcBorders>
            <w:shd w:val="clear" w:color="000000" w:fill="EBF1DE"/>
            <w:noWrap/>
            <w:vAlign w:val="bottom"/>
            <w:hideMark/>
          </w:tcPr>
          <w:p w14:paraId="48440CFC"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2.181818</w:t>
            </w:r>
          </w:p>
        </w:tc>
        <w:tc>
          <w:tcPr>
            <w:tcW w:w="107" w:type="pct"/>
            <w:tcBorders>
              <w:top w:val="nil"/>
              <w:left w:val="nil"/>
              <w:bottom w:val="single" w:sz="4" w:space="0" w:color="auto"/>
              <w:right w:val="single" w:sz="4" w:space="0" w:color="auto"/>
            </w:tcBorders>
            <w:shd w:val="clear" w:color="000000" w:fill="EBF1DE"/>
            <w:noWrap/>
            <w:vAlign w:val="bottom"/>
            <w:hideMark/>
          </w:tcPr>
          <w:p w14:paraId="75B2F14B"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 </w:t>
            </w:r>
          </w:p>
        </w:tc>
        <w:tc>
          <w:tcPr>
            <w:tcW w:w="89" w:type="pct"/>
            <w:tcBorders>
              <w:top w:val="nil"/>
              <w:left w:val="nil"/>
              <w:bottom w:val="nil"/>
              <w:right w:val="nil"/>
            </w:tcBorders>
            <w:shd w:val="clear" w:color="auto" w:fill="auto"/>
            <w:noWrap/>
            <w:vAlign w:val="bottom"/>
            <w:hideMark/>
          </w:tcPr>
          <w:p w14:paraId="6CDFC19B" w14:textId="77777777" w:rsidR="00E079C5" w:rsidRPr="00297091" w:rsidRDefault="00E079C5" w:rsidP="0044406A">
            <w:pPr>
              <w:spacing w:before="0" w:after="0" w:line="240" w:lineRule="auto"/>
              <w:jc w:val="left"/>
              <w:rPr>
                <w:rFonts w:ascii="Calibri" w:eastAsia="Times New Roman" w:hAnsi="Calibri" w:cs="Calibri"/>
                <w:color w:val="000000"/>
                <w:lang w:eastAsia="en-IN"/>
              </w:rPr>
            </w:pPr>
          </w:p>
        </w:tc>
        <w:tc>
          <w:tcPr>
            <w:tcW w:w="248" w:type="pct"/>
            <w:tcBorders>
              <w:top w:val="nil"/>
              <w:left w:val="single" w:sz="4" w:space="0" w:color="auto"/>
              <w:bottom w:val="single" w:sz="4" w:space="0" w:color="auto"/>
              <w:right w:val="single" w:sz="4" w:space="0" w:color="auto"/>
            </w:tcBorders>
            <w:shd w:val="clear" w:color="000000" w:fill="FDE9D9"/>
            <w:noWrap/>
            <w:vAlign w:val="bottom"/>
            <w:hideMark/>
          </w:tcPr>
          <w:p w14:paraId="5F133EC8" w14:textId="77777777" w:rsidR="00E079C5" w:rsidRPr="00297091" w:rsidRDefault="00357ABC" w:rsidP="0044406A">
            <w:pPr>
              <w:spacing w:before="0" w:after="0" w:line="240" w:lineRule="auto"/>
              <w:jc w:val="center"/>
              <w:rPr>
                <w:rFonts w:ascii="Calibri" w:eastAsia="Times New Roman" w:hAnsi="Calibri" w:cs="Calibri"/>
                <w:color w:val="000000"/>
                <w:lang w:eastAsia="en-IN"/>
              </w:rPr>
            </w:pPr>
            <w:r w:rsidRPr="00297091">
              <w:rPr>
                <w:rFonts w:ascii="Calibri" w:eastAsia="Times New Roman" w:hAnsi="Calibri" w:cs="Calibri"/>
                <w:color w:val="000000"/>
                <w:sz w:val="22"/>
                <w:lang w:eastAsia="en-IN"/>
              </w:rPr>
              <w:t>NPV</w:t>
            </w:r>
          </w:p>
        </w:tc>
        <w:tc>
          <w:tcPr>
            <w:tcW w:w="564" w:type="pct"/>
            <w:tcBorders>
              <w:top w:val="nil"/>
              <w:left w:val="nil"/>
              <w:bottom w:val="single" w:sz="4" w:space="0" w:color="auto"/>
              <w:right w:val="single" w:sz="4" w:space="0" w:color="auto"/>
            </w:tcBorders>
            <w:shd w:val="clear" w:color="000000" w:fill="FDE9D9"/>
            <w:noWrap/>
            <w:vAlign w:val="bottom"/>
            <w:hideMark/>
          </w:tcPr>
          <w:p w14:paraId="005C7905" w14:textId="77777777" w:rsidR="00E079C5" w:rsidRPr="00297091" w:rsidRDefault="00357ABC" w:rsidP="0044406A">
            <w:pPr>
              <w:spacing w:before="0" w:after="0" w:line="240" w:lineRule="auto"/>
              <w:jc w:val="center"/>
              <w:rPr>
                <w:rFonts w:ascii="Calibri" w:eastAsia="Times New Roman" w:hAnsi="Calibri" w:cs="Calibri"/>
                <w:color w:val="000000"/>
                <w:lang w:eastAsia="en-IN"/>
              </w:rPr>
            </w:pPr>
            <w:r w:rsidRPr="00297091">
              <w:rPr>
                <w:rFonts w:ascii="Calibri" w:eastAsia="Times New Roman" w:hAnsi="Calibri" w:cs="Calibri"/>
                <w:color w:val="000000"/>
                <w:sz w:val="22"/>
                <w:lang w:eastAsia="en-IN"/>
              </w:rPr>
              <w:t> </w:t>
            </w:r>
          </w:p>
        </w:tc>
        <w:tc>
          <w:tcPr>
            <w:tcW w:w="547" w:type="pct"/>
            <w:tcBorders>
              <w:top w:val="nil"/>
              <w:left w:val="nil"/>
              <w:bottom w:val="single" w:sz="4" w:space="0" w:color="auto"/>
              <w:right w:val="single" w:sz="4" w:space="0" w:color="auto"/>
            </w:tcBorders>
            <w:shd w:val="clear" w:color="000000" w:fill="FDE9D9"/>
            <w:noWrap/>
            <w:vAlign w:val="bottom"/>
            <w:hideMark/>
          </w:tcPr>
          <w:p w14:paraId="769B59AE" w14:textId="77777777" w:rsidR="00E079C5" w:rsidRPr="00297091" w:rsidRDefault="00357ABC" w:rsidP="0044406A">
            <w:pPr>
              <w:spacing w:before="0" w:after="0" w:line="240" w:lineRule="auto"/>
              <w:jc w:val="center"/>
              <w:rPr>
                <w:rFonts w:ascii="Calibri" w:eastAsia="Times New Roman" w:hAnsi="Calibri" w:cs="Calibri"/>
                <w:color w:val="000000"/>
                <w:lang w:eastAsia="en-IN"/>
              </w:rPr>
            </w:pPr>
            <w:r w:rsidRPr="00297091">
              <w:rPr>
                <w:rFonts w:ascii="Calibri" w:eastAsia="Times New Roman" w:hAnsi="Calibri" w:cs="Calibri"/>
                <w:color w:val="000000"/>
                <w:sz w:val="22"/>
                <w:lang w:eastAsia="en-IN"/>
              </w:rPr>
              <w:t> </w:t>
            </w:r>
          </w:p>
        </w:tc>
        <w:tc>
          <w:tcPr>
            <w:tcW w:w="524" w:type="pct"/>
            <w:tcBorders>
              <w:top w:val="nil"/>
              <w:left w:val="nil"/>
              <w:bottom w:val="single" w:sz="4" w:space="0" w:color="auto"/>
              <w:right w:val="single" w:sz="4" w:space="0" w:color="auto"/>
            </w:tcBorders>
            <w:shd w:val="clear" w:color="000000" w:fill="FDE9D9"/>
            <w:noWrap/>
            <w:vAlign w:val="bottom"/>
            <w:hideMark/>
          </w:tcPr>
          <w:p w14:paraId="40CC5023"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16.57285</w:t>
            </w:r>
          </w:p>
        </w:tc>
        <w:tc>
          <w:tcPr>
            <w:tcW w:w="89" w:type="pct"/>
            <w:tcBorders>
              <w:top w:val="nil"/>
              <w:left w:val="nil"/>
              <w:bottom w:val="nil"/>
              <w:right w:val="nil"/>
            </w:tcBorders>
            <w:shd w:val="clear" w:color="auto" w:fill="auto"/>
            <w:noWrap/>
            <w:vAlign w:val="bottom"/>
            <w:hideMark/>
          </w:tcPr>
          <w:p w14:paraId="792B348A"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28" w:type="pct"/>
            <w:tcBorders>
              <w:top w:val="nil"/>
              <w:left w:val="single" w:sz="4" w:space="0" w:color="auto"/>
              <w:bottom w:val="single" w:sz="4" w:space="0" w:color="auto"/>
              <w:right w:val="single" w:sz="4" w:space="0" w:color="auto"/>
            </w:tcBorders>
            <w:shd w:val="clear" w:color="auto" w:fill="auto"/>
            <w:noWrap/>
            <w:vAlign w:val="bottom"/>
            <w:hideMark/>
          </w:tcPr>
          <w:p w14:paraId="098B8C92"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Annual Profit</w:t>
            </w:r>
          </w:p>
        </w:tc>
        <w:tc>
          <w:tcPr>
            <w:tcW w:w="564" w:type="pct"/>
            <w:tcBorders>
              <w:top w:val="nil"/>
              <w:left w:val="nil"/>
              <w:bottom w:val="single" w:sz="4" w:space="0" w:color="auto"/>
              <w:right w:val="single" w:sz="4" w:space="0" w:color="auto"/>
            </w:tcBorders>
            <w:shd w:val="clear" w:color="auto" w:fill="auto"/>
            <w:noWrap/>
            <w:vAlign w:val="bottom"/>
            <w:hideMark/>
          </w:tcPr>
          <w:p w14:paraId="499C6906"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45</w:t>
            </w:r>
          </w:p>
        </w:tc>
      </w:tr>
      <w:tr w:rsidR="00A933EF" w14:paraId="70E56BF7" w14:textId="77777777" w:rsidTr="0044406A">
        <w:trPr>
          <w:trHeight w:val="290"/>
        </w:trPr>
        <w:tc>
          <w:tcPr>
            <w:tcW w:w="248" w:type="pct"/>
            <w:tcBorders>
              <w:top w:val="nil"/>
              <w:left w:val="nil"/>
              <w:bottom w:val="nil"/>
              <w:right w:val="nil"/>
            </w:tcBorders>
            <w:shd w:val="clear" w:color="auto" w:fill="auto"/>
            <w:noWrap/>
            <w:vAlign w:val="bottom"/>
            <w:hideMark/>
          </w:tcPr>
          <w:p w14:paraId="13B4FB73"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564" w:type="pct"/>
            <w:tcBorders>
              <w:top w:val="nil"/>
              <w:left w:val="nil"/>
              <w:bottom w:val="nil"/>
              <w:right w:val="nil"/>
            </w:tcBorders>
            <w:shd w:val="clear" w:color="auto" w:fill="auto"/>
            <w:noWrap/>
            <w:vAlign w:val="bottom"/>
            <w:hideMark/>
          </w:tcPr>
          <w:p w14:paraId="211F39E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628" w:type="pct"/>
            <w:tcBorders>
              <w:top w:val="nil"/>
              <w:left w:val="nil"/>
              <w:bottom w:val="nil"/>
              <w:right w:val="nil"/>
            </w:tcBorders>
            <w:shd w:val="clear" w:color="auto" w:fill="auto"/>
            <w:noWrap/>
            <w:vAlign w:val="bottom"/>
            <w:hideMark/>
          </w:tcPr>
          <w:p w14:paraId="45FD2590"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07" w:type="pct"/>
            <w:tcBorders>
              <w:top w:val="nil"/>
              <w:left w:val="nil"/>
              <w:bottom w:val="nil"/>
              <w:right w:val="nil"/>
            </w:tcBorders>
            <w:shd w:val="clear" w:color="auto" w:fill="auto"/>
            <w:noWrap/>
            <w:vAlign w:val="bottom"/>
            <w:hideMark/>
          </w:tcPr>
          <w:p w14:paraId="1B96EC91"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89" w:type="pct"/>
            <w:tcBorders>
              <w:top w:val="nil"/>
              <w:left w:val="nil"/>
              <w:bottom w:val="nil"/>
              <w:right w:val="nil"/>
            </w:tcBorders>
            <w:shd w:val="clear" w:color="auto" w:fill="auto"/>
            <w:noWrap/>
            <w:vAlign w:val="bottom"/>
            <w:hideMark/>
          </w:tcPr>
          <w:p w14:paraId="07FE35B2"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248" w:type="pct"/>
            <w:tcBorders>
              <w:top w:val="nil"/>
              <w:left w:val="nil"/>
              <w:bottom w:val="nil"/>
              <w:right w:val="nil"/>
            </w:tcBorders>
            <w:shd w:val="clear" w:color="auto" w:fill="auto"/>
            <w:noWrap/>
            <w:vAlign w:val="bottom"/>
            <w:hideMark/>
          </w:tcPr>
          <w:p w14:paraId="3E5E97ED"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64" w:type="pct"/>
            <w:tcBorders>
              <w:top w:val="nil"/>
              <w:left w:val="nil"/>
              <w:bottom w:val="nil"/>
              <w:right w:val="nil"/>
            </w:tcBorders>
            <w:shd w:val="clear" w:color="auto" w:fill="auto"/>
            <w:noWrap/>
            <w:vAlign w:val="bottom"/>
            <w:hideMark/>
          </w:tcPr>
          <w:p w14:paraId="4DF723A8"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47" w:type="pct"/>
            <w:tcBorders>
              <w:top w:val="nil"/>
              <w:left w:val="nil"/>
              <w:bottom w:val="nil"/>
              <w:right w:val="nil"/>
            </w:tcBorders>
            <w:shd w:val="clear" w:color="auto" w:fill="auto"/>
            <w:noWrap/>
            <w:vAlign w:val="bottom"/>
            <w:hideMark/>
          </w:tcPr>
          <w:p w14:paraId="1D1FC59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24" w:type="pct"/>
            <w:tcBorders>
              <w:top w:val="nil"/>
              <w:left w:val="nil"/>
              <w:bottom w:val="nil"/>
              <w:right w:val="nil"/>
            </w:tcBorders>
            <w:shd w:val="clear" w:color="auto" w:fill="auto"/>
            <w:noWrap/>
            <w:vAlign w:val="bottom"/>
            <w:hideMark/>
          </w:tcPr>
          <w:p w14:paraId="66EBF85C"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89" w:type="pct"/>
            <w:tcBorders>
              <w:top w:val="nil"/>
              <w:left w:val="nil"/>
              <w:bottom w:val="nil"/>
              <w:right w:val="nil"/>
            </w:tcBorders>
            <w:shd w:val="clear" w:color="auto" w:fill="auto"/>
            <w:noWrap/>
            <w:vAlign w:val="bottom"/>
            <w:hideMark/>
          </w:tcPr>
          <w:p w14:paraId="05A3DEB5"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828" w:type="pct"/>
            <w:tcBorders>
              <w:top w:val="nil"/>
              <w:left w:val="nil"/>
              <w:bottom w:val="nil"/>
              <w:right w:val="nil"/>
            </w:tcBorders>
            <w:shd w:val="clear" w:color="auto" w:fill="auto"/>
            <w:noWrap/>
            <w:vAlign w:val="bottom"/>
            <w:hideMark/>
          </w:tcPr>
          <w:p w14:paraId="7AA36DD6"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Average annual profit</w:t>
            </w:r>
          </w:p>
        </w:tc>
        <w:tc>
          <w:tcPr>
            <w:tcW w:w="564" w:type="pct"/>
            <w:tcBorders>
              <w:top w:val="nil"/>
              <w:left w:val="nil"/>
              <w:bottom w:val="nil"/>
              <w:right w:val="nil"/>
            </w:tcBorders>
            <w:shd w:val="clear" w:color="auto" w:fill="auto"/>
            <w:noWrap/>
            <w:vAlign w:val="bottom"/>
            <w:hideMark/>
          </w:tcPr>
          <w:p w14:paraId="6AB9B1C3"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11.25</w:t>
            </w:r>
          </w:p>
        </w:tc>
      </w:tr>
      <w:tr w:rsidR="00A933EF" w14:paraId="4764676B" w14:textId="77777777" w:rsidTr="0044406A">
        <w:trPr>
          <w:trHeight w:val="290"/>
        </w:trPr>
        <w:tc>
          <w:tcPr>
            <w:tcW w:w="248" w:type="pct"/>
            <w:tcBorders>
              <w:top w:val="nil"/>
              <w:left w:val="nil"/>
              <w:bottom w:val="nil"/>
              <w:right w:val="nil"/>
            </w:tcBorders>
            <w:shd w:val="clear" w:color="auto" w:fill="auto"/>
            <w:noWrap/>
            <w:vAlign w:val="bottom"/>
            <w:hideMark/>
          </w:tcPr>
          <w:p w14:paraId="2C6BD2AD"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564" w:type="pct"/>
            <w:tcBorders>
              <w:top w:val="nil"/>
              <w:left w:val="nil"/>
              <w:bottom w:val="nil"/>
              <w:right w:val="nil"/>
            </w:tcBorders>
            <w:shd w:val="clear" w:color="auto" w:fill="auto"/>
            <w:noWrap/>
            <w:vAlign w:val="bottom"/>
            <w:hideMark/>
          </w:tcPr>
          <w:p w14:paraId="3F7DF8B6"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628" w:type="pct"/>
            <w:tcBorders>
              <w:top w:val="nil"/>
              <w:left w:val="nil"/>
              <w:bottom w:val="nil"/>
              <w:right w:val="nil"/>
            </w:tcBorders>
            <w:shd w:val="clear" w:color="auto" w:fill="auto"/>
            <w:noWrap/>
            <w:vAlign w:val="bottom"/>
            <w:hideMark/>
          </w:tcPr>
          <w:p w14:paraId="5EBB2AF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07" w:type="pct"/>
            <w:tcBorders>
              <w:top w:val="nil"/>
              <w:left w:val="nil"/>
              <w:bottom w:val="nil"/>
              <w:right w:val="nil"/>
            </w:tcBorders>
            <w:shd w:val="clear" w:color="auto" w:fill="auto"/>
            <w:noWrap/>
            <w:vAlign w:val="bottom"/>
            <w:hideMark/>
          </w:tcPr>
          <w:p w14:paraId="4D6D3A0C"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89" w:type="pct"/>
            <w:tcBorders>
              <w:top w:val="nil"/>
              <w:left w:val="nil"/>
              <w:bottom w:val="nil"/>
              <w:right w:val="nil"/>
            </w:tcBorders>
            <w:shd w:val="clear" w:color="auto" w:fill="auto"/>
            <w:noWrap/>
            <w:vAlign w:val="bottom"/>
            <w:hideMark/>
          </w:tcPr>
          <w:p w14:paraId="7258CE26"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248" w:type="pct"/>
            <w:tcBorders>
              <w:top w:val="nil"/>
              <w:left w:val="nil"/>
              <w:bottom w:val="nil"/>
              <w:right w:val="nil"/>
            </w:tcBorders>
            <w:shd w:val="clear" w:color="auto" w:fill="auto"/>
            <w:noWrap/>
            <w:vAlign w:val="bottom"/>
            <w:hideMark/>
          </w:tcPr>
          <w:p w14:paraId="53E9884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64" w:type="pct"/>
            <w:tcBorders>
              <w:top w:val="nil"/>
              <w:left w:val="nil"/>
              <w:bottom w:val="nil"/>
              <w:right w:val="nil"/>
            </w:tcBorders>
            <w:shd w:val="clear" w:color="auto" w:fill="auto"/>
            <w:noWrap/>
            <w:vAlign w:val="bottom"/>
            <w:hideMark/>
          </w:tcPr>
          <w:p w14:paraId="411F05F5"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47" w:type="pct"/>
            <w:tcBorders>
              <w:top w:val="nil"/>
              <w:left w:val="nil"/>
              <w:bottom w:val="nil"/>
              <w:right w:val="nil"/>
            </w:tcBorders>
            <w:shd w:val="clear" w:color="auto" w:fill="auto"/>
            <w:noWrap/>
            <w:vAlign w:val="bottom"/>
            <w:hideMark/>
          </w:tcPr>
          <w:p w14:paraId="5E3457E0"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24" w:type="pct"/>
            <w:tcBorders>
              <w:top w:val="nil"/>
              <w:left w:val="nil"/>
              <w:bottom w:val="nil"/>
              <w:right w:val="nil"/>
            </w:tcBorders>
            <w:shd w:val="clear" w:color="auto" w:fill="auto"/>
            <w:noWrap/>
            <w:vAlign w:val="bottom"/>
            <w:hideMark/>
          </w:tcPr>
          <w:p w14:paraId="191C1E58"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89" w:type="pct"/>
            <w:tcBorders>
              <w:top w:val="nil"/>
              <w:left w:val="nil"/>
              <w:bottom w:val="nil"/>
              <w:right w:val="nil"/>
            </w:tcBorders>
            <w:shd w:val="clear" w:color="auto" w:fill="auto"/>
            <w:noWrap/>
            <w:vAlign w:val="bottom"/>
            <w:hideMark/>
          </w:tcPr>
          <w:p w14:paraId="66C4D402"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828" w:type="pct"/>
            <w:tcBorders>
              <w:top w:val="nil"/>
              <w:left w:val="nil"/>
              <w:bottom w:val="nil"/>
              <w:right w:val="nil"/>
            </w:tcBorders>
            <w:shd w:val="clear" w:color="000000" w:fill="DCE6F1"/>
            <w:noWrap/>
            <w:vAlign w:val="bottom"/>
            <w:hideMark/>
          </w:tcPr>
          <w:p w14:paraId="280639DA"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ARR</w:t>
            </w:r>
          </w:p>
        </w:tc>
        <w:tc>
          <w:tcPr>
            <w:tcW w:w="564" w:type="pct"/>
            <w:tcBorders>
              <w:top w:val="nil"/>
              <w:left w:val="nil"/>
              <w:bottom w:val="nil"/>
              <w:right w:val="nil"/>
            </w:tcBorders>
            <w:shd w:val="clear" w:color="000000" w:fill="DCE6F1"/>
            <w:noWrap/>
            <w:vAlign w:val="bottom"/>
            <w:hideMark/>
          </w:tcPr>
          <w:p w14:paraId="11E633F8"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14.06%</w:t>
            </w:r>
          </w:p>
        </w:tc>
      </w:tr>
      <w:tr w:rsidR="00A933EF" w14:paraId="5CC21166" w14:textId="77777777" w:rsidTr="0044406A">
        <w:trPr>
          <w:trHeight w:val="290"/>
        </w:trPr>
        <w:tc>
          <w:tcPr>
            <w:tcW w:w="248" w:type="pct"/>
            <w:tcBorders>
              <w:top w:val="nil"/>
              <w:left w:val="nil"/>
              <w:bottom w:val="nil"/>
              <w:right w:val="nil"/>
            </w:tcBorders>
            <w:shd w:val="clear" w:color="auto" w:fill="auto"/>
            <w:noWrap/>
            <w:vAlign w:val="bottom"/>
            <w:hideMark/>
          </w:tcPr>
          <w:p w14:paraId="71E041CB"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564" w:type="pct"/>
            <w:tcBorders>
              <w:top w:val="nil"/>
              <w:left w:val="nil"/>
              <w:bottom w:val="nil"/>
              <w:right w:val="nil"/>
            </w:tcBorders>
            <w:shd w:val="clear" w:color="auto" w:fill="auto"/>
            <w:noWrap/>
            <w:vAlign w:val="bottom"/>
            <w:hideMark/>
          </w:tcPr>
          <w:p w14:paraId="4349055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628" w:type="pct"/>
            <w:tcBorders>
              <w:top w:val="nil"/>
              <w:left w:val="nil"/>
              <w:bottom w:val="nil"/>
              <w:right w:val="nil"/>
            </w:tcBorders>
            <w:shd w:val="clear" w:color="auto" w:fill="auto"/>
            <w:noWrap/>
            <w:vAlign w:val="bottom"/>
            <w:hideMark/>
          </w:tcPr>
          <w:p w14:paraId="635F2A3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07" w:type="pct"/>
            <w:tcBorders>
              <w:top w:val="nil"/>
              <w:left w:val="nil"/>
              <w:bottom w:val="nil"/>
              <w:right w:val="nil"/>
            </w:tcBorders>
            <w:shd w:val="clear" w:color="auto" w:fill="auto"/>
            <w:noWrap/>
            <w:vAlign w:val="bottom"/>
            <w:hideMark/>
          </w:tcPr>
          <w:p w14:paraId="54E3FFC9"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89" w:type="pct"/>
            <w:tcBorders>
              <w:top w:val="nil"/>
              <w:left w:val="nil"/>
              <w:bottom w:val="nil"/>
              <w:right w:val="nil"/>
            </w:tcBorders>
            <w:shd w:val="clear" w:color="auto" w:fill="auto"/>
            <w:noWrap/>
            <w:vAlign w:val="bottom"/>
            <w:hideMark/>
          </w:tcPr>
          <w:p w14:paraId="49D8A081"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248" w:type="pct"/>
            <w:tcBorders>
              <w:top w:val="nil"/>
              <w:left w:val="nil"/>
              <w:bottom w:val="nil"/>
              <w:right w:val="nil"/>
            </w:tcBorders>
            <w:shd w:val="clear" w:color="auto" w:fill="auto"/>
            <w:noWrap/>
            <w:vAlign w:val="bottom"/>
            <w:hideMark/>
          </w:tcPr>
          <w:p w14:paraId="16925094"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64" w:type="pct"/>
            <w:tcBorders>
              <w:top w:val="nil"/>
              <w:left w:val="nil"/>
              <w:bottom w:val="nil"/>
              <w:right w:val="nil"/>
            </w:tcBorders>
            <w:shd w:val="clear" w:color="auto" w:fill="auto"/>
            <w:noWrap/>
            <w:vAlign w:val="bottom"/>
            <w:hideMark/>
          </w:tcPr>
          <w:p w14:paraId="0629FDD5"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47" w:type="pct"/>
            <w:tcBorders>
              <w:top w:val="nil"/>
              <w:left w:val="nil"/>
              <w:bottom w:val="nil"/>
              <w:right w:val="nil"/>
            </w:tcBorders>
            <w:shd w:val="clear" w:color="auto" w:fill="auto"/>
            <w:noWrap/>
            <w:vAlign w:val="bottom"/>
            <w:hideMark/>
          </w:tcPr>
          <w:p w14:paraId="13FB9379"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24" w:type="pct"/>
            <w:tcBorders>
              <w:top w:val="nil"/>
              <w:left w:val="nil"/>
              <w:bottom w:val="nil"/>
              <w:right w:val="nil"/>
            </w:tcBorders>
            <w:shd w:val="clear" w:color="auto" w:fill="auto"/>
            <w:noWrap/>
            <w:vAlign w:val="bottom"/>
            <w:hideMark/>
          </w:tcPr>
          <w:p w14:paraId="35553A30"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89" w:type="pct"/>
            <w:tcBorders>
              <w:top w:val="nil"/>
              <w:left w:val="nil"/>
              <w:bottom w:val="nil"/>
              <w:right w:val="nil"/>
            </w:tcBorders>
            <w:shd w:val="clear" w:color="auto" w:fill="auto"/>
            <w:noWrap/>
            <w:vAlign w:val="bottom"/>
            <w:hideMark/>
          </w:tcPr>
          <w:p w14:paraId="21A603E1"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828" w:type="pct"/>
            <w:tcBorders>
              <w:top w:val="nil"/>
              <w:left w:val="nil"/>
              <w:bottom w:val="nil"/>
              <w:right w:val="nil"/>
            </w:tcBorders>
            <w:shd w:val="clear" w:color="auto" w:fill="auto"/>
            <w:noWrap/>
            <w:vAlign w:val="bottom"/>
            <w:hideMark/>
          </w:tcPr>
          <w:p w14:paraId="78EF8A4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64" w:type="pct"/>
            <w:tcBorders>
              <w:top w:val="nil"/>
              <w:left w:val="nil"/>
              <w:bottom w:val="nil"/>
              <w:right w:val="nil"/>
            </w:tcBorders>
            <w:shd w:val="clear" w:color="auto" w:fill="auto"/>
            <w:noWrap/>
            <w:vAlign w:val="bottom"/>
            <w:hideMark/>
          </w:tcPr>
          <w:p w14:paraId="1899BBB0" w14:textId="77777777" w:rsidR="00E079C5" w:rsidRPr="00297091" w:rsidRDefault="00E079C5" w:rsidP="0044406A">
            <w:pPr>
              <w:spacing w:before="0" w:after="0" w:line="240" w:lineRule="auto"/>
              <w:jc w:val="left"/>
              <w:rPr>
                <w:rFonts w:eastAsia="Times New Roman" w:cs="Times New Roman"/>
                <w:sz w:val="20"/>
                <w:szCs w:val="20"/>
                <w:lang w:eastAsia="en-IN"/>
              </w:rPr>
            </w:pPr>
          </w:p>
        </w:tc>
      </w:tr>
      <w:tr w:rsidR="00A933EF" w14:paraId="6C096E3B" w14:textId="77777777" w:rsidTr="0044406A">
        <w:trPr>
          <w:trHeight w:val="290"/>
        </w:trPr>
        <w:tc>
          <w:tcPr>
            <w:tcW w:w="5000" w:type="pct"/>
            <w:gridSpan w:val="1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225451" w14:textId="77777777" w:rsidR="00E079C5" w:rsidRPr="00297091" w:rsidRDefault="00357ABC" w:rsidP="0044406A">
            <w:pPr>
              <w:spacing w:before="0" w:after="0" w:line="240" w:lineRule="auto"/>
              <w:jc w:val="center"/>
              <w:rPr>
                <w:rFonts w:ascii="Calibri" w:eastAsia="Times New Roman" w:hAnsi="Calibri" w:cs="Calibri"/>
                <w:color w:val="000000"/>
                <w:lang w:eastAsia="en-IN"/>
              </w:rPr>
            </w:pPr>
            <w:r w:rsidRPr="00297091">
              <w:rPr>
                <w:rFonts w:ascii="Calibri" w:eastAsia="Times New Roman" w:hAnsi="Calibri" w:cs="Calibri"/>
                <w:color w:val="000000"/>
                <w:sz w:val="22"/>
                <w:lang w:eastAsia="en-IN"/>
              </w:rPr>
              <w:t>Project 2</w:t>
            </w:r>
          </w:p>
        </w:tc>
      </w:tr>
      <w:tr w:rsidR="00A933EF" w14:paraId="288E3801" w14:textId="77777777" w:rsidTr="0044406A">
        <w:trPr>
          <w:trHeight w:val="290"/>
        </w:trPr>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40D6C039"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Year</w:t>
            </w:r>
          </w:p>
        </w:tc>
        <w:tc>
          <w:tcPr>
            <w:tcW w:w="564" w:type="pct"/>
            <w:tcBorders>
              <w:top w:val="nil"/>
              <w:left w:val="nil"/>
              <w:bottom w:val="single" w:sz="4" w:space="0" w:color="auto"/>
              <w:right w:val="single" w:sz="4" w:space="0" w:color="auto"/>
            </w:tcBorders>
            <w:shd w:val="clear" w:color="auto" w:fill="auto"/>
            <w:noWrap/>
            <w:vAlign w:val="bottom"/>
            <w:hideMark/>
          </w:tcPr>
          <w:p w14:paraId="09992F0A"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Projected cash</w:t>
            </w:r>
          </w:p>
        </w:tc>
        <w:tc>
          <w:tcPr>
            <w:tcW w:w="628" w:type="pct"/>
            <w:tcBorders>
              <w:top w:val="nil"/>
              <w:left w:val="nil"/>
              <w:bottom w:val="single" w:sz="4" w:space="0" w:color="auto"/>
              <w:right w:val="single" w:sz="4" w:space="0" w:color="auto"/>
            </w:tcBorders>
            <w:shd w:val="clear" w:color="auto" w:fill="auto"/>
            <w:noWrap/>
            <w:vAlign w:val="bottom"/>
            <w:hideMark/>
          </w:tcPr>
          <w:p w14:paraId="54AE4E6D"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 xml:space="preserve">Cumulative cash </w:t>
            </w:r>
          </w:p>
        </w:tc>
        <w:tc>
          <w:tcPr>
            <w:tcW w:w="107" w:type="pct"/>
            <w:tcBorders>
              <w:top w:val="nil"/>
              <w:left w:val="nil"/>
              <w:bottom w:val="nil"/>
              <w:right w:val="nil"/>
            </w:tcBorders>
            <w:shd w:val="clear" w:color="auto" w:fill="auto"/>
            <w:noWrap/>
            <w:vAlign w:val="bottom"/>
            <w:hideMark/>
          </w:tcPr>
          <w:p w14:paraId="3E03837D" w14:textId="77777777" w:rsidR="00E079C5" w:rsidRPr="00297091" w:rsidRDefault="00E079C5" w:rsidP="0044406A">
            <w:pPr>
              <w:spacing w:before="0" w:after="0" w:line="240" w:lineRule="auto"/>
              <w:jc w:val="left"/>
              <w:rPr>
                <w:rFonts w:ascii="Calibri" w:eastAsia="Times New Roman" w:hAnsi="Calibri" w:cs="Calibri"/>
                <w:color w:val="000000"/>
                <w:lang w:eastAsia="en-IN"/>
              </w:rPr>
            </w:pPr>
          </w:p>
        </w:tc>
        <w:tc>
          <w:tcPr>
            <w:tcW w:w="89" w:type="pct"/>
            <w:tcBorders>
              <w:top w:val="nil"/>
              <w:left w:val="nil"/>
              <w:bottom w:val="nil"/>
              <w:right w:val="nil"/>
            </w:tcBorders>
            <w:shd w:val="clear" w:color="auto" w:fill="auto"/>
            <w:noWrap/>
            <w:vAlign w:val="bottom"/>
            <w:hideMark/>
          </w:tcPr>
          <w:p w14:paraId="27D82EB9"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2B8540A8"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Year</w:t>
            </w:r>
          </w:p>
        </w:tc>
        <w:tc>
          <w:tcPr>
            <w:tcW w:w="564" w:type="pct"/>
            <w:tcBorders>
              <w:top w:val="nil"/>
              <w:left w:val="nil"/>
              <w:bottom w:val="single" w:sz="4" w:space="0" w:color="auto"/>
              <w:right w:val="single" w:sz="4" w:space="0" w:color="auto"/>
            </w:tcBorders>
            <w:shd w:val="clear" w:color="auto" w:fill="auto"/>
            <w:noWrap/>
            <w:vAlign w:val="bottom"/>
            <w:hideMark/>
          </w:tcPr>
          <w:p w14:paraId="320E3184"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Projected cash</w:t>
            </w:r>
          </w:p>
        </w:tc>
        <w:tc>
          <w:tcPr>
            <w:tcW w:w="547" w:type="pct"/>
            <w:tcBorders>
              <w:top w:val="nil"/>
              <w:left w:val="nil"/>
              <w:bottom w:val="single" w:sz="4" w:space="0" w:color="auto"/>
              <w:right w:val="single" w:sz="4" w:space="0" w:color="auto"/>
            </w:tcBorders>
            <w:shd w:val="clear" w:color="auto" w:fill="auto"/>
            <w:noWrap/>
            <w:vAlign w:val="bottom"/>
            <w:hideMark/>
          </w:tcPr>
          <w:p w14:paraId="658E6F8A"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Cost of capital</w:t>
            </w:r>
          </w:p>
        </w:tc>
        <w:tc>
          <w:tcPr>
            <w:tcW w:w="524" w:type="pct"/>
            <w:tcBorders>
              <w:top w:val="nil"/>
              <w:left w:val="nil"/>
              <w:bottom w:val="single" w:sz="4" w:space="0" w:color="auto"/>
              <w:right w:val="single" w:sz="4" w:space="0" w:color="auto"/>
            </w:tcBorders>
            <w:shd w:val="clear" w:color="auto" w:fill="auto"/>
            <w:noWrap/>
            <w:vAlign w:val="bottom"/>
            <w:hideMark/>
          </w:tcPr>
          <w:p w14:paraId="2459F220"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 xml:space="preserve">Present value </w:t>
            </w:r>
          </w:p>
        </w:tc>
        <w:tc>
          <w:tcPr>
            <w:tcW w:w="89" w:type="pct"/>
            <w:tcBorders>
              <w:top w:val="nil"/>
              <w:left w:val="nil"/>
              <w:bottom w:val="nil"/>
              <w:right w:val="nil"/>
            </w:tcBorders>
            <w:shd w:val="clear" w:color="auto" w:fill="auto"/>
            <w:noWrap/>
            <w:vAlign w:val="bottom"/>
            <w:hideMark/>
          </w:tcPr>
          <w:p w14:paraId="29AA8C2B" w14:textId="77777777" w:rsidR="00E079C5" w:rsidRPr="00297091" w:rsidRDefault="00E079C5" w:rsidP="0044406A">
            <w:pPr>
              <w:spacing w:before="0" w:after="0" w:line="240" w:lineRule="auto"/>
              <w:jc w:val="left"/>
              <w:rPr>
                <w:rFonts w:ascii="Calibri" w:eastAsia="Times New Roman" w:hAnsi="Calibri" w:cs="Calibri"/>
                <w:color w:val="000000"/>
                <w:lang w:eastAsia="en-IN"/>
              </w:rPr>
            </w:pPr>
          </w:p>
        </w:tc>
        <w:tc>
          <w:tcPr>
            <w:tcW w:w="828" w:type="pct"/>
            <w:tcBorders>
              <w:top w:val="nil"/>
              <w:left w:val="single" w:sz="4" w:space="0" w:color="auto"/>
              <w:bottom w:val="single" w:sz="4" w:space="0" w:color="auto"/>
              <w:right w:val="single" w:sz="4" w:space="0" w:color="auto"/>
            </w:tcBorders>
            <w:shd w:val="clear" w:color="auto" w:fill="auto"/>
            <w:noWrap/>
            <w:vAlign w:val="bottom"/>
            <w:hideMark/>
          </w:tcPr>
          <w:p w14:paraId="0ED01F99"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Year</w:t>
            </w:r>
          </w:p>
        </w:tc>
        <w:tc>
          <w:tcPr>
            <w:tcW w:w="564" w:type="pct"/>
            <w:tcBorders>
              <w:top w:val="nil"/>
              <w:left w:val="nil"/>
              <w:bottom w:val="single" w:sz="4" w:space="0" w:color="auto"/>
              <w:right w:val="single" w:sz="4" w:space="0" w:color="auto"/>
            </w:tcBorders>
            <w:shd w:val="clear" w:color="auto" w:fill="auto"/>
            <w:noWrap/>
            <w:vAlign w:val="bottom"/>
            <w:hideMark/>
          </w:tcPr>
          <w:p w14:paraId="6158D91E"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Projected cash</w:t>
            </w:r>
          </w:p>
        </w:tc>
      </w:tr>
      <w:tr w:rsidR="00A933EF" w14:paraId="71FBF0FF" w14:textId="77777777" w:rsidTr="0044406A">
        <w:trPr>
          <w:trHeight w:val="290"/>
        </w:trPr>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73074B9D"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0</w:t>
            </w:r>
          </w:p>
        </w:tc>
        <w:tc>
          <w:tcPr>
            <w:tcW w:w="564" w:type="pct"/>
            <w:tcBorders>
              <w:top w:val="nil"/>
              <w:left w:val="nil"/>
              <w:bottom w:val="single" w:sz="4" w:space="0" w:color="auto"/>
              <w:right w:val="single" w:sz="4" w:space="0" w:color="auto"/>
            </w:tcBorders>
            <w:shd w:val="clear" w:color="auto" w:fill="auto"/>
            <w:noWrap/>
            <w:vAlign w:val="bottom"/>
            <w:hideMark/>
          </w:tcPr>
          <w:p w14:paraId="79ECAA49"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-75</w:t>
            </w:r>
          </w:p>
        </w:tc>
        <w:tc>
          <w:tcPr>
            <w:tcW w:w="628" w:type="pct"/>
            <w:tcBorders>
              <w:top w:val="nil"/>
              <w:left w:val="nil"/>
              <w:bottom w:val="single" w:sz="4" w:space="0" w:color="auto"/>
              <w:right w:val="single" w:sz="4" w:space="0" w:color="auto"/>
            </w:tcBorders>
            <w:shd w:val="clear" w:color="auto" w:fill="auto"/>
            <w:noWrap/>
            <w:vAlign w:val="bottom"/>
            <w:hideMark/>
          </w:tcPr>
          <w:p w14:paraId="074DB439"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-75</w:t>
            </w:r>
          </w:p>
        </w:tc>
        <w:tc>
          <w:tcPr>
            <w:tcW w:w="107" w:type="pct"/>
            <w:tcBorders>
              <w:top w:val="nil"/>
              <w:left w:val="nil"/>
              <w:bottom w:val="nil"/>
              <w:right w:val="nil"/>
            </w:tcBorders>
            <w:shd w:val="clear" w:color="auto" w:fill="auto"/>
            <w:noWrap/>
            <w:vAlign w:val="bottom"/>
            <w:hideMark/>
          </w:tcPr>
          <w:p w14:paraId="4B07B25E"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9" w:type="pct"/>
            <w:tcBorders>
              <w:top w:val="nil"/>
              <w:left w:val="nil"/>
              <w:bottom w:val="nil"/>
              <w:right w:val="nil"/>
            </w:tcBorders>
            <w:shd w:val="clear" w:color="auto" w:fill="auto"/>
            <w:noWrap/>
            <w:vAlign w:val="bottom"/>
            <w:hideMark/>
          </w:tcPr>
          <w:p w14:paraId="01529AD1"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5909EF29"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0</w:t>
            </w:r>
          </w:p>
        </w:tc>
        <w:tc>
          <w:tcPr>
            <w:tcW w:w="564" w:type="pct"/>
            <w:tcBorders>
              <w:top w:val="nil"/>
              <w:left w:val="nil"/>
              <w:bottom w:val="single" w:sz="4" w:space="0" w:color="auto"/>
              <w:right w:val="single" w:sz="4" w:space="0" w:color="auto"/>
            </w:tcBorders>
            <w:shd w:val="clear" w:color="auto" w:fill="auto"/>
            <w:noWrap/>
            <w:vAlign w:val="bottom"/>
            <w:hideMark/>
          </w:tcPr>
          <w:p w14:paraId="6D28CA50"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-75</w:t>
            </w:r>
          </w:p>
        </w:tc>
        <w:tc>
          <w:tcPr>
            <w:tcW w:w="547" w:type="pct"/>
            <w:tcBorders>
              <w:top w:val="nil"/>
              <w:left w:val="nil"/>
              <w:bottom w:val="single" w:sz="4" w:space="0" w:color="auto"/>
              <w:right w:val="single" w:sz="4" w:space="0" w:color="auto"/>
            </w:tcBorders>
            <w:shd w:val="clear" w:color="auto" w:fill="auto"/>
            <w:noWrap/>
            <w:vAlign w:val="bottom"/>
            <w:hideMark/>
          </w:tcPr>
          <w:p w14:paraId="50E6633C"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w:t>
            </w:r>
          </w:p>
        </w:tc>
        <w:tc>
          <w:tcPr>
            <w:tcW w:w="524" w:type="pct"/>
            <w:tcBorders>
              <w:top w:val="nil"/>
              <w:left w:val="nil"/>
              <w:bottom w:val="single" w:sz="4" w:space="0" w:color="auto"/>
              <w:right w:val="single" w:sz="4" w:space="0" w:color="auto"/>
            </w:tcBorders>
            <w:shd w:val="clear" w:color="auto" w:fill="auto"/>
            <w:noWrap/>
            <w:vAlign w:val="bottom"/>
            <w:hideMark/>
          </w:tcPr>
          <w:p w14:paraId="3179DE86"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-75</w:t>
            </w:r>
          </w:p>
        </w:tc>
        <w:tc>
          <w:tcPr>
            <w:tcW w:w="89" w:type="pct"/>
            <w:tcBorders>
              <w:top w:val="nil"/>
              <w:left w:val="nil"/>
              <w:bottom w:val="nil"/>
              <w:right w:val="nil"/>
            </w:tcBorders>
            <w:shd w:val="clear" w:color="auto" w:fill="auto"/>
            <w:noWrap/>
            <w:vAlign w:val="bottom"/>
            <w:hideMark/>
          </w:tcPr>
          <w:p w14:paraId="2B5A7979"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28" w:type="pct"/>
            <w:tcBorders>
              <w:top w:val="nil"/>
              <w:left w:val="single" w:sz="4" w:space="0" w:color="auto"/>
              <w:bottom w:val="single" w:sz="4" w:space="0" w:color="auto"/>
              <w:right w:val="single" w:sz="4" w:space="0" w:color="auto"/>
            </w:tcBorders>
            <w:shd w:val="clear" w:color="auto" w:fill="auto"/>
            <w:noWrap/>
            <w:vAlign w:val="bottom"/>
            <w:hideMark/>
          </w:tcPr>
          <w:p w14:paraId="48F2D2AD"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0</w:t>
            </w:r>
          </w:p>
        </w:tc>
        <w:tc>
          <w:tcPr>
            <w:tcW w:w="564" w:type="pct"/>
            <w:tcBorders>
              <w:top w:val="nil"/>
              <w:left w:val="nil"/>
              <w:bottom w:val="single" w:sz="4" w:space="0" w:color="auto"/>
              <w:right w:val="single" w:sz="4" w:space="0" w:color="auto"/>
            </w:tcBorders>
            <w:shd w:val="clear" w:color="auto" w:fill="auto"/>
            <w:noWrap/>
            <w:vAlign w:val="bottom"/>
            <w:hideMark/>
          </w:tcPr>
          <w:p w14:paraId="268907C6"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-75</w:t>
            </w:r>
          </w:p>
        </w:tc>
      </w:tr>
      <w:tr w:rsidR="00A933EF" w14:paraId="7A47B086" w14:textId="77777777" w:rsidTr="0044406A">
        <w:trPr>
          <w:trHeight w:val="290"/>
        </w:trPr>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69595E12"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w:t>
            </w:r>
          </w:p>
        </w:tc>
        <w:tc>
          <w:tcPr>
            <w:tcW w:w="564" w:type="pct"/>
            <w:tcBorders>
              <w:top w:val="nil"/>
              <w:left w:val="nil"/>
              <w:bottom w:val="single" w:sz="4" w:space="0" w:color="auto"/>
              <w:right w:val="single" w:sz="4" w:space="0" w:color="auto"/>
            </w:tcBorders>
            <w:shd w:val="clear" w:color="auto" w:fill="auto"/>
            <w:noWrap/>
            <w:vAlign w:val="bottom"/>
            <w:hideMark/>
          </w:tcPr>
          <w:p w14:paraId="247AC70F"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50</w:t>
            </w:r>
          </w:p>
        </w:tc>
        <w:tc>
          <w:tcPr>
            <w:tcW w:w="628" w:type="pct"/>
            <w:tcBorders>
              <w:top w:val="nil"/>
              <w:left w:val="nil"/>
              <w:bottom w:val="single" w:sz="4" w:space="0" w:color="auto"/>
              <w:right w:val="single" w:sz="4" w:space="0" w:color="auto"/>
            </w:tcBorders>
            <w:shd w:val="clear" w:color="auto" w:fill="auto"/>
            <w:noWrap/>
            <w:vAlign w:val="bottom"/>
            <w:hideMark/>
          </w:tcPr>
          <w:p w14:paraId="15336138"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-25</w:t>
            </w:r>
          </w:p>
        </w:tc>
        <w:tc>
          <w:tcPr>
            <w:tcW w:w="107" w:type="pct"/>
            <w:tcBorders>
              <w:top w:val="nil"/>
              <w:left w:val="nil"/>
              <w:bottom w:val="nil"/>
              <w:right w:val="nil"/>
            </w:tcBorders>
            <w:shd w:val="clear" w:color="auto" w:fill="auto"/>
            <w:noWrap/>
            <w:vAlign w:val="bottom"/>
            <w:hideMark/>
          </w:tcPr>
          <w:p w14:paraId="6F2561DB"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9" w:type="pct"/>
            <w:tcBorders>
              <w:top w:val="nil"/>
              <w:left w:val="nil"/>
              <w:bottom w:val="nil"/>
              <w:right w:val="nil"/>
            </w:tcBorders>
            <w:shd w:val="clear" w:color="auto" w:fill="auto"/>
            <w:noWrap/>
            <w:vAlign w:val="bottom"/>
            <w:hideMark/>
          </w:tcPr>
          <w:p w14:paraId="0827F776"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004D28BC"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w:t>
            </w:r>
          </w:p>
        </w:tc>
        <w:tc>
          <w:tcPr>
            <w:tcW w:w="564" w:type="pct"/>
            <w:tcBorders>
              <w:top w:val="nil"/>
              <w:left w:val="nil"/>
              <w:bottom w:val="single" w:sz="4" w:space="0" w:color="auto"/>
              <w:right w:val="single" w:sz="4" w:space="0" w:color="auto"/>
            </w:tcBorders>
            <w:shd w:val="clear" w:color="auto" w:fill="auto"/>
            <w:noWrap/>
            <w:vAlign w:val="bottom"/>
            <w:hideMark/>
          </w:tcPr>
          <w:p w14:paraId="2B2076FC"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50</w:t>
            </w:r>
          </w:p>
        </w:tc>
        <w:tc>
          <w:tcPr>
            <w:tcW w:w="547" w:type="pct"/>
            <w:tcBorders>
              <w:top w:val="nil"/>
              <w:left w:val="nil"/>
              <w:bottom w:val="single" w:sz="4" w:space="0" w:color="auto"/>
              <w:right w:val="single" w:sz="4" w:space="0" w:color="auto"/>
            </w:tcBorders>
            <w:shd w:val="clear" w:color="auto" w:fill="auto"/>
            <w:noWrap/>
            <w:vAlign w:val="bottom"/>
            <w:hideMark/>
          </w:tcPr>
          <w:p w14:paraId="17816E5A"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1.0975</w:t>
            </w:r>
          </w:p>
        </w:tc>
        <w:tc>
          <w:tcPr>
            <w:tcW w:w="524" w:type="pct"/>
            <w:tcBorders>
              <w:top w:val="nil"/>
              <w:left w:val="nil"/>
              <w:bottom w:val="single" w:sz="4" w:space="0" w:color="auto"/>
              <w:right w:val="single" w:sz="4" w:space="0" w:color="auto"/>
            </w:tcBorders>
            <w:shd w:val="clear" w:color="auto" w:fill="auto"/>
            <w:noWrap/>
            <w:vAlign w:val="bottom"/>
            <w:hideMark/>
          </w:tcPr>
          <w:p w14:paraId="5B733B86"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45.55809</w:t>
            </w:r>
          </w:p>
        </w:tc>
        <w:tc>
          <w:tcPr>
            <w:tcW w:w="89" w:type="pct"/>
            <w:tcBorders>
              <w:top w:val="nil"/>
              <w:left w:val="nil"/>
              <w:bottom w:val="nil"/>
              <w:right w:val="nil"/>
            </w:tcBorders>
            <w:shd w:val="clear" w:color="auto" w:fill="auto"/>
            <w:noWrap/>
            <w:vAlign w:val="bottom"/>
            <w:hideMark/>
          </w:tcPr>
          <w:p w14:paraId="6EBF72CC"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28" w:type="pct"/>
            <w:tcBorders>
              <w:top w:val="nil"/>
              <w:left w:val="single" w:sz="4" w:space="0" w:color="auto"/>
              <w:bottom w:val="single" w:sz="4" w:space="0" w:color="auto"/>
              <w:right w:val="single" w:sz="4" w:space="0" w:color="auto"/>
            </w:tcBorders>
            <w:shd w:val="clear" w:color="auto" w:fill="auto"/>
            <w:noWrap/>
            <w:vAlign w:val="bottom"/>
            <w:hideMark/>
          </w:tcPr>
          <w:p w14:paraId="41A3E443"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w:t>
            </w:r>
          </w:p>
        </w:tc>
        <w:tc>
          <w:tcPr>
            <w:tcW w:w="564" w:type="pct"/>
            <w:tcBorders>
              <w:top w:val="nil"/>
              <w:left w:val="nil"/>
              <w:bottom w:val="single" w:sz="4" w:space="0" w:color="auto"/>
              <w:right w:val="single" w:sz="4" w:space="0" w:color="auto"/>
            </w:tcBorders>
            <w:shd w:val="clear" w:color="auto" w:fill="auto"/>
            <w:noWrap/>
            <w:vAlign w:val="bottom"/>
            <w:hideMark/>
          </w:tcPr>
          <w:p w14:paraId="4778A466"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50</w:t>
            </w:r>
          </w:p>
        </w:tc>
      </w:tr>
      <w:tr w:rsidR="00A933EF" w14:paraId="28886F01" w14:textId="77777777" w:rsidTr="0044406A">
        <w:trPr>
          <w:trHeight w:val="290"/>
        </w:trPr>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2B4BEBDC"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w:t>
            </w:r>
          </w:p>
        </w:tc>
        <w:tc>
          <w:tcPr>
            <w:tcW w:w="564" w:type="pct"/>
            <w:tcBorders>
              <w:top w:val="nil"/>
              <w:left w:val="nil"/>
              <w:bottom w:val="single" w:sz="4" w:space="0" w:color="auto"/>
              <w:right w:val="single" w:sz="4" w:space="0" w:color="auto"/>
            </w:tcBorders>
            <w:shd w:val="clear" w:color="auto" w:fill="auto"/>
            <w:noWrap/>
            <w:vAlign w:val="bottom"/>
            <w:hideMark/>
          </w:tcPr>
          <w:p w14:paraId="1AA40F0C"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20</w:t>
            </w:r>
          </w:p>
        </w:tc>
        <w:tc>
          <w:tcPr>
            <w:tcW w:w="628" w:type="pct"/>
            <w:tcBorders>
              <w:top w:val="nil"/>
              <w:left w:val="nil"/>
              <w:bottom w:val="single" w:sz="4" w:space="0" w:color="auto"/>
              <w:right w:val="single" w:sz="4" w:space="0" w:color="auto"/>
            </w:tcBorders>
            <w:shd w:val="clear" w:color="auto" w:fill="auto"/>
            <w:noWrap/>
            <w:vAlign w:val="bottom"/>
            <w:hideMark/>
          </w:tcPr>
          <w:p w14:paraId="22E1F4B6"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-5</w:t>
            </w:r>
          </w:p>
        </w:tc>
        <w:tc>
          <w:tcPr>
            <w:tcW w:w="107" w:type="pct"/>
            <w:tcBorders>
              <w:top w:val="nil"/>
              <w:left w:val="nil"/>
              <w:bottom w:val="nil"/>
              <w:right w:val="nil"/>
            </w:tcBorders>
            <w:shd w:val="clear" w:color="auto" w:fill="auto"/>
            <w:noWrap/>
            <w:vAlign w:val="bottom"/>
            <w:hideMark/>
          </w:tcPr>
          <w:p w14:paraId="5175AA2E"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9" w:type="pct"/>
            <w:tcBorders>
              <w:top w:val="nil"/>
              <w:left w:val="nil"/>
              <w:bottom w:val="nil"/>
              <w:right w:val="nil"/>
            </w:tcBorders>
            <w:shd w:val="clear" w:color="auto" w:fill="auto"/>
            <w:noWrap/>
            <w:vAlign w:val="bottom"/>
            <w:hideMark/>
          </w:tcPr>
          <w:p w14:paraId="2A0E8C2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0B23FEDA"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w:t>
            </w:r>
          </w:p>
        </w:tc>
        <w:tc>
          <w:tcPr>
            <w:tcW w:w="564" w:type="pct"/>
            <w:tcBorders>
              <w:top w:val="nil"/>
              <w:left w:val="nil"/>
              <w:bottom w:val="single" w:sz="4" w:space="0" w:color="auto"/>
              <w:right w:val="single" w:sz="4" w:space="0" w:color="auto"/>
            </w:tcBorders>
            <w:shd w:val="clear" w:color="auto" w:fill="auto"/>
            <w:noWrap/>
            <w:vAlign w:val="bottom"/>
            <w:hideMark/>
          </w:tcPr>
          <w:p w14:paraId="7EF4B1A1"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20</w:t>
            </w:r>
          </w:p>
        </w:tc>
        <w:tc>
          <w:tcPr>
            <w:tcW w:w="547" w:type="pct"/>
            <w:tcBorders>
              <w:top w:val="nil"/>
              <w:left w:val="nil"/>
              <w:bottom w:val="single" w:sz="4" w:space="0" w:color="auto"/>
              <w:right w:val="single" w:sz="4" w:space="0" w:color="auto"/>
            </w:tcBorders>
            <w:shd w:val="clear" w:color="auto" w:fill="auto"/>
            <w:noWrap/>
            <w:vAlign w:val="bottom"/>
            <w:hideMark/>
          </w:tcPr>
          <w:p w14:paraId="0C4F75C9"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1.204506</w:t>
            </w:r>
          </w:p>
        </w:tc>
        <w:tc>
          <w:tcPr>
            <w:tcW w:w="524" w:type="pct"/>
            <w:tcBorders>
              <w:top w:val="nil"/>
              <w:left w:val="nil"/>
              <w:bottom w:val="single" w:sz="4" w:space="0" w:color="auto"/>
              <w:right w:val="single" w:sz="4" w:space="0" w:color="auto"/>
            </w:tcBorders>
            <w:shd w:val="clear" w:color="auto" w:fill="auto"/>
            <w:noWrap/>
            <w:vAlign w:val="bottom"/>
            <w:hideMark/>
          </w:tcPr>
          <w:p w14:paraId="5F666314"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16.60431</w:t>
            </w:r>
          </w:p>
        </w:tc>
        <w:tc>
          <w:tcPr>
            <w:tcW w:w="89" w:type="pct"/>
            <w:tcBorders>
              <w:top w:val="nil"/>
              <w:left w:val="nil"/>
              <w:bottom w:val="nil"/>
              <w:right w:val="nil"/>
            </w:tcBorders>
            <w:shd w:val="clear" w:color="auto" w:fill="auto"/>
            <w:noWrap/>
            <w:vAlign w:val="bottom"/>
            <w:hideMark/>
          </w:tcPr>
          <w:p w14:paraId="75F3E5E8"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28" w:type="pct"/>
            <w:tcBorders>
              <w:top w:val="nil"/>
              <w:left w:val="single" w:sz="4" w:space="0" w:color="auto"/>
              <w:bottom w:val="single" w:sz="4" w:space="0" w:color="auto"/>
              <w:right w:val="single" w:sz="4" w:space="0" w:color="auto"/>
            </w:tcBorders>
            <w:shd w:val="clear" w:color="auto" w:fill="auto"/>
            <w:noWrap/>
            <w:vAlign w:val="bottom"/>
            <w:hideMark/>
          </w:tcPr>
          <w:p w14:paraId="28C7E7D9"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w:t>
            </w:r>
          </w:p>
        </w:tc>
        <w:tc>
          <w:tcPr>
            <w:tcW w:w="564" w:type="pct"/>
            <w:tcBorders>
              <w:top w:val="nil"/>
              <w:left w:val="nil"/>
              <w:bottom w:val="single" w:sz="4" w:space="0" w:color="auto"/>
              <w:right w:val="single" w:sz="4" w:space="0" w:color="auto"/>
            </w:tcBorders>
            <w:shd w:val="clear" w:color="auto" w:fill="auto"/>
            <w:noWrap/>
            <w:vAlign w:val="bottom"/>
            <w:hideMark/>
          </w:tcPr>
          <w:p w14:paraId="18163F55"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20</w:t>
            </w:r>
          </w:p>
        </w:tc>
      </w:tr>
      <w:tr w:rsidR="00A933EF" w14:paraId="1783F4C1" w14:textId="77777777" w:rsidTr="0044406A">
        <w:trPr>
          <w:trHeight w:val="290"/>
        </w:trPr>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15174C03"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3</w:t>
            </w:r>
          </w:p>
        </w:tc>
        <w:tc>
          <w:tcPr>
            <w:tcW w:w="564" w:type="pct"/>
            <w:tcBorders>
              <w:top w:val="nil"/>
              <w:left w:val="nil"/>
              <w:bottom w:val="single" w:sz="4" w:space="0" w:color="auto"/>
              <w:right w:val="single" w:sz="4" w:space="0" w:color="auto"/>
            </w:tcBorders>
            <w:shd w:val="clear" w:color="auto" w:fill="auto"/>
            <w:noWrap/>
            <w:vAlign w:val="bottom"/>
            <w:hideMark/>
          </w:tcPr>
          <w:p w14:paraId="39CBCFFA"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20</w:t>
            </w:r>
          </w:p>
        </w:tc>
        <w:tc>
          <w:tcPr>
            <w:tcW w:w="628" w:type="pct"/>
            <w:tcBorders>
              <w:top w:val="nil"/>
              <w:left w:val="nil"/>
              <w:bottom w:val="single" w:sz="4" w:space="0" w:color="auto"/>
              <w:right w:val="single" w:sz="4" w:space="0" w:color="auto"/>
            </w:tcBorders>
            <w:shd w:val="clear" w:color="auto" w:fill="auto"/>
            <w:noWrap/>
            <w:vAlign w:val="bottom"/>
            <w:hideMark/>
          </w:tcPr>
          <w:p w14:paraId="5AF68F32"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15</w:t>
            </w:r>
          </w:p>
        </w:tc>
        <w:tc>
          <w:tcPr>
            <w:tcW w:w="107" w:type="pct"/>
            <w:tcBorders>
              <w:top w:val="nil"/>
              <w:left w:val="nil"/>
              <w:bottom w:val="nil"/>
              <w:right w:val="nil"/>
            </w:tcBorders>
            <w:shd w:val="clear" w:color="auto" w:fill="auto"/>
            <w:noWrap/>
            <w:vAlign w:val="bottom"/>
            <w:hideMark/>
          </w:tcPr>
          <w:p w14:paraId="3FE06827"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9" w:type="pct"/>
            <w:tcBorders>
              <w:top w:val="nil"/>
              <w:left w:val="nil"/>
              <w:bottom w:val="nil"/>
              <w:right w:val="nil"/>
            </w:tcBorders>
            <w:shd w:val="clear" w:color="auto" w:fill="auto"/>
            <w:noWrap/>
            <w:vAlign w:val="bottom"/>
            <w:hideMark/>
          </w:tcPr>
          <w:p w14:paraId="1F0864B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200D1521"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3</w:t>
            </w:r>
          </w:p>
        </w:tc>
        <w:tc>
          <w:tcPr>
            <w:tcW w:w="564" w:type="pct"/>
            <w:tcBorders>
              <w:top w:val="nil"/>
              <w:left w:val="nil"/>
              <w:bottom w:val="single" w:sz="4" w:space="0" w:color="auto"/>
              <w:right w:val="single" w:sz="4" w:space="0" w:color="auto"/>
            </w:tcBorders>
            <w:shd w:val="clear" w:color="auto" w:fill="auto"/>
            <w:noWrap/>
            <w:vAlign w:val="bottom"/>
            <w:hideMark/>
          </w:tcPr>
          <w:p w14:paraId="30F0597F"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20</w:t>
            </w:r>
          </w:p>
        </w:tc>
        <w:tc>
          <w:tcPr>
            <w:tcW w:w="547" w:type="pct"/>
            <w:tcBorders>
              <w:top w:val="nil"/>
              <w:left w:val="nil"/>
              <w:bottom w:val="single" w:sz="4" w:space="0" w:color="auto"/>
              <w:right w:val="single" w:sz="4" w:space="0" w:color="auto"/>
            </w:tcBorders>
            <w:shd w:val="clear" w:color="auto" w:fill="auto"/>
            <w:noWrap/>
            <w:vAlign w:val="bottom"/>
            <w:hideMark/>
          </w:tcPr>
          <w:p w14:paraId="0FA6340F"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1.321946</w:t>
            </w:r>
          </w:p>
        </w:tc>
        <w:tc>
          <w:tcPr>
            <w:tcW w:w="524" w:type="pct"/>
            <w:tcBorders>
              <w:top w:val="nil"/>
              <w:left w:val="nil"/>
              <w:bottom w:val="single" w:sz="4" w:space="0" w:color="auto"/>
              <w:right w:val="single" w:sz="4" w:space="0" w:color="auto"/>
            </w:tcBorders>
            <w:shd w:val="clear" w:color="auto" w:fill="auto"/>
            <w:noWrap/>
            <w:vAlign w:val="bottom"/>
            <w:hideMark/>
          </w:tcPr>
          <w:p w14:paraId="7627CB88"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15.12922</w:t>
            </w:r>
          </w:p>
        </w:tc>
        <w:tc>
          <w:tcPr>
            <w:tcW w:w="89" w:type="pct"/>
            <w:tcBorders>
              <w:top w:val="nil"/>
              <w:left w:val="nil"/>
              <w:bottom w:val="nil"/>
              <w:right w:val="nil"/>
            </w:tcBorders>
            <w:shd w:val="clear" w:color="auto" w:fill="auto"/>
            <w:noWrap/>
            <w:vAlign w:val="bottom"/>
            <w:hideMark/>
          </w:tcPr>
          <w:p w14:paraId="6FB8276D"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28" w:type="pct"/>
            <w:tcBorders>
              <w:top w:val="nil"/>
              <w:left w:val="single" w:sz="4" w:space="0" w:color="auto"/>
              <w:bottom w:val="single" w:sz="4" w:space="0" w:color="auto"/>
              <w:right w:val="single" w:sz="4" w:space="0" w:color="auto"/>
            </w:tcBorders>
            <w:shd w:val="clear" w:color="auto" w:fill="auto"/>
            <w:noWrap/>
            <w:vAlign w:val="bottom"/>
            <w:hideMark/>
          </w:tcPr>
          <w:p w14:paraId="06CD66BB"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3</w:t>
            </w:r>
          </w:p>
        </w:tc>
        <w:tc>
          <w:tcPr>
            <w:tcW w:w="564" w:type="pct"/>
            <w:tcBorders>
              <w:top w:val="nil"/>
              <w:left w:val="nil"/>
              <w:bottom w:val="single" w:sz="4" w:space="0" w:color="auto"/>
              <w:right w:val="single" w:sz="4" w:space="0" w:color="auto"/>
            </w:tcBorders>
            <w:shd w:val="clear" w:color="auto" w:fill="auto"/>
            <w:noWrap/>
            <w:vAlign w:val="bottom"/>
            <w:hideMark/>
          </w:tcPr>
          <w:p w14:paraId="10EAB73A"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20</w:t>
            </w:r>
          </w:p>
        </w:tc>
      </w:tr>
      <w:tr w:rsidR="00A933EF" w14:paraId="04EC5CAB" w14:textId="77777777" w:rsidTr="0044406A">
        <w:trPr>
          <w:trHeight w:val="290"/>
        </w:trPr>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3C514AEF"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4</w:t>
            </w:r>
          </w:p>
        </w:tc>
        <w:tc>
          <w:tcPr>
            <w:tcW w:w="564" w:type="pct"/>
            <w:tcBorders>
              <w:top w:val="nil"/>
              <w:left w:val="nil"/>
              <w:bottom w:val="single" w:sz="4" w:space="0" w:color="auto"/>
              <w:right w:val="single" w:sz="4" w:space="0" w:color="auto"/>
            </w:tcBorders>
            <w:shd w:val="clear" w:color="auto" w:fill="auto"/>
            <w:noWrap/>
            <w:vAlign w:val="bottom"/>
            <w:hideMark/>
          </w:tcPr>
          <w:p w14:paraId="15B47CDB"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20</w:t>
            </w:r>
          </w:p>
        </w:tc>
        <w:tc>
          <w:tcPr>
            <w:tcW w:w="628" w:type="pct"/>
            <w:tcBorders>
              <w:top w:val="nil"/>
              <w:left w:val="nil"/>
              <w:bottom w:val="single" w:sz="4" w:space="0" w:color="auto"/>
              <w:right w:val="single" w:sz="4" w:space="0" w:color="auto"/>
            </w:tcBorders>
            <w:shd w:val="clear" w:color="auto" w:fill="auto"/>
            <w:noWrap/>
            <w:vAlign w:val="bottom"/>
            <w:hideMark/>
          </w:tcPr>
          <w:p w14:paraId="4826A2B8"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35</w:t>
            </w:r>
          </w:p>
        </w:tc>
        <w:tc>
          <w:tcPr>
            <w:tcW w:w="107" w:type="pct"/>
            <w:tcBorders>
              <w:top w:val="nil"/>
              <w:left w:val="nil"/>
              <w:bottom w:val="nil"/>
              <w:right w:val="nil"/>
            </w:tcBorders>
            <w:shd w:val="clear" w:color="auto" w:fill="auto"/>
            <w:noWrap/>
            <w:vAlign w:val="bottom"/>
            <w:hideMark/>
          </w:tcPr>
          <w:p w14:paraId="0D3D396D"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9" w:type="pct"/>
            <w:tcBorders>
              <w:top w:val="nil"/>
              <w:left w:val="nil"/>
              <w:bottom w:val="nil"/>
              <w:right w:val="nil"/>
            </w:tcBorders>
            <w:shd w:val="clear" w:color="auto" w:fill="auto"/>
            <w:noWrap/>
            <w:vAlign w:val="bottom"/>
            <w:hideMark/>
          </w:tcPr>
          <w:p w14:paraId="00D0B024"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248" w:type="pct"/>
            <w:tcBorders>
              <w:top w:val="nil"/>
              <w:left w:val="single" w:sz="4" w:space="0" w:color="auto"/>
              <w:bottom w:val="single" w:sz="4" w:space="0" w:color="auto"/>
              <w:right w:val="single" w:sz="4" w:space="0" w:color="auto"/>
            </w:tcBorders>
            <w:shd w:val="clear" w:color="auto" w:fill="auto"/>
            <w:noWrap/>
            <w:vAlign w:val="bottom"/>
            <w:hideMark/>
          </w:tcPr>
          <w:p w14:paraId="610208A1"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4</w:t>
            </w:r>
          </w:p>
        </w:tc>
        <w:tc>
          <w:tcPr>
            <w:tcW w:w="564" w:type="pct"/>
            <w:tcBorders>
              <w:top w:val="nil"/>
              <w:left w:val="nil"/>
              <w:bottom w:val="single" w:sz="4" w:space="0" w:color="auto"/>
              <w:right w:val="single" w:sz="4" w:space="0" w:color="auto"/>
            </w:tcBorders>
            <w:shd w:val="clear" w:color="auto" w:fill="auto"/>
            <w:noWrap/>
            <w:vAlign w:val="bottom"/>
            <w:hideMark/>
          </w:tcPr>
          <w:p w14:paraId="2611E122"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20</w:t>
            </w:r>
          </w:p>
        </w:tc>
        <w:tc>
          <w:tcPr>
            <w:tcW w:w="547" w:type="pct"/>
            <w:tcBorders>
              <w:top w:val="nil"/>
              <w:left w:val="nil"/>
              <w:bottom w:val="single" w:sz="4" w:space="0" w:color="auto"/>
              <w:right w:val="single" w:sz="4" w:space="0" w:color="auto"/>
            </w:tcBorders>
            <w:shd w:val="clear" w:color="auto" w:fill="auto"/>
            <w:noWrap/>
            <w:vAlign w:val="bottom"/>
            <w:hideMark/>
          </w:tcPr>
          <w:p w14:paraId="16F68FB9"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1.450835</w:t>
            </w:r>
          </w:p>
        </w:tc>
        <w:tc>
          <w:tcPr>
            <w:tcW w:w="524" w:type="pct"/>
            <w:tcBorders>
              <w:top w:val="nil"/>
              <w:left w:val="nil"/>
              <w:bottom w:val="single" w:sz="4" w:space="0" w:color="auto"/>
              <w:right w:val="single" w:sz="4" w:space="0" w:color="auto"/>
            </w:tcBorders>
            <w:shd w:val="clear" w:color="auto" w:fill="auto"/>
            <w:noWrap/>
            <w:vAlign w:val="bottom"/>
            <w:hideMark/>
          </w:tcPr>
          <w:p w14:paraId="0BF472CB"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13.78516</w:t>
            </w:r>
          </w:p>
        </w:tc>
        <w:tc>
          <w:tcPr>
            <w:tcW w:w="89" w:type="pct"/>
            <w:tcBorders>
              <w:top w:val="nil"/>
              <w:left w:val="nil"/>
              <w:bottom w:val="nil"/>
              <w:right w:val="nil"/>
            </w:tcBorders>
            <w:shd w:val="clear" w:color="auto" w:fill="auto"/>
            <w:noWrap/>
            <w:vAlign w:val="bottom"/>
            <w:hideMark/>
          </w:tcPr>
          <w:p w14:paraId="3BE48D45"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28" w:type="pct"/>
            <w:tcBorders>
              <w:top w:val="nil"/>
              <w:left w:val="single" w:sz="4" w:space="0" w:color="auto"/>
              <w:bottom w:val="single" w:sz="4" w:space="0" w:color="auto"/>
              <w:right w:val="single" w:sz="4" w:space="0" w:color="auto"/>
            </w:tcBorders>
            <w:shd w:val="clear" w:color="auto" w:fill="auto"/>
            <w:noWrap/>
            <w:vAlign w:val="bottom"/>
            <w:hideMark/>
          </w:tcPr>
          <w:p w14:paraId="4A0C5A65"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4</w:t>
            </w:r>
          </w:p>
        </w:tc>
        <w:tc>
          <w:tcPr>
            <w:tcW w:w="564" w:type="pct"/>
            <w:tcBorders>
              <w:top w:val="nil"/>
              <w:left w:val="nil"/>
              <w:bottom w:val="single" w:sz="4" w:space="0" w:color="auto"/>
              <w:right w:val="single" w:sz="4" w:space="0" w:color="auto"/>
            </w:tcBorders>
            <w:shd w:val="clear" w:color="auto" w:fill="auto"/>
            <w:noWrap/>
            <w:vAlign w:val="bottom"/>
            <w:hideMark/>
          </w:tcPr>
          <w:p w14:paraId="56F4B5B9"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20</w:t>
            </w:r>
          </w:p>
        </w:tc>
      </w:tr>
      <w:tr w:rsidR="00A933EF" w14:paraId="344214CC" w14:textId="77777777" w:rsidTr="0044406A">
        <w:trPr>
          <w:trHeight w:val="290"/>
        </w:trPr>
        <w:tc>
          <w:tcPr>
            <w:tcW w:w="812" w:type="pct"/>
            <w:gridSpan w:val="2"/>
            <w:tcBorders>
              <w:top w:val="single" w:sz="4" w:space="0" w:color="auto"/>
              <w:left w:val="single" w:sz="4" w:space="0" w:color="auto"/>
              <w:bottom w:val="single" w:sz="4" w:space="0" w:color="auto"/>
              <w:right w:val="single" w:sz="4" w:space="0" w:color="000000"/>
            </w:tcBorders>
            <w:shd w:val="clear" w:color="000000" w:fill="EBF1DE"/>
            <w:noWrap/>
            <w:vAlign w:val="bottom"/>
            <w:hideMark/>
          </w:tcPr>
          <w:p w14:paraId="7AABB328" w14:textId="77777777" w:rsidR="00E079C5" w:rsidRPr="00297091" w:rsidRDefault="00357ABC" w:rsidP="0044406A">
            <w:pPr>
              <w:spacing w:before="0" w:after="0" w:line="240" w:lineRule="auto"/>
              <w:jc w:val="center"/>
              <w:rPr>
                <w:rFonts w:ascii="Calibri" w:eastAsia="Times New Roman" w:hAnsi="Calibri" w:cs="Calibri"/>
                <w:color w:val="000000"/>
                <w:lang w:eastAsia="en-IN"/>
              </w:rPr>
            </w:pPr>
            <w:r w:rsidRPr="00297091">
              <w:rPr>
                <w:rFonts w:ascii="Calibri" w:eastAsia="Times New Roman" w:hAnsi="Calibri" w:cs="Calibri"/>
                <w:color w:val="000000"/>
                <w:sz w:val="22"/>
                <w:lang w:eastAsia="en-IN"/>
              </w:rPr>
              <w:t>Payback period</w:t>
            </w:r>
          </w:p>
        </w:tc>
        <w:tc>
          <w:tcPr>
            <w:tcW w:w="628" w:type="pct"/>
            <w:tcBorders>
              <w:top w:val="nil"/>
              <w:left w:val="nil"/>
              <w:bottom w:val="single" w:sz="4" w:space="0" w:color="auto"/>
              <w:right w:val="single" w:sz="4" w:space="0" w:color="auto"/>
            </w:tcBorders>
            <w:shd w:val="clear" w:color="000000" w:fill="EBF1DE"/>
            <w:noWrap/>
            <w:vAlign w:val="bottom"/>
            <w:hideMark/>
          </w:tcPr>
          <w:p w14:paraId="2804F7B9"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3</w:t>
            </w:r>
          </w:p>
        </w:tc>
        <w:tc>
          <w:tcPr>
            <w:tcW w:w="107" w:type="pct"/>
            <w:tcBorders>
              <w:top w:val="nil"/>
              <w:left w:val="nil"/>
              <w:bottom w:val="nil"/>
              <w:right w:val="nil"/>
            </w:tcBorders>
            <w:shd w:val="clear" w:color="auto" w:fill="auto"/>
            <w:noWrap/>
            <w:vAlign w:val="bottom"/>
            <w:hideMark/>
          </w:tcPr>
          <w:p w14:paraId="61A04727"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9" w:type="pct"/>
            <w:tcBorders>
              <w:top w:val="nil"/>
              <w:left w:val="nil"/>
              <w:bottom w:val="nil"/>
              <w:right w:val="nil"/>
            </w:tcBorders>
            <w:shd w:val="clear" w:color="auto" w:fill="auto"/>
            <w:noWrap/>
            <w:vAlign w:val="bottom"/>
            <w:hideMark/>
          </w:tcPr>
          <w:p w14:paraId="5CD67FEE"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248" w:type="pct"/>
            <w:tcBorders>
              <w:top w:val="nil"/>
              <w:left w:val="single" w:sz="4" w:space="0" w:color="auto"/>
              <w:bottom w:val="single" w:sz="4" w:space="0" w:color="auto"/>
              <w:right w:val="single" w:sz="4" w:space="0" w:color="auto"/>
            </w:tcBorders>
            <w:shd w:val="clear" w:color="000000" w:fill="FDE9D9"/>
            <w:noWrap/>
            <w:vAlign w:val="bottom"/>
            <w:hideMark/>
          </w:tcPr>
          <w:p w14:paraId="2BF6A25B" w14:textId="77777777" w:rsidR="00E079C5" w:rsidRPr="00297091" w:rsidRDefault="00357ABC" w:rsidP="0044406A">
            <w:pPr>
              <w:spacing w:before="0" w:after="0" w:line="240" w:lineRule="auto"/>
              <w:jc w:val="center"/>
              <w:rPr>
                <w:rFonts w:ascii="Calibri" w:eastAsia="Times New Roman" w:hAnsi="Calibri" w:cs="Calibri"/>
                <w:color w:val="000000"/>
                <w:lang w:eastAsia="en-IN"/>
              </w:rPr>
            </w:pPr>
            <w:r w:rsidRPr="00297091">
              <w:rPr>
                <w:rFonts w:ascii="Calibri" w:eastAsia="Times New Roman" w:hAnsi="Calibri" w:cs="Calibri"/>
                <w:color w:val="000000"/>
                <w:sz w:val="22"/>
                <w:lang w:eastAsia="en-IN"/>
              </w:rPr>
              <w:t>NPV</w:t>
            </w:r>
          </w:p>
        </w:tc>
        <w:tc>
          <w:tcPr>
            <w:tcW w:w="564" w:type="pct"/>
            <w:tcBorders>
              <w:top w:val="nil"/>
              <w:left w:val="nil"/>
              <w:bottom w:val="single" w:sz="4" w:space="0" w:color="auto"/>
              <w:right w:val="single" w:sz="4" w:space="0" w:color="auto"/>
            </w:tcBorders>
            <w:shd w:val="clear" w:color="000000" w:fill="FDE9D9"/>
            <w:noWrap/>
            <w:vAlign w:val="bottom"/>
            <w:hideMark/>
          </w:tcPr>
          <w:p w14:paraId="2FBF4F2E" w14:textId="77777777" w:rsidR="00E079C5" w:rsidRPr="00297091" w:rsidRDefault="00357ABC" w:rsidP="0044406A">
            <w:pPr>
              <w:spacing w:before="0" w:after="0" w:line="240" w:lineRule="auto"/>
              <w:jc w:val="center"/>
              <w:rPr>
                <w:rFonts w:ascii="Calibri" w:eastAsia="Times New Roman" w:hAnsi="Calibri" w:cs="Calibri"/>
                <w:color w:val="000000"/>
                <w:lang w:eastAsia="en-IN"/>
              </w:rPr>
            </w:pPr>
            <w:r w:rsidRPr="00297091">
              <w:rPr>
                <w:rFonts w:ascii="Calibri" w:eastAsia="Times New Roman" w:hAnsi="Calibri" w:cs="Calibri"/>
                <w:color w:val="000000"/>
                <w:sz w:val="22"/>
                <w:lang w:eastAsia="en-IN"/>
              </w:rPr>
              <w:t> </w:t>
            </w:r>
          </w:p>
        </w:tc>
        <w:tc>
          <w:tcPr>
            <w:tcW w:w="547" w:type="pct"/>
            <w:tcBorders>
              <w:top w:val="nil"/>
              <w:left w:val="nil"/>
              <w:bottom w:val="single" w:sz="4" w:space="0" w:color="auto"/>
              <w:right w:val="single" w:sz="4" w:space="0" w:color="auto"/>
            </w:tcBorders>
            <w:shd w:val="clear" w:color="000000" w:fill="FDE9D9"/>
            <w:noWrap/>
            <w:vAlign w:val="bottom"/>
            <w:hideMark/>
          </w:tcPr>
          <w:p w14:paraId="594D748C" w14:textId="77777777" w:rsidR="00E079C5" w:rsidRPr="00297091" w:rsidRDefault="00357ABC" w:rsidP="0044406A">
            <w:pPr>
              <w:spacing w:before="0" w:after="0" w:line="240" w:lineRule="auto"/>
              <w:jc w:val="center"/>
              <w:rPr>
                <w:rFonts w:ascii="Calibri" w:eastAsia="Times New Roman" w:hAnsi="Calibri" w:cs="Calibri"/>
                <w:color w:val="000000"/>
                <w:lang w:eastAsia="en-IN"/>
              </w:rPr>
            </w:pPr>
            <w:r w:rsidRPr="00297091">
              <w:rPr>
                <w:rFonts w:ascii="Calibri" w:eastAsia="Times New Roman" w:hAnsi="Calibri" w:cs="Calibri"/>
                <w:color w:val="000000"/>
                <w:sz w:val="22"/>
                <w:lang w:eastAsia="en-IN"/>
              </w:rPr>
              <w:t> </w:t>
            </w:r>
          </w:p>
        </w:tc>
        <w:tc>
          <w:tcPr>
            <w:tcW w:w="524" w:type="pct"/>
            <w:tcBorders>
              <w:top w:val="nil"/>
              <w:left w:val="nil"/>
              <w:bottom w:val="single" w:sz="4" w:space="0" w:color="auto"/>
              <w:right w:val="single" w:sz="4" w:space="0" w:color="auto"/>
            </w:tcBorders>
            <w:shd w:val="clear" w:color="000000" w:fill="FDE9D9"/>
            <w:noWrap/>
            <w:vAlign w:val="bottom"/>
            <w:hideMark/>
          </w:tcPr>
          <w:p w14:paraId="0B7CFABA"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16.07678</w:t>
            </w:r>
          </w:p>
        </w:tc>
        <w:tc>
          <w:tcPr>
            <w:tcW w:w="89" w:type="pct"/>
            <w:tcBorders>
              <w:top w:val="nil"/>
              <w:left w:val="nil"/>
              <w:bottom w:val="nil"/>
              <w:right w:val="nil"/>
            </w:tcBorders>
            <w:shd w:val="clear" w:color="auto" w:fill="auto"/>
            <w:noWrap/>
            <w:vAlign w:val="bottom"/>
            <w:hideMark/>
          </w:tcPr>
          <w:p w14:paraId="54AB5935"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828" w:type="pct"/>
            <w:tcBorders>
              <w:top w:val="nil"/>
              <w:left w:val="single" w:sz="4" w:space="0" w:color="auto"/>
              <w:bottom w:val="single" w:sz="4" w:space="0" w:color="auto"/>
              <w:right w:val="single" w:sz="4" w:space="0" w:color="auto"/>
            </w:tcBorders>
            <w:shd w:val="clear" w:color="auto" w:fill="auto"/>
            <w:noWrap/>
            <w:vAlign w:val="bottom"/>
            <w:hideMark/>
          </w:tcPr>
          <w:p w14:paraId="4C8A2377"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Annual Profit</w:t>
            </w:r>
          </w:p>
        </w:tc>
        <w:tc>
          <w:tcPr>
            <w:tcW w:w="564" w:type="pct"/>
            <w:tcBorders>
              <w:top w:val="nil"/>
              <w:left w:val="nil"/>
              <w:bottom w:val="single" w:sz="4" w:space="0" w:color="auto"/>
              <w:right w:val="single" w:sz="4" w:space="0" w:color="auto"/>
            </w:tcBorders>
            <w:shd w:val="clear" w:color="auto" w:fill="auto"/>
            <w:noWrap/>
            <w:vAlign w:val="bottom"/>
            <w:hideMark/>
          </w:tcPr>
          <w:p w14:paraId="6A7F6492"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35</w:t>
            </w:r>
          </w:p>
        </w:tc>
      </w:tr>
      <w:tr w:rsidR="00A933EF" w14:paraId="662E96FA" w14:textId="77777777" w:rsidTr="0044406A">
        <w:trPr>
          <w:trHeight w:val="290"/>
        </w:trPr>
        <w:tc>
          <w:tcPr>
            <w:tcW w:w="248" w:type="pct"/>
            <w:tcBorders>
              <w:top w:val="nil"/>
              <w:left w:val="nil"/>
              <w:bottom w:val="nil"/>
              <w:right w:val="nil"/>
            </w:tcBorders>
            <w:shd w:val="clear" w:color="auto" w:fill="auto"/>
            <w:noWrap/>
            <w:vAlign w:val="bottom"/>
            <w:hideMark/>
          </w:tcPr>
          <w:p w14:paraId="6624B531"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564" w:type="pct"/>
            <w:tcBorders>
              <w:top w:val="nil"/>
              <w:left w:val="nil"/>
              <w:bottom w:val="nil"/>
              <w:right w:val="nil"/>
            </w:tcBorders>
            <w:shd w:val="clear" w:color="auto" w:fill="auto"/>
            <w:noWrap/>
            <w:vAlign w:val="bottom"/>
            <w:hideMark/>
          </w:tcPr>
          <w:p w14:paraId="294805E6"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628" w:type="pct"/>
            <w:tcBorders>
              <w:top w:val="nil"/>
              <w:left w:val="nil"/>
              <w:bottom w:val="nil"/>
              <w:right w:val="nil"/>
            </w:tcBorders>
            <w:shd w:val="clear" w:color="auto" w:fill="auto"/>
            <w:noWrap/>
            <w:vAlign w:val="bottom"/>
            <w:hideMark/>
          </w:tcPr>
          <w:p w14:paraId="4B170E03"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07" w:type="pct"/>
            <w:tcBorders>
              <w:top w:val="nil"/>
              <w:left w:val="nil"/>
              <w:bottom w:val="nil"/>
              <w:right w:val="nil"/>
            </w:tcBorders>
            <w:shd w:val="clear" w:color="auto" w:fill="auto"/>
            <w:noWrap/>
            <w:vAlign w:val="bottom"/>
            <w:hideMark/>
          </w:tcPr>
          <w:p w14:paraId="4E81718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89" w:type="pct"/>
            <w:tcBorders>
              <w:top w:val="nil"/>
              <w:left w:val="nil"/>
              <w:bottom w:val="nil"/>
              <w:right w:val="nil"/>
            </w:tcBorders>
            <w:shd w:val="clear" w:color="auto" w:fill="auto"/>
            <w:noWrap/>
            <w:vAlign w:val="bottom"/>
            <w:hideMark/>
          </w:tcPr>
          <w:p w14:paraId="56ED9CE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248" w:type="pct"/>
            <w:tcBorders>
              <w:top w:val="nil"/>
              <w:left w:val="nil"/>
              <w:bottom w:val="nil"/>
              <w:right w:val="nil"/>
            </w:tcBorders>
            <w:shd w:val="clear" w:color="auto" w:fill="auto"/>
            <w:noWrap/>
            <w:vAlign w:val="bottom"/>
            <w:hideMark/>
          </w:tcPr>
          <w:p w14:paraId="74A9986B"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64" w:type="pct"/>
            <w:tcBorders>
              <w:top w:val="nil"/>
              <w:left w:val="nil"/>
              <w:bottom w:val="nil"/>
              <w:right w:val="nil"/>
            </w:tcBorders>
            <w:shd w:val="clear" w:color="auto" w:fill="auto"/>
            <w:noWrap/>
            <w:vAlign w:val="bottom"/>
            <w:hideMark/>
          </w:tcPr>
          <w:p w14:paraId="294931C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47" w:type="pct"/>
            <w:tcBorders>
              <w:top w:val="nil"/>
              <w:left w:val="nil"/>
              <w:bottom w:val="nil"/>
              <w:right w:val="nil"/>
            </w:tcBorders>
            <w:shd w:val="clear" w:color="auto" w:fill="auto"/>
            <w:noWrap/>
            <w:vAlign w:val="bottom"/>
            <w:hideMark/>
          </w:tcPr>
          <w:p w14:paraId="7807E20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24" w:type="pct"/>
            <w:tcBorders>
              <w:top w:val="nil"/>
              <w:left w:val="nil"/>
              <w:bottom w:val="nil"/>
              <w:right w:val="nil"/>
            </w:tcBorders>
            <w:shd w:val="clear" w:color="auto" w:fill="auto"/>
            <w:noWrap/>
            <w:vAlign w:val="bottom"/>
            <w:hideMark/>
          </w:tcPr>
          <w:p w14:paraId="617729F7"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89" w:type="pct"/>
            <w:tcBorders>
              <w:top w:val="nil"/>
              <w:left w:val="nil"/>
              <w:bottom w:val="nil"/>
              <w:right w:val="nil"/>
            </w:tcBorders>
            <w:shd w:val="clear" w:color="auto" w:fill="auto"/>
            <w:noWrap/>
            <w:vAlign w:val="bottom"/>
            <w:hideMark/>
          </w:tcPr>
          <w:p w14:paraId="3391D9A6"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828" w:type="pct"/>
            <w:tcBorders>
              <w:top w:val="nil"/>
              <w:left w:val="nil"/>
              <w:bottom w:val="nil"/>
              <w:right w:val="nil"/>
            </w:tcBorders>
            <w:shd w:val="clear" w:color="auto" w:fill="auto"/>
            <w:noWrap/>
            <w:vAlign w:val="bottom"/>
            <w:hideMark/>
          </w:tcPr>
          <w:p w14:paraId="7D5784E0"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Average annual profit</w:t>
            </w:r>
          </w:p>
        </w:tc>
        <w:tc>
          <w:tcPr>
            <w:tcW w:w="564" w:type="pct"/>
            <w:tcBorders>
              <w:top w:val="nil"/>
              <w:left w:val="nil"/>
              <w:bottom w:val="nil"/>
              <w:right w:val="nil"/>
            </w:tcBorders>
            <w:shd w:val="clear" w:color="auto" w:fill="auto"/>
            <w:noWrap/>
            <w:vAlign w:val="bottom"/>
            <w:hideMark/>
          </w:tcPr>
          <w:p w14:paraId="219181D5"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8.75</w:t>
            </w:r>
          </w:p>
        </w:tc>
      </w:tr>
      <w:tr w:rsidR="00A933EF" w14:paraId="2C44F8C2" w14:textId="77777777" w:rsidTr="0044406A">
        <w:trPr>
          <w:trHeight w:val="290"/>
        </w:trPr>
        <w:tc>
          <w:tcPr>
            <w:tcW w:w="248" w:type="pct"/>
            <w:tcBorders>
              <w:top w:val="nil"/>
              <w:left w:val="nil"/>
              <w:bottom w:val="nil"/>
              <w:right w:val="nil"/>
            </w:tcBorders>
            <w:shd w:val="clear" w:color="auto" w:fill="auto"/>
            <w:noWrap/>
            <w:vAlign w:val="bottom"/>
            <w:hideMark/>
          </w:tcPr>
          <w:p w14:paraId="2462E36B" w14:textId="77777777" w:rsidR="00E079C5" w:rsidRPr="00297091" w:rsidRDefault="00E079C5" w:rsidP="0044406A">
            <w:pPr>
              <w:spacing w:before="0" w:after="0" w:line="240" w:lineRule="auto"/>
              <w:jc w:val="right"/>
              <w:rPr>
                <w:rFonts w:ascii="Calibri" w:eastAsia="Times New Roman" w:hAnsi="Calibri" w:cs="Calibri"/>
                <w:color w:val="000000"/>
                <w:lang w:eastAsia="en-IN"/>
              </w:rPr>
            </w:pPr>
          </w:p>
        </w:tc>
        <w:tc>
          <w:tcPr>
            <w:tcW w:w="564" w:type="pct"/>
            <w:tcBorders>
              <w:top w:val="nil"/>
              <w:left w:val="nil"/>
              <w:bottom w:val="nil"/>
              <w:right w:val="nil"/>
            </w:tcBorders>
            <w:shd w:val="clear" w:color="auto" w:fill="auto"/>
            <w:noWrap/>
            <w:vAlign w:val="bottom"/>
            <w:hideMark/>
          </w:tcPr>
          <w:p w14:paraId="00BB373F"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628" w:type="pct"/>
            <w:tcBorders>
              <w:top w:val="nil"/>
              <w:left w:val="nil"/>
              <w:bottom w:val="nil"/>
              <w:right w:val="nil"/>
            </w:tcBorders>
            <w:shd w:val="clear" w:color="auto" w:fill="auto"/>
            <w:noWrap/>
            <w:vAlign w:val="bottom"/>
            <w:hideMark/>
          </w:tcPr>
          <w:p w14:paraId="29432848"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107" w:type="pct"/>
            <w:tcBorders>
              <w:top w:val="nil"/>
              <w:left w:val="nil"/>
              <w:bottom w:val="nil"/>
              <w:right w:val="nil"/>
            </w:tcBorders>
            <w:shd w:val="clear" w:color="auto" w:fill="auto"/>
            <w:noWrap/>
            <w:vAlign w:val="bottom"/>
            <w:hideMark/>
          </w:tcPr>
          <w:p w14:paraId="106D1512"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89" w:type="pct"/>
            <w:tcBorders>
              <w:top w:val="nil"/>
              <w:left w:val="nil"/>
              <w:bottom w:val="nil"/>
              <w:right w:val="nil"/>
            </w:tcBorders>
            <w:shd w:val="clear" w:color="auto" w:fill="auto"/>
            <w:noWrap/>
            <w:vAlign w:val="bottom"/>
            <w:hideMark/>
          </w:tcPr>
          <w:p w14:paraId="43CE1A62"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248" w:type="pct"/>
            <w:tcBorders>
              <w:top w:val="nil"/>
              <w:left w:val="nil"/>
              <w:bottom w:val="nil"/>
              <w:right w:val="nil"/>
            </w:tcBorders>
            <w:shd w:val="clear" w:color="auto" w:fill="auto"/>
            <w:noWrap/>
            <w:vAlign w:val="bottom"/>
            <w:hideMark/>
          </w:tcPr>
          <w:p w14:paraId="54D704B1"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64" w:type="pct"/>
            <w:tcBorders>
              <w:top w:val="nil"/>
              <w:left w:val="nil"/>
              <w:bottom w:val="nil"/>
              <w:right w:val="nil"/>
            </w:tcBorders>
            <w:shd w:val="clear" w:color="auto" w:fill="auto"/>
            <w:noWrap/>
            <w:vAlign w:val="bottom"/>
            <w:hideMark/>
          </w:tcPr>
          <w:p w14:paraId="57DBEFCA"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47" w:type="pct"/>
            <w:tcBorders>
              <w:top w:val="nil"/>
              <w:left w:val="nil"/>
              <w:bottom w:val="nil"/>
              <w:right w:val="nil"/>
            </w:tcBorders>
            <w:shd w:val="clear" w:color="auto" w:fill="auto"/>
            <w:noWrap/>
            <w:vAlign w:val="bottom"/>
            <w:hideMark/>
          </w:tcPr>
          <w:p w14:paraId="2B8AEB08"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524" w:type="pct"/>
            <w:tcBorders>
              <w:top w:val="nil"/>
              <w:left w:val="nil"/>
              <w:bottom w:val="nil"/>
              <w:right w:val="nil"/>
            </w:tcBorders>
            <w:shd w:val="clear" w:color="auto" w:fill="auto"/>
            <w:noWrap/>
            <w:vAlign w:val="bottom"/>
            <w:hideMark/>
          </w:tcPr>
          <w:p w14:paraId="0B6752CC"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89" w:type="pct"/>
            <w:tcBorders>
              <w:top w:val="nil"/>
              <w:left w:val="nil"/>
              <w:bottom w:val="nil"/>
              <w:right w:val="nil"/>
            </w:tcBorders>
            <w:shd w:val="clear" w:color="auto" w:fill="auto"/>
            <w:noWrap/>
            <w:vAlign w:val="bottom"/>
            <w:hideMark/>
          </w:tcPr>
          <w:p w14:paraId="15E01B21" w14:textId="77777777" w:rsidR="00E079C5" w:rsidRPr="00297091" w:rsidRDefault="00E079C5" w:rsidP="0044406A">
            <w:pPr>
              <w:spacing w:before="0" w:after="0" w:line="240" w:lineRule="auto"/>
              <w:jc w:val="left"/>
              <w:rPr>
                <w:rFonts w:eastAsia="Times New Roman" w:cs="Times New Roman"/>
                <w:sz w:val="20"/>
                <w:szCs w:val="20"/>
                <w:lang w:eastAsia="en-IN"/>
              </w:rPr>
            </w:pPr>
          </w:p>
        </w:tc>
        <w:tc>
          <w:tcPr>
            <w:tcW w:w="828" w:type="pct"/>
            <w:tcBorders>
              <w:top w:val="nil"/>
              <w:left w:val="nil"/>
              <w:bottom w:val="nil"/>
              <w:right w:val="nil"/>
            </w:tcBorders>
            <w:shd w:val="clear" w:color="000000" w:fill="DCE6F1"/>
            <w:noWrap/>
            <w:vAlign w:val="bottom"/>
            <w:hideMark/>
          </w:tcPr>
          <w:p w14:paraId="517D6B3F" w14:textId="77777777" w:rsidR="00E079C5" w:rsidRPr="00297091" w:rsidRDefault="00357ABC" w:rsidP="0044406A">
            <w:pPr>
              <w:spacing w:before="0" w:after="0" w:line="240" w:lineRule="auto"/>
              <w:jc w:val="lef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ARR</w:t>
            </w:r>
          </w:p>
        </w:tc>
        <w:tc>
          <w:tcPr>
            <w:tcW w:w="564" w:type="pct"/>
            <w:tcBorders>
              <w:top w:val="nil"/>
              <w:left w:val="nil"/>
              <w:bottom w:val="nil"/>
              <w:right w:val="nil"/>
            </w:tcBorders>
            <w:shd w:val="clear" w:color="000000" w:fill="DCE6F1"/>
            <w:noWrap/>
            <w:vAlign w:val="bottom"/>
            <w:hideMark/>
          </w:tcPr>
          <w:p w14:paraId="53883ACF" w14:textId="77777777" w:rsidR="00E079C5" w:rsidRPr="00297091" w:rsidRDefault="00357ABC" w:rsidP="0044406A">
            <w:pPr>
              <w:spacing w:before="0" w:after="0" w:line="240" w:lineRule="auto"/>
              <w:jc w:val="right"/>
              <w:rPr>
                <w:rFonts w:ascii="Calibri" w:eastAsia="Times New Roman" w:hAnsi="Calibri" w:cs="Calibri"/>
                <w:color w:val="000000"/>
                <w:lang w:eastAsia="en-IN"/>
              </w:rPr>
            </w:pPr>
            <w:r w:rsidRPr="00297091">
              <w:rPr>
                <w:rFonts w:ascii="Calibri" w:eastAsia="Times New Roman" w:hAnsi="Calibri" w:cs="Calibri"/>
                <w:color w:val="000000"/>
                <w:sz w:val="22"/>
                <w:lang w:eastAsia="en-IN"/>
              </w:rPr>
              <w:t>11.67%</w:t>
            </w:r>
          </w:p>
        </w:tc>
      </w:tr>
    </w:tbl>
    <w:p w14:paraId="6D07F0FB" w14:textId="77777777" w:rsidR="00E079C5" w:rsidRPr="00870B6F" w:rsidRDefault="00E079C5" w:rsidP="00E079C5">
      <w:pPr>
        <w:rPr>
          <w:rFonts w:cs="Times New Roman"/>
          <w:color w:val="222222"/>
          <w:szCs w:val="24"/>
          <w:shd w:val="clear" w:color="auto" w:fill="FFFFFF"/>
        </w:rPr>
      </w:pPr>
    </w:p>
    <w:p w14:paraId="64B4CA76" w14:textId="77777777" w:rsidR="00E079C5" w:rsidRPr="00515605" w:rsidRDefault="00E079C5" w:rsidP="002E3FDE"/>
    <w:sectPr w:rsidR="00E079C5" w:rsidRPr="00515605" w:rsidSect="00F07D6A">
      <w:footerReference w:type="default" r:id="rId53"/>
      <w:footerReference w:type="first" r:id="rId54"/>
      <w:pgSz w:w="11909" w:h="16834"/>
      <w:pgMar w:top="1440" w:right="1440" w:bottom="1440" w:left="1440" w:header="720" w:footer="720" w:gutter="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664FB5" w14:textId="77777777" w:rsidR="005F2094" w:rsidRDefault="005F2094" w:rsidP="00C61A03">
      <w:pPr>
        <w:spacing w:before="0" w:after="0" w:line="240" w:lineRule="auto"/>
      </w:pPr>
      <w:r>
        <w:separator/>
      </w:r>
    </w:p>
  </w:endnote>
  <w:endnote w:type="continuationSeparator" w:id="0">
    <w:p w14:paraId="02C76F13" w14:textId="77777777" w:rsidR="005F2094" w:rsidRDefault="005F2094" w:rsidP="00C61A0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1497231"/>
      <w:docPartObj>
        <w:docPartGallery w:val="Page Numbers (Bottom of Page)"/>
        <w:docPartUnique/>
      </w:docPartObj>
    </w:sdtPr>
    <w:sdtEndPr>
      <w:rPr>
        <w:noProof/>
      </w:rPr>
    </w:sdtEndPr>
    <w:sdtContent>
      <w:p w14:paraId="1EA6290A" w14:textId="77777777" w:rsidR="00BF224B" w:rsidRDefault="00000000">
        <w:pPr>
          <w:pStyle w:val="Footer"/>
          <w:jc w:val="right"/>
        </w:pPr>
        <w:r>
          <w:fldChar w:fldCharType="begin"/>
        </w:r>
        <w:r>
          <w:instrText xml:space="preserve"> PAGE   \* MERGEFORMAT </w:instrText>
        </w:r>
        <w:r>
          <w:fldChar w:fldCharType="separate"/>
        </w:r>
        <w:r w:rsidR="00CE7A21">
          <w:rPr>
            <w:noProof/>
          </w:rPr>
          <w:t>2</w:t>
        </w:r>
        <w:r>
          <w:rPr>
            <w:noProof/>
          </w:rPr>
          <w:fldChar w:fldCharType="end"/>
        </w:r>
      </w:p>
    </w:sdtContent>
  </w:sdt>
  <w:p w14:paraId="678138ED" w14:textId="77777777" w:rsidR="00BF224B" w:rsidRDefault="00BF22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67544407"/>
      <w:docPartObj>
        <w:docPartGallery w:val="Page Numbers (Bottom of Page)"/>
        <w:docPartUnique/>
      </w:docPartObj>
    </w:sdtPr>
    <w:sdtContent>
      <w:p w14:paraId="1E5A52F9" w14:textId="77777777" w:rsidR="00BF224B" w:rsidRDefault="00000000">
        <w:pPr>
          <w:pStyle w:val="Footer"/>
          <w:jc w:val="right"/>
        </w:pPr>
        <w:r>
          <w:fldChar w:fldCharType="begin"/>
        </w:r>
        <w:r>
          <w:instrText xml:space="preserve"> PAGE   \* MERGEFORMAT </w:instrText>
        </w:r>
        <w:r>
          <w:fldChar w:fldCharType="separate"/>
        </w:r>
        <w:r w:rsidR="00CE7A21">
          <w:rPr>
            <w:noProof/>
          </w:rPr>
          <w:t>1</w:t>
        </w:r>
        <w:r>
          <w:rPr>
            <w:noProof/>
          </w:rPr>
          <w:fldChar w:fldCharType="end"/>
        </w:r>
      </w:p>
    </w:sdtContent>
  </w:sdt>
  <w:p w14:paraId="0A2DCCF6" w14:textId="77777777" w:rsidR="00BF224B" w:rsidRPr="00F07D6A" w:rsidRDefault="00BF224B" w:rsidP="00F07D6A">
    <w:pPr>
      <w:pStyle w:val="Footer"/>
      <w:jc w:val="right"/>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3E50DC" w14:textId="77777777" w:rsidR="005F2094" w:rsidRDefault="005F2094" w:rsidP="00C61A03">
      <w:pPr>
        <w:spacing w:before="0" w:after="0" w:line="240" w:lineRule="auto"/>
      </w:pPr>
      <w:r>
        <w:separator/>
      </w:r>
    </w:p>
  </w:footnote>
  <w:footnote w:type="continuationSeparator" w:id="0">
    <w:p w14:paraId="69E9F70B" w14:textId="77777777" w:rsidR="005F2094" w:rsidRDefault="005F2094" w:rsidP="00C61A0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835973"/>
    <w:multiLevelType w:val="multilevel"/>
    <w:tmpl w:val="D77646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0F0203"/>
    <w:multiLevelType w:val="hybridMultilevel"/>
    <w:tmpl w:val="A16ADABA"/>
    <w:lvl w:ilvl="0" w:tplc="8AB85134">
      <w:start w:val="1"/>
      <w:numFmt w:val="bullet"/>
      <w:lvlText w:val=""/>
      <w:lvlJc w:val="left"/>
      <w:pPr>
        <w:ind w:left="720" w:hanging="360"/>
      </w:pPr>
      <w:rPr>
        <w:rFonts w:ascii="Symbol" w:hAnsi="Symbol" w:hint="default"/>
      </w:rPr>
    </w:lvl>
    <w:lvl w:ilvl="1" w:tplc="B040FC38" w:tentative="1">
      <w:start w:val="1"/>
      <w:numFmt w:val="bullet"/>
      <w:lvlText w:val="o"/>
      <w:lvlJc w:val="left"/>
      <w:pPr>
        <w:ind w:left="1440" w:hanging="360"/>
      </w:pPr>
      <w:rPr>
        <w:rFonts w:ascii="Courier New" w:hAnsi="Courier New" w:cs="Courier New" w:hint="default"/>
      </w:rPr>
    </w:lvl>
    <w:lvl w:ilvl="2" w:tplc="B8C27F7C" w:tentative="1">
      <w:start w:val="1"/>
      <w:numFmt w:val="bullet"/>
      <w:lvlText w:val=""/>
      <w:lvlJc w:val="left"/>
      <w:pPr>
        <w:ind w:left="2160" w:hanging="360"/>
      </w:pPr>
      <w:rPr>
        <w:rFonts w:ascii="Wingdings" w:hAnsi="Wingdings" w:hint="default"/>
      </w:rPr>
    </w:lvl>
    <w:lvl w:ilvl="3" w:tplc="21064590" w:tentative="1">
      <w:start w:val="1"/>
      <w:numFmt w:val="bullet"/>
      <w:lvlText w:val=""/>
      <w:lvlJc w:val="left"/>
      <w:pPr>
        <w:ind w:left="2880" w:hanging="360"/>
      </w:pPr>
      <w:rPr>
        <w:rFonts w:ascii="Symbol" w:hAnsi="Symbol" w:hint="default"/>
      </w:rPr>
    </w:lvl>
    <w:lvl w:ilvl="4" w:tplc="2CBEFEE0" w:tentative="1">
      <w:start w:val="1"/>
      <w:numFmt w:val="bullet"/>
      <w:lvlText w:val="o"/>
      <w:lvlJc w:val="left"/>
      <w:pPr>
        <w:ind w:left="3600" w:hanging="360"/>
      </w:pPr>
      <w:rPr>
        <w:rFonts w:ascii="Courier New" w:hAnsi="Courier New" w:cs="Courier New" w:hint="default"/>
      </w:rPr>
    </w:lvl>
    <w:lvl w:ilvl="5" w:tplc="A6548E08" w:tentative="1">
      <w:start w:val="1"/>
      <w:numFmt w:val="bullet"/>
      <w:lvlText w:val=""/>
      <w:lvlJc w:val="left"/>
      <w:pPr>
        <w:ind w:left="4320" w:hanging="360"/>
      </w:pPr>
      <w:rPr>
        <w:rFonts w:ascii="Wingdings" w:hAnsi="Wingdings" w:hint="default"/>
      </w:rPr>
    </w:lvl>
    <w:lvl w:ilvl="6" w:tplc="756E9854" w:tentative="1">
      <w:start w:val="1"/>
      <w:numFmt w:val="bullet"/>
      <w:lvlText w:val=""/>
      <w:lvlJc w:val="left"/>
      <w:pPr>
        <w:ind w:left="5040" w:hanging="360"/>
      </w:pPr>
      <w:rPr>
        <w:rFonts w:ascii="Symbol" w:hAnsi="Symbol" w:hint="default"/>
      </w:rPr>
    </w:lvl>
    <w:lvl w:ilvl="7" w:tplc="43BC0D26" w:tentative="1">
      <w:start w:val="1"/>
      <w:numFmt w:val="bullet"/>
      <w:lvlText w:val="o"/>
      <w:lvlJc w:val="left"/>
      <w:pPr>
        <w:ind w:left="5760" w:hanging="360"/>
      </w:pPr>
      <w:rPr>
        <w:rFonts w:ascii="Courier New" w:hAnsi="Courier New" w:cs="Courier New" w:hint="default"/>
      </w:rPr>
    </w:lvl>
    <w:lvl w:ilvl="8" w:tplc="B6F8ED2C" w:tentative="1">
      <w:start w:val="1"/>
      <w:numFmt w:val="bullet"/>
      <w:lvlText w:val=""/>
      <w:lvlJc w:val="left"/>
      <w:pPr>
        <w:ind w:left="6480" w:hanging="360"/>
      </w:pPr>
      <w:rPr>
        <w:rFonts w:ascii="Wingdings" w:hAnsi="Wingdings" w:hint="default"/>
      </w:rPr>
    </w:lvl>
  </w:abstractNum>
  <w:abstractNum w:abstractNumId="2" w15:restartNumberingAfterBreak="0">
    <w:nsid w:val="4512034E"/>
    <w:multiLevelType w:val="multilevel"/>
    <w:tmpl w:val="ECFC11F6"/>
    <w:lvl w:ilvl="0">
      <w:start w:val="1"/>
      <w:numFmt w:val="bullet"/>
      <w:lvlText w:val="●"/>
      <w:lvlJc w:val="left"/>
      <w:pPr>
        <w:ind w:left="720" w:hanging="360"/>
      </w:pPr>
      <w:rPr>
        <w:rFonts w:ascii="Arial" w:eastAsia="Arial" w:hAnsi="Arial" w:cs="Arial"/>
        <w:color w:val="202122"/>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8EC5558"/>
    <w:multiLevelType w:val="multilevel"/>
    <w:tmpl w:val="B232B0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3E66804"/>
    <w:multiLevelType w:val="multilevel"/>
    <w:tmpl w:val="6ABE87B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15:restartNumberingAfterBreak="0">
    <w:nsid w:val="5C6675AA"/>
    <w:multiLevelType w:val="hybridMultilevel"/>
    <w:tmpl w:val="9336FE8C"/>
    <w:lvl w:ilvl="0" w:tplc="99D0325C">
      <w:start w:val="1"/>
      <w:numFmt w:val="bullet"/>
      <w:lvlText w:val=""/>
      <w:lvlJc w:val="left"/>
      <w:pPr>
        <w:ind w:left="720" w:hanging="360"/>
      </w:pPr>
      <w:rPr>
        <w:rFonts w:ascii="Symbol" w:hAnsi="Symbol" w:hint="default"/>
      </w:rPr>
    </w:lvl>
    <w:lvl w:ilvl="1" w:tplc="7CF4183C" w:tentative="1">
      <w:start w:val="1"/>
      <w:numFmt w:val="bullet"/>
      <w:lvlText w:val="o"/>
      <w:lvlJc w:val="left"/>
      <w:pPr>
        <w:ind w:left="1440" w:hanging="360"/>
      </w:pPr>
      <w:rPr>
        <w:rFonts w:ascii="Courier New" w:hAnsi="Courier New" w:cs="Courier New" w:hint="default"/>
      </w:rPr>
    </w:lvl>
    <w:lvl w:ilvl="2" w:tplc="00A89656" w:tentative="1">
      <w:start w:val="1"/>
      <w:numFmt w:val="bullet"/>
      <w:lvlText w:val=""/>
      <w:lvlJc w:val="left"/>
      <w:pPr>
        <w:ind w:left="2160" w:hanging="360"/>
      </w:pPr>
      <w:rPr>
        <w:rFonts w:ascii="Wingdings" w:hAnsi="Wingdings" w:hint="default"/>
      </w:rPr>
    </w:lvl>
    <w:lvl w:ilvl="3" w:tplc="002CD452" w:tentative="1">
      <w:start w:val="1"/>
      <w:numFmt w:val="bullet"/>
      <w:lvlText w:val=""/>
      <w:lvlJc w:val="left"/>
      <w:pPr>
        <w:ind w:left="2880" w:hanging="360"/>
      </w:pPr>
      <w:rPr>
        <w:rFonts w:ascii="Symbol" w:hAnsi="Symbol" w:hint="default"/>
      </w:rPr>
    </w:lvl>
    <w:lvl w:ilvl="4" w:tplc="0A0857CC" w:tentative="1">
      <w:start w:val="1"/>
      <w:numFmt w:val="bullet"/>
      <w:lvlText w:val="o"/>
      <w:lvlJc w:val="left"/>
      <w:pPr>
        <w:ind w:left="3600" w:hanging="360"/>
      </w:pPr>
      <w:rPr>
        <w:rFonts w:ascii="Courier New" w:hAnsi="Courier New" w:cs="Courier New" w:hint="default"/>
      </w:rPr>
    </w:lvl>
    <w:lvl w:ilvl="5" w:tplc="ADF04954" w:tentative="1">
      <w:start w:val="1"/>
      <w:numFmt w:val="bullet"/>
      <w:lvlText w:val=""/>
      <w:lvlJc w:val="left"/>
      <w:pPr>
        <w:ind w:left="4320" w:hanging="360"/>
      </w:pPr>
      <w:rPr>
        <w:rFonts w:ascii="Wingdings" w:hAnsi="Wingdings" w:hint="default"/>
      </w:rPr>
    </w:lvl>
    <w:lvl w:ilvl="6" w:tplc="6B481A4E" w:tentative="1">
      <w:start w:val="1"/>
      <w:numFmt w:val="bullet"/>
      <w:lvlText w:val=""/>
      <w:lvlJc w:val="left"/>
      <w:pPr>
        <w:ind w:left="5040" w:hanging="360"/>
      </w:pPr>
      <w:rPr>
        <w:rFonts w:ascii="Symbol" w:hAnsi="Symbol" w:hint="default"/>
      </w:rPr>
    </w:lvl>
    <w:lvl w:ilvl="7" w:tplc="7FF09574" w:tentative="1">
      <w:start w:val="1"/>
      <w:numFmt w:val="bullet"/>
      <w:lvlText w:val="o"/>
      <w:lvlJc w:val="left"/>
      <w:pPr>
        <w:ind w:left="5760" w:hanging="360"/>
      </w:pPr>
      <w:rPr>
        <w:rFonts w:ascii="Courier New" w:hAnsi="Courier New" w:cs="Courier New" w:hint="default"/>
      </w:rPr>
    </w:lvl>
    <w:lvl w:ilvl="8" w:tplc="1CF2B040" w:tentative="1">
      <w:start w:val="1"/>
      <w:numFmt w:val="bullet"/>
      <w:lvlText w:val=""/>
      <w:lvlJc w:val="left"/>
      <w:pPr>
        <w:ind w:left="6480" w:hanging="360"/>
      </w:pPr>
      <w:rPr>
        <w:rFonts w:ascii="Wingdings" w:hAnsi="Wingdings" w:hint="default"/>
      </w:rPr>
    </w:lvl>
  </w:abstractNum>
  <w:abstractNum w:abstractNumId="6" w15:restartNumberingAfterBreak="0">
    <w:nsid w:val="5CAA0DD6"/>
    <w:multiLevelType w:val="hybridMultilevel"/>
    <w:tmpl w:val="00000000"/>
    <w:lvl w:ilvl="0" w:tplc="565C57D2">
      <w:start w:val="1"/>
      <w:numFmt w:val="bullet"/>
      <w:lvlText w:val="●"/>
      <w:lvlJc w:val="left"/>
      <w:pPr>
        <w:ind w:left="720" w:hanging="360"/>
      </w:pPr>
      <w:rPr>
        <w:rFonts w:ascii="Arial" w:eastAsia="Arial" w:hAnsi="Arial" w:cs="Arial"/>
        <w:color w:val="202122"/>
        <w:sz w:val="24"/>
        <w:szCs w:val="24"/>
        <w:u w:val="none"/>
      </w:rPr>
    </w:lvl>
    <w:lvl w:ilvl="1" w:tplc="69960A66">
      <w:start w:val="1"/>
      <w:numFmt w:val="bullet"/>
      <w:lvlText w:val="○"/>
      <w:lvlJc w:val="left"/>
      <w:pPr>
        <w:ind w:left="1440" w:hanging="360"/>
      </w:pPr>
      <w:rPr>
        <w:u w:val="none"/>
      </w:rPr>
    </w:lvl>
    <w:lvl w:ilvl="2" w:tplc="58A4F0A6">
      <w:start w:val="1"/>
      <w:numFmt w:val="bullet"/>
      <w:lvlText w:val="■"/>
      <w:lvlJc w:val="left"/>
      <w:pPr>
        <w:ind w:left="2160" w:hanging="360"/>
      </w:pPr>
      <w:rPr>
        <w:u w:val="none"/>
      </w:rPr>
    </w:lvl>
    <w:lvl w:ilvl="3" w:tplc="B2C26500">
      <w:start w:val="1"/>
      <w:numFmt w:val="bullet"/>
      <w:lvlText w:val="●"/>
      <w:lvlJc w:val="left"/>
      <w:pPr>
        <w:ind w:left="2880" w:hanging="360"/>
      </w:pPr>
      <w:rPr>
        <w:u w:val="none"/>
      </w:rPr>
    </w:lvl>
    <w:lvl w:ilvl="4" w:tplc="2730CB98">
      <w:start w:val="1"/>
      <w:numFmt w:val="bullet"/>
      <w:lvlText w:val="○"/>
      <w:lvlJc w:val="left"/>
      <w:pPr>
        <w:ind w:left="3600" w:hanging="360"/>
      </w:pPr>
      <w:rPr>
        <w:u w:val="none"/>
      </w:rPr>
    </w:lvl>
    <w:lvl w:ilvl="5" w:tplc="11D6C132">
      <w:start w:val="1"/>
      <w:numFmt w:val="bullet"/>
      <w:lvlText w:val="■"/>
      <w:lvlJc w:val="left"/>
      <w:pPr>
        <w:ind w:left="4320" w:hanging="360"/>
      </w:pPr>
      <w:rPr>
        <w:u w:val="none"/>
      </w:rPr>
    </w:lvl>
    <w:lvl w:ilvl="6" w:tplc="1FF0A548">
      <w:start w:val="1"/>
      <w:numFmt w:val="bullet"/>
      <w:lvlText w:val="●"/>
      <w:lvlJc w:val="left"/>
      <w:pPr>
        <w:ind w:left="5040" w:hanging="360"/>
      </w:pPr>
      <w:rPr>
        <w:u w:val="none"/>
      </w:rPr>
    </w:lvl>
    <w:lvl w:ilvl="7" w:tplc="52E8FD24">
      <w:start w:val="1"/>
      <w:numFmt w:val="bullet"/>
      <w:lvlText w:val="○"/>
      <w:lvlJc w:val="left"/>
      <w:pPr>
        <w:ind w:left="5760" w:hanging="360"/>
      </w:pPr>
      <w:rPr>
        <w:u w:val="none"/>
      </w:rPr>
    </w:lvl>
    <w:lvl w:ilvl="8" w:tplc="F6E8B298">
      <w:start w:val="1"/>
      <w:numFmt w:val="bullet"/>
      <w:lvlText w:val="■"/>
      <w:lvlJc w:val="left"/>
      <w:pPr>
        <w:ind w:left="6480" w:hanging="360"/>
      </w:pPr>
      <w:rPr>
        <w:u w:val="none"/>
      </w:rPr>
    </w:lvl>
  </w:abstractNum>
  <w:abstractNum w:abstractNumId="7" w15:restartNumberingAfterBreak="0">
    <w:nsid w:val="651E6A17"/>
    <w:multiLevelType w:val="multilevel"/>
    <w:tmpl w:val="8A36AE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CDD30A9"/>
    <w:multiLevelType w:val="hybridMultilevel"/>
    <w:tmpl w:val="16E0F72E"/>
    <w:lvl w:ilvl="0" w:tplc="DC180644">
      <w:start w:val="1"/>
      <w:numFmt w:val="decimal"/>
      <w:lvlText w:val="%1."/>
      <w:lvlJc w:val="left"/>
      <w:pPr>
        <w:ind w:left="720" w:hanging="360"/>
      </w:pPr>
    </w:lvl>
    <w:lvl w:ilvl="1" w:tplc="BFEA1048" w:tentative="1">
      <w:start w:val="1"/>
      <w:numFmt w:val="lowerLetter"/>
      <w:lvlText w:val="%2."/>
      <w:lvlJc w:val="left"/>
      <w:pPr>
        <w:ind w:left="1440" w:hanging="360"/>
      </w:pPr>
    </w:lvl>
    <w:lvl w:ilvl="2" w:tplc="0B80AACE" w:tentative="1">
      <w:start w:val="1"/>
      <w:numFmt w:val="lowerRoman"/>
      <w:lvlText w:val="%3."/>
      <w:lvlJc w:val="right"/>
      <w:pPr>
        <w:ind w:left="2160" w:hanging="180"/>
      </w:pPr>
    </w:lvl>
    <w:lvl w:ilvl="3" w:tplc="568E09FE" w:tentative="1">
      <w:start w:val="1"/>
      <w:numFmt w:val="decimal"/>
      <w:lvlText w:val="%4."/>
      <w:lvlJc w:val="left"/>
      <w:pPr>
        <w:ind w:left="2880" w:hanging="360"/>
      </w:pPr>
    </w:lvl>
    <w:lvl w:ilvl="4" w:tplc="A5AC4386" w:tentative="1">
      <w:start w:val="1"/>
      <w:numFmt w:val="lowerLetter"/>
      <w:lvlText w:val="%5."/>
      <w:lvlJc w:val="left"/>
      <w:pPr>
        <w:ind w:left="3600" w:hanging="360"/>
      </w:pPr>
    </w:lvl>
    <w:lvl w:ilvl="5" w:tplc="BCF6D698" w:tentative="1">
      <w:start w:val="1"/>
      <w:numFmt w:val="lowerRoman"/>
      <w:lvlText w:val="%6."/>
      <w:lvlJc w:val="right"/>
      <w:pPr>
        <w:ind w:left="4320" w:hanging="180"/>
      </w:pPr>
    </w:lvl>
    <w:lvl w:ilvl="6" w:tplc="209C6564" w:tentative="1">
      <w:start w:val="1"/>
      <w:numFmt w:val="decimal"/>
      <w:lvlText w:val="%7."/>
      <w:lvlJc w:val="left"/>
      <w:pPr>
        <w:ind w:left="5040" w:hanging="360"/>
      </w:pPr>
    </w:lvl>
    <w:lvl w:ilvl="7" w:tplc="293A1B16" w:tentative="1">
      <w:start w:val="1"/>
      <w:numFmt w:val="lowerLetter"/>
      <w:lvlText w:val="%8."/>
      <w:lvlJc w:val="left"/>
      <w:pPr>
        <w:ind w:left="5760" w:hanging="360"/>
      </w:pPr>
    </w:lvl>
    <w:lvl w:ilvl="8" w:tplc="7158DB4A" w:tentative="1">
      <w:start w:val="1"/>
      <w:numFmt w:val="lowerRoman"/>
      <w:lvlText w:val="%9."/>
      <w:lvlJc w:val="right"/>
      <w:pPr>
        <w:ind w:left="6480" w:hanging="180"/>
      </w:pPr>
    </w:lvl>
  </w:abstractNum>
  <w:abstractNum w:abstractNumId="9" w15:restartNumberingAfterBreak="0">
    <w:nsid w:val="7C307840"/>
    <w:multiLevelType w:val="hybridMultilevel"/>
    <w:tmpl w:val="00000000"/>
    <w:lvl w:ilvl="0" w:tplc="72801828">
      <w:start w:val="1"/>
      <w:numFmt w:val="bullet"/>
      <w:lvlText w:val="●"/>
      <w:lvlJc w:val="left"/>
      <w:pPr>
        <w:ind w:left="720" w:hanging="360"/>
      </w:pPr>
      <w:rPr>
        <w:u w:val="none"/>
      </w:rPr>
    </w:lvl>
    <w:lvl w:ilvl="1" w:tplc="2152B12E">
      <w:start w:val="1"/>
      <w:numFmt w:val="bullet"/>
      <w:lvlText w:val="○"/>
      <w:lvlJc w:val="left"/>
      <w:pPr>
        <w:ind w:left="1440" w:hanging="360"/>
      </w:pPr>
      <w:rPr>
        <w:u w:val="none"/>
      </w:rPr>
    </w:lvl>
    <w:lvl w:ilvl="2" w:tplc="D6FACCC4">
      <w:start w:val="1"/>
      <w:numFmt w:val="bullet"/>
      <w:lvlText w:val="■"/>
      <w:lvlJc w:val="left"/>
      <w:pPr>
        <w:ind w:left="2160" w:hanging="360"/>
      </w:pPr>
      <w:rPr>
        <w:u w:val="none"/>
      </w:rPr>
    </w:lvl>
    <w:lvl w:ilvl="3" w:tplc="05A6024A">
      <w:start w:val="1"/>
      <w:numFmt w:val="bullet"/>
      <w:lvlText w:val="●"/>
      <w:lvlJc w:val="left"/>
      <w:pPr>
        <w:ind w:left="2880" w:hanging="360"/>
      </w:pPr>
      <w:rPr>
        <w:u w:val="none"/>
      </w:rPr>
    </w:lvl>
    <w:lvl w:ilvl="4" w:tplc="39D2857A">
      <w:start w:val="1"/>
      <w:numFmt w:val="bullet"/>
      <w:lvlText w:val="○"/>
      <w:lvlJc w:val="left"/>
      <w:pPr>
        <w:ind w:left="3600" w:hanging="360"/>
      </w:pPr>
      <w:rPr>
        <w:u w:val="none"/>
      </w:rPr>
    </w:lvl>
    <w:lvl w:ilvl="5" w:tplc="26723932">
      <w:start w:val="1"/>
      <w:numFmt w:val="bullet"/>
      <w:lvlText w:val="■"/>
      <w:lvlJc w:val="left"/>
      <w:pPr>
        <w:ind w:left="4320" w:hanging="360"/>
      </w:pPr>
      <w:rPr>
        <w:u w:val="none"/>
      </w:rPr>
    </w:lvl>
    <w:lvl w:ilvl="6" w:tplc="975E7702">
      <w:start w:val="1"/>
      <w:numFmt w:val="bullet"/>
      <w:lvlText w:val="●"/>
      <w:lvlJc w:val="left"/>
      <w:pPr>
        <w:ind w:left="5040" w:hanging="360"/>
      </w:pPr>
      <w:rPr>
        <w:u w:val="none"/>
      </w:rPr>
    </w:lvl>
    <w:lvl w:ilvl="7" w:tplc="1B70165A">
      <w:start w:val="1"/>
      <w:numFmt w:val="bullet"/>
      <w:lvlText w:val="○"/>
      <w:lvlJc w:val="left"/>
      <w:pPr>
        <w:ind w:left="5760" w:hanging="360"/>
      </w:pPr>
      <w:rPr>
        <w:u w:val="none"/>
      </w:rPr>
    </w:lvl>
    <w:lvl w:ilvl="8" w:tplc="CC0091E0">
      <w:start w:val="1"/>
      <w:numFmt w:val="bullet"/>
      <w:lvlText w:val="■"/>
      <w:lvlJc w:val="left"/>
      <w:pPr>
        <w:ind w:left="6480" w:hanging="360"/>
      </w:pPr>
      <w:rPr>
        <w:u w:val="none"/>
      </w:rPr>
    </w:lvl>
  </w:abstractNum>
  <w:num w:numId="1" w16cid:durableId="2005207341">
    <w:abstractNumId w:val="9"/>
  </w:num>
  <w:num w:numId="2" w16cid:durableId="1929269592">
    <w:abstractNumId w:val="6"/>
  </w:num>
  <w:num w:numId="3" w16cid:durableId="623656917">
    <w:abstractNumId w:val="8"/>
  </w:num>
  <w:num w:numId="4" w16cid:durableId="309674661">
    <w:abstractNumId w:val="2"/>
  </w:num>
  <w:num w:numId="5" w16cid:durableId="960960526">
    <w:abstractNumId w:val="7"/>
  </w:num>
  <w:num w:numId="6" w16cid:durableId="871462199">
    <w:abstractNumId w:val="4"/>
  </w:num>
  <w:num w:numId="7" w16cid:durableId="1600479481">
    <w:abstractNumId w:val="3"/>
  </w:num>
  <w:num w:numId="8" w16cid:durableId="602804122">
    <w:abstractNumId w:val="0"/>
  </w:num>
  <w:num w:numId="9" w16cid:durableId="585455181">
    <w:abstractNumId w:val="5"/>
  </w:num>
  <w:num w:numId="10" w16cid:durableId="15415496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U0tzQ2Mze3MDazNLJQ0lEKTi0uzszPAykwrAUA12j+vywAAAA="/>
  </w:docVars>
  <w:rsids>
    <w:rsidRoot w:val="00B21AE3"/>
    <w:rsid w:val="00081D25"/>
    <w:rsid w:val="000A7F10"/>
    <w:rsid w:val="000B2F7F"/>
    <w:rsid w:val="000B777E"/>
    <w:rsid w:val="000E29B2"/>
    <w:rsid w:val="00123DE7"/>
    <w:rsid w:val="00127B36"/>
    <w:rsid w:val="00144F1D"/>
    <w:rsid w:val="00185719"/>
    <w:rsid w:val="00266826"/>
    <w:rsid w:val="00297091"/>
    <w:rsid w:val="002A7786"/>
    <w:rsid w:val="002E3FDE"/>
    <w:rsid w:val="00357ABC"/>
    <w:rsid w:val="003819ED"/>
    <w:rsid w:val="003B2F4D"/>
    <w:rsid w:val="003C673F"/>
    <w:rsid w:val="003E4D3B"/>
    <w:rsid w:val="00411920"/>
    <w:rsid w:val="00416915"/>
    <w:rsid w:val="00425290"/>
    <w:rsid w:val="0044406A"/>
    <w:rsid w:val="00452B8A"/>
    <w:rsid w:val="0048037E"/>
    <w:rsid w:val="004C4230"/>
    <w:rsid w:val="004F1C74"/>
    <w:rsid w:val="004F3048"/>
    <w:rsid w:val="00514B27"/>
    <w:rsid w:val="00515605"/>
    <w:rsid w:val="005A7969"/>
    <w:rsid w:val="005F2094"/>
    <w:rsid w:val="005F47D3"/>
    <w:rsid w:val="00634EEE"/>
    <w:rsid w:val="006D30E5"/>
    <w:rsid w:val="006E2C63"/>
    <w:rsid w:val="006F7AF3"/>
    <w:rsid w:val="00754F58"/>
    <w:rsid w:val="007D2307"/>
    <w:rsid w:val="0085432A"/>
    <w:rsid w:val="00870B6F"/>
    <w:rsid w:val="008B77C9"/>
    <w:rsid w:val="009974AF"/>
    <w:rsid w:val="009E1F60"/>
    <w:rsid w:val="00A33FEC"/>
    <w:rsid w:val="00A933EF"/>
    <w:rsid w:val="00AC461A"/>
    <w:rsid w:val="00AD0592"/>
    <w:rsid w:val="00B21AE3"/>
    <w:rsid w:val="00BD532B"/>
    <w:rsid w:val="00BF224B"/>
    <w:rsid w:val="00C15D93"/>
    <w:rsid w:val="00C2708B"/>
    <w:rsid w:val="00C61A03"/>
    <w:rsid w:val="00C63F42"/>
    <w:rsid w:val="00CC36D5"/>
    <w:rsid w:val="00CE7A21"/>
    <w:rsid w:val="00CF08B3"/>
    <w:rsid w:val="00D01A94"/>
    <w:rsid w:val="00DD51A5"/>
    <w:rsid w:val="00E079C5"/>
    <w:rsid w:val="00E81422"/>
    <w:rsid w:val="00F07D6A"/>
    <w:rsid w:val="00F54731"/>
    <w:rsid w:val="00F8741E"/>
    <w:rsid w:val="00F965C9"/>
    <w:rsid w:val="00FF0D4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B52137"/>
  <w15:docId w15:val="{C7F7AE08-9D6F-46D4-9865-A38056A4C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FDE"/>
    <w:pPr>
      <w:spacing w:before="240" w:after="240" w:line="360" w:lineRule="auto"/>
      <w:jc w:val="both"/>
    </w:pPr>
    <w:rPr>
      <w:rFonts w:ascii="Times New Roman" w:hAnsi="Times New Roman"/>
      <w:sz w:val="24"/>
    </w:rPr>
  </w:style>
  <w:style w:type="paragraph" w:styleId="Heading1">
    <w:name w:val="heading 1"/>
    <w:basedOn w:val="Normal1"/>
    <w:next w:val="Normal1"/>
    <w:link w:val="Heading1Char"/>
    <w:uiPriority w:val="9"/>
    <w:qFormat/>
    <w:rsid w:val="002E3FDE"/>
    <w:pPr>
      <w:keepNext/>
      <w:keepLines/>
      <w:spacing w:before="240" w:after="240" w:line="360" w:lineRule="auto"/>
      <w:jc w:val="both"/>
      <w:outlineLvl w:val="0"/>
    </w:pPr>
    <w:rPr>
      <w:rFonts w:ascii="Times New Roman" w:hAnsi="Times New Roman"/>
      <w:b/>
      <w:sz w:val="28"/>
      <w:szCs w:val="40"/>
    </w:rPr>
  </w:style>
  <w:style w:type="paragraph" w:styleId="Heading2">
    <w:name w:val="heading 2"/>
    <w:basedOn w:val="Normal1"/>
    <w:next w:val="Normal1"/>
    <w:link w:val="Heading2Char"/>
    <w:rsid w:val="002E3FDE"/>
    <w:pPr>
      <w:keepNext/>
      <w:keepLines/>
      <w:spacing w:before="240" w:after="240" w:line="360" w:lineRule="auto"/>
      <w:jc w:val="both"/>
      <w:outlineLvl w:val="1"/>
    </w:pPr>
    <w:rPr>
      <w:rFonts w:ascii="Times New Roman" w:hAnsi="Times New Roman"/>
      <w:b/>
      <w:sz w:val="26"/>
      <w:szCs w:val="32"/>
    </w:rPr>
  </w:style>
  <w:style w:type="paragraph" w:styleId="Heading3">
    <w:name w:val="heading 3"/>
    <w:basedOn w:val="Normal1"/>
    <w:next w:val="Normal1"/>
    <w:link w:val="Heading3Char"/>
    <w:uiPriority w:val="9"/>
    <w:qFormat/>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uiPriority w:val="10"/>
    <w:qFormat/>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E3FD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3FDE"/>
    <w:rPr>
      <w:rFonts w:ascii="Tahoma" w:hAnsi="Tahoma" w:cs="Tahoma"/>
      <w:sz w:val="16"/>
      <w:szCs w:val="16"/>
    </w:rPr>
  </w:style>
  <w:style w:type="paragraph" w:styleId="TOCHeading">
    <w:name w:val="TOC Heading"/>
    <w:basedOn w:val="Heading1"/>
    <w:next w:val="Normal"/>
    <w:uiPriority w:val="39"/>
    <w:semiHidden/>
    <w:unhideWhenUsed/>
    <w:qFormat/>
    <w:rsid w:val="00A33FEC"/>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A33FEC"/>
    <w:pPr>
      <w:spacing w:after="100"/>
    </w:pPr>
  </w:style>
  <w:style w:type="paragraph" w:styleId="TOC2">
    <w:name w:val="toc 2"/>
    <w:basedOn w:val="Normal"/>
    <w:next w:val="Normal"/>
    <w:autoRedefine/>
    <w:uiPriority w:val="39"/>
    <w:unhideWhenUsed/>
    <w:rsid w:val="00A33FEC"/>
    <w:pPr>
      <w:spacing w:after="100"/>
      <w:ind w:left="240"/>
    </w:pPr>
  </w:style>
  <w:style w:type="character" w:styleId="Hyperlink">
    <w:name w:val="Hyperlink"/>
    <w:basedOn w:val="DefaultParagraphFont"/>
    <w:uiPriority w:val="99"/>
    <w:unhideWhenUsed/>
    <w:rsid w:val="00A33FEC"/>
    <w:rPr>
      <w:color w:val="0000FF" w:themeColor="hyperlink"/>
      <w:u w:val="single"/>
    </w:rPr>
  </w:style>
  <w:style w:type="paragraph" w:styleId="Header">
    <w:name w:val="header"/>
    <w:basedOn w:val="Normal"/>
    <w:link w:val="HeaderChar"/>
    <w:uiPriority w:val="99"/>
    <w:unhideWhenUsed/>
    <w:rsid w:val="00C61A0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61A03"/>
    <w:rPr>
      <w:rFonts w:ascii="Times New Roman" w:hAnsi="Times New Roman"/>
      <w:sz w:val="24"/>
    </w:rPr>
  </w:style>
  <w:style w:type="paragraph" w:styleId="Footer">
    <w:name w:val="footer"/>
    <w:basedOn w:val="Normal"/>
    <w:link w:val="FooterChar"/>
    <w:uiPriority w:val="99"/>
    <w:unhideWhenUsed/>
    <w:rsid w:val="00C61A0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61A03"/>
    <w:rPr>
      <w:rFonts w:ascii="Times New Roman" w:hAnsi="Times New Roman"/>
      <w:sz w:val="24"/>
    </w:rPr>
  </w:style>
  <w:style w:type="character" w:customStyle="1" w:styleId="Heading1Char">
    <w:name w:val="Heading 1 Char"/>
    <w:basedOn w:val="DefaultParagraphFont"/>
    <w:link w:val="Heading1"/>
    <w:uiPriority w:val="9"/>
    <w:rsid w:val="00D01A94"/>
    <w:rPr>
      <w:rFonts w:ascii="Times New Roman" w:hAnsi="Times New Roman"/>
      <w:b/>
      <w:sz w:val="28"/>
      <w:szCs w:val="40"/>
    </w:rPr>
  </w:style>
  <w:style w:type="character" w:customStyle="1" w:styleId="Heading2Char">
    <w:name w:val="Heading 2 Char"/>
    <w:basedOn w:val="DefaultParagraphFont"/>
    <w:link w:val="Heading2"/>
    <w:rsid w:val="00E079C5"/>
    <w:rPr>
      <w:rFonts w:ascii="Times New Roman" w:hAnsi="Times New Roman"/>
      <w:b/>
      <w:sz w:val="26"/>
      <w:szCs w:val="32"/>
    </w:rPr>
  </w:style>
  <w:style w:type="character" w:customStyle="1" w:styleId="Heading3Char">
    <w:name w:val="Heading 3 Char"/>
    <w:basedOn w:val="DefaultParagraphFont"/>
    <w:link w:val="Heading3"/>
    <w:uiPriority w:val="9"/>
    <w:rsid w:val="00E079C5"/>
    <w:rPr>
      <w:color w:val="434343"/>
      <w:sz w:val="28"/>
      <w:szCs w:val="28"/>
    </w:rPr>
  </w:style>
  <w:style w:type="character" w:customStyle="1" w:styleId="UnresolvedMention1">
    <w:name w:val="Unresolved Mention1"/>
    <w:basedOn w:val="DefaultParagraphFont"/>
    <w:uiPriority w:val="99"/>
    <w:semiHidden/>
    <w:unhideWhenUsed/>
    <w:rsid w:val="00E079C5"/>
    <w:rPr>
      <w:color w:val="605E5C"/>
      <w:shd w:val="clear" w:color="auto" w:fill="E1DFDD"/>
    </w:rPr>
  </w:style>
  <w:style w:type="paragraph" w:styleId="ListParagraph">
    <w:name w:val="List Paragraph"/>
    <w:basedOn w:val="Normal"/>
    <w:uiPriority w:val="34"/>
    <w:qFormat/>
    <w:rsid w:val="00E079C5"/>
    <w:pPr>
      <w:ind w:left="720"/>
      <w:contextualSpacing/>
    </w:pPr>
    <w:rPr>
      <w:rFonts w:eastAsiaTheme="minorHAnsi" w:cstheme="minorBidi"/>
      <w:kern w:val="2"/>
      <w:szCs w:val="28"/>
      <w:lang w:bidi="bn-IN"/>
    </w:rPr>
  </w:style>
  <w:style w:type="table" w:customStyle="1" w:styleId="a">
    <w:name w:val="a"/>
    <w:basedOn w:val="TableNormal"/>
    <w:rsid w:val="00F07D6A"/>
    <w:rPr>
      <w:lang w:val="en-GB" w:eastAsia="en-IN"/>
    </w:rPr>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0E29B2"/>
    <w:pPr>
      <w:spacing w:before="100" w:beforeAutospacing="1" w:after="100" w:afterAutospacing="1" w:line="240" w:lineRule="auto"/>
      <w:jc w:val="left"/>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image" Target="media/image4.png"/><Relationship Id="rId26" Type="http://schemas.openxmlformats.org/officeDocument/2006/relationships/hyperlink" Target="https://pdfs.semanticscholar.org/9c13/f42e87c1225c44d99fcc0c1e334281f6474a.pdf" TargetMode="External"/><Relationship Id="rId39" Type="http://schemas.openxmlformats.org/officeDocument/2006/relationships/hyperlink" Target="https://ijmge.ut.ac.ir/article_94511_6311f8a264ea476bfc6e7525464a207e.pdf" TargetMode="External"/><Relationship Id="rId21" Type="http://schemas.openxmlformats.org/officeDocument/2006/relationships/hyperlink" Target="https://personal.lse.ac.uk/polk/research/ScaleorYield.pdf" TargetMode="External"/><Relationship Id="rId34" Type="http://schemas.openxmlformats.org/officeDocument/2006/relationships/hyperlink" Target="https://www.mdpi.com/2075-5309/14/2/413/pdf" TargetMode="External"/><Relationship Id="rId42" Type="http://schemas.openxmlformats.org/officeDocument/2006/relationships/hyperlink" Target="https://www.ojs.cahayamandalika.com/index.php/jtm/article/download/3055/2527" TargetMode="External"/><Relationship Id="rId47" Type="http://schemas.openxmlformats.org/officeDocument/2006/relationships/hyperlink" Target="https://www.shell.com/" TargetMode="External"/><Relationship Id="rId50" Type="http://schemas.openxmlformats.org/officeDocument/2006/relationships/hyperlink" Target="https://www.wsj.com/market-data/quotes/NL/XAMS/SHELL/financials/annual/income-statement"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7.xml"/><Relationship Id="rId29" Type="http://schemas.openxmlformats.org/officeDocument/2006/relationships/hyperlink" Target="https://www.nber.org/system/files/working_papers/w32293/w32293.pdf" TargetMode="External"/><Relationship Id="rId11" Type="http://schemas.openxmlformats.org/officeDocument/2006/relationships/chart" Target="charts/chart3.xml"/><Relationship Id="rId24" Type="http://schemas.openxmlformats.org/officeDocument/2006/relationships/hyperlink" Target="https://knowledge.uchicago.edu/record/8345/files/By-What-Criteria-Do-We-Evaluate-Accounting.pdf" TargetMode="External"/><Relationship Id="rId32" Type="http://schemas.openxmlformats.org/officeDocument/2006/relationships/hyperlink" Target="https://www.mdpi.com/1996-1073/17/5/1203/pdf" TargetMode="External"/><Relationship Id="rId37" Type="http://schemas.openxmlformats.org/officeDocument/2006/relationships/hyperlink" Target="https://dspace.library.uvic.ca/bitstreams/41f7da88-728e-4ff5-8ba6-6309438fb7d7/download" TargetMode="External"/><Relationship Id="rId40" Type="http://schemas.openxmlformats.org/officeDocument/2006/relationships/hyperlink" Target="https://www.nber.org/system/files/chapters/c14875/revisions/c14875.rev0.pdf" TargetMode="External"/><Relationship Id="rId45" Type="http://schemas.openxmlformats.org/officeDocument/2006/relationships/hyperlink" Target="https://dinastipub.org/DIJEFA/article/view/1238"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2.xml"/><Relationship Id="rId19" Type="http://schemas.openxmlformats.org/officeDocument/2006/relationships/hyperlink" Target="https://agbioforum.org/sobiad.org/menuscript/index.php/ijefs/article/download/1394/314" TargetMode="External"/><Relationship Id="rId31" Type="http://schemas.openxmlformats.org/officeDocument/2006/relationships/hyperlink" Target="http://www.riiopenjournals.com/index.php/finance-economics-review/article/view/102" TargetMode="External"/><Relationship Id="rId44" Type="http://schemas.openxmlformats.org/officeDocument/2006/relationships/hyperlink" Target="https://kluwerlawonline.com/journalarticle/European+Company+Law/21.2/EUCL2024004" TargetMode="External"/><Relationship Id="rId52" Type="http://schemas.openxmlformats.org/officeDocument/2006/relationships/hyperlink" Target="https://www.wsj.com/market-data/quotes/XOM/financials/annual/balance-sheet"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5.xml"/><Relationship Id="rId22" Type="http://schemas.openxmlformats.org/officeDocument/2006/relationships/hyperlink" Target="https://personal.lse.ac.uk/polk/research/ScaleorYield.pdf" TargetMode="External"/><Relationship Id="rId27" Type="http://schemas.openxmlformats.org/officeDocument/2006/relationships/hyperlink" Target="https://www.atlantis-press.com/proceedings/ambec-20/125959036" TargetMode="External"/><Relationship Id="rId30" Type="http://schemas.openxmlformats.org/officeDocument/2006/relationships/hyperlink" Target="https://koreascience.kr/article/JAKO202115563408840.page" TargetMode="External"/><Relationship Id="rId35" Type="http://schemas.openxmlformats.org/officeDocument/2006/relationships/hyperlink" Target="https://www.mdpi.com/2075-5309/14/2/413/pdf" TargetMode="External"/><Relationship Id="rId43" Type="http://schemas.openxmlformats.org/officeDocument/2006/relationships/hyperlink" Target="https://www.ojs.cahayamandalika.com/index.php/jtm/article/download/3055/2527" TargetMode="External"/><Relationship Id="rId48" Type="http://schemas.openxmlformats.org/officeDocument/2006/relationships/hyperlink" Target="https://www.giirj.com/index.php/giirj/article/download/6829/6715"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wsj.com/market-data/quotes/TTE/financials/annual/income-statement"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3.png"/><Relationship Id="rId25" Type="http://schemas.openxmlformats.org/officeDocument/2006/relationships/hyperlink" Target="https://knowledge.uchicago.edu/record/8345/files/By-What-Criteria-Do-We-Evaluate-Accounting.pdf" TargetMode="External"/><Relationship Id="rId33" Type="http://schemas.openxmlformats.org/officeDocument/2006/relationships/hyperlink" Target="https://www.mdpi.com/1996-1073/17/5/1203/pdf" TargetMode="External"/><Relationship Id="rId38" Type="http://schemas.openxmlformats.org/officeDocument/2006/relationships/hyperlink" Target="https://ijmge.ut.ac.ir/article_94511_6311f8a264ea476bfc6e7525464a207e.pdf" TargetMode="External"/><Relationship Id="rId46" Type="http://schemas.openxmlformats.org/officeDocument/2006/relationships/hyperlink" Target="https://journal.uinsgd.ac.id/index.php/jieb/article/view/20173" TargetMode="External"/><Relationship Id="rId20" Type="http://schemas.openxmlformats.org/officeDocument/2006/relationships/hyperlink" Target="https://ojs3.up45.ac.id/index.php/maksipreneur/article/view/810" TargetMode="External"/><Relationship Id="rId41" Type="http://schemas.openxmlformats.org/officeDocument/2006/relationships/hyperlink" Target="https://www.nber.org/system/files/chapters/c14875/revisions/c14875.rev0.pdf"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hyperlink" Target="https://journal.jis-institute.org/index.php/ijfr/article/download/280/213" TargetMode="External"/><Relationship Id="rId28" Type="http://schemas.openxmlformats.org/officeDocument/2006/relationships/hyperlink" Target="https://www.nber.org/system/files/working_papers/w32293/w32293.pdf" TargetMode="External"/><Relationship Id="rId36" Type="http://schemas.openxmlformats.org/officeDocument/2006/relationships/hyperlink" Target="https://dspace.library.uvic.ca/bitstreams/41f7da88-728e-4ff5-8ba6-6309438fb7d7/download" TargetMode="External"/><Relationship Id="rId49" Type="http://schemas.openxmlformats.org/officeDocument/2006/relationships/hyperlink" Target="https://www.giirj.com/index.php/giirj/article/download/6829/6715"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Admin\Desktop\094.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Admin\Desktop\094.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Admin\Desktop\094.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Admin\Desktop\094.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Admin\Desktop\094.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Admin\Desktop\094.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Admin\Desktop\094.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IN" sz="1400" b="0" i="0" u="none" strike="noStrike" kern="1200" spc="0" baseline="0">
                <a:solidFill>
                  <a:schemeClr val="tx1">
                    <a:lumMod val="65000"/>
                    <a:lumOff val="35000"/>
                  </a:schemeClr>
                </a:solidFill>
                <a:latin typeface="+mn-lt"/>
                <a:ea typeface="+mn-ea"/>
                <a:cs typeface="+mn-cs"/>
              </a:defRPr>
            </a:pPr>
            <a:r>
              <a:rPr lang="en-IN"/>
              <a:t>Proftability Ratio</a:t>
            </a:r>
          </a:p>
        </c:rich>
      </c:tx>
      <c:overlay val="0"/>
      <c:spPr>
        <a:noFill/>
        <a:ln>
          <a:noFill/>
        </a:ln>
        <a:effectLst/>
      </c:spPr>
    </c:title>
    <c:autoTitleDeleted val="0"/>
    <c:plotArea>
      <c:layout/>
      <c:barChart>
        <c:barDir val="col"/>
        <c:grouping val="clustered"/>
        <c:varyColors val="0"/>
        <c:ser>
          <c:idx val="0"/>
          <c:order val="0"/>
          <c:tx>
            <c:strRef>
              <c:f>'Shell plc Ratio'!$B$33</c:f>
              <c:strCache>
                <c:ptCount val="1"/>
                <c:pt idx="0">
                  <c:v>Gross Margin</c:v>
                </c:pt>
              </c:strCache>
            </c:strRef>
          </c:tx>
          <c:spPr>
            <a:solidFill>
              <a:schemeClr val="accent1"/>
            </a:solidFill>
            <a:ln>
              <a:noFill/>
            </a:ln>
            <a:effectLst/>
          </c:spPr>
          <c:invertIfNegative val="0"/>
          <c:cat>
            <c:numRef>
              <c:f>'Shell plc Ratio'!$D$5:$H$5</c:f>
              <c:numCache>
                <c:formatCode>General</c:formatCode>
                <c:ptCount val="5"/>
                <c:pt idx="0">
                  <c:v>2023</c:v>
                </c:pt>
                <c:pt idx="1">
                  <c:v>2022</c:v>
                </c:pt>
                <c:pt idx="2">
                  <c:v>2021</c:v>
                </c:pt>
                <c:pt idx="3">
                  <c:v>2020</c:v>
                </c:pt>
                <c:pt idx="4">
                  <c:v>2019</c:v>
                </c:pt>
              </c:numCache>
            </c:numRef>
          </c:cat>
          <c:val>
            <c:numRef>
              <c:f>'Shell plc Ratio'!$D$33:$H$33</c:f>
              <c:numCache>
                <c:formatCode>0.00%</c:formatCode>
                <c:ptCount val="5"/>
                <c:pt idx="0">
                  <c:v>0.12649198098831133</c:v>
                </c:pt>
                <c:pt idx="1">
                  <c:v>0.16511593806860977</c:v>
                </c:pt>
                <c:pt idx="2">
                  <c:v>0.14497996613698746</c:v>
                </c:pt>
                <c:pt idx="3">
                  <c:v>1.0004074057308413E-2</c:v>
                </c:pt>
                <c:pt idx="4">
                  <c:v>9.5588980141593907E-2</c:v>
                </c:pt>
              </c:numCache>
            </c:numRef>
          </c:val>
          <c:extLst>
            <c:ext xmlns:c16="http://schemas.microsoft.com/office/drawing/2014/chart" uri="{C3380CC4-5D6E-409C-BE32-E72D297353CC}">
              <c16:uniqueId val="{00000000-B30A-472C-BD1E-C5437BB8922E}"/>
            </c:ext>
          </c:extLst>
        </c:ser>
        <c:ser>
          <c:idx val="1"/>
          <c:order val="1"/>
          <c:tx>
            <c:strRef>
              <c:f>'Shell plc Ratio'!$B$34</c:f>
              <c:strCache>
                <c:ptCount val="1"/>
                <c:pt idx="0">
                  <c:v>Return on capital employed</c:v>
                </c:pt>
              </c:strCache>
            </c:strRef>
          </c:tx>
          <c:spPr>
            <a:solidFill>
              <a:schemeClr val="accent2"/>
            </a:solidFill>
            <a:ln>
              <a:noFill/>
            </a:ln>
            <a:effectLst/>
          </c:spPr>
          <c:invertIfNegative val="0"/>
          <c:cat>
            <c:numRef>
              <c:f>'Shell plc Ratio'!$D$5:$H$5</c:f>
              <c:numCache>
                <c:formatCode>General</c:formatCode>
                <c:ptCount val="5"/>
                <c:pt idx="0">
                  <c:v>2023</c:v>
                </c:pt>
                <c:pt idx="1">
                  <c:v>2022</c:v>
                </c:pt>
                <c:pt idx="2">
                  <c:v>2021</c:v>
                </c:pt>
                <c:pt idx="3">
                  <c:v>2020</c:v>
                </c:pt>
                <c:pt idx="4">
                  <c:v>2019</c:v>
                </c:pt>
              </c:numCache>
            </c:numRef>
          </c:cat>
          <c:val>
            <c:numRef>
              <c:f>'Shell plc Ratio'!$D$34:$H$34</c:f>
              <c:numCache>
                <c:formatCode>0.00%</c:formatCode>
                <c:ptCount val="5"/>
                <c:pt idx="0">
                  <c:v>7.7397920469227499E-2</c:v>
                </c:pt>
                <c:pt idx="1">
                  <c:v>0.14320540815410851</c:v>
                </c:pt>
                <c:pt idx="2">
                  <c:v>8.1869327066716749E-2</c:v>
                </c:pt>
                <c:pt idx="3">
                  <c:v>-3.1724996306361566E-2</c:v>
                </c:pt>
                <c:pt idx="4">
                  <c:v>6.7312085903586977E-2</c:v>
                </c:pt>
              </c:numCache>
            </c:numRef>
          </c:val>
          <c:extLst>
            <c:ext xmlns:c16="http://schemas.microsoft.com/office/drawing/2014/chart" uri="{C3380CC4-5D6E-409C-BE32-E72D297353CC}">
              <c16:uniqueId val="{00000001-B30A-472C-BD1E-C5437BB8922E}"/>
            </c:ext>
          </c:extLst>
        </c:ser>
        <c:dLbls>
          <c:showLegendKey val="0"/>
          <c:showVal val="0"/>
          <c:showCatName val="0"/>
          <c:showSerName val="0"/>
          <c:showPercent val="0"/>
          <c:showBubbleSize val="0"/>
        </c:dLbls>
        <c:gapWidth val="150"/>
        <c:axId val="113212416"/>
        <c:axId val="113214976"/>
      </c:barChart>
      <c:catAx>
        <c:axId val="11321241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lang="en-IN" sz="900" b="0" i="0" u="none" strike="noStrike" kern="1200" baseline="0">
                <a:solidFill>
                  <a:schemeClr val="tx1">
                    <a:lumMod val="65000"/>
                    <a:lumOff val="35000"/>
                  </a:schemeClr>
                </a:solidFill>
                <a:latin typeface="+mn-lt"/>
                <a:ea typeface="+mn-ea"/>
                <a:cs typeface="+mn-cs"/>
              </a:defRPr>
            </a:pPr>
            <a:endParaRPr lang="en-US"/>
          </a:p>
        </c:txPr>
        <c:crossAx val="113214976"/>
        <c:crosses val="autoZero"/>
        <c:auto val="1"/>
        <c:lblAlgn val="ctr"/>
        <c:lblOffset val="100"/>
        <c:noMultiLvlLbl val="0"/>
      </c:catAx>
      <c:valAx>
        <c:axId val="113214976"/>
        <c:scaling>
          <c:orientation val="minMax"/>
        </c:scaling>
        <c:delete val="0"/>
        <c:axPos val="l"/>
        <c:majorGridlines>
          <c:spPr>
            <a:ln w="9525">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lang="en-IN"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lang="en-IN" sz="900" b="0" i="0" u="none" strike="noStrike" kern="1200" baseline="0">
                <a:solidFill>
                  <a:schemeClr val="tx1">
                    <a:lumMod val="65000"/>
                    <a:lumOff val="35000"/>
                  </a:schemeClr>
                </a:solidFill>
                <a:latin typeface="+mn-lt"/>
                <a:ea typeface="+mn-ea"/>
                <a:cs typeface="+mn-cs"/>
              </a:defRPr>
            </a:pPr>
            <a:endParaRPr lang="en-US"/>
          </a:p>
        </c:txPr>
        <c:crossAx val="113212416"/>
        <c:crosses val="autoZero"/>
        <c:crossBetween val="between"/>
      </c:valAx>
      <c:dTable>
        <c:showHorzBorder val="1"/>
        <c:showVertBorder val="1"/>
        <c:showOutline val="1"/>
        <c:showKeys val="1"/>
        <c:spPr>
          <a:noFill/>
          <a:ln w="9525">
            <a:solidFill>
              <a:schemeClr val="tx1">
                <a:lumMod val="15000"/>
                <a:lumOff val="85000"/>
              </a:schemeClr>
            </a:solidFill>
            <a:round/>
          </a:ln>
          <a:effectLst/>
        </c:spPr>
        <c:txPr>
          <a:bodyPr rot="0" spcFirstLastPara="1" vertOverflow="ellipsis" vert="horz" wrap="square" anchor="ctr" anchorCtr="1"/>
          <a:lstStyle/>
          <a:p>
            <a:pPr rtl="0">
              <a:defRPr lang="en-IN"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IN" sz="1400" b="0" i="0" u="none" strike="noStrike" kern="1200" spc="0" baseline="0">
                <a:solidFill>
                  <a:schemeClr val="tx1">
                    <a:lumMod val="65000"/>
                    <a:lumOff val="35000"/>
                  </a:schemeClr>
                </a:solidFill>
                <a:latin typeface="+mn-lt"/>
                <a:ea typeface="+mn-ea"/>
                <a:cs typeface="+mn-cs"/>
              </a:defRPr>
            </a:pPr>
            <a:r>
              <a:rPr lang="en-IN"/>
              <a:t>Efficiency Ratio</a:t>
            </a:r>
          </a:p>
        </c:rich>
      </c:tx>
      <c:overlay val="0"/>
      <c:spPr>
        <a:noFill/>
        <a:ln>
          <a:noFill/>
        </a:ln>
        <a:effectLst/>
      </c:spPr>
    </c:title>
    <c:autoTitleDeleted val="0"/>
    <c:plotArea>
      <c:layout/>
      <c:barChart>
        <c:barDir val="col"/>
        <c:grouping val="clustered"/>
        <c:varyColors val="0"/>
        <c:ser>
          <c:idx val="0"/>
          <c:order val="0"/>
          <c:tx>
            <c:strRef>
              <c:f>'Shell plc Ratio'!$B$41</c:f>
              <c:strCache>
                <c:ptCount val="1"/>
                <c:pt idx="0">
                  <c:v>Account recievable turnover ratio</c:v>
                </c:pt>
              </c:strCache>
            </c:strRef>
          </c:tx>
          <c:spPr>
            <a:solidFill>
              <a:schemeClr val="accent1"/>
            </a:solidFill>
            <a:ln>
              <a:noFill/>
            </a:ln>
            <a:effectLst/>
          </c:spPr>
          <c:invertIfNegative val="0"/>
          <c:cat>
            <c:numRef>
              <c:f>'Shell plc Ratio'!$D$5:$H$5</c:f>
              <c:numCache>
                <c:formatCode>General</c:formatCode>
                <c:ptCount val="5"/>
                <c:pt idx="0">
                  <c:v>2023</c:v>
                </c:pt>
                <c:pt idx="1">
                  <c:v>2022</c:v>
                </c:pt>
                <c:pt idx="2">
                  <c:v>2021</c:v>
                </c:pt>
                <c:pt idx="3">
                  <c:v>2020</c:v>
                </c:pt>
                <c:pt idx="4">
                  <c:v>2019</c:v>
                </c:pt>
              </c:numCache>
            </c:numRef>
          </c:cat>
          <c:val>
            <c:numRef>
              <c:f>'Shell plc Ratio'!$D$41:$H$41</c:f>
              <c:numCache>
                <c:formatCode>General</c:formatCode>
                <c:ptCount val="5"/>
                <c:pt idx="0">
                  <c:v>5.810093565292302</c:v>
                </c:pt>
                <c:pt idx="1">
                  <c:v>5.4271762131269066</c:v>
                </c:pt>
                <c:pt idx="2">
                  <c:v>4.8411057937073636</c:v>
                </c:pt>
                <c:pt idx="3">
                  <c:v>5.3882678157648725</c:v>
                </c:pt>
                <c:pt idx="4">
                  <c:v>8.133319093100603</c:v>
                </c:pt>
              </c:numCache>
            </c:numRef>
          </c:val>
          <c:extLst>
            <c:ext xmlns:c16="http://schemas.microsoft.com/office/drawing/2014/chart" uri="{C3380CC4-5D6E-409C-BE32-E72D297353CC}">
              <c16:uniqueId val="{00000000-AB85-46C8-806D-7436FB8CB59C}"/>
            </c:ext>
          </c:extLst>
        </c:ser>
        <c:ser>
          <c:idx val="1"/>
          <c:order val="1"/>
          <c:tx>
            <c:strRef>
              <c:f>'Shell plc Ratio'!$B$42</c:f>
              <c:strCache>
                <c:ptCount val="1"/>
                <c:pt idx="0">
                  <c:v>Account payable turnover ratio</c:v>
                </c:pt>
              </c:strCache>
            </c:strRef>
          </c:tx>
          <c:spPr>
            <a:solidFill>
              <a:schemeClr val="accent2"/>
            </a:solidFill>
            <a:ln>
              <a:noFill/>
            </a:ln>
            <a:effectLst/>
          </c:spPr>
          <c:invertIfNegative val="0"/>
          <c:cat>
            <c:numRef>
              <c:f>'Shell plc Ratio'!$D$5:$H$5</c:f>
              <c:numCache>
                <c:formatCode>General</c:formatCode>
                <c:ptCount val="5"/>
                <c:pt idx="0">
                  <c:v>2023</c:v>
                </c:pt>
                <c:pt idx="1">
                  <c:v>2022</c:v>
                </c:pt>
                <c:pt idx="2">
                  <c:v>2021</c:v>
                </c:pt>
                <c:pt idx="3">
                  <c:v>2020</c:v>
                </c:pt>
                <c:pt idx="4">
                  <c:v>2019</c:v>
                </c:pt>
              </c:numCache>
            </c:numRef>
          </c:cat>
          <c:val>
            <c:numRef>
              <c:f>'Shell plc Ratio'!$D$42:$H$42</c:f>
              <c:numCache>
                <c:formatCode>General</c:formatCode>
                <c:ptCount val="5"/>
                <c:pt idx="0">
                  <c:v>7.8162453010982516</c:v>
                </c:pt>
                <c:pt idx="1">
                  <c:v>7.0688468158347684</c:v>
                </c:pt>
                <c:pt idx="2">
                  <c:v>6.4518509701226066</c:v>
                </c:pt>
                <c:pt idx="3">
                  <c:v>7.9143546441495776</c:v>
                </c:pt>
                <c:pt idx="4">
                  <c:v>10.82632713554298</c:v>
                </c:pt>
              </c:numCache>
            </c:numRef>
          </c:val>
          <c:extLst>
            <c:ext xmlns:c16="http://schemas.microsoft.com/office/drawing/2014/chart" uri="{C3380CC4-5D6E-409C-BE32-E72D297353CC}">
              <c16:uniqueId val="{00000001-AB85-46C8-806D-7436FB8CB59C}"/>
            </c:ext>
          </c:extLst>
        </c:ser>
        <c:dLbls>
          <c:showLegendKey val="0"/>
          <c:showVal val="0"/>
          <c:showCatName val="0"/>
          <c:showSerName val="0"/>
          <c:showPercent val="0"/>
          <c:showBubbleSize val="0"/>
        </c:dLbls>
        <c:gapWidth val="150"/>
        <c:axId val="118601216"/>
        <c:axId val="118603136"/>
      </c:barChart>
      <c:catAx>
        <c:axId val="11860121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lang="en-IN" sz="900" b="0" i="0" u="none" strike="noStrike" kern="1200" baseline="0">
                <a:solidFill>
                  <a:schemeClr val="tx1">
                    <a:lumMod val="65000"/>
                    <a:lumOff val="35000"/>
                  </a:schemeClr>
                </a:solidFill>
                <a:latin typeface="+mn-lt"/>
                <a:ea typeface="+mn-ea"/>
                <a:cs typeface="+mn-cs"/>
              </a:defRPr>
            </a:pPr>
            <a:endParaRPr lang="en-US"/>
          </a:p>
        </c:txPr>
        <c:crossAx val="118603136"/>
        <c:crosses val="autoZero"/>
        <c:auto val="1"/>
        <c:lblAlgn val="ctr"/>
        <c:lblOffset val="100"/>
        <c:noMultiLvlLbl val="0"/>
      </c:catAx>
      <c:valAx>
        <c:axId val="118603136"/>
        <c:scaling>
          <c:orientation val="minMax"/>
        </c:scaling>
        <c:delete val="0"/>
        <c:axPos val="l"/>
        <c:majorGridlines>
          <c:spPr>
            <a:ln w="9525">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lang="en-IN"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IN" sz="900" b="0" i="0" u="none" strike="noStrike" kern="1200" baseline="0">
                <a:solidFill>
                  <a:schemeClr val="tx1">
                    <a:lumMod val="65000"/>
                    <a:lumOff val="35000"/>
                  </a:schemeClr>
                </a:solidFill>
                <a:latin typeface="+mn-lt"/>
                <a:ea typeface="+mn-ea"/>
                <a:cs typeface="+mn-cs"/>
              </a:defRPr>
            </a:pPr>
            <a:endParaRPr lang="en-US"/>
          </a:p>
        </c:txPr>
        <c:crossAx val="118601216"/>
        <c:crosses val="autoZero"/>
        <c:crossBetween val="between"/>
      </c:valAx>
      <c:dTable>
        <c:showHorzBorder val="1"/>
        <c:showVertBorder val="1"/>
        <c:showOutline val="1"/>
        <c:showKeys val="1"/>
        <c:spPr>
          <a:noFill/>
          <a:ln w="9525">
            <a:solidFill>
              <a:schemeClr val="tx1">
                <a:lumMod val="15000"/>
                <a:lumOff val="85000"/>
              </a:schemeClr>
            </a:solidFill>
            <a:round/>
          </a:ln>
          <a:effectLst/>
        </c:spPr>
        <c:txPr>
          <a:bodyPr rot="0" spcFirstLastPara="1" vertOverflow="ellipsis" vert="horz" wrap="square" anchor="ctr" anchorCtr="1"/>
          <a:lstStyle/>
          <a:p>
            <a:pPr rtl="0">
              <a:defRPr lang="en-IN"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IN" sz="1400" b="0" i="0" u="none" strike="noStrike" kern="1200" spc="0" baseline="0">
                <a:solidFill>
                  <a:schemeClr val="tx1">
                    <a:lumMod val="65000"/>
                    <a:lumOff val="35000"/>
                  </a:schemeClr>
                </a:solidFill>
                <a:latin typeface="+mn-lt"/>
                <a:ea typeface="+mn-ea"/>
                <a:cs typeface="+mn-cs"/>
              </a:defRPr>
            </a:pPr>
            <a:r>
              <a:rPr lang="en-IN"/>
              <a:t>Liquidity Ratio</a:t>
            </a:r>
          </a:p>
        </c:rich>
      </c:tx>
      <c:overlay val="0"/>
      <c:spPr>
        <a:noFill/>
        <a:ln>
          <a:noFill/>
        </a:ln>
        <a:effectLst/>
      </c:spPr>
    </c:title>
    <c:autoTitleDeleted val="0"/>
    <c:plotArea>
      <c:layout/>
      <c:barChart>
        <c:barDir val="col"/>
        <c:grouping val="clustered"/>
        <c:varyColors val="0"/>
        <c:ser>
          <c:idx val="0"/>
          <c:order val="0"/>
          <c:tx>
            <c:strRef>
              <c:f>'Shell plc Ratio'!$B$37</c:f>
              <c:strCache>
                <c:ptCount val="1"/>
                <c:pt idx="0">
                  <c:v>Current Ratio</c:v>
                </c:pt>
              </c:strCache>
            </c:strRef>
          </c:tx>
          <c:spPr>
            <a:solidFill>
              <a:schemeClr val="accent1"/>
            </a:solidFill>
            <a:ln>
              <a:noFill/>
            </a:ln>
            <a:effectLst/>
          </c:spPr>
          <c:invertIfNegative val="0"/>
          <c:cat>
            <c:numRef>
              <c:f>'Shell plc Ratio'!$D$5:$H$5</c:f>
              <c:numCache>
                <c:formatCode>General</c:formatCode>
                <c:ptCount val="5"/>
                <c:pt idx="0">
                  <c:v>2023</c:v>
                </c:pt>
                <c:pt idx="1">
                  <c:v>2022</c:v>
                </c:pt>
                <c:pt idx="2">
                  <c:v>2021</c:v>
                </c:pt>
                <c:pt idx="3">
                  <c:v>2020</c:v>
                </c:pt>
                <c:pt idx="4">
                  <c:v>2019</c:v>
                </c:pt>
              </c:numCache>
            </c:numRef>
          </c:cat>
          <c:val>
            <c:numRef>
              <c:f>'Shell plc Ratio'!$D$37:$H$37</c:f>
              <c:numCache>
                <c:formatCode>General</c:formatCode>
                <c:ptCount val="5"/>
                <c:pt idx="0">
                  <c:v>1.4048312146138229</c:v>
                </c:pt>
                <c:pt idx="1">
                  <c:v>1.3678668107765075</c:v>
                </c:pt>
                <c:pt idx="2">
                  <c:v>1.3447815220201671</c:v>
                </c:pt>
                <c:pt idx="3">
                  <c:v>1.2264182332390616</c:v>
                </c:pt>
                <c:pt idx="4">
                  <c:v>1.1640795274935534</c:v>
                </c:pt>
              </c:numCache>
            </c:numRef>
          </c:val>
          <c:extLst>
            <c:ext xmlns:c16="http://schemas.microsoft.com/office/drawing/2014/chart" uri="{C3380CC4-5D6E-409C-BE32-E72D297353CC}">
              <c16:uniqueId val="{00000000-7380-49D3-A088-1D1A50A39E3E}"/>
            </c:ext>
          </c:extLst>
        </c:ser>
        <c:ser>
          <c:idx val="1"/>
          <c:order val="1"/>
          <c:tx>
            <c:strRef>
              <c:f>'Shell plc Ratio'!$B$38</c:f>
              <c:strCache>
                <c:ptCount val="1"/>
                <c:pt idx="0">
                  <c:v>Quick Ratio</c:v>
                </c:pt>
              </c:strCache>
            </c:strRef>
          </c:tx>
          <c:spPr>
            <a:solidFill>
              <a:schemeClr val="accent2"/>
            </a:solidFill>
            <a:ln>
              <a:noFill/>
            </a:ln>
            <a:effectLst/>
          </c:spPr>
          <c:invertIfNegative val="0"/>
          <c:cat>
            <c:numRef>
              <c:f>'Shell plc Ratio'!$D$5:$H$5</c:f>
              <c:numCache>
                <c:formatCode>General</c:formatCode>
                <c:ptCount val="5"/>
                <c:pt idx="0">
                  <c:v>2023</c:v>
                </c:pt>
                <c:pt idx="1">
                  <c:v>2022</c:v>
                </c:pt>
                <c:pt idx="2">
                  <c:v>2021</c:v>
                </c:pt>
                <c:pt idx="3">
                  <c:v>2020</c:v>
                </c:pt>
                <c:pt idx="4">
                  <c:v>2019</c:v>
                </c:pt>
              </c:numCache>
            </c:numRef>
          </c:cat>
          <c:val>
            <c:numRef>
              <c:f>'Shell plc Ratio'!$D$38:$H$38</c:f>
              <c:numCache>
                <c:formatCode>General</c:formatCode>
                <c:ptCount val="5"/>
                <c:pt idx="0">
                  <c:v>1.1322908877256699</c:v>
                </c:pt>
                <c:pt idx="1">
                  <c:v>1.104958898947932</c:v>
                </c:pt>
                <c:pt idx="2">
                  <c:v>1.0769197621304836</c:v>
                </c:pt>
                <c:pt idx="3">
                  <c:v>0.96330800939019223</c:v>
                </c:pt>
                <c:pt idx="4">
                  <c:v>0.8617752266866322</c:v>
                </c:pt>
              </c:numCache>
            </c:numRef>
          </c:val>
          <c:extLst>
            <c:ext xmlns:c16="http://schemas.microsoft.com/office/drawing/2014/chart" uri="{C3380CC4-5D6E-409C-BE32-E72D297353CC}">
              <c16:uniqueId val="{00000001-7380-49D3-A088-1D1A50A39E3E}"/>
            </c:ext>
          </c:extLst>
        </c:ser>
        <c:dLbls>
          <c:showLegendKey val="0"/>
          <c:showVal val="0"/>
          <c:showCatName val="0"/>
          <c:showSerName val="0"/>
          <c:showPercent val="0"/>
          <c:showBubbleSize val="0"/>
        </c:dLbls>
        <c:gapWidth val="150"/>
        <c:axId val="145629952"/>
        <c:axId val="145631488"/>
      </c:barChart>
      <c:catAx>
        <c:axId val="145629952"/>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lang="en-IN" sz="900" b="0" i="0" u="none" strike="noStrike" kern="1200" baseline="0">
                <a:solidFill>
                  <a:schemeClr val="tx1">
                    <a:lumMod val="65000"/>
                    <a:lumOff val="35000"/>
                  </a:schemeClr>
                </a:solidFill>
                <a:latin typeface="+mn-lt"/>
                <a:ea typeface="+mn-ea"/>
                <a:cs typeface="+mn-cs"/>
              </a:defRPr>
            </a:pPr>
            <a:endParaRPr lang="en-US"/>
          </a:p>
        </c:txPr>
        <c:crossAx val="145631488"/>
        <c:crosses val="autoZero"/>
        <c:auto val="1"/>
        <c:lblAlgn val="ctr"/>
        <c:lblOffset val="100"/>
        <c:noMultiLvlLbl val="0"/>
      </c:catAx>
      <c:valAx>
        <c:axId val="145631488"/>
        <c:scaling>
          <c:orientation val="minMax"/>
        </c:scaling>
        <c:delete val="0"/>
        <c:axPos val="l"/>
        <c:majorGridlines>
          <c:spPr>
            <a:ln w="9525">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lang="en-IN"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IN" sz="900" b="0" i="0" u="none" strike="noStrike" kern="1200" baseline="0">
                <a:solidFill>
                  <a:schemeClr val="tx1">
                    <a:lumMod val="65000"/>
                    <a:lumOff val="35000"/>
                  </a:schemeClr>
                </a:solidFill>
                <a:latin typeface="+mn-lt"/>
                <a:ea typeface="+mn-ea"/>
                <a:cs typeface="+mn-cs"/>
              </a:defRPr>
            </a:pPr>
            <a:endParaRPr lang="en-US"/>
          </a:p>
        </c:txPr>
        <c:crossAx val="145629952"/>
        <c:crosses val="autoZero"/>
        <c:crossBetween val="between"/>
      </c:valAx>
      <c:dTable>
        <c:showHorzBorder val="1"/>
        <c:showVertBorder val="1"/>
        <c:showOutline val="1"/>
        <c:showKeys val="1"/>
        <c:spPr>
          <a:noFill/>
          <a:ln w="9525">
            <a:solidFill>
              <a:schemeClr val="tx1">
                <a:lumMod val="15000"/>
                <a:lumOff val="85000"/>
              </a:schemeClr>
            </a:solidFill>
            <a:round/>
          </a:ln>
          <a:effectLst/>
        </c:spPr>
        <c:txPr>
          <a:bodyPr rot="0" spcFirstLastPara="1" vertOverflow="ellipsis" vert="horz" wrap="square" anchor="ctr" anchorCtr="1"/>
          <a:lstStyle/>
          <a:p>
            <a:pPr rtl="0">
              <a:defRPr lang="en-IN"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lang="en-IN" sz="1800" b="1" i="0" u="none" strike="noStrike" kern="1200" baseline="0">
                <a:solidFill>
                  <a:schemeClr val="dk1">
                    <a:lumMod val="75000"/>
                    <a:lumOff val="25000"/>
                  </a:schemeClr>
                </a:solidFill>
                <a:latin typeface="+mn-lt"/>
                <a:ea typeface="+mn-ea"/>
                <a:cs typeface="+mn-cs"/>
              </a:defRPr>
            </a:pPr>
            <a:r>
              <a:rPr lang="en-IN"/>
              <a:t>Gross Margin</a:t>
            </a:r>
          </a:p>
        </c:rich>
      </c:tx>
      <c:overlay val="0"/>
      <c:spPr>
        <a:noFill/>
        <a:ln>
          <a:noFill/>
        </a:ln>
        <a:effectLst/>
      </c:spPr>
    </c:title>
    <c:autoTitleDeleted val="0"/>
    <c:plotArea>
      <c:layout/>
      <c:barChart>
        <c:barDir val="col"/>
        <c:grouping val="clustered"/>
        <c:varyColors val="0"/>
        <c:ser>
          <c:idx val="0"/>
          <c:order val="0"/>
          <c:tx>
            <c:strRef>
              <c:f>'Shell plc Ratio'!$D$32:$H$32</c:f>
              <c:strCache>
                <c:ptCount val="5"/>
                <c:pt idx="0">
                  <c:v>Shell plc</c:v>
                </c:pt>
              </c:strCache>
            </c:strRef>
          </c:tx>
          <c:spPr>
            <a:solidFill>
              <a:schemeClr val="accent1">
                <a:shade val="65000"/>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IN"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'Total Energy Ratio'!$D$4:$H$4</c:f>
              <c:numCache>
                <c:formatCode>General</c:formatCode>
                <c:ptCount val="5"/>
                <c:pt idx="0">
                  <c:v>2023</c:v>
                </c:pt>
                <c:pt idx="1">
                  <c:v>2022</c:v>
                </c:pt>
                <c:pt idx="2">
                  <c:v>2021</c:v>
                </c:pt>
                <c:pt idx="3">
                  <c:v>2020</c:v>
                </c:pt>
                <c:pt idx="4">
                  <c:v>2019</c:v>
                </c:pt>
              </c:numCache>
            </c:numRef>
          </c:cat>
          <c:val>
            <c:numRef>
              <c:f>'Shell plc Ratio'!$D$33:$H$33</c:f>
              <c:numCache>
                <c:formatCode>0.00%</c:formatCode>
                <c:ptCount val="5"/>
                <c:pt idx="0">
                  <c:v>0.12649198098831133</c:v>
                </c:pt>
                <c:pt idx="1">
                  <c:v>0.16511593806860975</c:v>
                </c:pt>
                <c:pt idx="2">
                  <c:v>0.14497996613698746</c:v>
                </c:pt>
                <c:pt idx="3">
                  <c:v>1.0004074057308411E-2</c:v>
                </c:pt>
                <c:pt idx="4">
                  <c:v>9.5588980141593866E-2</c:v>
                </c:pt>
              </c:numCache>
            </c:numRef>
          </c:val>
          <c:extLst>
            <c:ext xmlns:c16="http://schemas.microsoft.com/office/drawing/2014/chart" uri="{C3380CC4-5D6E-409C-BE32-E72D297353CC}">
              <c16:uniqueId val="{00000000-6ADC-4C80-81C3-527C9C122B64}"/>
            </c:ext>
          </c:extLst>
        </c:ser>
        <c:ser>
          <c:idx val="1"/>
          <c:order val="1"/>
          <c:tx>
            <c:strRef>
              <c:f>'EXXON Mobil Ratio'!$D$32:$H$32</c:f>
              <c:strCache>
                <c:ptCount val="5"/>
                <c:pt idx="0">
                  <c:v>Exxon Mobil</c:v>
                </c:pt>
              </c:strCache>
            </c:strRef>
          </c:tx>
          <c:spPr>
            <a:solidFill>
              <a:schemeClr val="accent1">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IN"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'Total Energy Ratio'!$D$4:$H$4</c:f>
              <c:numCache>
                <c:formatCode>General</c:formatCode>
                <c:ptCount val="5"/>
                <c:pt idx="0">
                  <c:v>2023</c:v>
                </c:pt>
                <c:pt idx="1">
                  <c:v>2022</c:v>
                </c:pt>
                <c:pt idx="2">
                  <c:v>2021</c:v>
                </c:pt>
                <c:pt idx="3">
                  <c:v>2020</c:v>
                </c:pt>
                <c:pt idx="4">
                  <c:v>2019</c:v>
                </c:pt>
              </c:numCache>
            </c:numRef>
          </c:cat>
          <c:val>
            <c:numRef>
              <c:f>'EXXON Mobil Ratio'!$D$33:$H$33</c:f>
              <c:numCache>
                <c:formatCode>0.00%</c:formatCode>
                <c:ptCount val="5"/>
                <c:pt idx="0">
                  <c:v>0.24669849061013877</c:v>
                </c:pt>
                <c:pt idx="1">
                  <c:v>0.25844450326892066</c:v>
                </c:pt>
                <c:pt idx="2">
                  <c:v>0.24099675590888026</c:v>
                </c:pt>
                <c:pt idx="3">
                  <c:v>0.18041757871695571</c:v>
                </c:pt>
                <c:pt idx="4">
                  <c:v>0.2149338854274499</c:v>
                </c:pt>
              </c:numCache>
            </c:numRef>
          </c:val>
          <c:extLst>
            <c:ext xmlns:c16="http://schemas.microsoft.com/office/drawing/2014/chart" uri="{C3380CC4-5D6E-409C-BE32-E72D297353CC}">
              <c16:uniqueId val="{00000001-6ADC-4C80-81C3-527C9C122B64}"/>
            </c:ext>
          </c:extLst>
        </c:ser>
        <c:ser>
          <c:idx val="2"/>
          <c:order val="2"/>
          <c:tx>
            <c:strRef>
              <c:f>'Total Energy Ratio'!$D$32:$H$32</c:f>
              <c:strCache>
                <c:ptCount val="5"/>
                <c:pt idx="0">
                  <c:v>Total Energy</c:v>
                </c:pt>
              </c:strCache>
            </c:strRef>
          </c:tx>
          <c:spPr>
            <a:solidFill>
              <a:schemeClr val="accent1">
                <a:tint val="65000"/>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IN"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'Total Energy Ratio'!$D$4:$H$4</c:f>
              <c:numCache>
                <c:formatCode>General</c:formatCode>
                <c:ptCount val="5"/>
                <c:pt idx="0">
                  <c:v>2023</c:v>
                </c:pt>
                <c:pt idx="1">
                  <c:v>2022</c:v>
                </c:pt>
                <c:pt idx="2">
                  <c:v>2021</c:v>
                </c:pt>
                <c:pt idx="3">
                  <c:v>2020</c:v>
                </c:pt>
                <c:pt idx="4">
                  <c:v>2019</c:v>
                </c:pt>
              </c:numCache>
            </c:numRef>
          </c:cat>
          <c:val>
            <c:numRef>
              <c:f>'Total Energy Ratio'!$D$33:$H$33</c:f>
              <c:numCache>
                <c:formatCode>0.00%</c:formatCode>
                <c:ptCount val="5"/>
                <c:pt idx="0">
                  <c:v>0.14274286730068439</c:v>
                </c:pt>
                <c:pt idx="1">
                  <c:v>0.18983072495699271</c:v>
                </c:pt>
                <c:pt idx="2">
                  <c:v>0.12740786264379958</c:v>
                </c:pt>
                <c:pt idx="3">
                  <c:v>8.237624516694287E-3</c:v>
                </c:pt>
                <c:pt idx="4">
                  <c:v>8.668262727740346E-2</c:v>
                </c:pt>
              </c:numCache>
            </c:numRef>
          </c:val>
          <c:extLst>
            <c:ext xmlns:c16="http://schemas.microsoft.com/office/drawing/2014/chart" uri="{C3380CC4-5D6E-409C-BE32-E72D297353CC}">
              <c16:uniqueId val="{00000002-6ADC-4C80-81C3-527C9C122B64}"/>
            </c:ext>
          </c:extLst>
        </c:ser>
        <c:dLbls>
          <c:showLegendKey val="0"/>
          <c:showVal val="1"/>
          <c:showCatName val="0"/>
          <c:showSerName val="0"/>
          <c:showPercent val="0"/>
          <c:showBubbleSize val="0"/>
        </c:dLbls>
        <c:gapWidth val="65"/>
        <c:axId val="159933184"/>
        <c:axId val="159934720"/>
      </c:barChart>
      <c:catAx>
        <c:axId val="159933184"/>
        <c:scaling>
          <c:orientation val="minMax"/>
        </c:scaling>
        <c:delete val="0"/>
        <c:axPos val="b"/>
        <c:numFmt formatCode="General" sourceLinked="1"/>
        <c:majorTickMark val="none"/>
        <c:minorTickMark val="none"/>
        <c:tickLblPos val="nextTo"/>
        <c:spPr>
          <a:noFill/>
          <a:ln w="19050">
            <a:solidFill>
              <a:schemeClr val="dk1">
                <a:lumMod val="75000"/>
                <a:lumOff val="25000"/>
              </a:schemeClr>
            </a:solidFill>
            <a:round/>
          </a:ln>
          <a:effectLst/>
        </c:spPr>
        <c:txPr>
          <a:bodyPr rot="-60000000" spcFirstLastPara="1" vertOverflow="ellipsis" vert="horz" wrap="square" anchor="ctr" anchorCtr="1"/>
          <a:lstStyle/>
          <a:p>
            <a:pPr>
              <a:defRPr lang="en-IN" sz="900" b="0" i="0" u="none" strike="noStrike" kern="1200" cap="all" baseline="0">
                <a:solidFill>
                  <a:schemeClr val="dk1">
                    <a:lumMod val="75000"/>
                    <a:lumOff val="25000"/>
                  </a:schemeClr>
                </a:solidFill>
                <a:latin typeface="+mn-lt"/>
                <a:ea typeface="+mn-ea"/>
                <a:cs typeface="+mn-cs"/>
              </a:defRPr>
            </a:pPr>
            <a:endParaRPr lang="en-US"/>
          </a:p>
        </c:txPr>
        <c:crossAx val="159934720"/>
        <c:crosses val="autoZero"/>
        <c:auto val="1"/>
        <c:lblAlgn val="ctr"/>
        <c:lblOffset val="100"/>
        <c:noMultiLvlLbl val="0"/>
      </c:catAx>
      <c:valAx>
        <c:axId val="159934720"/>
        <c:scaling>
          <c:orientation val="minMax"/>
        </c:scaling>
        <c:delete val="1"/>
        <c:axPos val="l"/>
        <c:majorGridlines>
          <c:spPr>
            <a:ln w="9525">
              <a:gradFill rotWithShape="1">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crossAx val="15993318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lang="en-IN"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IN" sz="1800" b="1" i="0" u="none" strike="noStrike" kern="1200" baseline="0">
                <a:solidFill>
                  <a:schemeClr val="dk1">
                    <a:lumMod val="75000"/>
                    <a:lumOff val="25000"/>
                  </a:schemeClr>
                </a:solidFill>
                <a:latin typeface="+mn-lt"/>
                <a:ea typeface="+mn-ea"/>
                <a:cs typeface="+mn-cs"/>
              </a:defRPr>
            </a:pPr>
            <a:r>
              <a:rPr lang="en-IN"/>
              <a:t>Current Ratio</a:t>
            </a:r>
          </a:p>
        </c:rich>
      </c:tx>
      <c:overlay val="0"/>
      <c:spPr>
        <a:noFill/>
        <a:ln>
          <a:noFill/>
        </a:ln>
        <a:effectLst/>
      </c:spPr>
    </c:title>
    <c:autoTitleDeleted val="0"/>
    <c:plotArea>
      <c:layout/>
      <c:barChart>
        <c:barDir val="col"/>
        <c:grouping val="clustered"/>
        <c:varyColors val="0"/>
        <c:ser>
          <c:idx val="0"/>
          <c:order val="0"/>
          <c:tx>
            <c:strRef>
              <c:f>'Shell plc Ratio'!$D$32:$H$32</c:f>
              <c:strCache>
                <c:ptCount val="5"/>
                <c:pt idx="0">
                  <c:v>Shell plc</c:v>
                </c:pt>
              </c:strCache>
            </c:strRef>
          </c:tx>
          <c:spPr>
            <a:solidFill>
              <a:schemeClr val="accent6">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IN"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'Total Energy Ratio'!$D$4:$H$4</c:f>
              <c:numCache>
                <c:formatCode>General</c:formatCode>
                <c:ptCount val="5"/>
                <c:pt idx="0">
                  <c:v>2023</c:v>
                </c:pt>
                <c:pt idx="1">
                  <c:v>2022</c:v>
                </c:pt>
                <c:pt idx="2">
                  <c:v>2021</c:v>
                </c:pt>
                <c:pt idx="3">
                  <c:v>2020</c:v>
                </c:pt>
                <c:pt idx="4">
                  <c:v>2019</c:v>
                </c:pt>
              </c:numCache>
            </c:numRef>
          </c:cat>
          <c:val>
            <c:numRef>
              <c:f>'Shell plc Ratio'!$D$37:$H$37</c:f>
              <c:numCache>
                <c:formatCode>General</c:formatCode>
                <c:ptCount val="5"/>
                <c:pt idx="0">
                  <c:v>1.4048312146138229</c:v>
                </c:pt>
                <c:pt idx="1">
                  <c:v>1.3678668107765075</c:v>
                </c:pt>
                <c:pt idx="2">
                  <c:v>1.3447815220201671</c:v>
                </c:pt>
                <c:pt idx="3">
                  <c:v>1.2264182332390616</c:v>
                </c:pt>
                <c:pt idx="4">
                  <c:v>1.1640795274935534</c:v>
                </c:pt>
              </c:numCache>
            </c:numRef>
          </c:val>
          <c:extLst>
            <c:ext xmlns:c16="http://schemas.microsoft.com/office/drawing/2014/chart" uri="{C3380CC4-5D6E-409C-BE32-E72D297353CC}">
              <c16:uniqueId val="{00000000-D247-44E2-AA9C-B6407B793548}"/>
            </c:ext>
          </c:extLst>
        </c:ser>
        <c:ser>
          <c:idx val="1"/>
          <c:order val="1"/>
          <c:tx>
            <c:strRef>
              <c:f>'EXXON Mobil Ratio'!$D$32:$H$32</c:f>
              <c:strCache>
                <c:ptCount val="5"/>
                <c:pt idx="0">
                  <c:v>Exxon Mobil</c:v>
                </c:pt>
              </c:strCache>
            </c:strRef>
          </c:tx>
          <c:spPr>
            <a:solidFill>
              <a:schemeClr val="accent5">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IN"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'Total Energy Ratio'!$D$4:$H$4</c:f>
              <c:numCache>
                <c:formatCode>General</c:formatCode>
                <c:ptCount val="5"/>
                <c:pt idx="0">
                  <c:v>2023</c:v>
                </c:pt>
                <c:pt idx="1">
                  <c:v>2022</c:v>
                </c:pt>
                <c:pt idx="2">
                  <c:v>2021</c:v>
                </c:pt>
                <c:pt idx="3">
                  <c:v>2020</c:v>
                </c:pt>
                <c:pt idx="4">
                  <c:v>2019</c:v>
                </c:pt>
              </c:numCache>
            </c:numRef>
          </c:cat>
          <c:val>
            <c:numRef>
              <c:f>'EXXON Mobil Ratio'!$D$37:$H$37</c:f>
              <c:numCache>
                <c:formatCode>General</c:formatCode>
                <c:ptCount val="5"/>
                <c:pt idx="0">
                  <c:v>1.4791015983832441</c:v>
                </c:pt>
                <c:pt idx="1">
                  <c:v>1.414019842131943</c:v>
                </c:pt>
                <c:pt idx="2">
                  <c:v>1.0443302791165723</c:v>
                </c:pt>
                <c:pt idx="3">
                  <c:v>0.79649770239341433</c:v>
                </c:pt>
                <c:pt idx="4">
                  <c:v>0.7821969400990797</c:v>
                </c:pt>
              </c:numCache>
            </c:numRef>
          </c:val>
          <c:extLst>
            <c:ext xmlns:c16="http://schemas.microsoft.com/office/drawing/2014/chart" uri="{C3380CC4-5D6E-409C-BE32-E72D297353CC}">
              <c16:uniqueId val="{00000001-D247-44E2-AA9C-B6407B793548}"/>
            </c:ext>
          </c:extLst>
        </c:ser>
        <c:ser>
          <c:idx val="2"/>
          <c:order val="2"/>
          <c:tx>
            <c:strRef>
              <c:f>'Total Energy Ratio'!$D$32:$H$32</c:f>
              <c:strCache>
                <c:ptCount val="5"/>
                <c:pt idx="0">
                  <c:v>Total Energy</c:v>
                </c:pt>
              </c:strCache>
            </c:strRef>
          </c:tx>
          <c:spPr>
            <a:solidFill>
              <a:schemeClr val="accent4">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IN"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'Total Energy Ratio'!$D$4:$H$4</c:f>
              <c:numCache>
                <c:formatCode>General</c:formatCode>
                <c:ptCount val="5"/>
                <c:pt idx="0">
                  <c:v>2023</c:v>
                </c:pt>
                <c:pt idx="1">
                  <c:v>2022</c:v>
                </c:pt>
                <c:pt idx="2">
                  <c:v>2021</c:v>
                </c:pt>
                <c:pt idx="3">
                  <c:v>2020</c:v>
                </c:pt>
                <c:pt idx="4">
                  <c:v>2019</c:v>
                </c:pt>
              </c:numCache>
            </c:numRef>
          </c:cat>
          <c:val>
            <c:numRef>
              <c:f>'Total Energy Ratio'!$D$37:$H$37</c:f>
              <c:numCache>
                <c:formatCode>General</c:formatCode>
                <c:ptCount val="5"/>
                <c:pt idx="0">
                  <c:v>1.12100928160848</c:v>
                </c:pt>
                <c:pt idx="1">
                  <c:v>1.1452542751869028</c:v>
                </c:pt>
                <c:pt idx="2">
                  <c:v>1.1686038169034298</c:v>
                </c:pt>
                <c:pt idx="3">
                  <c:v>1.2319756332885599</c:v>
                </c:pt>
                <c:pt idx="4">
                  <c:v>1.2138451212886321</c:v>
                </c:pt>
              </c:numCache>
            </c:numRef>
          </c:val>
          <c:extLst>
            <c:ext xmlns:c16="http://schemas.microsoft.com/office/drawing/2014/chart" uri="{C3380CC4-5D6E-409C-BE32-E72D297353CC}">
              <c16:uniqueId val="{00000002-D247-44E2-AA9C-B6407B793548}"/>
            </c:ext>
          </c:extLst>
        </c:ser>
        <c:dLbls>
          <c:showLegendKey val="0"/>
          <c:showVal val="1"/>
          <c:showCatName val="0"/>
          <c:showSerName val="0"/>
          <c:showPercent val="0"/>
          <c:showBubbleSize val="0"/>
        </c:dLbls>
        <c:gapWidth val="65"/>
        <c:axId val="119960320"/>
        <c:axId val="119961856"/>
      </c:barChart>
      <c:catAx>
        <c:axId val="119960320"/>
        <c:scaling>
          <c:orientation val="minMax"/>
        </c:scaling>
        <c:delete val="0"/>
        <c:axPos val="b"/>
        <c:numFmt formatCode="General" sourceLinked="1"/>
        <c:majorTickMark val="none"/>
        <c:minorTickMark val="none"/>
        <c:tickLblPos val="nextTo"/>
        <c:spPr>
          <a:noFill/>
          <a:ln w="19050">
            <a:solidFill>
              <a:schemeClr val="dk1">
                <a:lumMod val="75000"/>
                <a:lumOff val="25000"/>
              </a:schemeClr>
            </a:solidFill>
            <a:round/>
          </a:ln>
          <a:effectLst/>
        </c:spPr>
        <c:txPr>
          <a:bodyPr rot="-60000000" spcFirstLastPara="1" vertOverflow="ellipsis" vert="horz" wrap="square" anchor="ctr" anchorCtr="1"/>
          <a:lstStyle/>
          <a:p>
            <a:pPr>
              <a:defRPr lang="en-IN" sz="900" b="0" i="0" u="none" strike="noStrike" kern="1200" cap="all" baseline="0">
                <a:solidFill>
                  <a:schemeClr val="dk1">
                    <a:lumMod val="75000"/>
                    <a:lumOff val="25000"/>
                  </a:schemeClr>
                </a:solidFill>
                <a:latin typeface="+mn-lt"/>
                <a:ea typeface="+mn-ea"/>
                <a:cs typeface="+mn-cs"/>
              </a:defRPr>
            </a:pPr>
            <a:endParaRPr lang="en-US"/>
          </a:p>
        </c:txPr>
        <c:crossAx val="119961856"/>
        <c:crosses val="autoZero"/>
        <c:auto val="1"/>
        <c:lblAlgn val="ctr"/>
        <c:lblOffset val="100"/>
        <c:noMultiLvlLbl val="0"/>
      </c:catAx>
      <c:valAx>
        <c:axId val="119961856"/>
        <c:scaling>
          <c:orientation val="minMax"/>
        </c:scaling>
        <c:delete val="1"/>
        <c:axPos val="l"/>
        <c:majorGridlines>
          <c:spPr>
            <a:ln w="9525">
              <a:gradFill rotWithShape="1">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1996032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lang="en-IN"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IN" sz="1800" b="1" i="0" u="none" strike="noStrike" kern="1200" baseline="0">
                <a:solidFill>
                  <a:schemeClr val="dk1">
                    <a:lumMod val="75000"/>
                    <a:lumOff val="25000"/>
                  </a:schemeClr>
                </a:solidFill>
                <a:latin typeface="+mn-lt"/>
                <a:ea typeface="+mn-ea"/>
                <a:cs typeface="+mn-cs"/>
              </a:defRPr>
            </a:pPr>
            <a:r>
              <a:rPr lang="en-IN"/>
              <a:t>Debt-to-equity ratio</a:t>
            </a:r>
          </a:p>
        </c:rich>
      </c:tx>
      <c:overlay val="0"/>
      <c:spPr>
        <a:noFill/>
        <a:ln>
          <a:noFill/>
        </a:ln>
        <a:effectLst/>
      </c:spPr>
    </c:title>
    <c:autoTitleDeleted val="0"/>
    <c:plotArea>
      <c:layout/>
      <c:barChart>
        <c:barDir val="col"/>
        <c:grouping val="clustered"/>
        <c:varyColors val="0"/>
        <c:ser>
          <c:idx val="0"/>
          <c:order val="0"/>
          <c:tx>
            <c:strRef>
              <c:f>'Shell plc Ratio'!$D$32:$H$32</c:f>
              <c:strCache>
                <c:ptCount val="5"/>
                <c:pt idx="0">
                  <c:v>Shell plc</c:v>
                </c:pt>
              </c:strCache>
            </c:strRef>
          </c:tx>
          <c:spPr>
            <a:solidFill>
              <a:schemeClr val="accent1">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IN"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'Total Energy Ratio'!$D$4:$H$4</c:f>
              <c:numCache>
                <c:formatCode>General</c:formatCode>
                <c:ptCount val="5"/>
                <c:pt idx="0">
                  <c:v>2023</c:v>
                </c:pt>
                <c:pt idx="1">
                  <c:v>2022</c:v>
                </c:pt>
                <c:pt idx="2">
                  <c:v>2021</c:v>
                </c:pt>
                <c:pt idx="3">
                  <c:v>2020</c:v>
                </c:pt>
                <c:pt idx="4">
                  <c:v>2019</c:v>
                </c:pt>
              </c:numCache>
            </c:numRef>
          </c:cat>
          <c:val>
            <c:numRef>
              <c:f>'Shell plc Ratio'!$D$45:$H$45</c:f>
              <c:numCache>
                <c:formatCode>General</c:formatCode>
                <c:ptCount val="5"/>
                <c:pt idx="0">
                  <c:v>1.1568578351087597</c:v>
                </c:pt>
                <c:pt idx="1">
                  <c:v>1.3002604443167562</c:v>
                </c:pt>
                <c:pt idx="2">
                  <c:v>1.3064413955069374</c:v>
                </c:pt>
                <c:pt idx="3">
                  <c:v>1.39229515688185</c:v>
                </c:pt>
                <c:pt idx="4">
                  <c:v>1.1229090302073408</c:v>
                </c:pt>
              </c:numCache>
            </c:numRef>
          </c:val>
          <c:extLst>
            <c:ext xmlns:c16="http://schemas.microsoft.com/office/drawing/2014/chart" uri="{C3380CC4-5D6E-409C-BE32-E72D297353CC}">
              <c16:uniqueId val="{00000000-C2EB-426F-8BC2-F30879E513FF}"/>
            </c:ext>
          </c:extLst>
        </c:ser>
        <c:ser>
          <c:idx val="1"/>
          <c:order val="1"/>
          <c:tx>
            <c:strRef>
              <c:f>'EXXON Mobil Ratio'!$D$32:$H$32</c:f>
              <c:strCache>
                <c:ptCount val="5"/>
                <c:pt idx="0">
                  <c:v>Exxon Mobil</c:v>
                </c:pt>
              </c:strCache>
            </c:strRef>
          </c:tx>
          <c:spPr>
            <a:solidFill>
              <a:schemeClr val="accent2">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IN"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'Total Energy Ratio'!$D$4:$H$4</c:f>
              <c:numCache>
                <c:formatCode>General</c:formatCode>
                <c:ptCount val="5"/>
                <c:pt idx="0">
                  <c:v>2023</c:v>
                </c:pt>
                <c:pt idx="1">
                  <c:v>2022</c:v>
                </c:pt>
                <c:pt idx="2">
                  <c:v>2021</c:v>
                </c:pt>
                <c:pt idx="3">
                  <c:v>2020</c:v>
                </c:pt>
                <c:pt idx="4">
                  <c:v>2019</c:v>
                </c:pt>
              </c:numCache>
            </c:numRef>
          </c:cat>
          <c:val>
            <c:numRef>
              <c:f>'EXXON Mobil Ratio'!$D$45:$H$45</c:f>
              <c:numCache>
                <c:formatCode>General</c:formatCode>
                <c:ptCount val="5"/>
                <c:pt idx="0">
                  <c:v>5.5965626001970407E-3</c:v>
                </c:pt>
                <c:pt idx="1">
                  <c:v>6.1349697770045983E-3</c:v>
                </c:pt>
                <c:pt idx="2">
                  <c:v>6.7209234525767514E-3</c:v>
                </c:pt>
                <c:pt idx="3">
                  <c:v>7.9019590972628003E-3</c:v>
                </c:pt>
                <c:pt idx="4">
                  <c:v>7.9580514859804528E-3</c:v>
                </c:pt>
              </c:numCache>
            </c:numRef>
          </c:val>
          <c:extLst>
            <c:ext xmlns:c16="http://schemas.microsoft.com/office/drawing/2014/chart" uri="{C3380CC4-5D6E-409C-BE32-E72D297353CC}">
              <c16:uniqueId val="{00000001-C2EB-426F-8BC2-F30879E513FF}"/>
            </c:ext>
          </c:extLst>
        </c:ser>
        <c:ser>
          <c:idx val="2"/>
          <c:order val="2"/>
          <c:tx>
            <c:strRef>
              <c:f>'Total Energy Ratio'!$D$32:$H$32</c:f>
              <c:strCache>
                <c:ptCount val="5"/>
                <c:pt idx="0">
                  <c:v>Total Energy</c:v>
                </c:pt>
              </c:strCache>
            </c:strRef>
          </c:tx>
          <c:spPr>
            <a:solidFill>
              <a:schemeClr val="accent3">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IN"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'Total Energy Ratio'!$D$4:$H$4</c:f>
              <c:numCache>
                <c:formatCode>General</c:formatCode>
                <c:ptCount val="5"/>
                <c:pt idx="0">
                  <c:v>2023</c:v>
                </c:pt>
                <c:pt idx="1">
                  <c:v>2022</c:v>
                </c:pt>
                <c:pt idx="2">
                  <c:v>2021</c:v>
                </c:pt>
                <c:pt idx="3">
                  <c:v>2020</c:v>
                </c:pt>
                <c:pt idx="4">
                  <c:v>2019</c:v>
                </c:pt>
              </c:numCache>
            </c:numRef>
          </c:cat>
          <c:val>
            <c:numRef>
              <c:f>'Total Energy Ratio'!$D$45:$H$45</c:f>
              <c:numCache>
                <c:formatCode>General</c:formatCode>
                <c:ptCount val="5"/>
                <c:pt idx="0">
                  <c:v>1.3745988884470626</c:v>
                </c:pt>
                <c:pt idx="1">
                  <c:v>1.6522063138675933</c:v>
                </c:pt>
                <c:pt idx="2">
                  <c:v>1.5518220024721874</c:v>
                </c:pt>
                <c:pt idx="3">
                  <c:v>1.5086559865287255</c:v>
                </c:pt>
                <c:pt idx="4">
                  <c:v>1.2907183516018257</c:v>
                </c:pt>
              </c:numCache>
            </c:numRef>
          </c:val>
          <c:extLst>
            <c:ext xmlns:c16="http://schemas.microsoft.com/office/drawing/2014/chart" uri="{C3380CC4-5D6E-409C-BE32-E72D297353CC}">
              <c16:uniqueId val="{00000002-C2EB-426F-8BC2-F30879E513FF}"/>
            </c:ext>
          </c:extLst>
        </c:ser>
        <c:dLbls>
          <c:showLegendKey val="0"/>
          <c:showVal val="1"/>
          <c:showCatName val="0"/>
          <c:showSerName val="0"/>
          <c:showPercent val="0"/>
          <c:showBubbleSize val="0"/>
        </c:dLbls>
        <c:gapWidth val="65"/>
        <c:axId val="123941632"/>
        <c:axId val="123943168"/>
      </c:barChart>
      <c:catAx>
        <c:axId val="123941632"/>
        <c:scaling>
          <c:orientation val="minMax"/>
        </c:scaling>
        <c:delete val="0"/>
        <c:axPos val="b"/>
        <c:numFmt formatCode="General" sourceLinked="1"/>
        <c:majorTickMark val="none"/>
        <c:minorTickMark val="none"/>
        <c:tickLblPos val="nextTo"/>
        <c:spPr>
          <a:noFill/>
          <a:ln w="19050">
            <a:solidFill>
              <a:schemeClr val="dk1">
                <a:lumMod val="75000"/>
                <a:lumOff val="25000"/>
              </a:schemeClr>
            </a:solidFill>
            <a:round/>
          </a:ln>
          <a:effectLst/>
        </c:spPr>
        <c:txPr>
          <a:bodyPr rot="-60000000" spcFirstLastPara="1" vertOverflow="ellipsis" vert="horz" wrap="square" anchor="ctr" anchorCtr="1"/>
          <a:lstStyle/>
          <a:p>
            <a:pPr>
              <a:defRPr lang="en-IN" sz="900" b="0" i="0" u="none" strike="noStrike" kern="1200" cap="all" baseline="0">
                <a:solidFill>
                  <a:schemeClr val="dk1">
                    <a:lumMod val="75000"/>
                    <a:lumOff val="25000"/>
                  </a:schemeClr>
                </a:solidFill>
                <a:latin typeface="+mn-lt"/>
                <a:ea typeface="+mn-ea"/>
                <a:cs typeface="+mn-cs"/>
              </a:defRPr>
            </a:pPr>
            <a:endParaRPr lang="en-US"/>
          </a:p>
        </c:txPr>
        <c:crossAx val="123943168"/>
        <c:crosses val="autoZero"/>
        <c:auto val="1"/>
        <c:lblAlgn val="ctr"/>
        <c:lblOffset val="100"/>
        <c:noMultiLvlLbl val="0"/>
      </c:catAx>
      <c:valAx>
        <c:axId val="123943168"/>
        <c:scaling>
          <c:orientation val="minMax"/>
        </c:scaling>
        <c:delete val="1"/>
        <c:axPos val="l"/>
        <c:majorGridlines>
          <c:spPr>
            <a:ln w="9525">
              <a:gradFill rotWithShape="1">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2394163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lang="en-IN"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lang="en-IN" sz="1800" b="1" i="0" u="none" strike="noStrike" kern="1200" baseline="0">
                <a:solidFill>
                  <a:schemeClr val="dk1">
                    <a:lumMod val="75000"/>
                    <a:lumOff val="25000"/>
                  </a:schemeClr>
                </a:solidFill>
                <a:latin typeface="+mn-lt"/>
                <a:ea typeface="+mn-ea"/>
                <a:cs typeface="+mn-cs"/>
              </a:defRPr>
            </a:pPr>
            <a:r>
              <a:rPr lang="en-IN"/>
              <a:t>Account recievable turnover ratio</a:t>
            </a:r>
          </a:p>
        </c:rich>
      </c:tx>
      <c:overlay val="0"/>
      <c:spPr>
        <a:noFill/>
        <a:ln>
          <a:noFill/>
        </a:ln>
        <a:effectLst/>
      </c:spPr>
    </c:title>
    <c:autoTitleDeleted val="0"/>
    <c:plotArea>
      <c:layout/>
      <c:barChart>
        <c:barDir val="col"/>
        <c:grouping val="clustered"/>
        <c:varyColors val="0"/>
        <c:ser>
          <c:idx val="0"/>
          <c:order val="0"/>
          <c:tx>
            <c:strRef>
              <c:f>'Shell plc Ratio'!$D$32:$H$32</c:f>
              <c:strCache>
                <c:ptCount val="5"/>
                <c:pt idx="0">
                  <c:v>Shell plc</c:v>
                </c:pt>
              </c:strCache>
            </c:strRef>
          </c:tx>
          <c:spPr>
            <a:solidFill>
              <a:schemeClr val="accent3">
                <a:shade val="65000"/>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IN"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'Total Energy Ratio'!$D$4:$H$4</c:f>
              <c:numCache>
                <c:formatCode>General</c:formatCode>
                <c:ptCount val="5"/>
                <c:pt idx="0">
                  <c:v>2023</c:v>
                </c:pt>
                <c:pt idx="1">
                  <c:v>2022</c:v>
                </c:pt>
                <c:pt idx="2">
                  <c:v>2021</c:v>
                </c:pt>
                <c:pt idx="3">
                  <c:v>2020</c:v>
                </c:pt>
                <c:pt idx="4">
                  <c:v>2019</c:v>
                </c:pt>
              </c:numCache>
            </c:numRef>
          </c:cat>
          <c:val>
            <c:numRef>
              <c:f>'Shell plc Ratio'!$D$41:$H$41</c:f>
              <c:numCache>
                <c:formatCode>General</c:formatCode>
                <c:ptCount val="5"/>
                <c:pt idx="0">
                  <c:v>5.810093565292302</c:v>
                </c:pt>
                <c:pt idx="1">
                  <c:v>5.4271762131269066</c:v>
                </c:pt>
                <c:pt idx="2">
                  <c:v>4.8411057937073636</c:v>
                </c:pt>
                <c:pt idx="3">
                  <c:v>5.3882678157648725</c:v>
                </c:pt>
                <c:pt idx="4">
                  <c:v>8.133319093100603</c:v>
                </c:pt>
              </c:numCache>
            </c:numRef>
          </c:val>
          <c:extLst>
            <c:ext xmlns:c16="http://schemas.microsoft.com/office/drawing/2014/chart" uri="{C3380CC4-5D6E-409C-BE32-E72D297353CC}">
              <c16:uniqueId val="{00000000-929E-43D1-80F1-22960CB6A7E8}"/>
            </c:ext>
          </c:extLst>
        </c:ser>
        <c:ser>
          <c:idx val="1"/>
          <c:order val="1"/>
          <c:tx>
            <c:strRef>
              <c:f>'EXXON Mobil Ratio'!$D$32:$H$32</c:f>
              <c:strCache>
                <c:ptCount val="5"/>
                <c:pt idx="0">
                  <c:v>Exxon Mobil</c:v>
                </c:pt>
              </c:strCache>
            </c:strRef>
          </c:tx>
          <c:spPr>
            <a:solidFill>
              <a:schemeClr val="accent3">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IN"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'Total Energy Ratio'!$D$4:$H$4</c:f>
              <c:numCache>
                <c:formatCode>General</c:formatCode>
                <c:ptCount val="5"/>
                <c:pt idx="0">
                  <c:v>2023</c:v>
                </c:pt>
                <c:pt idx="1">
                  <c:v>2022</c:v>
                </c:pt>
                <c:pt idx="2">
                  <c:v>2021</c:v>
                </c:pt>
                <c:pt idx="3">
                  <c:v>2020</c:v>
                </c:pt>
                <c:pt idx="4">
                  <c:v>2019</c:v>
                </c:pt>
              </c:numCache>
            </c:numRef>
          </c:cat>
          <c:val>
            <c:numRef>
              <c:f>'EXXON Mobil Ratio'!$D$41:$H$41</c:f>
              <c:numCache>
                <c:formatCode>General</c:formatCode>
                <c:ptCount val="5"/>
                <c:pt idx="0">
                  <c:v>8.7784032618703129</c:v>
                </c:pt>
                <c:pt idx="1">
                  <c:v>9.5915590792593868</c:v>
                </c:pt>
                <c:pt idx="2">
                  <c:v>8.6622610629033723</c:v>
                </c:pt>
                <c:pt idx="3">
                  <c:v>8.6570137505466214</c:v>
                </c:pt>
                <c:pt idx="4">
                  <c:v>9.4932507602165632</c:v>
                </c:pt>
              </c:numCache>
            </c:numRef>
          </c:val>
          <c:extLst>
            <c:ext xmlns:c16="http://schemas.microsoft.com/office/drawing/2014/chart" uri="{C3380CC4-5D6E-409C-BE32-E72D297353CC}">
              <c16:uniqueId val="{00000001-929E-43D1-80F1-22960CB6A7E8}"/>
            </c:ext>
          </c:extLst>
        </c:ser>
        <c:ser>
          <c:idx val="2"/>
          <c:order val="2"/>
          <c:tx>
            <c:strRef>
              <c:f>'Total Energy Ratio'!$D$32:$H$32</c:f>
              <c:strCache>
                <c:ptCount val="5"/>
                <c:pt idx="0">
                  <c:v>Total Energy</c:v>
                </c:pt>
              </c:strCache>
            </c:strRef>
          </c:tx>
          <c:spPr>
            <a:solidFill>
              <a:schemeClr val="accent3">
                <a:tint val="65000"/>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IN"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'Total Energy Ratio'!$D$4:$H$4</c:f>
              <c:numCache>
                <c:formatCode>General</c:formatCode>
                <c:ptCount val="5"/>
                <c:pt idx="0">
                  <c:v>2023</c:v>
                </c:pt>
                <c:pt idx="1">
                  <c:v>2022</c:v>
                </c:pt>
                <c:pt idx="2">
                  <c:v>2021</c:v>
                </c:pt>
                <c:pt idx="3">
                  <c:v>2020</c:v>
                </c:pt>
                <c:pt idx="4">
                  <c:v>2019</c:v>
                </c:pt>
              </c:numCache>
            </c:numRef>
          </c:cat>
          <c:val>
            <c:numRef>
              <c:f>'Total Energy Ratio'!$D$41:$H$41</c:f>
              <c:numCache>
                <c:formatCode>General</c:formatCode>
                <c:ptCount val="5"/>
                <c:pt idx="0">
                  <c:v>9.5432825974270763</c:v>
                </c:pt>
                <c:pt idx="1">
                  <c:v>4.5227728134308149</c:v>
                </c:pt>
                <c:pt idx="2">
                  <c:v>3.2107004850776946</c:v>
                </c:pt>
                <c:pt idx="3">
                  <c:v>4.9888825541619157</c:v>
                </c:pt>
                <c:pt idx="4">
                  <c:v>5.1604456824512521</c:v>
                </c:pt>
              </c:numCache>
            </c:numRef>
          </c:val>
          <c:extLst>
            <c:ext xmlns:c16="http://schemas.microsoft.com/office/drawing/2014/chart" uri="{C3380CC4-5D6E-409C-BE32-E72D297353CC}">
              <c16:uniqueId val="{00000002-929E-43D1-80F1-22960CB6A7E8}"/>
            </c:ext>
          </c:extLst>
        </c:ser>
        <c:dLbls>
          <c:showLegendKey val="0"/>
          <c:showVal val="1"/>
          <c:showCatName val="0"/>
          <c:showSerName val="0"/>
          <c:showPercent val="0"/>
          <c:showBubbleSize val="0"/>
        </c:dLbls>
        <c:gapWidth val="65"/>
        <c:axId val="124265216"/>
        <c:axId val="124266752"/>
      </c:barChart>
      <c:catAx>
        <c:axId val="124265216"/>
        <c:scaling>
          <c:orientation val="minMax"/>
        </c:scaling>
        <c:delete val="0"/>
        <c:axPos val="b"/>
        <c:numFmt formatCode="General" sourceLinked="1"/>
        <c:majorTickMark val="none"/>
        <c:minorTickMark val="none"/>
        <c:tickLblPos val="nextTo"/>
        <c:spPr>
          <a:noFill/>
          <a:ln w="19050">
            <a:solidFill>
              <a:schemeClr val="dk1">
                <a:lumMod val="75000"/>
                <a:lumOff val="25000"/>
              </a:schemeClr>
            </a:solidFill>
            <a:round/>
          </a:ln>
          <a:effectLst/>
        </c:spPr>
        <c:txPr>
          <a:bodyPr rot="-60000000" spcFirstLastPara="1" vertOverflow="ellipsis" vert="horz" wrap="square" anchor="ctr" anchorCtr="1"/>
          <a:lstStyle/>
          <a:p>
            <a:pPr>
              <a:defRPr lang="en-IN" sz="900" b="0" i="0" u="none" strike="noStrike" kern="1200" cap="all" baseline="0">
                <a:solidFill>
                  <a:schemeClr val="dk1">
                    <a:lumMod val="75000"/>
                    <a:lumOff val="25000"/>
                  </a:schemeClr>
                </a:solidFill>
                <a:latin typeface="+mn-lt"/>
                <a:ea typeface="+mn-ea"/>
                <a:cs typeface="+mn-cs"/>
              </a:defRPr>
            </a:pPr>
            <a:endParaRPr lang="en-US"/>
          </a:p>
        </c:txPr>
        <c:crossAx val="124266752"/>
        <c:crosses val="autoZero"/>
        <c:auto val="1"/>
        <c:lblAlgn val="ctr"/>
        <c:lblOffset val="100"/>
        <c:noMultiLvlLbl val="0"/>
      </c:catAx>
      <c:valAx>
        <c:axId val="124266752"/>
        <c:scaling>
          <c:orientation val="minMax"/>
        </c:scaling>
        <c:delete val="1"/>
        <c:axPos val="l"/>
        <c:majorGridlines>
          <c:spPr>
            <a:ln w="9525">
              <a:gradFill rotWithShape="1">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2426521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lang="en-IN"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E47218-A0B2-437F-BD08-51EDF1FED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38</Pages>
  <Words>7632</Words>
  <Characters>45641</Characters>
  <Application>Microsoft Office Word</Application>
  <DocSecurity>0</DocSecurity>
  <Lines>2684</Lines>
  <Paragraphs>1024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Jawahar Raj</cp:lastModifiedBy>
  <cp:revision>2</cp:revision>
  <dcterms:created xsi:type="dcterms:W3CDTF">2024-07-31T17:50:00Z</dcterms:created>
  <dcterms:modified xsi:type="dcterms:W3CDTF">2024-07-31T17:50:00Z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42eebdc036ccaeb88eb641b195e62c8f80b522eb0ab112f6c27beb10e25ffb6a</vt:lpwstr>
  </property>
</Properties>
</file>