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0C3F982" w:rsidR="7908378C" w:rsidRDefault="7908378C" w:rsidP="33572C6E">
            <w:pPr>
              <w:ind w:right="237"/>
              <w:rPr>
                <w:b/>
                <w:bCs/>
                <w:color w:val="auto"/>
                <w:sz w:val="32"/>
                <w:szCs w:val="32"/>
              </w:rPr>
            </w:pPr>
            <w:r w:rsidRPr="33572C6E">
              <w:rPr>
                <w:b/>
                <w:bCs/>
                <w:color w:val="auto"/>
                <w:sz w:val="32"/>
                <w:szCs w:val="32"/>
              </w:rPr>
              <w:t>Learner name: ____</w:t>
            </w:r>
            <w:r w:rsidR="008A3D2A" w:rsidRPr="008A3D2A">
              <w:rPr>
                <w:b/>
                <w:bCs/>
                <w:color w:val="auto"/>
                <w:sz w:val="32"/>
                <w:szCs w:val="32"/>
                <w:u w:val="single"/>
              </w:rPr>
              <w:t>Rebecca Joyce</w:t>
            </w:r>
            <w:r w:rsidRPr="008A3D2A">
              <w:rPr>
                <w:b/>
                <w:bCs/>
                <w:color w:val="auto"/>
                <w:sz w:val="32"/>
                <w:szCs w:val="32"/>
                <w:u w:val="single"/>
              </w:rPr>
              <w:t>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B235A4E" w:rsidR="7908378C" w:rsidRPr="008A3D2A" w:rsidRDefault="7908378C" w:rsidP="33572C6E">
            <w:pPr>
              <w:ind w:right="237"/>
              <w:rPr>
                <w:b/>
                <w:bCs/>
                <w:color w:val="auto"/>
                <w:sz w:val="32"/>
                <w:szCs w:val="32"/>
                <w:u w:val="single"/>
              </w:rPr>
            </w:pPr>
            <w:r w:rsidRPr="33572C6E">
              <w:rPr>
                <w:b/>
                <w:bCs/>
                <w:color w:val="auto"/>
                <w:sz w:val="32"/>
                <w:szCs w:val="32"/>
              </w:rPr>
              <w:t>_____</w:t>
            </w:r>
            <w:r w:rsidR="008A3D2A">
              <w:rPr>
                <w:b/>
                <w:bCs/>
                <w:color w:val="auto"/>
                <w:sz w:val="32"/>
                <w:szCs w:val="32"/>
                <w:u w:val="single"/>
              </w:rPr>
              <w:t xml:space="preserve">2222252       </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CB1A479"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7CEEEE42" w14:textId="2988E0B7" w:rsidR="006E2D20" w:rsidRPr="00021BAA" w:rsidRDefault="002423B2" w:rsidP="006E2D20">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6263DE6" w14:textId="77777777" w:rsidR="007A25F2" w:rsidRDefault="007A25F2" w:rsidP="5B843AF0">
      <w:pPr>
        <w:ind w:right="237"/>
        <w:jc w:val="both"/>
        <w:rPr>
          <w:rFonts w:eastAsia="Arial"/>
          <w:b/>
          <w:bCs/>
          <w:color w:val="000000" w:themeColor="text1"/>
          <w:sz w:val="24"/>
          <w:szCs w:val="24"/>
        </w:rPr>
      </w:pPr>
    </w:p>
    <w:p w14:paraId="2977E37F" w14:textId="77777777" w:rsidR="007A25F2" w:rsidRPr="00670684" w:rsidRDefault="007A25F2" w:rsidP="007A25F2">
      <w:pPr>
        <w:spacing w:line="360" w:lineRule="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case I’m going to reflect upon during this essay relates to an aggravated burglary and false imprisonment of a vulnerable person. </w:t>
      </w:r>
    </w:p>
    <w:p w14:paraId="775F49E9" w14:textId="77777777" w:rsidR="007A25F2" w:rsidRPr="00670684" w:rsidRDefault="007A25F2" w:rsidP="007A25F2">
      <w:pPr>
        <w:spacing w:line="360" w:lineRule="auto"/>
        <w:rPr>
          <w:rFonts w:asciiTheme="minorHAnsi" w:hAnsiTheme="minorHAnsi" w:cstheme="minorHAnsi"/>
          <w:color w:val="auto"/>
          <w:sz w:val="22"/>
          <w:szCs w:val="22"/>
        </w:rPr>
      </w:pPr>
    </w:p>
    <w:p w14:paraId="1DA37A7D" w14:textId="60C734A6" w:rsidR="007A25F2" w:rsidRPr="00670684" w:rsidRDefault="007A25F2" w:rsidP="007A25F2">
      <w:pPr>
        <w:spacing w:line="360" w:lineRule="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offence took place inside the </w:t>
      </w:r>
      <w:r w:rsidRPr="00670684">
        <w:rPr>
          <w:rFonts w:asciiTheme="minorHAnsi" w:hAnsiTheme="minorHAnsi" w:cstheme="minorHAnsi"/>
          <w:color w:val="auto"/>
          <w:sz w:val="22"/>
          <w:szCs w:val="22"/>
        </w:rPr>
        <w:t>victim’s</w:t>
      </w:r>
      <w:r w:rsidRPr="00670684">
        <w:rPr>
          <w:rFonts w:asciiTheme="minorHAnsi" w:hAnsiTheme="minorHAnsi" w:cstheme="minorHAnsi"/>
          <w:color w:val="auto"/>
          <w:sz w:val="22"/>
          <w:szCs w:val="22"/>
        </w:rPr>
        <w:t xml:space="preserve"> home. The offender broke into the </w:t>
      </w:r>
      <w:r w:rsidRPr="00670684">
        <w:rPr>
          <w:rFonts w:asciiTheme="minorHAnsi" w:hAnsiTheme="minorHAnsi" w:cstheme="minorHAnsi"/>
          <w:color w:val="auto"/>
          <w:sz w:val="22"/>
          <w:szCs w:val="22"/>
        </w:rPr>
        <w:t>victim’s</w:t>
      </w:r>
      <w:r w:rsidRPr="00670684">
        <w:rPr>
          <w:rFonts w:asciiTheme="minorHAnsi" w:hAnsiTheme="minorHAnsi" w:cstheme="minorHAnsi"/>
          <w:color w:val="auto"/>
          <w:sz w:val="22"/>
          <w:szCs w:val="22"/>
        </w:rPr>
        <w:t xml:space="preserve"> home with a knife, he used the knife to threaten the victim with, he told him he was there to collect his belongings as he owed him £40.</w:t>
      </w:r>
    </w:p>
    <w:p w14:paraId="239ED737" w14:textId="02D070E2" w:rsidR="007A25F2" w:rsidRPr="00670684" w:rsidRDefault="007A25F2" w:rsidP="007A25F2">
      <w:pPr>
        <w:spacing w:line="360" w:lineRule="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suspect </w:t>
      </w:r>
      <w:r w:rsidRPr="00670684">
        <w:rPr>
          <w:rFonts w:asciiTheme="minorHAnsi" w:hAnsiTheme="minorHAnsi" w:cstheme="minorHAnsi"/>
          <w:color w:val="auto"/>
          <w:sz w:val="22"/>
          <w:szCs w:val="22"/>
        </w:rPr>
        <w:t>helps</w:t>
      </w:r>
      <w:r w:rsidRPr="00670684">
        <w:rPr>
          <w:rFonts w:asciiTheme="minorHAnsi" w:hAnsiTheme="minorHAnsi" w:cstheme="minorHAnsi"/>
          <w:color w:val="auto"/>
          <w:sz w:val="22"/>
          <w:szCs w:val="22"/>
        </w:rPr>
        <w:t xml:space="preserve"> a knife to the victim and told him to give him his phone and not to move. He proceeded to ring one of the </w:t>
      </w:r>
      <w:r w:rsidRPr="00670684">
        <w:rPr>
          <w:rFonts w:asciiTheme="minorHAnsi" w:hAnsiTheme="minorHAnsi" w:cstheme="minorHAnsi"/>
          <w:color w:val="auto"/>
          <w:sz w:val="22"/>
          <w:szCs w:val="22"/>
        </w:rPr>
        <w:t>victims’</w:t>
      </w:r>
      <w:r w:rsidRPr="00670684">
        <w:rPr>
          <w:rFonts w:asciiTheme="minorHAnsi" w:hAnsiTheme="minorHAnsi" w:cstheme="minorHAnsi"/>
          <w:color w:val="auto"/>
          <w:sz w:val="22"/>
          <w:szCs w:val="22"/>
        </w:rPr>
        <w:t xml:space="preserve"> friends and informed them that he was holding their friend hostage and that they needed to bring him money otherwise he would kill him. </w:t>
      </w:r>
    </w:p>
    <w:p w14:paraId="1FB32F9A" w14:textId="3C9AD79A" w:rsidR="007A25F2" w:rsidRPr="00670684" w:rsidRDefault="007A25F2" w:rsidP="007A25F2">
      <w:pPr>
        <w:spacing w:line="360" w:lineRule="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suspect was chased from the scene by some of the </w:t>
      </w:r>
      <w:r w:rsidRPr="00670684">
        <w:rPr>
          <w:rFonts w:asciiTheme="minorHAnsi" w:hAnsiTheme="minorHAnsi" w:cstheme="minorHAnsi"/>
          <w:color w:val="auto"/>
          <w:sz w:val="22"/>
          <w:szCs w:val="22"/>
        </w:rPr>
        <w:t>victims’</w:t>
      </w:r>
      <w:r w:rsidRPr="00670684">
        <w:rPr>
          <w:rFonts w:asciiTheme="minorHAnsi" w:hAnsiTheme="minorHAnsi" w:cstheme="minorHAnsi"/>
          <w:color w:val="auto"/>
          <w:sz w:val="22"/>
          <w:szCs w:val="22"/>
        </w:rPr>
        <w:t xml:space="preserve"> friends. The suspect escaped with some items from the address along with the </w:t>
      </w:r>
      <w:r w:rsidRPr="00670684">
        <w:rPr>
          <w:rFonts w:asciiTheme="minorHAnsi" w:hAnsiTheme="minorHAnsi" w:cstheme="minorHAnsi"/>
          <w:color w:val="auto"/>
          <w:sz w:val="22"/>
          <w:szCs w:val="22"/>
        </w:rPr>
        <w:t>victim’s</w:t>
      </w:r>
      <w:r w:rsidRPr="00670684">
        <w:rPr>
          <w:rFonts w:asciiTheme="minorHAnsi" w:hAnsiTheme="minorHAnsi" w:cstheme="minorHAnsi"/>
          <w:color w:val="auto"/>
          <w:sz w:val="22"/>
          <w:szCs w:val="22"/>
        </w:rPr>
        <w:t xml:space="preserve"> house key and promised to return to the address but this time with his friends to attack him. </w:t>
      </w:r>
    </w:p>
    <w:p w14:paraId="3835D986" w14:textId="77777777" w:rsidR="007A25F2" w:rsidRPr="00670684" w:rsidRDefault="007A25F2" w:rsidP="007A25F2">
      <w:pPr>
        <w:spacing w:line="360" w:lineRule="auto"/>
        <w:rPr>
          <w:rFonts w:asciiTheme="minorHAnsi" w:hAnsiTheme="minorHAnsi" w:cstheme="minorHAnsi"/>
          <w:color w:val="auto"/>
          <w:sz w:val="22"/>
          <w:szCs w:val="22"/>
        </w:rPr>
      </w:pPr>
    </w:p>
    <w:p w14:paraId="04E6B476" w14:textId="2165F28A" w:rsidR="007A25F2" w:rsidRPr="00670684" w:rsidRDefault="007A25F2" w:rsidP="007A25F2">
      <w:pPr>
        <w:spacing w:line="360" w:lineRule="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suspect was named by the </w:t>
      </w:r>
      <w:r w:rsidRPr="00670684">
        <w:rPr>
          <w:rFonts w:asciiTheme="minorHAnsi" w:hAnsiTheme="minorHAnsi" w:cstheme="minorHAnsi"/>
          <w:color w:val="auto"/>
          <w:sz w:val="22"/>
          <w:szCs w:val="22"/>
        </w:rPr>
        <w:t>victim,</w:t>
      </w:r>
      <w:r w:rsidRPr="00670684">
        <w:rPr>
          <w:rFonts w:asciiTheme="minorHAnsi" w:hAnsiTheme="minorHAnsi" w:cstheme="minorHAnsi"/>
          <w:color w:val="auto"/>
          <w:sz w:val="22"/>
          <w:szCs w:val="22"/>
        </w:rPr>
        <w:t xml:space="preserve"> and he was located and arrested soon after the offence. Once in custody a S18 PACE Search was carried out on the detained persons property but none of the stolen property was located. </w:t>
      </w:r>
    </w:p>
    <w:p w14:paraId="21A5D0FC" w14:textId="77777777" w:rsidR="007A25F2" w:rsidRPr="00670684" w:rsidRDefault="007A25F2" w:rsidP="007A25F2">
      <w:pPr>
        <w:spacing w:line="360" w:lineRule="auto"/>
        <w:rPr>
          <w:rFonts w:asciiTheme="minorHAnsi" w:hAnsiTheme="minorHAnsi" w:cstheme="minorHAnsi"/>
          <w:color w:val="auto"/>
          <w:sz w:val="22"/>
          <w:szCs w:val="22"/>
        </w:rPr>
      </w:pPr>
    </w:p>
    <w:p w14:paraId="714F1D46" w14:textId="77777777" w:rsidR="007A25F2" w:rsidRPr="00670684" w:rsidRDefault="007A25F2" w:rsidP="007A25F2">
      <w:pPr>
        <w:spacing w:line="360" w:lineRule="auto"/>
        <w:rPr>
          <w:rFonts w:asciiTheme="minorHAnsi" w:hAnsiTheme="minorHAnsi" w:cstheme="minorHAnsi"/>
          <w:color w:val="auto"/>
          <w:sz w:val="22"/>
          <w:szCs w:val="22"/>
        </w:rPr>
      </w:pPr>
      <w:r w:rsidRPr="00670684">
        <w:rPr>
          <w:rFonts w:asciiTheme="minorHAnsi" w:hAnsiTheme="minorHAnsi" w:cstheme="minorHAnsi"/>
          <w:color w:val="auto"/>
          <w:sz w:val="22"/>
          <w:szCs w:val="22"/>
        </w:rPr>
        <w:lastRenderedPageBreak/>
        <w:t xml:space="preserve">The priorities in the investigation were to; trace the suspects movements, locate the stollen property, obtain photographs and forensic evidence from the scene, interview the suspect, </w:t>
      </w:r>
      <w:proofErr w:type="gramStart"/>
      <w:r w:rsidRPr="00670684">
        <w:rPr>
          <w:rFonts w:asciiTheme="minorHAnsi" w:hAnsiTheme="minorHAnsi" w:cstheme="minorHAnsi"/>
          <w:color w:val="auto"/>
          <w:sz w:val="22"/>
          <w:szCs w:val="22"/>
        </w:rPr>
        <w:t>identify</w:t>
      </w:r>
      <w:proofErr w:type="gramEnd"/>
      <w:r w:rsidRPr="00670684">
        <w:rPr>
          <w:rFonts w:asciiTheme="minorHAnsi" w:hAnsiTheme="minorHAnsi" w:cstheme="minorHAnsi"/>
          <w:color w:val="auto"/>
          <w:sz w:val="22"/>
          <w:szCs w:val="22"/>
        </w:rPr>
        <w:t xml:space="preserve"> and speak to any witnesses, house to house and CCTV enquiries.</w:t>
      </w:r>
    </w:p>
    <w:p w14:paraId="0322FC72" w14:textId="77777777" w:rsidR="007A25F2" w:rsidRPr="00670684" w:rsidRDefault="007A25F2" w:rsidP="007A25F2">
      <w:pPr>
        <w:spacing w:line="360" w:lineRule="auto"/>
        <w:rPr>
          <w:rFonts w:asciiTheme="minorHAnsi" w:hAnsiTheme="minorHAnsi" w:cstheme="minorHAnsi"/>
          <w:color w:val="auto"/>
          <w:sz w:val="22"/>
          <w:szCs w:val="22"/>
        </w:rPr>
      </w:pPr>
    </w:p>
    <w:p w14:paraId="703B582F" w14:textId="2D30D000" w:rsidR="007A25F2" w:rsidRPr="00670684" w:rsidRDefault="007A25F2" w:rsidP="007A25F2">
      <w:pPr>
        <w:spacing w:line="360" w:lineRule="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I was concerned for the victim. He </w:t>
      </w:r>
      <w:r w:rsidRPr="00670684">
        <w:rPr>
          <w:rFonts w:asciiTheme="minorHAnsi" w:hAnsiTheme="minorHAnsi" w:cstheme="minorHAnsi"/>
          <w:color w:val="auto"/>
          <w:sz w:val="22"/>
          <w:szCs w:val="22"/>
        </w:rPr>
        <w:t>initials</w:t>
      </w:r>
      <w:r w:rsidRPr="00670684">
        <w:rPr>
          <w:rFonts w:asciiTheme="minorHAnsi" w:hAnsiTheme="minorHAnsi" w:cstheme="minorHAnsi"/>
          <w:color w:val="auto"/>
          <w:sz w:val="22"/>
          <w:szCs w:val="22"/>
        </w:rPr>
        <w:t xml:space="preserve"> didn’t want to engage with police and it was clear he was traumatised by the crime.</w:t>
      </w:r>
    </w:p>
    <w:p w14:paraId="2FB2FAD0" w14:textId="310DEB06"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The victim had not called the police himself. He instead phoned his ex-</w:t>
      </w:r>
      <w:r w:rsidRPr="00670684">
        <w:rPr>
          <w:rFonts w:asciiTheme="minorHAnsi" w:hAnsiTheme="minorHAnsi" w:cstheme="minorHAnsi"/>
          <w:color w:val="auto"/>
          <w:sz w:val="22"/>
          <w:szCs w:val="22"/>
        </w:rPr>
        <w:t>partner,</w:t>
      </w:r>
      <w:r w:rsidRPr="00670684">
        <w:rPr>
          <w:rFonts w:asciiTheme="minorHAnsi" w:hAnsiTheme="minorHAnsi" w:cstheme="minorHAnsi"/>
          <w:color w:val="auto"/>
          <w:sz w:val="22"/>
          <w:szCs w:val="22"/>
        </w:rPr>
        <w:t xml:space="preserve"> and she phoned the police. He later told me that he didn’t ring the police as he didn’t think he would be believed. He said he was a recovering drug user with a criminal record and a mental health condition. He felt strong that the police would assume he’d done something to cause this so was hesitant to get involved with the police. The victim in this case is not alone in feeling reluctant to involve the police, according to a </w:t>
      </w:r>
      <w:r w:rsidRPr="00670684">
        <w:rPr>
          <w:rFonts w:asciiTheme="minorHAnsi" w:hAnsiTheme="minorHAnsi" w:cstheme="minorHAnsi"/>
          <w:color w:val="auto"/>
          <w:sz w:val="22"/>
          <w:szCs w:val="22"/>
          <w:shd w:val="clear" w:color="auto" w:fill="FFFFFF"/>
        </w:rPr>
        <w:t>consultation conducted by the Ministry of Justice found that many as three in five victims do not feel able to report the crimes they suffer, and a third withdraw from a prosecution before justice is done. </w:t>
      </w:r>
      <w:r w:rsidRPr="00670684">
        <w:rPr>
          <w:rFonts w:asciiTheme="minorHAnsi" w:hAnsiTheme="minorHAnsi" w:cstheme="minorHAnsi"/>
          <w:color w:val="auto"/>
          <w:sz w:val="22"/>
          <w:szCs w:val="22"/>
        </w:rPr>
        <w:t>(Ministry of Justice, 2021)</w:t>
      </w:r>
    </w:p>
    <w:p w14:paraId="004CD229"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1E272525" w14:textId="38C6680C" w:rsidR="007A25F2" w:rsidRPr="00670684" w:rsidRDefault="007A25F2" w:rsidP="007A25F2">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witnesses in this case were later identified via CCTV and when spoken to it was clear they were also intimidated and were not open to engaging with Police and providing statement due to fear of repercussions as the suspect was known to </w:t>
      </w:r>
      <w:r w:rsidRPr="00670684">
        <w:rPr>
          <w:rFonts w:asciiTheme="minorHAnsi" w:hAnsiTheme="minorHAnsi" w:cstheme="minorHAnsi"/>
          <w:color w:val="auto"/>
          <w:sz w:val="22"/>
          <w:szCs w:val="22"/>
        </w:rPr>
        <w:t>them.</w:t>
      </w:r>
      <w:r w:rsidRPr="00670684">
        <w:rPr>
          <w:rFonts w:asciiTheme="minorHAnsi" w:hAnsiTheme="minorHAnsi" w:cstheme="minorHAnsi"/>
          <w:color w:val="auto"/>
          <w:sz w:val="22"/>
          <w:szCs w:val="22"/>
        </w:rPr>
        <w:t xml:space="preserve"> </w:t>
      </w:r>
    </w:p>
    <w:p w14:paraId="5EC8C366" w14:textId="77777777" w:rsidR="007A25F2" w:rsidRPr="00670684" w:rsidRDefault="007A25F2" w:rsidP="007A25F2">
      <w:pPr>
        <w:spacing w:line="360" w:lineRule="auto"/>
        <w:rPr>
          <w:rFonts w:asciiTheme="minorHAnsi" w:hAnsiTheme="minorHAnsi" w:cstheme="minorHAnsi"/>
          <w:color w:val="auto"/>
          <w:sz w:val="22"/>
          <w:szCs w:val="22"/>
        </w:rPr>
      </w:pPr>
    </w:p>
    <w:p w14:paraId="56FD08CE" w14:textId="77777777" w:rsidR="007A25F2" w:rsidRPr="00670684" w:rsidRDefault="007A25F2" w:rsidP="007A25F2">
      <w:pPr>
        <w:spacing w:line="360" w:lineRule="auto"/>
        <w:rPr>
          <w:rFonts w:asciiTheme="minorHAnsi" w:hAnsiTheme="minorHAnsi" w:cstheme="minorHAnsi"/>
          <w:b/>
          <w:bCs/>
          <w:color w:val="auto"/>
          <w:sz w:val="22"/>
          <w:szCs w:val="22"/>
          <w:u w:val="single"/>
        </w:rPr>
      </w:pPr>
      <w:r w:rsidRPr="00670684">
        <w:rPr>
          <w:rFonts w:asciiTheme="minorHAnsi" w:hAnsiTheme="minorHAnsi" w:cstheme="minorHAnsi"/>
          <w:b/>
          <w:bCs/>
          <w:color w:val="auto"/>
          <w:sz w:val="22"/>
          <w:szCs w:val="22"/>
          <w:u w:val="single"/>
        </w:rPr>
        <w:t xml:space="preserve">Approaches in supporting and managing vulnerable people though the investigation process. </w:t>
      </w:r>
    </w:p>
    <w:p w14:paraId="44479E21" w14:textId="77777777" w:rsidR="007A25F2" w:rsidRPr="00670684" w:rsidRDefault="007A25F2" w:rsidP="007A25F2">
      <w:pPr>
        <w:spacing w:line="360" w:lineRule="auto"/>
        <w:rPr>
          <w:rFonts w:asciiTheme="minorHAnsi" w:hAnsiTheme="minorHAnsi" w:cstheme="minorHAnsi"/>
          <w:color w:val="auto"/>
          <w:sz w:val="22"/>
          <w:szCs w:val="22"/>
        </w:rPr>
      </w:pPr>
    </w:p>
    <w:p w14:paraId="0A8A22EC" w14:textId="77777777" w:rsidR="007A25F2" w:rsidRPr="00670684" w:rsidRDefault="007A25F2" w:rsidP="007A25F2">
      <w:pPr>
        <w:spacing w:line="360" w:lineRule="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There are many approaches adopted by the police and other professionals to support and manage vulnerable people during the investigation. </w:t>
      </w:r>
    </w:p>
    <w:p w14:paraId="706A5D6C" w14:textId="77777777" w:rsidR="007A25F2" w:rsidRPr="00670684" w:rsidRDefault="007A25F2" w:rsidP="007A25F2">
      <w:pPr>
        <w:spacing w:line="360" w:lineRule="auto"/>
        <w:rPr>
          <w:rFonts w:asciiTheme="minorHAnsi" w:hAnsiTheme="minorHAnsi" w:cstheme="minorHAnsi"/>
          <w:color w:val="auto"/>
          <w:sz w:val="22"/>
          <w:szCs w:val="22"/>
        </w:rPr>
      </w:pPr>
    </w:p>
    <w:p w14:paraId="3B8EE016" w14:textId="01667A4A"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There is specific legislation that deals with vulnerable witnesses. The piece of legislation I want to look at is the Youth Justice and Criminal Evidence Act (YJCEA) 1999. This </w:t>
      </w:r>
      <w:r w:rsidRPr="00670684">
        <w:rPr>
          <w:rFonts w:asciiTheme="minorHAnsi" w:hAnsiTheme="minorHAnsi" w:cstheme="minorHAnsi"/>
          <w:color w:val="auto"/>
          <w:sz w:val="22"/>
          <w:szCs w:val="22"/>
        </w:rPr>
        <w:t>legislation defines</w:t>
      </w:r>
      <w:r w:rsidRPr="00670684">
        <w:rPr>
          <w:rFonts w:asciiTheme="minorHAnsi" w:hAnsiTheme="minorHAnsi" w:cstheme="minorHAnsi"/>
          <w:color w:val="auto"/>
          <w:sz w:val="22"/>
          <w:szCs w:val="22"/>
        </w:rPr>
        <w:t xml:space="preserve"> what a vulnerable witness is, this helps officers to identify witnesses who could be considered vulnerable and work with them accordingly. Their definition is as follows:</w:t>
      </w:r>
    </w:p>
    <w:p w14:paraId="73377C8A"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32B19E17"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“All child witnesses under 18, Any witness whose quality of evidence is likely to be diminished because they: are suffering from a mental disorder; have a significant impairment of intelligence and social functioning; or have a physical disability or are suffering from a physical disorder.” (</w:t>
      </w:r>
      <w:r w:rsidRPr="00670684">
        <w:rPr>
          <w:rFonts w:asciiTheme="minorHAnsi" w:hAnsiTheme="minorHAnsi" w:cstheme="minorHAnsi"/>
          <w:i/>
          <w:iCs/>
          <w:color w:val="auto"/>
          <w:sz w:val="22"/>
          <w:szCs w:val="22"/>
        </w:rPr>
        <w:t>Youth Justice and Criminal Evidence Act, 1999</w:t>
      </w:r>
      <w:r w:rsidRPr="00670684">
        <w:rPr>
          <w:rFonts w:asciiTheme="minorHAnsi" w:hAnsiTheme="minorHAnsi" w:cstheme="minorHAnsi"/>
          <w:color w:val="auto"/>
          <w:sz w:val="22"/>
          <w:szCs w:val="22"/>
        </w:rPr>
        <w:t>)</w:t>
      </w:r>
    </w:p>
    <w:p w14:paraId="630A97D1"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286F275C"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lastRenderedPageBreak/>
        <w:t>The YJCEA aims to help vulnerable and intimidated witnesses give the best evidence they can in criminal proceedings. (Macpherson, 2001)</w:t>
      </w:r>
    </w:p>
    <w:p w14:paraId="4B45C69E" w14:textId="77777777" w:rsidR="007A25F2" w:rsidRPr="00670684" w:rsidRDefault="007A25F2" w:rsidP="007A25F2">
      <w:pPr>
        <w:spacing w:line="360" w:lineRule="auto"/>
        <w:rPr>
          <w:rFonts w:asciiTheme="minorHAnsi" w:hAnsiTheme="minorHAnsi" w:cstheme="minorHAnsi"/>
          <w:color w:val="auto"/>
          <w:sz w:val="22"/>
          <w:szCs w:val="22"/>
        </w:rPr>
      </w:pPr>
    </w:p>
    <w:p w14:paraId="4EE17F34" w14:textId="1C68665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victim in this case suffered with a mental health condition which is covered by S16 of the YJCEA 1999. In this case the victim and witnesses </w:t>
      </w:r>
      <w:proofErr w:type="gramStart"/>
      <w:r w:rsidRPr="00670684">
        <w:rPr>
          <w:rFonts w:asciiTheme="minorHAnsi" w:hAnsiTheme="minorHAnsi" w:cstheme="minorHAnsi"/>
          <w:color w:val="auto"/>
          <w:sz w:val="22"/>
          <w:szCs w:val="22"/>
        </w:rPr>
        <w:t>were considered to be</w:t>
      </w:r>
      <w:proofErr w:type="gramEnd"/>
      <w:r w:rsidRPr="00670684">
        <w:rPr>
          <w:rFonts w:asciiTheme="minorHAnsi" w:hAnsiTheme="minorHAnsi" w:cstheme="minorHAnsi"/>
          <w:color w:val="auto"/>
          <w:sz w:val="22"/>
          <w:szCs w:val="22"/>
        </w:rPr>
        <w:t xml:space="preserve"> intimidated meaning they would come under S17 of this act </w:t>
      </w:r>
      <w:r w:rsidRPr="00670684">
        <w:rPr>
          <w:rFonts w:asciiTheme="minorHAnsi" w:hAnsiTheme="minorHAnsi" w:cstheme="minorHAnsi"/>
          <w:color w:val="auto"/>
          <w:sz w:val="22"/>
          <w:szCs w:val="22"/>
        </w:rPr>
        <w:t>as (</w:t>
      </w:r>
      <w:r w:rsidRPr="00670684">
        <w:rPr>
          <w:rFonts w:asciiTheme="minorHAnsi" w:hAnsiTheme="minorHAnsi" w:cstheme="minorHAnsi"/>
          <w:i/>
          <w:iCs/>
          <w:color w:val="auto"/>
          <w:sz w:val="22"/>
          <w:szCs w:val="22"/>
        </w:rPr>
        <w:t>Youth Justice and Criminal Evidence Act, 1999</w:t>
      </w:r>
      <w:r w:rsidRPr="00670684">
        <w:rPr>
          <w:rFonts w:asciiTheme="minorHAnsi" w:hAnsiTheme="minorHAnsi" w:cstheme="minorHAnsi"/>
          <w:color w:val="auto"/>
          <w:sz w:val="22"/>
          <w:szCs w:val="22"/>
        </w:rPr>
        <w:t>).</w:t>
      </w:r>
    </w:p>
    <w:p w14:paraId="3BD9C5A2"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2C7FA63A"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pacing w:val="3"/>
          <w:sz w:val="22"/>
          <w:szCs w:val="22"/>
        </w:rPr>
      </w:pPr>
      <w:r w:rsidRPr="00670684">
        <w:rPr>
          <w:rFonts w:asciiTheme="minorHAnsi" w:hAnsiTheme="minorHAnsi" w:cstheme="minorHAnsi"/>
          <w:color w:val="auto"/>
          <w:sz w:val="22"/>
          <w:szCs w:val="22"/>
        </w:rPr>
        <w:t xml:space="preserve">Now I have established that my victim and witnesses in this case are considered vulnerable I need to act accordingly. The Victims Code which was created by The College of Policing and sets out the minimum standard that </w:t>
      </w:r>
      <w:r w:rsidRPr="00670684">
        <w:rPr>
          <w:rFonts w:asciiTheme="minorHAnsi" w:hAnsiTheme="minorHAnsi" w:cstheme="minorHAnsi"/>
          <w:color w:val="auto"/>
          <w:spacing w:val="3"/>
          <w:sz w:val="22"/>
          <w:szCs w:val="22"/>
        </w:rPr>
        <w:t>must be provided to victims of crime by organisations, this is enshrined within 12 rights. These rights are designed to support and manage victims through the investigative process.</w:t>
      </w:r>
    </w:p>
    <w:p w14:paraId="3818D8C3" w14:textId="78E00962"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pacing w:val="3"/>
          <w:sz w:val="22"/>
          <w:szCs w:val="22"/>
        </w:rPr>
        <w:t xml:space="preserve">This is the case for all victims of crime whether considered vulnerable or not, however, vulnerable witnesses are also entitled to enhanced rights under this code. In this code, witnesses are identified as vulnerable if they </w:t>
      </w:r>
      <w:r w:rsidRPr="00670684">
        <w:rPr>
          <w:rFonts w:asciiTheme="minorHAnsi" w:hAnsiTheme="minorHAnsi" w:cstheme="minorHAnsi"/>
          <w:color w:val="auto"/>
          <w:spacing w:val="3"/>
          <w:sz w:val="22"/>
          <w:szCs w:val="22"/>
        </w:rPr>
        <w:t>are</w:t>
      </w:r>
      <w:r w:rsidRPr="00670684">
        <w:rPr>
          <w:rFonts w:asciiTheme="minorHAnsi" w:hAnsiTheme="minorHAnsi" w:cstheme="minorHAnsi"/>
          <w:color w:val="auto"/>
          <w:spacing w:val="3"/>
          <w:sz w:val="22"/>
          <w:szCs w:val="22"/>
        </w:rPr>
        <w:t xml:space="preserve"> under 18, have a mental disorder, have a physical disability or </w:t>
      </w:r>
      <w:proofErr w:type="spellStart"/>
      <w:proofErr w:type="gramStart"/>
      <w:r w:rsidRPr="00670684">
        <w:rPr>
          <w:rFonts w:asciiTheme="minorHAnsi" w:hAnsiTheme="minorHAnsi" w:cstheme="minorHAnsi"/>
          <w:color w:val="auto"/>
          <w:spacing w:val="3"/>
          <w:sz w:val="22"/>
          <w:szCs w:val="22"/>
        </w:rPr>
        <w:t>a</w:t>
      </w:r>
      <w:proofErr w:type="spellEnd"/>
      <w:proofErr w:type="gramEnd"/>
      <w:r w:rsidRPr="00670684">
        <w:rPr>
          <w:rFonts w:asciiTheme="minorHAnsi" w:hAnsiTheme="minorHAnsi" w:cstheme="minorHAnsi"/>
          <w:color w:val="auto"/>
          <w:spacing w:val="3"/>
          <w:sz w:val="22"/>
          <w:szCs w:val="22"/>
        </w:rPr>
        <w:t xml:space="preserve"> impairment of social function or intelligence as well as those who are; intimidated, persistently targeted or victims of serious crimes should be updated sooner and may be eligible for special measures. </w:t>
      </w:r>
      <w:r w:rsidRPr="00670684">
        <w:rPr>
          <w:rFonts w:asciiTheme="minorHAnsi" w:hAnsiTheme="minorHAnsi" w:cstheme="minorHAnsi"/>
          <w:color w:val="auto"/>
          <w:sz w:val="22"/>
          <w:szCs w:val="22"/>
        </w:rPr>
        <w:t>(College of Policing, 2021).</w:t>
      </w:r>
    </w:p>
    <w:p w14:paraId="2C407494"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3FC50D09"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12 rights of the code are as follows: </w:t>
      </w:r>
    </w:p>
    <w:p w14:paraId="0591DFC0" w14:textId="7944ECB5"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right to understand and to be </w:t>
      </w:r>
      <w:r w:rsidRPr="00670684">
        <w:rPr>
          <w:rFonts w:asciiTheme="minorHAnsi" w:hAnsiTheme="minorHAnsi" w:cstheme="minorHAnsi"/>
          <w:color w:val="auto"/>
          <w:sz w:val="22"/>
          <w:szCs w:val="22"/>
        </w:rPr>
        <w:t>understood.</w:t>
      </w:r>
    </w:p>
    <w:p w14:paraId="4841752F" w14:textId="7167EDC9"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have details of the crime recorded without unjustified </w:t>
      </w:r>
      <w:r w:rsidRPr="00670684">
        <w:rPr>
          <w:rFonts w:asciiTheme="minorHAnsi" w:hAnsiTheme="minorHAnsi" w:cstheme="minorHAnsi"/>
          <w:color w:val="auto"/>
          <w:sz w:val="22"/>
          <w:szCs w:val="22"/>
        </w:rPr>
        <w:t>delay.</w:t>
      </w:r>
    </w:p>
    <w:p w14:paraId="12395AE7" w14:textId="77777777"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To be provided with information when reporting the crime</w:t>
      </w:r>
    </w:p>
    <w:p w14:paraId="3D6106B1" w14:textId="0000D4E5"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be referred to services that support victims and have services and support tailored to their </w:t>
      </w:r>
      <w:r w:rsidRPr="00670684">
        <w:rPr>
          <w:rFonts w:asciiTheme="minorHAnsi" w:hAnsiTheme="minorHAnsi" w:cstheme="minorHAnsi"/>
          <w:color w:val="auto"/>
          <w:sz w:val="22"/>
          <w:szCs w:val="22"/>
        </w:rPr>
        <w:t>needs.</w:t>
      </w:r>
    </w:p>
    <w:p w14:paraId="4E4A85AC" w14:textId="77777777"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be provided with information about compensation </w:t>
      </w:r>
    </w:p>
    <w:p w14:paraId="1BF6FB5E" w14:textId="77777777"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be provided with information about the investigation and prosecution </w:t>
      </w:r>
    </w:p>
    <w:p w14:paraId="6D15FD7E" w14:textId="77777777"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make a victim personal statement </w:t>
      </w:r>
    </w:p>
    <w:p w14:paraId="7FAABB63" w14:textId="3C6AAB74"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be given information about the trail, trail process and a </w:t>
      </w:r>
      <w:r w:rsidRPr="00670684">
        <w:rPr>
          <w:rFonts w:asciiTheme="minorHAnsi" w:hAnsiTheme="minorHAnsi" w:cstheme="minorHAnsi"/>
          <w:color w:val="auto"/>
          <w:sz w:val="22"/>
          <w:szCs w:val="22"/>
        </w:rPr>
        <w:t>victim’s</w:t>
      </w:r>
      <w:r w:rsidRPr="00670684">
        <w:rPr>
          <w:rFonts w:asciiTheme="minorHAnsi" w:hAnsiTheme="minorHAnsi" w:cstheme="minorHAnsi"/>
          <w:color w:val="auto"/>
          <w:sz w:val="22"/>
          <w:szCs w:val="22"/>
        </w:rPr>
        <w:t xml:space="preserve"> role as a witness</w:t>
      </w:r>
    </w:p>
    <w:p w14:paraId="53E3C577" w14:textId="77777777"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be given information about the outcome of the case and any appeals </w:t>
      </w:r>
    </w:p>
    <w:p w14:paraId="641B53D9" w14:textId="3504810B"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be paid expenses and have property </w:t>
      </w:r>
      <w:r w:rsidRPr="00670684">
        <w:rPr>
          <w:rFonts w:asciiTheme="minorHAnsi" w:hAnsiTheme="minorHAnsi" w:cstheme="minorHAnsi"/>
          <w:color w:val="auto"/>
          <w:sz w:val="22"/>
          <w:szCs w:val="22"/>
        </w:rPr>
        <w:t>returned.</w:t>
      </w:r>
      <w:r w:rsidRPr="00670684">
        <w:rPr>
          <w:rFonts w:asciiTheme="minorHAnsi" w:hAnsiTheme="minorHAnsi" w:cstheme="minorHAnsi"/>
          <w:color w:val="auto"/>
          <w:sz w:val="22"/>
          <w:szCs w:val="22"/>
        </w:rPr>
        <w:t xml:space="preserve"> </w:t>
      </w:r>
    </w:p>
    <w:p w14:paraId="076CA213" w14:textId="77777777"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be given information about the offender following a conviction </w:t>
      </w:r>
    </w:p>
    <w:p w14:paraId="6D925824" w14:textId="77777777" w:rsidR="007A25F2" w:rsidRPr="00670684" w:rsidRDefault="007A25F2" w:rsidP="007A25F2">
      <w:pPr>
        <w:pStyle w:val="ListParagraph"/>
        <w:numPr>
          <w:ilvl w:val="0"/>
          <w:numId w:val="50"/>
        </w:num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To make a complaint about a victim’s rights not being met </w:t>
      </w:r>
    </w:p>
    <w:p w14:paraId="224C417C"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pacing w:val="3"/>
          <w:sz w:val="22"/>
          <w:szCs w:val="22"/>
        </w:rPr>
        <w:t xml:space="preserve"> </w:t>
      </w:r>
    </w:p>
    <w:p w14:paraId="6278F4CE"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lastRenderedPageBreak/>
        <w:t>The above rights are the basics that must be followed.</w:t>
      </w:r>
    </w:p>
    <w:p w14:paraId="55547CF8"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If vulnerable, as discussed earlier, the victim or witness may be entitled to Special Measures which are in place to help them give the best possible evidence. I was mindful of these when I first engaged with the victim in this case. It was clear he was scared at the thought of giving evidence so explaining the below special measures helped alleviate his concerns and made him more comfortable to provide a statement. </w:t>
      </w:r>
    </w:p>
    <w:p w14:paraId="254B12C8"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4C1C5095"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The special measures available to vulnerable and intimidated witnesses are outlines in the YJCEA 1999, with the agreement of the court, include:</w:t>
      </w:r>
    </w:p>
    <w:p w14:paraId="754C3A5E" w14:textId="77777777" w:rsidR="007A25F2" w:rsidRPr="00670684" w:rsidRDefault="007A25F2" w:rsidP="007A25F2">
      <w:pPr>
        <w:numPr>
          <w:ilvl w:val="0"/>
          <w:numId w:val="51"/>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Screens so the victim cannot be seen by the suspect (</w:t>
      </w:r>
      <w:hyperlink r:id="rId15" w:history="1">
        <w:r w:rsidRPr="00670684">
          <w:rPr>
            <w:rFonts w:asciiTheme="minorHAnsi" w:hAnsiTheme="minorHAnsi" w:cstheme="minorHAnsi"/>
            <w:color w:val="auto"/>
            <w:sz w:val="22"/>
            <w:szCs w:val="22"/>
          </w:rPr>
          <w:t>section 23 YJCEA</w:t>
        </w:r>
      </w:hyperlink>
      <w:r w:rsidRPr="00670684">
        <w:rPr>
          <w:rFonts w:asciiTheme="minorHAnsi" w:hAnsiTheme="minorHAnsi" w:cstheme="minorHAnsi"/>
          <w:color w:val="auto"/>
          <w:sz w:val="22"/>
          <w:szCs w:val="22"/>
        </w:rPr>
        <w:t>, 1999)</w:t>
      </w:r>
    </w:p>
    <w:p w14:paraId="08682AFA" w14:textId="77777777" w:rsidR="007A25F2" w:rsidRPr="00670684" w:rsidRDefault="007A25F2" w:rsidP="007A25F2">
      <w:pPr>
        <w:numPr>
          <w:ilvl w:val="0"/>
          <w:numId w:val="51"/>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Live link rather than being inside the court room(</w:t>
      </w:r>
      <w:hyperlink r:id="rId16" w:history="1">
        <w:r w:rsidRPr="00670684">
          <w:rPr>
            <w:rFonts w:asciiTheme="minorHAnsi" w:hAnsiTheme="minorHAnsi" w:cstheme="minorHAnsi"/>
            <w:color w:val="auto"/>
            <w:sz w:val="22"/>
            <w:szCs w:val="22"/>
          </w:rPr>
          <w:t>section 24 YJCEA</w:t>
        </w:r>
      </w:hyperlink>
      <w:r w:rsidRPr="00670684">
        <w:rPr>
          <w:rFonts w:asciiTheme="minorHAnsi" w:hAnsiTheme="minorHAnsi" w:cstheme="minorHAnsi"/>
          <w:color w:val="auto"/>
          <w:sz w:val="22"/>
          <w:szCs w:val="22"/>
        </w:rPr>
        <w:t>, 1999) which can in some circumstances include live link for witnesses outside of the UK</w:t>
      </w:r>
    </w:p>
    <w:p w14:paraId="1F4571FE" w14:textId="77777777" w:rsidR="007A25F2" w:rsidRPr="00670684" w:rsidRDefault="007A25F2" w:rsidP="007A25F2">
      <w:pPr>
        <w:numPr>
          <w:ilvl w:val="0"/>
          <w:numId w:val="51"/>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Evidence given in private (</w:t>
      </w:r>
      <w:hyperlink r:id="rId17" w:history="1">
        <w:r w:rsidRPr="00670684">
          <w:rPr>
            <w:rFonts w:asciiTheme="minorHAnsi" w:hAnsiTheme="minorHAnsi" w:cstheme="minorHAnsi"/>
            <w:color w:val="auto"/>
            <w:sz w:val="22"/>
            <w:szCs w:val="22"/>
          </w:rPr>
          <w:t>section 25 YJCEA</w:t>
        </w:r>
      </w:hyperlink>
      <w:r w:rsidRPr="00670684">
        <w:rPr>
          <w:rFonts w:asciiTheme="minorHAnsi" w:hAnsiTheme="minorHAnsi" w:cstheme="minorHAnsi"/>
          <w:color w:val="auto"/>
          <w:sz w:val="22"/>
          <w:szCs w:val="22"/>
        </w:rPr>
        <w:t>, 1999)</w:t>
      </w:r>
    </w:p>
    <w:p w14:paraId="4632E774" w14:textId="77777777" w:rsidR="007A25F2" w:rsidRPr="00670684" w:rsidRDefault="007A25F2" w:rsidP="007A25F2">
      <w:pPr>
        <w:numPr>
          <w:ilvl w:val="0"/>
          <w:numId w:val="51"/>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Removal of wigs and gowns by judges and barristers (</w:t>
      </w:r>
      <w:hyperlink r:id="rId18" w:history="1">
        <w:r w:rsidRPr="00670684">
          <w:rPr>
            <w:rFonts w:asciiTheme="minorHAnsi" w:hAnsiTheme="minorHAnsi" w:cstheme="minorHAnsi"/>
            <w:color w:val="auto"/>
            <w:sz w:val="22"/>
            <w:szCs w:val="22"/>
          </w:rPr>
          <w:t>section 26 YJCEA</w:t>
        </w:r>
      </w:hyperlink>
      <w:r w:rsidRPr="00670684">
        <w:rPr>
          <w:rFonts w:asciiTheme="minorHAnsi" w:hAnsiTheme="minorHAnsi" w:cstheme="minorHAnsi"/>
          <w:color w:val="auto"/>
          <w:sz w:val="22"/>
          <w:szCs w:val="22"/>
        </w:rPr>
        <w:t>, 1999)</w:t>
      </w:r>
    </w:p>
    <w:p w14:paraId="29E6203D" w14:textId="77777777" w:rsidR="007A25F2" w:rsidRPr="00670684" w:rsidRDefault="007A25F2" w:rsidP="007A25F2">
      <w:pPr>
        <w:numPr>
          <w:ilvl w:val="0"/>
          <w:numId w:val="51"/>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Video Recorded Interview (</w:t>
      </w:r>
      <w:hyperlink r:id="rId19" w:history="1">
        <w:r w:rsidRPr="00670684">
          <w:rPr>
            <w:rFonts w:asciiTheme="minorHAnsi" w:hAnsiTheme="minorHAnsi" w:cstheme="minorHAnsi"/>
            <w:color w:val="auto"/>
            <w:sz w:val="22"/>
            <w:szCs w:val="22"/>
          </w:rPr>
          <w:t>section 27 YJCEA</w:t>
        </w:r>
      </w:hyperlink>
      <w:r w:rsidRPr="00670684">
        <w:rPr>
          <w:rFonts w:asciiTheme="minorHAnsi" w:hAnsiTheme="minorHAnsi" w:cstheme="minorHAnsi"/>
          <w:color w:val="auto"/>
          <w:sz w:val="22"/>
          <w:szCs w:val="22"/>
        </w:rPr>
        <w:t>, 1999)</w:t>
      </w:r>
    </w:p>
    <w:p w14:paraId="7C6F887E" w14:textId="77777777" w:rsidR="007A25F2" w:rsidRPr="00670684" w:rsidRDefault="007A25F2" w:rsidP="007A25F2">
      <w:pPr>
        <w:numPr>
          <w:ilvl w:val="0"/>
          <w:numId w:val="51"/>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Pre-trial recorded cross-examination (</w:t>
      </w:r>
      <w:hyperlink r:id="rId20" w:history="1">
        <w:r w:rsidRPr="00670684">
          <w:rPr>
            <w:rFonts w:asciiTheme="minorHAnsi" w:hAnsiTheme="minorHAnsi" w:cstheme="minorHAnsi"/>
            <w:color w:val="auto"/>
            <w:sz w:val="22"/>
            <w:szCs w:val="22"/>
          </w:rPr>
          <w:t>section 28 YJCEA</w:t>
        </w:r>
      </w:hyperlink>
      <w:r w:rsidRPr="00670684">
        <w:rPr>
          <w:rFonts w:asciiTheme="minorHAnsi" w:hAnsiTheme="minorHAnsi" w:cstheme="minorHAnsi"/>
          <w:color w:val="auto"/>
          <w:sz w:val="22"/>
          <w:szCs w:val="22"/>
        </w:rPr>
        <w:t>, 1999)</w:t>
      </w:r>
    </w:p>
    <w:p w14:paraId="5DD43CC9" w14:textId="77777777" w:rsidR="007A25F2" w:rsidRPr="00670684" w:rsidRDefault="007A25F2" w:rsidP="007A25F2">
      <w:pPr>
        <w:numPr>
          <w:ilvl w:val="0"/>
          <w:numId w:val="51"/>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Intermediaries (</w:t>
      </w:r>
      <w:hyperlink r:id="rId21" w:history="1">
        <w:r w:rsidRPr="00670684">
          <w:rPr>
            <w:rFonts w:asciiTheme="minorHAnsi" w:hAnsiTheme="minorHAnsi" w:cstheme="minorHAnsi"/>
            <w:color w:val="auto"/>
            <w:sz w:val="22"/>
            <w:szCs w:val="22"/>
          </w:rPr>
          <w:t>section 29 YJCEA</w:t>
        </w:r>
      </w:hyperlink>
      <w:r w:rsidRPr="00670684">
        <w:rPr>
          <w:rFonts w:asciiTheme="minorHAnsi" w:hAnsiTheme="minorHAnsi" w:cstheme="minorHAnsi"/>
          <w:color w:val="auto"/>
          <w:sz w:val="22"/>
          <w:szCs w:val="22"/>
        </w:rPr>
        <w:t>, 1999)</w:t>
      </w:r>
    </w:p>
    <w:p w14:paraId="322CE454" w14:textId="77777777" w:rsidR="007A25F2" w:rsidRPr="00670684" w:rsidRDefault="007A25F2" w:rsidP="007A25F2">
      <w:pPr>
        <w:numPr>
          <w:ilvl w:val="0"/>
          <w:numId w:val="51"/>
        </w:num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Aids to communication (</w:t>
      </w:r>
      <w:hyperlink r:id="rId22" w:history="1">
        <w:r w:rsidRPr="00670684">
          <w:rPr>
            <w:rFonts w:asciiTheme="minorHAnsi" w:hAnsiTheme="minorHAnsi" w:cstheme="minorHAnsi"/>
            <w:color w:val="auto"/>
            <w:sz w:val="22"/>
            <w:szCs w:val="22"/>
          </w:rPr>
          <w:t>section 30 YJCEA</w:t>
        </w:r>
      </w:hyperlink>
      <w:r w:rsidRPr="00670684">
        <w:rPr>
          <w:rFonts w:asciiTheme="minorHAnsi" w:hAnsiTheme="minorHAnsi" w:cstheme="minorHAnsi"/>
          <w:color w:val="auto"/>
          <w:sz w:val="22"/>
          <w:szCs w:val="22"/>
        </w:rPr>
        <w:t>, 1999)</w:t>
      </w:r>
    </w:p>
    <w:p w14:paraId="7F404746" w14:textId="77777777" w:rsidR="007A25F2" w:rsidRPr="00670684" w:rsidRDefault="007A25F2" w:rsidP="007A25F2">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(Crown Prosecution Service, 2021)</w:t>
      </w:r>
    </w:p>
    <w:p w14:paraId="5FFB43AF" w14:textId="1F6661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above measures can make the difference between a witness or victim making a statement initially or not, therefore, it is important to discuss these with the person while discussing if they want to provide a statement. In this case the victim was not aware of such </w:t>
      </w:r>
      <w:r w:rsidRPr="00670684">
        <w:rPr>
          <w:rFonts w:asciiTheme="minorHAnsi" w:hAnsiTheme="minorHAnsi" w:cstheme="minorHAnsi"/>
          <w:color w:val="auto"/>
          <w:sz w:val="22"/>
          <w:szCs w:val="22"/>
        </w:rPr>
        <w:t>measures,</w:t>
      </w:r>
      <w:r w:rsidRPr="00670684">
        <w:rPr>
          <w:rFonts w:asciiTheme="minorHAnsi" w:hAnsiTheme="minorHAnsi" w:cstheme="minorHAnsi"/>
          <w:color w:val="auto"/>
          <w:sz w:val="22"/>
          <w:szCs w:val="22"/>
        </w:rPr>
        <w:t xml:space="preserve"> and it gave him the confidence to provide a statement and later attend court.</w:t>
      </w:r>
    </w:p>
    <w:p w14:paraId="45608922"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2379C128" w14:textId="1CCC9ACD"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w:t>
      </w:r>
      <w:r w:rsidRPr="00670684">
        <w:rPr>
          <w:rFonts w:asciiTheme="minorHAnsi" w:hAnsiTheme="minorHAnsi" w:cstheme="minorHAnsi"/>
          <w:color w:val="auto"/>
          <w:sz w:val="22"/>
          <w:szCs w:val="22"/>
        </w:rPr>
        <w:t>victim’s</w:t>
      </w:r>
      <w:r w:rsidRPr="00670684">
        <w:rPr>
          <w:rFonts w:asciiTheme="minorHAnsi" w:hAnsiTheme="minorHAnsi" w:cstheme="minorHAnsi"/>
          <w:color w:val="auto"/>
          <w:sz w:val="22"/>
          <w:szCs w:val="22"/>
        </w:rPr>
        <w:t xml:space="preserve"> code is something officers must abide by, however, there is clear evidence to suggest this isn’t always the case. A study carry out by the Office for National Statistics which looked at the experience of the Criminal Justice System for victims of crime in the previous 12 months, Crime Survey for England and Wales, year ending March 2020 found that only 44.7% of victims in the study felt that the police and other criminal justice agencies kept them informed and only 18.3% of victims included in the study had the opportunity to provide a personal statement. (Office For National </w:t>
      </w:r>
      <w:r w:rsidRPr="00670684">
        <w:rPr>
          <w:rFonts w:asciiTheme="minorHAnsi" w:hAnsiTheme="minorHAnsi" w:cstheme="minorHAnsi"/>
          <w:color w:val="auto"/>
          <w:sz w:val="22"/>
          <w:szCs w:val="22"/>
        </w:rPr>
        <w:lastRenderedPageBreak/>
        <w:t xml:space="preserve">Statistics, 2021). Failing to comply with the code could cause significant harm to the victim. Not only mental and emotional harm but also physical in some cases such as not informing the victim of a </w:t>
      </w:r>
      <w:r w:rsidRPr="00670684">
        <w:rPr>
          <w:rFonts w:asciiTheme="minorHAnsi" w:hAnsiTheme="minorHAnsi" w:cstheme="minorHAnsi"/>
          <w:color w:val="auto"/>
          <w:sz w:val="22"/>
          <w:szCs w:val="22"/>
        </w:rPr>
        <w:t>suspect’s</w:t>
      </w:r>
      <w:r w:rsidRPr="00670684">
        <w:rPr>
          <w:rFonts w:asciiTheme="minorHAnsi" w:hAnsiTheme="minorHAnsi" w:cstheme="minorHAnsi"/>
          <w:color w:val="auto"/>
          <w:sz w:val="22"/>
          <w:szCs w:val="22"/>
        </w:rPr>
        <w:t xml:space="preserve"> bail conditions or updating them that the suspect has been released from custody.</w:t>
      </w:r>
    </w:p>
    <w:p w14:paraId="10F3F347"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79C892CD" w14:textId="3E96520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This brings me onto </w:t>
      </w:r>
      <w:r w:rsidRPr="00670684">
        <w:rPr>
          <w:rFonts w:asciiTheme="minorHAnsi" w:hAnsiTheme="minorHAnsi" w:cstheme="minorHAnsi"/>
          <w:color w:val="auto"/>
          <w:sz w:val="22"/>
          <w:szCs w:val="22"/>
        </w:rPr>
        <w:t>other</w:t>
      </w:r>
      <w:r w:rsidRPr="00670684">
        <w:rPr>
          <w:rFonts w:asciiTheme="minorHAnsi" w:hAnsiTheme="minorHAnsi" w:cstheme="minorHAnsi"/>
          <w:color w:val="auto"/>
          <w:sz w:val="22"/>
          <w:szCs w:val="22"/>
        </w:rPr>
        <w:t xml:space="preserve"> methods of supporting and managing vulnerable victims throughout an investigation. </w:t>
      </w:r>
    </w:p>
    <w:p w14:paraId="1EB4C287" w14:textId="77777777" w:rsidR="007A25F2" w:rsidRPr="00670684" w:rsidRDefault="007A25F2" w:rsidP="007A25F2">
      <w:pPr>
        <w:pStyle w:val="NormalWeb"/>
        <w:shd w:val="clear" w:color="auto" w:fill="FFFFFF"/>
        <w:spacing w:before="0" w:beforeAutospacing="0" w:after="300" w:afterAutospacing="0" w:line="360" w:lineRule="auto"/>
        <w:rPr>
          <w:rFonts w:asciiTheme="minorHAnsi" w:hAnsiTheme="minorHAnsi" w:cstheme="minorHAnsi"/>
          <w:sz w:val="22"/>
          <w:szCs w:val="22"/>
        </w:rPr>
      </w:pPr>
      <w:r w:rsidRPr="00670684">
        <w:rPr>
          <w:rFonts w:asciiTheme="minorHAnsi" w:hAnsiTheme="minorHAnsi" w:cstheme="minorHAnsi"/>
          <w:sz w:val="22"/>
          <w:szCs w:val="22"/>
        </w:rPr>
        <w:br/>
        <w:t xml:space="preserve">Once a suspect is in police custody and has been interviewed, officers must decide whether to charge and remand the suspect, release them on conditional bail, or release them under investigation (RUI). Releasing a suspect under investigation offers no protection to the victim. A report by HM Crown Prosecution Service Inspectorate revealed that RUI leaves many victims without the reassurance and protection that bail conditions provide (HM Crown Prosecution Service Inspectorate, 2020). Research from </w:t>
      </w:r>
      <w:proofErr w:type="spellStart"/>
      <w:r w:rsidRPr="00670684">
        <w:rPr>
          <w:rFonts w:asciiTheme="minorHAnsi" w:hAnsiTheme="minorHAnsi" w:cstheme="minorHAnsi"/>
          <w:sz w:val="22"/>
          <w:szCs w:val="22"/>
        </w:rPr>
        <w:t>BritainThinks</w:t>
      </w:r>
      <w:proofErr w:type="spellEnd"/>
      <w:r w:rsidRPr="00670684">
        <w:rPr>
          <w:rFonts w:asciiTheme="minorHAnsi" w:hAnsiTheme="minorHAnsi" w:cstheme="minorHAnsi"/>
          <w:sz w:val="22"/>
          <w:szCs w:val="22"/>
        </w:rPr>
        <w:t xml:space="preserve"> indicated that victims often feel their crime hasn't been taken seriously when suspects are RUI (</w:t>
      </w:r>
      <w:proofErr w:type="spellStart"/>
      <w:r w:rsidRPr="00670684">
        <w:rPr>
          <w:rFonts w:asciiTheme="minorHAnsi" w:hAnsiTheme="minorHAnsi" w:cstheme="minorHAnsi"/>
          <w:sz w:val="22"/>
          <w:szCs w:val="22"/>
        </w:rPr>
        <w:t>BritainThinks</w:t>
      </w:r>
      <w:proofErr w:type="spellEnd"/>
      <w:r w:rsidRPr="00670684">
        <w:rPr>
          <w:rFonts w:asciiTheme="minorHAnsi" w:hAnsiTheme="minorHAnsi" w:cstheme="minorHAnsi"/>
          <w:sz w:val="22"/>
          <w:szCs w:val="22"/>
        </w:rPr>
        <w:t>, 2020).</w:t>
      </w:r>
    </w:p>
    <w:p w14:paraId="179778DB" w14:textId="77777777" w:rsidR="007A25F2" w:rsidRPr="00670684" w:rsidRDefault="007A25F2" w:rsidP="007A25F2">
      <w:pPr>
        <w:pStyle w:val="NormalWeb"/>
        <w:shd w:val="clear" w:color="auto" w:fill="FFFFFF"/>
        <w:spacing w:before="300" w:beforeAutospacing="0" w:after="0" w:afterAutospacing="0" w:line="360" w:lineRule="auto"/>
        <w:rPr>
          <w:rFonts w:asciiTheme="minorHAnsi" w:hAnsiTheme="minorHAnsi" w:cstheme="minorHAnsi"/>
          <w:sz w:val="22"/>
          <w:szCs w:val="22"/>
        </w:rPr>
      </w:pPr>
      <w:r w:rsidRPr="00670684">
        <w:rPr>
          <w:rFonts w:asciiTheme="minorHAnsi" w:hAnsiTheme="minorHAnsi" w:cstheme="minorHAnsi"/>
          <w:sz w:val="22"/>
          <w:szCs w:val="22"/>
        </w:rPr>
        <w:t>One option that can offer support to victims is conditional bail. Conditional bail allows officers to attach terms to bail, which may protect victims or witnesses, preserve evidence, and reduce the risk of further criminal activity (Home Office, 2023). These terms could include prohibiting contact with the victim or visiting their address.</w:t>
      </w:r>
    </w:p>
    <w:p w14:paraId="29042BCC"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2010FA77" w14:textId="501CF926"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My job as an investigator is to involve the victim in the process of deciding </w:t>
      </w:r>
      <w:proofErr w:type="gramStart"/>
      <w:r w:rsidRPr="00670684">
        <w:rPr>
          <w:rFonts w:asciiTheme="minorHAnsi" w:hAnsiTheme="minorHAnsi" w:cstheme="minorHAnsi"/>
          <w:color w:val="auto"/>
          <w:sz w:val="22"/>
          <w:szCs w:val="22"/>
        </w:rPr>
        <w:t>whether or not</w:t>
      </w:r>
      <w:proofErr w:type="gramEnd"/>
      <w:r w:rsidRPr="00670684">
        <w:rPr>
          <w:rFonts w:asciiTheme="minorHAnsi" w:hAnsiTheme="minorHAnsi" w:cstheme="minorHAnsi"/>
          <w:color w:val="auto"/>
          <w:sz w:val="22"/>
          <w:szCs w:val="22"/>
        </w:rPr>
        <w:t xml:space="preserve"> bailing the suspect is a suitable option. To do this I must: first, seek the views of the victim where practicable on whether conditions should be imposed, and if so what conditions. The final bail </w:t>
      </w:r>
      <w:r w:rsidRPr="00670684">
        <w:rPr>
          <w:rFonts w:asciiTheme="minorHAnsi" w:hAnsiTheme="minorHAnsi" w:cstheme="minorHAnsi"/>
          <w:color w:val="auto"/>
          <w:sz w:val="22"/>
          <w:szCs w:val="22"/>
        </w:rPr>
        <w:t>decision,</w:t>
      </w:r>
      <w:r w:rsidRPr="00670684">
        <w:rPr>
          <w:rFonts w:asciiTheme="minorHAnsi" w:hAnsiTheme="minorHAnsi" w:cstheme="minorHAnsi"/>
          <w:color w:val="auto"/>
          <w:sz w:val="22"/>
          <w:szCs w:val="22"/>
        </w:rPr>
        <w:t xml:space="preserve"> however, will remain with the police.</w:t>
      </w:r>
    </w:p>
    <w:p w14:paraId="46657A67" w14:textId="77777777" w:rsidR="007A25F2" w:rsidRPr="00670684" w:rsidRDefault="007A25F2" w:rsidP="007A25F2">
      <w:pPr>
        <w:pStyle w:val="NormalWeb"/>
        <w:shd w:val="clear" w:color="auto" w:fill="FFFFFF"/>
        <w:spacing w:before="0" w:beforeAutospacing="0" w:after="0" w:afterAutospacing="0" w:line="360" w:lineRule="auto"/>
        <w:rPr>
          <w:rFonts w:asciiTheme="minorHAnsi" w:hAnsiTheme="minorHAnsi" w:cstheme="minorHAnsi"/>
          <w:sz w:val="22"/>
          <w:szCs w:val="22"/>
        </w:rPr>
      </w:pPr>
    </w:p>
    <w:p w14:paraId="3E158CB9" w14:textId="77777777" w:rsidR="007A25F2" w:rsidRPr="00670684" w:rsidRDefault="007A25F2" w:rsidP="007A25F2">
      <w:pPr>
        <w:pStyle w:val="NormalWeb"/>
        <w:shd w:val="clear" w:color="auto" w:fill="FFFFFF"/>
        <w:spacing w:before="0" w:beforeAutospacing="0" w:after="0" w:afterAutospacing="0" w:line="360" w:lineRule="auto"/>
        <w:rPr>
          <w:rFonts w:asciiTheme="minorHAnsi" w:hAnsiTheme="minorHAnsi" w:cstheme="minorHAnsi"/>
          <w:sz w:val="22"/>
          <w:szCs w:val="22"/>
        </w:rPr>
      </w:pPr>
      <w:r w:rsidRPr="00670684">
        <w:rPr>
          <w:rFonts w:asciiTheme="minorHAnsi" w:hAnsiTheme="minorHAnsi" w:cstheme="minorHAnsi"/>
          <w:sz w:val="22"/>
          <w:szCs w:val="22"/>
        </w:rPr>
        <w:t>I must then conduct a risk assessment of the case, including the risk to the victim, witnesses, public, investigation and the suspect, to form the basis of their discussion with the custody officer on appropriate release options. Record their justification as part of their investigation log.</w:t>
      </w:r>
    </w:p>
    <w:p w14:paraId="5BC45DBC" w14:textId="77777777" w:rsidR="007A25F2" w:rsidRPr="00670684" w:rsidRDefault="007A25F2" w:rsidP="007A25F2">
      <w:pPr>
        <w:pStyle w:val="NormalWeb"/>
        <w:shd w:val="clear" w:color="auto" w:fill="FFFFFF"/>
        <w:spacing w:before="0" w:beforeAutospacing="0" w:after="0" w:afterAutospacing="0" w:line="360" w:lineRule="auto"/>
        <w:rPr>
          <w:rFonts w:asciiTheme="minorHAnsi" w:hAnsiTheme="minorHAnsi" w:cstheme="minorHAnsi"/>
          <w:sz w:val="22"/>
          <w:szCs w:val="22"/>
        </w:rPr>
      </w:pPr>
    </w:p>
    <w:p w14:paraId="174CEEE9" w14:textId="77777777" w:rsidR="007A25F2" w:rsidRPr="00670684" w:rsidRDefault="007A25F2" w:rsidP="007A25F2">
      <w:pPr>
        <w:pStyle w:val="NormalWeb"/>
        <w:shd w:val="clear" w:color="auto" w:fill="FFFFFF"/>
        <w:spacing w:before="0" w:beforeAutospacing="0" w:after="0" w:afterAutospacing="0" w:line="360" w:lineRule="auto"/>
        <w:rPr>
          <w:rFonts w:asciiTheme="minorHAnsi" w:hAnsiTheme="minorHAnsi" w:cstheme="minorHAnsi"/>
          <w:sz w:val="22"/>
          <w:szCs w:val="22"/>
        </w:rPr>
      </w:pPr>
      <w:r w:rsidRPr="00670684">
        <w:rPr>
          <w:rFonts w:asciiTheme="minorHAnsi" w:hAnsiTheme="minorHAnsi" w:cstheme="minorHAnsi"/>
          <w:sz w:val="22"/>
          <w:szCs w:val="22"/>
        </w:rPr>
        <w:t>consider other protective orders or actions that can add to the web of protection. Pre-charge bail should not be used in isolation where there is a risk of harm to the victim, witnesses, suspect or the public.</w:t>
      </w:r>
    </w:p>
    <w:p w14:paraId="7D760C8D" w14:textId="77777777" w:rsidR="007A25F2" w:rsidRPr="00670684" w:rsidRDefault="007A25F2" w:rsidP="007A25F2">
      <w:pPr>
        <w:pStyle w:val="NormalWeb"/>
        <w:shd w:val="clear" w:color="auto" w:fill="FFFFFF"/>
        <w:spacing w:before="0" w:beforeAutospacing="0" w:after="0" w:afterAutospacing="0" w:line="360" w:lineRule="auto"/>
        <w:rPr>
          <w:rFonts w:asciiTheme="minorHAnsi" w:hAnsiTheme="minorHAnsi" w:cstheme="minorHAnsi"/>
          <w:sz w:val="22"/>
          <w:szCs w:val="22"/>
        </w:rPr>
      </w:pPr>
    </w:p>
    <w:p w14:paraId="34CC67FF" w14:textId="6CD5501A" w:rsidR="007A25F2" w:rsidRPr="00670684" w:rsidRDefault="007A25F2" w:rsidP="007A25F2">
      <w:pPr>
        <w:pStyle w:val="NormalWeb"/>
        <w:shd w:val="clear" w:color="auto" w:fill="FFFFFF"/>
        <w:spacing w:before="0" w:beforeAutospacing="0" w:after="0" w:afterAutospacing="0" w:line="360" w:lineRule="auto"/>
        <w:rPr>
          <w:rFonts w:asciiTheme="minorHAnsi" w:hAnsiTheme="minorHAnsi" w:cstheme="minorHAnsi"/>
          <w:sz w:val="22"/>
          <w:szCs w:val="22"/>
        </w:rPr>
      </w:pPr>
      <w:r w:rsidRPr="00670684">
        <w:rPr>
          <w:rFonts w:asciiTheme="minorHAnsi" w:hAnsiTheme="minorHAnsi" w:cstheme="minorHAnsi"/>
          <w:sz w:val="22"/>
          <w:szCs w:val="22"/>
        </w:rPr>
        <w:lastRenderedPageBreak/>
        <w:t xml:space="preserve">Communication with the victim is key. As mentioned above, failing to communicate the process and decision to bail effectively can cause further harm to the victim as part of this I must ensure appropriate communication is established with all victims </w:t>
      </w:r>
      <w:r w:rsidRPr="00670684">
        <w:rPr>
          <w:rFonts w:asciiTheme="minorHAnsi" w:hAnsiTheme="minorHAnsi" w:cstheme="minorHAnsi"/>
          <w:sz w:val="22"/>
          <w:szCs w:val="22"/>
        </w:rPr>
        <w:t>including</w:t>
      </w:r>
      <w:r w:rsidRPr="00670684">
        <w:rPr>
          <w:rFonts w:asciiTheme="minorHAnsi" w:hAnsiTheme="minorHAnsi" w:cstheme="minorHAnsi"/>
          <w:sz w:val="22"/>
          <w:szCs w:val="22"/>
        </w:rPr>
        <w:t xml:space="preserve"> children, vulnerable </w:t>
      </w:r>
      <w:proofErr w:type="gramStart"/>
      <w:r w:rsidRPr="00670684">
        <w:rPr>
          <w:rFonts w:asciiTheme="minorHAnsi" w:hAnsiTheme="minorHAnsi" w:cstheme="minorHAnsi"/>
          <w:sz w:val="22"/>
          <w:szCs w:val="22"/>
        </w:rPr>
        <w:t>adults</w:t>
      </w:r>
      <w:proofErr w:type="gramEnd"/>
      <w:r w:rsidRPr="00670684">
        <w:rPr>
          <w:rFonts w:asciiTheme="minorHAnsi" w:hAnsiTheme="minorHAnsi" w:cstheme="minorHAnsi"/>
          <w:sz w:val="22"/>
          <w:szCs w:val="22"/>
        </w:rPr>
        <w:t xml:space="preserve"> and suspects with special educational needs. Investigators must ensure the persons involved fully understand the bail process in a way that is meaningful to them. It is vital the suspect understands the consequences of breaching their bail or committing further offences, and the process they may be subject to if this occurs. (Home Office 2020)</w:t>
      </w:r>
    </w:p>
    <w:p w14:paraId="20BE7555"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45A81399"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5C04A6A1" w14:textId="4146E090"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Conditional bail offers protection in the form of a set of rules for the suspect to follow with the threat of being arrested they are to breach their bail, although it is not an </w:t>
      </w:r>
      <w:r w:rsidRPr="00670684">
        <w:rPr>
          <w:rFonts w:asciiTheme="minorHAnsi" w:hAnsiTheme="minorHAnsi" w:cstheme="minorHAnsi"/>
          <w:color w:val="auto"/>
          <w:sz w:val="22"/>
          <w:szCs w:val="22"/>
        </w:rPr>
        <w:t>offence, they</w:t>
      </w:r>
      <w:r w:rsidRPr="00670684">
        <w:rPr>
          <w:rFonts w:asciiTheme="minorHAnsi" w:hAnsiTheme="minorHAnsi" w:cstheme="minorHAnsi"/>
          <w:color w:val="auto"/>
          <w:sz w:val="22"/>
          <w:szCs w:val="22"/>
        </w:rPr>
        <w:t xml:space="preserve"> can be arrested again for the original offence, however, conditional bail does not physically prevent suspects committing further crime against the victim.</w:t>
      </w:r>
    </w:p>
    <w:p w14:paraId="3979445B"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7C40370A" w14:textId="02701058"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Another option to protect vulnerable victims of crime is to remand the suspect into custody. </w:t>
      </w:r>
      <w:r w:rsidRPr="00670684">
        <w:rPr>
          <w:rFonts w:asciiTheme="minorHAnsi" w:hAnsiTheme="minorHAnsi" w:cstheme="minorHAnsi"/>
          <w:color w:val="auto"/>
          <w:sz w:val="22"/>
          <w:szCs w:val="22"/>
        </w:rPr>
        <w:t>To</w:t>
      </w:r>
      <w:r w:rsidRPr="00670684">
        <w:rPr>
          <w:rFonts w:asciiTheme="minorHAnsi" w:hAnsiTheme="minorHAnsi" w:cstheme="minorHAnsi"/>
          <w:color w:val="auto"/>
          <w:sz w:val="22"/>
          <w:szCs w:val="22"/>
        </w:rPr>
        <w:t xml:space="preserve"> do this, there must be enough evidence for the Crown Prosecution Service to charge the individual. When a person is charged with a crime and held in police </w:t>
      </w:r>
      <w:r w:rsidRPr="00670684">
        <w:rPr>
          <w:rFonts w:asciiTheme="minorHAnsi" w:hAnsiTheme="minorHAnsi" w:cstheme="minorHAnsi"/>
          <w:color w:val="auto"/>
          <w:sz w:val="22"/>
          <w:szCs w:val="22"/>
        </w:rPr>
        <w:t>custody,</w:t>
      </w:r>
      <w:r w:rsidRPr="00670684">
        <w:rPr>
          <w:rFonts w:asciiTheme="minorHAnsi" w:hAnsiTheme="minorHAnsi" w:cstheme="minorHAnsi"/>
          <w:color w:val="auto"/>
          <w:sz w:val="22"/>
          <w:szCs w:val="22"/>
        </w:rPr>
        <w:t xml:space="preserve"> they must be brought to the first available court for the court to decide whether they should continue to be held (remanded) in custody.</w:t>
      </w:r>
    </w:p>
    <w:p w14:paraId="468C6E9F"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147CAA7F" w14:textId="712066EC" w:rsidR="007A25F2" w:rsidRPr="00670684" w:rsidRDefault="007A25F2" w:rsidP="007A25F2">
      <w:pPr>
        <w:shd w:val="clear" w:color="auto" w:fill="FFFFFF"/>
        <w:overflowPunct/>
        <w:autoSpaceDE/>
        <w:autoSpaceDN/>
        <w:adjustRightInd/>
        <w:spacing w:before="240" w:after="360"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Public Prosecution Service (PPS) must then consider the charges and if there is still a need to keep the person in custody. The PPS will ask the court to remand someone in custody if they consider that there is a risk of the </w:t>
      </w:r>
      <w:r w:rsidRPr="00670684">
        <w:rPr>
          <w:rFonts w:asciiTheme="minorHAnsi" w:hAnsiTheme="minorHAnsi" w:cstheme="minorHAnsi"/>
          <w:color w:val="auto"/>
          <w:sz w:val="22"/>
          <w:szCs w:val="22"/>
        </w:rPr>
        <w:t>defendant,</w:t>
      </w:r>
      <w:r w:rsidRPr="00670684">
        <w:rPr>
          <w:rFonts w:asciiTheme="minorHAnsi" w:hAnsiTheme="minorHAnsi" w:cstheme="minorHAnsi"/>
          <w:color w:val="auto"/>
          <w:sz w:val="22"/>
          <w:szCs w:val="22"/>
        </w:rPr>
        <w:t xml:space="preserve"> running away, interfering </w:t>
      </w:r>
      <w:r w:rsidRPr="00670684">
        <w:rPr>
          <w:rFonts w:asciiTheme="minorHAnsi" w:hAnsiTheme="minorHAnsi" w:cstheme="minorHAnsi"/>
          <w:color w:val="auto"/>
          <w:sz w:val="22"/>
          <w:szCs w:val="22"/>
        </w:rPr>
        <w:t>with,</w:t>
      </w:r>
      <w:r w:rsidRPr="00670684">
        <w:rPr>
          <w:rFonts w:asciiTheme="minorHAnsi" w:hAnsiTheme="minorHAnsi" w:cstheme="minorHAnsi"/>
          <w:color w:val="auto"/>
          <w:sz w:val="22"/>
          <w:szCs w:val="22"/>
        </w:rPr>
        <w:t xml:space="preserve"> or threatening witnesses, perverting the course of justice, committing further offences or being a threat to public order</w:t>
      </w:r>
      <w:r>
        <w:rPr>
          <w:rFonts w:asciiTheme="minorHAnsi" w:hAnsiTheme="minorHAnsi" w:cstheme="minorHAnsi"/>
          <w:color w:val="auto"/>
          <w:sz w:val="22"/>
          <w:szCs w:val="22"/>
        </w:rPr>
        <w:t>.</w:t>
      </w:r>
    </w:p>
    <w:p w14:paraId="0DA590B9"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If a defendant is remanded in custody they will be kept in prison and required to appear in court. (NI Direct, 2016). This prevents the suspect being able to contact or cause any further harm to the victim. </w:t>
      </w:r>
    </w:p>
    <w:p w14:paraId="23ADC0BB"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5BC79043" w14:textId="77777777" w:rsidR="007A25F2" w:rsidRPr="00670684" w:rsidRDefault="007A25F2" w:rsidP="007A25F2">
      <w:pPr>
        <w:shd w:val="clear" w:color="auto" w:fill="FFFFFF"/>
        <w:overflowPunct/>
        <w:autoSpaceDE/>
        <w:autoSpaceDN/>
        <w:adjustRightInd/>
        <w:spacing w:before="240" w:after="360" w:line="360" w:lineRule="auto"/>
        <w:textAlignment w:val="auto"/>
        <w:rPr>
          <w:rFonts w:asciiTheme="minorHAnsi" w:hAnsiTheme="minorHAnsi" w:cstheme="minorHAnsi"/>
          <w:color w:val="auto"/>
          <w:sz w:val="22"/>
          <w:szCs w:val="22"/>
          <w:u w:val="single"/>
        </w:rPr>
      </w:pPr>
      <w:r w:rsidRPr="00670684">
        <w:rPr>
          <w:rFonts w:asciiTheme="minorHAnsi" w:hAnsiTheme="minorHAnsi" w:cstheme="minorHAnsi"/>
          <w:color w:val="auto"/>
          <w:sz w:val="22"/>
          <w:szCs w:val="22"/>
          <w:u w:val="single"/>
        </w:rPr>
        <w:t xml:space="preserve">Tackling repeat victimisation and reoffending </w:t>
      </w:r>
    </w:p>
    <w:p w14:paraId="11F63B60" w14:textId="77777777" w:rsidR="007A25F2" w:rsidRPr="00670684"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In this case I utilised a range of methods to try and prevent the victim being targeted again. </w:t>
      </w:r>
    </w:p>
    <w:p w14:paraId="2E508DF8" w14:textId="6357DE8D" w:rsidR="007A25F2" w:rsidRPr="00670684"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lastRenderedPageBreak/>
        <w:t xml:space="preserve">Firstly, I worked with the community safety teams around target hardening. They contact the victim and </w:t>
      </w:r>
      <w:r w:rsidRPr="00670684">
        <w:rPr>
          <w:rFonts w:asciiTheme="minorHAnsi" w:hAnsiTheme="minorHAnsi" w:cstheme="minorHAnsi"/>
          <w:color w:val="auto"/>
          <w:sz w:val="22"/>
          <w:szCs w:val="22"/>
        </w:rPr>
        <w:t>arrange</w:t>
      </w:r>
      <w:r w:rsidRPr="00670684">
        <w:rPr>
          <w:rFonts w:asciiTheme="minorHAnsi" w:hAnsiTheme="minorHAnsi" w:cstheme="minorHAnsi"/>
          <w:color w:val="auto"/>
          <w:sz w:val="22"/>
          <w:szCs w:val="22"/>
        </w:rPr>
        <w:t xml:space="preserve"> to go to the property and change the locks as well as installing CCTV, a ring </w:t>
      </w:r>
      <w:r w:rsidRPr="00670684">
        <w:rPr>
          <w:rFonts w:asciiTheme="minorHAnsi" w:hAnsiTheme="minorHAnsi" w:cstheme="minorHAnsi"/>
          <w:color w:val="auto"/>
          <w:sz w:val="22"/>
          <w:szCs w:val="22"/>
        </w:rPr>
        <w:t>doorbell,</w:t>
      </w:r>
      <w:r w:rsidRPr="00670684">
        <w:rPr>
          <w:rFonts w:asciiTheme="minorHAnsi" w:hAnsiTheme="minorHAnsi" w:cstheme="minorHAnsi"/>
          <w:color w:val="auto"/>
          <w:sz w:val="22"/>
          <w:szCs w:val="22"/>
        </w:rPr>
        <w:t xml:space="preserve"> and further bolts on the doors to stop anyone gaining access.</w:t>
      </w:r>
    </w:p>
    <w:p w14:paraId="6363307E" w14:textId="1A01454C" w:rsidR="007A25F2" w:rsidRPr="00670684" w:rsidRDefault="007A25F2" w:rsidP="007A25F2">
      <w:pPr>
        <w:pStyle w:val="NormalWeb"/>
        <w:spacing w:before="0" w:beforeAutospacing="0" w:after="360" w:afterAutospacing="0" w:line="360" w:lineRule="auto"/>
        <w:rPr>
          <w:rFonts w:asciiTheme="minorHAnsi" w:hAnsiTheme="minorHAnsi" w:cstheme="minorHAnsi"/>
          <w:spacing w:val="3"/>
          <w:sz w:val="22"/>
          <w:szCs w:val="22"/>
        </w:rPr>
      </w:pPr>
      <w:r w:rsidRPr="00670684">
        <w:rPr>
          <w:rFonts w:asciiTheme="minorHAnsi" w:hAnsiTheme="minorHAnsi" w:cstheme="minorHAnsi"/>
          <w:spacing w:val="3"/>
          <w:sz w:val="22"/>
          <w:szCs w:val="22"/>
        </w:rPr>
        <w:t xml:space="preserve">Evidence-based policing (EBP) means that the best available evidence is used to inform and challenge policing policies, </w:t>
      </w:r>
      <w:r w:rsidRPr="00670684">
        <w:rPr>
          <w:rFonts w:asciiTheme="minorHAnsi" w:hAnsiTheme="minorHAnsi" w:cstheme="minorHAnsi"/>
          <w:spacing w:val="3"/>
          <w:sz w:val="22"/>
          <w:szCs w:val="22"/>
        </w:rPr>
        <w:t>practices,</w:t>
      </w:r>
      <w:r w:rsidRPr="00670684">
        <w:rPr>
          <w:rFonts w:asciiTheme="minorHAnsi" w:hAnsiTheme="minorHAnsi" w:cstheme="minorHAnsi"/>
          <w:spacing w:val="3"/>
          <w:sz w:val="22"/>
          <w:szCs w:val="22"/>
        </w:rPr>
        <w:t xml:space="preserve"> and decisions. This can be used by everything within policing. </w:t>
      </w:r>
    </w:p>
    <w:p w14:paraId="6F4843F6" w14:textId="77777777" w:rsidR="007A25F2" w:rsidRPr="00670684" w:rsidRDefault="007A25F2" w:rsidP="007A25F2">
      <w:pPr>
        <w:pStyle w:val="NormalWeb"/>
        <w:spacing w:before="0" w:beforeAutospacing="0" w:after="360" w:afterAutospacing="0" w:line="360" w:lineRule="auto"/>
        <w:rPr>
          <w:rFonts w:asciiTheme="minorHAnsi" w:hAnsiTheme="minorHAnsi" w:cstheme="minorHAnsi"/>
          <w:spacing w:val="3"/>
          <w:sz w:val="22"/>
          <w:szCs w:val="22"/>
        </w:rPr>
      </w:pPr>
      <w:r w:rsidRPr="00670684">
        <w:rPr>
          <w:rFonts w:asciiTheme="minorHAnsi" w:hAnsiTheme="minorHAnsi" w:cstheme="minorHAnsi"/>
          <w:spacing w:val="3"/>
          <w:sz w:val="22"/>
          <w:szCs w:val="22"/>
        </w:rPr>
        <w:t xml:space="preserve">Using the EBP approach is useful when looking at ways of tackling reoffending and repeat victimisation and </w:t>
      </w:r>
      <w:r w:rsidRPr="00670684">
        <w:rPr>
          <w:rFonts w:asciiTheme="minorHAnsi" w:hAnsiTheme="minorHAnsi" w:cstheme="minorHAnsi"/>
          <w:sz w:val="22"/>
          <w:szCs w:val="22"/>
        </w:rPr>
        <w:t>develop a better understanding of an issue – by describing the nature, extent and possible causes of a problem or looking at how a change was implemented and assess the effect of a policing intervention – by testing the impact of a new initiative in a specific context or exploring the possible consequences of a change in policing. (College of Policing, “Evidence-Based Policing”, 2023)</w:t>
      </w:r>
    </w:p>
    <w:p w14:paraId="42642DAD"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183922B0" w14:textId="77777777" w:rsidR="007A25F2" w:rsidRPr="00670684"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670684">
        <w:rPr>
          <w:rFonts w:asciiTheme="minorHAnsi" w:hAnsiTheme="minorHAnsi" w:cstheme="minorHAnsi"/>
          <w:color w:val="auto"/>
          <w:sz w:val="22"/>
          <w:szCs w:val="22"/>
        </w:rPr>
        <w:t xml:space="preserve">The college of policing have also created a Crime Reduction Toolkit which officers can use to establish ways of preventing victims becoming victims again. (College of Policing, “Crime Reduction Toolkit”, 2022). </w:t>
      </w:r>
    </w:p>
    <w:p w14:paraId="62F46F6F" w14:textId="77777777" w:rsidR="007A25F2" w:rsidRPr="00670684" w:rsidRDefault="007A25F2" w:rsidP="007A25F2">
      <w:pPr>
        <w:overflowPunct/>
        <w:autoSpaceDE/>
        <w:autoSpaceDN/>
        <w:adjustRightInd/>
        <w:textAlignment w:val="auto"/>
        <w:rPr>
          <w:rFonts w:asciiTheme="minorHAnsi" w:hAnsiTheme="minorHAnsi" w:cstheme="minorHAnsi"/>
          <w:color w:val="auto"/>
          <w:sz w:val="22"/>
          <w:szCs w:val="22"/>
        </w:rPr>
      </w:pPr>
    </w:p>
    <w:p w14:paraId="5663E9B0" w14:textId="77777777" w:rsidR="007A25F2" w:rsidRPr="00670684" w:rsidRDefault="007A25F2" w:rsidP="007A25F2">
      <w:pPr>
        <w:overflowPunct/>
        <w:autoSpaceDE/>
        <w:autoSpaceDN/>
        <w:adjustRightInd/>
        <w:textAlignment w:val="auto"/>
        <w:rPr>
          <w:rFonts w:asciiTheme="minorHAnsi" w:hAnsiTheme="minorHAnsi" w:cstheme="minorHAnsi"/>
          <w:color w:val="auto"/>
          <w:sz w:val="22"/>
          <w:szCs w:val="22"/>
        </w:rPr>
      </w:pPr>
    </w:p>
    <w:p w14:paraId="5208E226" w14:textId="5E2F8EAD" w:rsidR="007A25F2" w:rsidRPr="007A25F2" w:rsidRDefault="007A25F2" w:rsidP="007A25F2">
      <w:pPr>
        <w:overflowPunct/>
        <w:autoSpaceDE/>
        <w:autoSpaceDN/>
        <w:adjustRightInd/>
        <w:textAlignment w:val="auto"/>
        <w:rPr>
          <w:rFonts w:asciiTheme="minorHAnsi" w:hAnsiTheme="minorHAnsi" w:cstheme="minorHAnsi"/>
          <w:b/>
          <w:bCs/>
          <w:color w:val="auto"/>
          <w:sz w:val="22"/>
          <w:szCs w:val="22"/>
        </w:rPr>
      </w:pPr>
      <w:r w:rsidRPr="007A25F2">
        <w:rPr>
          <w:rFonts w:asciiTheme="minorHAnsi" w:hAnsiTheme="minorHAnsi" w:cstheme="minorHAnsi"/>
          <w:b/>
          <w:bCs/>
          <w:color w:val="auto"/>
          <w:sz w:val="22"/>
          <w:szCs w:val="22"/>
        </w:rPr>
        <w:t>Word count: 219</w:t>
      </w:r>
      <w:r w:rsidRPr="007A25F2">
        <w:rPr>
          <w:rFonts w:asciiTheme="minorHAnsi" w:hAnsiTheme="minorHAnsi" w:cstheme="minorHAnsi"/>
          <w:b/>
          <w:bCs/>
          <w:color w:val="auto"/>
          <w:sz w:val="22"/>
          <w:szCs w:val="22"/>
        </w:rPr>
        <w:t>4</w:t>
      </w:r>
    </w:p>
    <w:p w14:paraId="31C918BB" w14:textId="77777777" w:rsidR="007A25F2" w:rsidRPr="00E676F7" w:rsidRDefault="007A25F2"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45D47E2B" w14:textId="77777777" w:rsidR="007A25F2" w:rsidRDefault="007A25F2" w:rsidP="00211695">
      <w:pPr>
        <w:overflowPunct/>
        <w:autoSpaceDE/>
        <w:autoSpaceDN/>
        <w:adjustRightInd/>
        <w:textAlignment w:val="auto"/>
        <w:rPr>
          <w:b/>
          <w:bCs/>
          <w:sz w:val="24"/>
          <w:szCs w:val="24"/>
        </w:rPr>
      </w:pPr>
    </w:p>
    <w:p w14:paraId="071996C8" w14:textId="77777777" w:rsidR="007A25F2" w:rsidRDefault="007A25F2" w:rsidP="00211695">
      <w:pPr>
        <w:overflowPunct/>
        <w:autoSpaceDE/>
        <w:autoSpaceDN/>
        <w:adjustRightInd/>
        <w:textAlignment w:val="auto"/>
        <w:rPr>
          <w:b/>
          <w:bCs/>
          <w:sz w:val="24"/>
          <w:szCs w:val="24"/>
        </w:rPr>
      </w:pPr>
    </w:p>
    <w:p w14:paraId="3067E698" w14:textId="77777777" w:rsidR="007A25F2" w:rsidRDefault="007A25F2" w:rsidP="00211695">
      <w:pPr>
        <w:overflowPunct/>
        <w:autoSpaceDE/>
        <w:autoSpaceDN/>
        <w:adjustRightInd/>
        <w:textAlignment w:val="auto"/>
        <w:rPr>
          <w:b/>
          <w:bCs/>
          <w:sz w:val="24"/>
          <w:szCs w:val="24"/>
        </w:rPr>
      </w:pPr>
    </w:p>
    <w:p w14:paraId="0E45C6C9" w14:textId="77777777" w:rsidR="007A25F2" w:rsidRDefault="007A25F2" w:rsidP="00211695">
      <w:pPr>
        <w:overflowPunct/>
        <w:autoSpaceDE/>
        <w:autoSpaceDN/>
        <w:adjustRightInd/>
        <w:textAlignment w:val="auto"/>
        <w:rPr>
          <w:b/>
          <w:bCs/>
          <w:sz w:val="24"/>
          <w:szCs w:val="24"/>
        </w:rPr>
      </w:pPr>
    </w:p>
    <w:p w14:paraId="4588E88D" w14:textId="77777777" w:rsidR="007A25F2" w:rsidRDefault="007A25F2" w:rsidP="00211695">
      <w:pPr>
        <w:overflowPunct/>
        <w:autoSpaceDE/>
        <w:autoSpaceDN/>
        <w:adjustRightInd/>
        <w:textAlignment w:val="auto"/>
        <w:rPr>
          <w:b/>
          <w:bCs/>
          <w:sz w:val="24"/>
          <w:szCs w:val="24"/>
        </w:rPr>
      </w:pPr>
    </w:p>
    <w:p w14:paraId="46C87EF7" w14:textId="77777777" w:rsidR="007A25F2" w:rsidRDefault="007A25F2" w:rsidP="00211695">
      <w:pPr>
        <w:overflowPunct/>
        <w:autoSpaceDE/>
        <w:autoSpaceDN/>
        <w:adjustRightInd/>
        <w:textAlignment w:val="auto"/>
        <w:rPr>
          <w:b/>
          <w:bCs/>
          <w:sz w:val="24"/>
          <w:szCs w:val="24"/>
        </w:rPr>
      </w:pPr>
    </w:p>
    <w:p w14:paraId="7E0EA33E" w14:textId="77777777" w:rsidR="007A25F2" w:rsidRDefault="007A25F2" w:rsidP="00211695">
      <w:pPr>
        <w:overflowPunct/>
        <w:autoSpaceDE/>
        <w:autoSpaceDN/>
        <w:adjustRightInd/>
        <w:textAlignment w:val="auto"/>
        <w:rPr>
          <w:b/>
          <w:bCs/>
          <w:sz w:val="24"/>
          <w:szCs w:val="24"/>
        </w:rPr>
      </w:pPr>
    </w:p>
    <w:p w14:paraId="23DF27AB" w14:textId="77777777" w:rsidR="007A25F2" w:rsidRDefault="007A25F2" w:rsidP="00211695">
      <w:pPr>
        <w:overflowPunct/>
        <w:autoSpaceDE/>
        <w:autoSpaceDN/>
        <w:adjustRightInd/>
        <w:textAlignment w:val="auto"/>
        <w:rPr>
          <w:b/>
          <w:bCs/>
          <w:sz w:val="24"/>
          <w:szCs w:val="24"/>
        </w:rPr>
      </w:pPr>
    </w:p>
    <w:p w14:paraId="2CAD1662" w14:textId="77777777" w:rsidR="007A25F2" w:rsidRDefault="007A25F2"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6907CE8B" w14:textId="77777777" w:rsidR="007A25F2" w:rsidRPr="007A25F2"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pacing w:val="3"/>
          <w:sz w:val="22"/>
          <w:szCs w:val="22"/>
        </w:rPr>
        <w:t xml:space="preserve">‘An investigation conducted by police officers with a view to it being ascertained whether a person should be charged with an offence, or whether a person charged with an offence is guilty of it.’ </w:t>
      </w:r>
      <w:r w:rsidRPr="007A25F2">
        <w:rPr>
          <w:rFonts w:asciiTheme="minorHAnsi" w:hAnsiTheme="minorHAnsi" w:cstheme="minorHAnsi"/>
          <w:color w:val="auto"/>
          <w:sz w:val="22"/>
          <w:szCs w:val="22"/>
        </w:rPr>
        <w:t>(</w:t>
      </w:r>
      <w:r w:rsidRPr="007A25F2">
        <w:rPr>
          <w:rFonts w:asciiTheme="minorHAnsi" w:hAnsiTheme="minorHAnsi" w:cstheme="minorHAnsi"/>
          <w:i/>
          <w:iCs/>
          <w:color w:val="auto"/>
          <w:sz w:val="22"/>
          <w:szCs w:val="22"/>
        </w:rPr>
        <w:t>Criminal Procedure and Investigations Act, 1996)</w:t>
      </w:r>
    </w:p>
    <w:p w14:paraId="6B8B93FE" w14:textId="77777777" w:rsidR="007A25F2" w:rsidRPr="007A25F2"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570D3B29" w14:textId="77777777" w:rsidR="007A25F2" w:rsidRDefault="007A25F2" w:rsidP="007A25F2">
      <w:pPr>
        <w:pStyle w:val="NormalWeb"/>
        <w:shd w:val="clear" w:color="auto" w:fill="FFFFFF"/>
        <w:spacing w:before="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The investigation I will discuss involves an attempted murder where a mother of two was stabbed on the street. The suspect fled before the police arrived.</w:t>
      </w:r>
    </w:p>
    <w:p w14:paraId="38B9659F" w14:textId="33838189" w:rsidR="007A25F2" w:rsidRPr="007A25F2" w:rsidRDefault="007A25F2" w:rsidP="007A25F2">
      <w:pPr>
        <w:pStyle w:val="NormalWeb"/>
        <w:shd w:val="clear" w:color="auto" w:fill="FFFFFF"/>
        <w:spacing w:before="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When officers reached the scene, the victim was unconscious. A neighbour who witnessed the attack said she had shouted at the suspect, causing him to flee. She provided the victim's address, recognizing her from the street, but not knowing her name. The witness had already called for an ambulance, which arrived just before the police.</w:t>
      </w:r>
    </w:p>
    <w:p w14:paraId="3B7C5B87" w14:textId="77777777" w:rsidR="007A25F2" w:rsidRPr="007A25F2" w:rsidRDefault="007A25F2" w:rsidP="007A25F2">
      <w:pPr>
        <w:pStyle w:val="NormalWeb"/>
        <w:shd w:val="clear" w:color="auto" w:fill="FFFFFF"/>
        <w:spacing w:before="30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 xml:space="preserve">The witness described the attacker and indicated which direction he had fled. She also mentioned that the victim, while briefly conscious, identified her attacker as her ex-partner. </w:t>
      </w:r>
    </w:p>
    <w:p w14:paraId="2CD030EC" w14:textId="77777777" w:rsidR="007A25F2" w:rsidRPr="007A25F2" w:rsidRDefault="007A25F2" w:rsidP="007A25F2">
      <w:pPr>
        <w:spacing w:line="360" w:lineRule="auto"/>
        <w:rPr>
          <w:rFonts w:asciiTheme="minorHAnsi" w:hAnsiTheme="minorHAnsi" w:cstheme="minorHAnsi"/>
          <w:color w:val="auto"/>
          <w:sz w:val="22"/>
          <w:szCs w:val="22"/>
        </w:rPr>
      </w:pPr>
      <w:r w:rsidRPr="007A25F2">
        <w:rPr>
          <w:rFonts w:asciiTheme="minorHAnsi" w:hAnsiTheme="minorHAnsi" w:cstheme="minorHAnsi"/>
          <w:color w:val="auto"/>
          <w:sz w:val="22"/>
          <w:szCs w:val="22"/>
        </w:rPr>
        <w:lastRenderedPageBreak/>
        <w:t xml:space="preserve">There are many phases to an investigation such as this, each phase comes along with its own processes. I am going to describe the processes and describe how I employed them during this investigation. </w:t>
      </w:r>
    </w:p>
    <w:p w14:paraId="49F19045" w14:textId="77777777" w:rsidR="007A25F2" w:rsidRPr="007A25F2" w:rsidRDefault="007A25F2" w:rsidP="007A25F2">
      <w:pPr>
        <w:spacing w:line="360" w:lineRule="auto"/>
        <w:rPr>
          <w:rFonts w:asciiTheme="minorHAnsi" w:hAnsiTheme="minorHAnsi" w:cstheme="minorHAnsi"/>
          <w:color w:val="auto"/>
          <w:sz w:val="22"/>
          <w:szCs w:val="22"/>
        </w:rPr>
      </w:pPr>
      <w:r w:rsidRPr="007A25F2">
        <w:rPr>
          <w:rFonts w:asciiTheme="minorHAnsi" w:hAnsiTheme="minorHAnsi" w:cstheme="minorHAnsi"/>
          <w:color w:val="auto"/>
          <w:sz w:val="22"/>
          <w:szCs w:val="22"/>
        </w:rPr>
        <w:t>The phases are as follows:</w:t>
      </w:r>
    </w:p>
    <w:p w14:paraId="53388C4B" w14:textId="77777777" w:rsidR="007A25F2" w:rsidRPr="007A25F2" w:rsidRDefault="007A25F2" w:rsidP="007A25F2">
      <w:pPr>
        <w:pStyle w:val="ListParagraph"/>
        <w:numPr>
          <w:ilvl w:val="0"/>
          <w:numId w:val="52"/>
        </w:num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Disclosure and case file quality</w:t>
      </w:r>
    </w:p>
    <w:p w14:paraId="3B6B024C" w14:textId="77777777" w:rsidR="007A25F2" w:rsidRPr="007A25F2" w:rsidRDefault="007A25F2" w:rsidP="007A25F2">
      <w:pPr>
        <w:pStyle w:val="NormalWeb"/>
        <w:shd w:val="clear" w:color="auto" w:fill="FFFFFF"/>
        <w:spacing w:before="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The College of Policing mandates that investigators comply with the Criminal Procedure and Investigations Act 1996 (CPIA) and its associated Code of Practice. The disclosure process begins at the outset of an investigation and continues throughout, ensuring all relevant material is properly recorded, retained, reviewed, and ultimately disclosed to the defence via the Crown Prosecution Service (CPS).</w:t>
      </w:r>
    </w:p>
    <w:p w14:paraId="1343EA6A" w14:textId="77777777" w:rsidR="007A25F2" w:rsidRPr="007A25F2" w:rsidRDefault="007A25F2" w:rsidP="007A25F2">
      <w:pPr>
        <w:pStyle w:val="NormalWeb"/>
        <w:shd w:val="clear" w:color="auto" w:fill="FFFFFF"/>
        <w:spacing w:before="30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High-quality case files and comprehensive disclosure are essential to maintain the integrity of the investigative process. Investigators must explore all reasonable and relevant lines of inquiry without bias and ensure all pertinent information is made available to the defence. A failure to do so could result in the case being dismissed, compromising justice, and undermining public trust in the police.</w:t>
      </w:r>
    </w:p>
    <w:p w14:paraId="2F849EF4" w14:textId="77777777" w:rsidR="007A25F2" w:rsidRPr="007A25F2" w:rsidRDefault="007A25F2" w:rsidP="007A25F2">
      <w:pPr>
        <w:pStyle w:val="NormalWeb"/>
        <w:shd w:val="clear" w:color="auto" w:fill="FFFFFF"/>
        <w:spacing w:before="30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Given the serious nature of this case and its extensive media coverage, maintaining accurate and thorough disclosure was critical. Any misstep could lead to a loss of public confidence and harm to the victim and community. Adhering to CPIA and its Code of Practice is crucial to uphold the legal process and ensure justice is served.</w:t>
      </w:r>
    </w:p>
    <w:p w14:paraId="0DD2C432" w14:textId="77777777" w:rsidR="007A25F2" w:rsidRPr="007A25F2" w:rsidRDefault="007A25F2" w:rsidP="007A25F2">
      <w:pPr>
        <w:pStyle w:val="NormalWeb"/>
        <w:spacing w:before="0" w:beforeAutospacing="0" w:after="360" w:afterAutospacing="0" w:line="360" w:lineRule="auto"/>
        <w:rPr>
          <w:rFonts w:asciiTheme="minorHAnsi" w:hAnsiTheme="minorHAnsi" w:cstheme="minorHAnsi"/>
          <w:spacing w:val="3"/>
          <w:sz w:val="22"/>
          <w:szCs w:val="22"/>
        </w:rPr>
      </w:pPr>
      <w:r w:rsidRPr="007A25F2">
        <w:rPr>
          <w:rFonts w:asciiTheme="minorHAnsi" w:hAnsiTheme="minorHAnsi" w:cstheme="minorHAnsi"/>
          <w:sz w:val="22"/>
          <w:szCs w:val="22"/>
        </w:rPr>
        <w:t>(College of Policing, “Investigation Process”, 2013)</w:t>
      </w:r>
    </w:p>
    <w:p w14:paraId="69BD6590" w14:textId="77777777" w:rsidR="007A25F2" w:rsidRPr="007A25F2" w:rsidRDefault="007A25F2" w:rsidP="007A25F2">
      <w:pPr>
        <w:pStyle w:val="ListParagraph"/>
        <w:numPr>
          <w:ilvl w:val="0"/>
          <w:numId w:val="52"/>
        </w:num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Supervision of investigation and investigator</w:t>
      </w:r>
    </w:p>
    <w:p w14:paraId="21EE3662"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 xml:space="preserve">Supervisors have a very important role within an investigation and a huge amount of responsibility lies with them. In the initial stages they first need to review the investigators caseload and support the investigator to identify lines of enquiry and plan the investigation. </w:t>
      </w:r>
    </w:p>
    <w:p w14:paraId="4AA904C0"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 xml:space="preserve">Once the investigation is underway, the supervisor is still expected to play an important role </w:t>
      </w:r>
      <w:proofErr w:type="gramStart"/>
      <w:r w:rsidRPr="007A25F2">
        <w:rPr>
          <w:rFonts w:asciiTheme="minorHAnsi" w:hAnsiTheme="minorHAnsi" w:cstheme="minorHAnsi"/>
          <w:color w:val="auto"/>
          <w:sz w:val="22"/>
          <w:szCs w:val="22"/>
        </w:rPr>
        <w:t>in;</w:t>
      </w:r>
      <w:proofErr w:type="gramEnd"/>
      <w:r w:rsidRPr="007A25F2">
        <w:rPr>
          <w:rFonts w:asciiTheme="minorHAnsi" w:hAnsiTheme="minorHAnsi" w:cstheme="minorHAnsi"/>
          <w:color w:val="auto"/>
          <w:sz w:val="22"/>
          <w:szCs w:val="22"/>
        </w:rPr>
        <w:t xml:space="preserve"> monitoring the investigator and testing hypotheses, reviewing actions taken while assessing and managing risk. The supervisor must also play a vital role in ensuring victims and witnesses receive the support they require. </w:t>
      </w:r>
    </w:p>
    <w:p w14:paraId="5128079A"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lastRenderedPageBreak/>
        <w:t xml:space="preserve">The supervisor is to act as a backstop to ensure nothing is missed and all reasonable lines of enquiry have been explored, rules in relation to disclosure compliance are followed and the investigation runs smoothly.  </w:t>
      </w:r>
    </w:p>
    <w:p w14:paraId="07B86E39"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 xml:space="preserve">In this case, my supervisor implemented regular briefings with all involved professionals as well and one to one advice and guidance. </w:t>
      </w:r>
    </w:p>
    <w:p w14:paraId="49693AED" w14:textId="77777777" w:rsidR="007A25F2" w:rsidRPr="007A25F2" w:rsidRDefault="007A25F2" w:rsidP="007A25F2">
      <w:pPr>
        <w:pStyle w:val="ListParagraph"/>
        <w:numPr>
          <w:ilvl w:val="0"/>
          <w:numId w:val="52"/>
        </w:num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The Investigation</w:t>
      </w:r>
    </w:p>
    <w:p w14:paraId="6506751B"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There are several elements within the investigation phase. These are as follows:</w:t>
      </w:r>
    </w:p>
    <w:p w14:paraId="43C772F0"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3a. Instigation</w:t>
      </w:r>
    </w:p>
    <w:p w14:paraId="55912AC4" w14:textId="77777777" w:rsidR="007A25F2" w:rsidRPr="007A25F2" w:rsidRDefault="007A25F2" w:rsidP="007A25F2">
      <w:pPr>
        <w:pStyle w:val="NormalWeb"/>
        <w:shd w:val="clear" w:color="auto" w:fill="FFFFFF"/>
        <w:spacing w:before="0" w:beforeAutospacing="0" w:after="300" w:afterAutospacing="0" w:line="360" w:lineRule="auto"/>
        <w:rPr>
          <w:rFonts w:asciiTheme="minorHAnsi" w:hAnsiTheme="minorHAnsi" w:cstheme="minorHAnsi"/>
          <w:sz w:val="22"/>
          <w:szCs w:val="22"/>
        </w:rPr>
      </w:pPr>
      <w:r w:rsidRPr="007A25F2">
        <w:rPr>
          <w:rFonts w:asciiTheme="minorHAnsi" w:hAnsiTheme="minorHAnsi" w:cstheme="minorHAnsi"/>
          <w:sz w:val="22"/>
          <w:szCs w:val="22"/>
        </w:rPr>
        <w:t>The initial report of an incident can come from various sources—via a phone call to the Police Service Centre, an in-person visit to a police station, online, or from an officer on patrol. The person receiving the report plays a crucial role in the investigation, as they must quickly gather key information about the incident. This includes details about what happened, who was involved, and any injuries or risks.</w:t>
      </w:r>
    </w:p>
    <w:p w14:paraId="3D228947" w14:textId="77777777" w:rsidR="007A25F2" w:rsidRPr="007A25F2" w:rsidRDefault="007A25F2" w:rsidP="007A25F2">
      <w:pPr>
        <w:pStyle w:val="NormalWeb"/>
        <w:shd w:val="clear" w:color="auto" w:fill="FFFFFF"/>
        <w:spacing w:before="300" w:beforeAutospacing="0" w:after="0" w:afterAutospacing="0" w:line="360" w:lineRule="auto"/>
        <w:rPr>
          <w:rFonts w:asciiTheme="minorHAnsi" w:hAnsiTheme="minorHAnsi" w:cstheme="minorHAnsi"/>
          <w:sz w:val="22"/>
          <w:szCs w:val="22"/>
        </w:rPr>
      </w:pPr>
      <w:r w:rsidRPr="007A25F2">
        <w:rPr>
          <w:rFonts w:asciiTheme="minorHAnsi" w:hAnsiTheme="minorHAnsi" w:cstheme="minorHAnsi"/>
          <w:sz w:val="22"/>
          <w:szCs w:val="22"/>
        </w:rPr>
        <w:t>In this case, the report came from a neighbour who witnessed a stabbing. She provided the victim's location and informed us that the suspect had fled, also giving the direction he went. This information allowed officers to begin their search promptly and to deploy suitably trained personnel, given that the suspect was armed with a knife.</w:t>
      </w:r>
    </w:p>
    <w:p w14:paraId="70F94E18"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3b. Initial investigative actions</w:t>
      </w:r>
    </w:p>
    <w:p w14:paraId="2735DEBD"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Investigators should employ professional curiosity and impartially follow all reasonable lines of enquiry to gather all material whether it points away or towards the suspect.</w:t>
      </w:r>
    </w:p>
    <w:p w14:paraId="58AEC16A" w14:textId="77777777" w:rsidR="007A25F2" w:rsidRPr="007A25F2"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The initial investigative actions also include Golden Hour and Fast-Track actions. These apply to the principle that effective early action can result in securing significant material that would otherwise be lost to the investigation. These early actions could include obtaining forensic examination of an outdoor crime scene to ensure the evidence is collected before it is lost or contaminated. This would be something if not done right away, could be lost forever. (HMICFRS, 2023).</w:t>
      </w:r>
    </w:p>
    <w:p w14:paraId="433EE7A9" w14:textId="77777777" w:rsidR="007A25F2" w:rsidRPr="007A25F2"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5F4A044D" w14:textId="77777777" w:rsidR="007A25F2" w:rsidRPr="007A25F2" w:rsidRDefault="007A25F2" w:rsidP="007A25F2">
      <w:pPr>
        <w:spacing w:line="360" w:lineRule="auto"/>
        <w:rPr>
          <w:rFonts w:asciiTheme="minorHAnsi" w:hAnsiTheme="minorHAnsi" w:cstheme="minorHAnsi"/>
          <w:color w:val="auto"/>
          <w:sz w:val="22"/>
          <w:szCs w:val="22"/>
        </w:rPr>
      </w:pPr>
      <w:r w:rsidRPr="007A25F2">
        <w:rPr>
          <w:rFonts w:asciiTheme="minorHAnsi" w:hAnsiTheme="minorHAnsi" w:cstheme="minorHAnsi"/>
          <w:color w:val="auto"/>
          <w:sz w:val="22"/>
          <w:szCs w:val="22"/>
        </w:rPr>
        <w:lastRenderedPageBreak/>
        <w:t>In most investigations fast-track actions will focus on 3 main areas: victims and witnesses, locations, and the suspects. I am going to look at these areas and critically evaluate the actions I used within this case.</w:t>
      </w:r>
    </w:p>
    <w:p w14:paraId="3593E9DF" w14:textId="77777777" w:rsidR="007A25F2" w:rsidRPr="007A25F2" w:rsidRDefault="007A25F2" w:rsidP="007A25F2">
      <w:pPr>
        <w:spacing w:line="360" w:lineRule="auto"/>
        <w:rPr>
          <w:rFonts w:asciiTheme="minorHAnsi" w:hAnsiTheme="minorHAnsi" w:cstheme="minorHAnsi"/>
          <w:b/>
          <w:bCs/>
          <w:color w:val="auto"/>
          <w:spacing w:val="3"/>
          <w:sz w:val="22"/>
          <w:szCs w:val="22"/>
          <w:u w:val="single"/>
        </w:rPr>
      </w:pPr>
    </w:p>
    <w:p w14:paraId="067FD912" w14:textId="77777777" w:rsidR="007A25F2" w:rsidRPr="007A25F2" w:rsidRDefault="007A25F2" w:rsidP="007A25F2">
      <w:pPr>
        <w:spacing w:line="360" w:lineRule="auto"/>
        <w:rPr>
          <w:rFonts w:asciiTheme="minorHAnsi" w:hAnsiTheme="minorHAnsi" w:cstheme="minorHAnsi"/>
          <w:b/>
          <w:bCs/>
          <w:color w:val="auto"/>
          <w:sz w:val="22"/>
          <w:szCs w:val="22"/>
        </w:rPr>
      </w:pPr>
      <w:r w:rsidRPr="007A25F2">
        <w:rPr>
          <w:rFonts w:asciiTheme="minorHAnsi" w:hAnsiTheme="minorHAnsi" w:cstheme="minorHAnsi"/>
          <w:b/>
          <w:bCs/>
          <w:color w:val="auto"/>
          <w:spacing w:val="3"/>
          <w:sz w:val="22"/>
          <w:szCs w:val="22"/>
        </w:rPr>
        <w:t>Fast-track actions in relation to victims and witnesses:</w:t>
      </w:r>
    </w:p>
    <w:p w14:paraId="71B73ED5" w14:textId="77777777" w:rsidR="007A25F2" w:rsidRPr="007A25F2" w:rsidRDefault="007A25F2" w:rsidP="007A25F2">
      <w:pPr>
        <w:overflowPunct/>
        <w:autoSpaceDE/>
        <w:autoSpaceDN/>
        <w:adjustRightInd/>
        <w:spacing w:after="30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First, I identified the victim and witnesses, gathering their details. Initially, the victim was unconscious without any identification, so we relied on witnesses to determine her identity. They knew her address but not her name. To verify, I checked the address against the Police National Computer and Niche system, which indicated it belonged to a female with two children. I entered the house, as the door was open, to ensure the children weren’t there. Inside, I found photos of the victim with her children and letters addressed to her, confirming her identity.</w:t>
      </w:r>
    </w:p>
    <w:p w14:paraId="1DF27388" w14:textId="77777777" w:rsidR="007A25F2" w:rsidRPr="007A25F2" w:rsidRDefault="007A25F2" w:rsidP="007A25F2">
      <w:pPr>
        <w:overflowPunct/>
        <w:autoSpaceDE/>
        <w:autoSpaceDN/>
        <w:adjustRightInd/>
        <w:spacing w:before="300" w:after="30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The children were of school age, and their school was identified from the photos on the wall. Given that the suspect was on bail for harassing the victim, we alerted the school to lock down and deployed armed officers for additional protection.</w:t>
      </w:r>
    </w:p>
    <w:p w14:paraId="7946EF83" w14:textId="77777777" w:rsidR="007A25F2" w:rsidRPr="007A25F2" w:rsidRDefault="007A25F2" w:rsidP="007A25F2">
      <w:pPr>
        <w:overflowPunct/>
        <w:autoSpaceDE/>
        <w:autoSpaceDN/>
        <w:adjustRightInd/>
        <w:spacing w:before="300" w:after="30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Next, I identified the witnesses, documenting their information and determining their significance. This allowed me to maintain a complete record and prioritise which witnesses required immediate attention. I identified one significant witness who had seen the attack and obtained an initial account from them to prepare for a more detailed interview later.</w:t>
      </w:r>
    </w:p>
    <w:p w14:paraId="315F5CE4" w14:textId="77777777" w:rsidR="007A25F2" w:rsidRPr="007A25F2" w:rsidRDefault="007A25F2" w:rsidP="007A25F2">
      <w:pPr>
        <w:pStyle w:val="NormalWeb"/>
        <w:shd w:val="clear" w:color="auto" w:fill="FFFFFF"/>
        <w:spacing w:before="300" w:beforeAutospacing="0" w:after="0" w:afterAutospacing="0" w:line="360" w:lineRule="auto"/>
        <w:rPr>
          <w:rFonts w:asciiTheme="minorHAnsi" w:hAnsiTheme="minorHAnsi" w:cstheme="minorHAnsi"/>
          <w:sz w:val="22"/>
          <w:szCs w:val="22"/>
        </w:rPr>
      </w:pPr>
      <w:r w:rsidRPr="007A25F2">
        <w:rPr>
          <w:rFonts w:asciiTheme="minorHAnsi" w:hAnsiTheme="minorHAnsi" w:cstheme="minorHAnsi"/>
          <w:sz w:val="22"/>
          <w:szCs w:val="22"/>
        </w:rPr>
        <w:t xml:space="preserve">Safeguarding measures for the victim and witnesses were essential. Given the high risk to the victim, my colleague accompanied her in the ambulance </w:t>
      </w:r>
      <w:r w:rsidRPr="007A25F2">
        <w:rPr>
          <w:rFonts w:asciiTheme="minorHAnsi" w:hAnsiTheme="minorHAnsi" w:cstheme="minorHAnsi"/>
          <w:color w:val="0D0D0D"/>
          <w:sz w:val="22"/>
          <w:szCs w:val="22"/>
        </w:rPr>
        <w:t>both for continuity, security and in case she regained consciousness and could provide more details to aid the investigation.</w:t>
      </w:r>
    </w:p>
    <w:p w14:paraId="327B6AAD" w14:textId="77777777" w:rsidR="007A25F2" w:rsidRPr="007A25F2" w:rsidRDefault="007A25F2" w:rsidP="007A25F2">
      <w:pPr>
        <w:pStyle w:val="NormalWeb"/>
        <w:shd w:val="clear" w:color="auto" w:fill="FFFFFF"/>
        <w:spacing w:before="300" w:beforeAutospacing="0" w:after="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 xml:space="preserve">The victim did regain consciousness during transit and confirmed her identity, along with the identity of the suspect—her ex-partner, who was on bail for harassing her. This suspect was also the person we were actively searching for. </w:t>
      </w:r>
      <w:r w:rsidRPr="007A25F2">
        <w:rPr>
          <w:rFonts w:asciiTheme="minorHAnsi" w:hAnsiTheme="minorHAnsi" w:cstheme="minorHAnsi"/>
          <w:sz w:val="22"/>
          <w:szCs w:val="22"/>
        </w:rPr>
        <w:t xml:space="preserve"> I ensured a hospital watch was in place in case the suspect attempted to find her. Forensic considerations were also critical, so we secured the victim's clothing for examination and collected any potentially relevant equipment used by the ambulance crew.</w:t>
      </w:r>
    </w:p>
    <w:p w14:paraId="43B82C24" w14:textId="77777777" w:rsidR="007A25F2" w:rsidRPr="007A25F2" w:rsidRDefault="007A25F2" w:rsidP="007A25F2">
      <w:pPr>
        <w:overflowPunct/>
        <w:autoSpaceDE/>
        <w:autoSpaceDN/>
        <w:adjustRightInd/>
        <w:spacing w:before="30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Once the victim regained consciousness and was medically cleared, we took her first account. This information helped guide the investigation and provided critical insights into the incident.</w:t>
      </w:r>
    </w:p>
    <w:p w14:paraId="0B822AE3" w14:textId="77777777" w:rsidR="007A25F2" w:rsidRPr="007A25F2" w:rsidRDefault="007A25F2" w:rsidP="007A25F2">
      <w:pPr>
        <w:pBdr>
          <w:bottom w:val="single" w:sz="6" w:space="1" w:color="auto"/>
        </w:pBdr>
        <w:overflowPunct/>
        <w:autoSpaceDE/>
        <w:autoSpaceDN/>
        <w:adjustRightInd/>
        <w:spacing w:line="360" w:lineRule="auto"/>
        <w:jc w:val="center"/>
        <w:textAlignment w:val="auto"/>
        <w:rPr>
          <w:rFonts w:asciiTheme="minorHAnsi" w:hAnsiTheme="minorHAnsi" w:cstheme="minorHAnsi"/>
          <w:vanish/>
          <w:color w:val="auto"/>
          <w:sz w:val="22"/>
          <w:szCs w:val="22"/>
        </w:rPr>
      </w:pPr>
      <w:r w:rsidRPr="007A25F2">
        <w:rPr>
          <w:rFonts w:asciiTheme="minorHAnsi" w:hAnsiTheme="minorHAnsi" w:cstheme="minorHAnsi"/>
          <w:vanish/>
          <w:color w:val="auto"/>
          <w:sz w:val="22"/>
          <w:szCs w:val="22"/>
        </w:rPr>
        <w:t>Top of Form</w:t>
      </w:r>
    </w:p>
    <w:p w14:paraId="1BB3F6B9" w14:textId="77777777" w:rsidR="007A25F2" w:rsidRPr="007A25F2" w:rsidRDefault="007A25F2" w:rsidP="007A25F2">
      <w:pPr>
        <w:overflowPunct/>
        <w:autoSpaceDE/>
        <w:autoSpaceDN/>
        <w:adjustRightInd/>
        <w:spacing w:after="168" w:line="360" w:lineRule="auto"/>
        <w:textAlignment w:val="auto"/>
        <w:outlineLvl w:val="3"/>
        <w:rPr>
          <w:rFonts w:asciiTheme="minorHAnsi" w:hAnsiTheme="minorHAnsi" w:cstheme="minorHAnsi"/>
          <w:b/>
          <w:bCs/>
          <w:color w:val="auto"/>
          <w:spacing w:val="3"/>
          <w:sz w:val="22"/>
          <w:szCs w:val="22"/>
        </w:rPr>
      </w:pPr>
    </w:p>
    <w:p w14:paraId="620CC9C8" w14:textId="77777777" w:rsidR="007A25F2" w:rsidRPr="007A25F2" w:rsidRDefault="007A25F2" w:rsidP="007A25F2">
      <w:pPr>
        <w:overflowPunct/>
        <w:autoSpaceDE/>
        <w:autoSpaceDN/>
        <w:adjustRightInd/>
        <w:spacing w:after="168" w:line="360" w:lineRule="auto"/>
        <w:textAlignment w:val="auto"/>
        <w:outlineLvl w:val="3"/>
        <w:rPr>
          <w:rFonts w:asciiTheme="minorHAnsi" w:hAnsiTheme="minorHAnsi" w:cstheme="minorHAnsi"/>
          <w:b/>
          <w:bCs/>
          <w:color w:val="auto"/>
          <w:spacing w:val="3"/>
          <w:sz w:val="22"/>
          <w:szCs w:val="22"/>
        </w:rPr>
      </w:pPr>
      <w:r w:rsidRPr="007A25F2">
        <w:rPr>
          <w:rFonts w:asciiTheme="minorHAnsi" w:hAnsiTheme="minorHAnsi" w:cstheme="minorHAnsi"/>
          <w:b/>
          <w:bCs/>
          <w:color w:val="auto"/>
          <w:spacing w:val="3"/>
          <w:sz w:val="22"/>
          <w:szCs w:val="22"/>
        </w:rPr>
        <w:lastRenderedPageBreak/>
        <w:t>Fast-track actions linked to the location:</w:t>
      </w:r>
    </w:p>
    <w:p w14:paraId="1FA5EECD" w14:textId="77777777" w:rsidR="007A25F2" w:rsidRPr="007A25F2" w:rsidRDefault="007A25F2" w:rsidP="007A25F2">
      <w:pPr>
        <w:pStyle w:val="NormalWeb"/>
        <w:shd w:val="clear" w:color="auto" w:fill="FFFFFF"/>
        <w:spacing w:before="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br/>
        <w:t>We began by identifying and securing the crime scenes, setting up cordons to protect evidence. Initially, these cordons covered a large area to ensure that no evidence was lost or tampered with. Scene logs were established, and scene guards were deployed to maintain the integrity of the crime scenes. However, large cordons can be disruptive to the community, so we aimed to reduce their size as soon as possible to minimize the impact.</w:t>
      </w:r>
    </w:p>
    <w:p w14:paraId="3BC6EC97" w14:textId="77777777" w:rsidR="007A25F2" w:rsidRPr="007A25F2" w:rsidRDefault="007A25F2" w:rsidP="007A25F2">
      <w:pPr>
        <w:pStyle w:val="NormalWeb"/>
        <w:shd w:val="clear" w:color="auto" w:fill="FFFFFF"/>
        <w:spacing w:before="30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Crime Scene Investigators were contacted immediately since the scenes were outdoors, necessitating rapid action to prevent evidence from being washed away by rain or contaminated. To search for additional evidence, we considered potential access and exit routes and checked known addresses in the area. At this stage, both the suspect and the weapon were still unaccounted for.</w:t>
      </w:r>
    </w:p>
    <w:p w14:paraId="596F2695" w14:textId="77777777" w:rsidR="007A25F2" w:rsidRPr="007A25F2" w:rsidRDefault="007A25F2" w:rsidP="007A25F2">
      <w:pPr>
        <w:pStyle w:val="NormalWeb"/>
        <w:shd w:val="clear" w:color="auto" w:fill="FFFFFF"/>
        <w:spacing w:before="300" w:beforeAutospacing="0" w:after="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We assigned officers to conduct house-to-house inquiries and identify nearby CCTV cameras or other sources of passive data that could provide clues about the suspect's location or movements. Additionally, we exploited "golden hour" opportunities, using digital tools to gather information. Given that we had the suspect's phone number, I attempted live cell site tracking to locate his mobile device. Although this approach didn't yield results, it's a valuable technique for future investigations to narrow down search areas quickly.</w:t>
      </w:r>
    </w:p>
    <w:p w14:paraId="18281825" w14:textId="77777777" w:rsidR="007A25F2" w:rsidRPr="007A25F2" w:rsidRDefault="007A25F2" w:rsidP="007A25F2">
      <w:pPr>
        <w:pStyle w:val="NormalWeb"/>
        <w:shd w:val="clear" w:color="auto" w:fill="FFFFFF"/>
        <w:spacing w:before="300" w:beforeAutospacing="0" w:after="0" w:afterAutospacing="0" w:line="360" w:lineRule="auto"/>
        <w:rPr>
          <w:rFonts w:asciiTheme="minorHAnsi" w:hAnsiTheme="minorHAnsi" w:cstheme="minorHAnsi"/>
          <w:color w:val="0D0D0D"/>
          <w:sz w:val="22"/>
          <w:szCs w:val="22"/>
        </w:rPr>
      </w:pPr>
    </w:p>
    <w:p w14:paraId="5532FA23" w14:textId="77777777" w:rsidR="007A25F2" w:rsidRPr="007A25F2" w:rsidRDefault="007A25F2" w:rsidP="007A25F2">
      <w:pPr>
        <w:overflowPunct/>
        <w:autoSpaceDE/>
        <w:autoSpaceDN/>
        <w:adjustRightInd/>
        <w:spacing w:after="168" w:line="360" w:lineRule="auto"/>
        <w:textAlignment w:val="auto"/>
        <w:outlineLvl w:val="3"/>
        <w:rPr>
          <w:rFonts w:asciiTheme="minorHAnsi" w:hAnsiTheme="minorHAnsi" w:cstheme="minorHAnsi"/>
          <w:b/>
          <w:bCs/>
          <w:color w:val="auto"/>
          <w:spacing w:val="3"/>
          <w:sz w:val="22"/>
          <w:szCs w:val="22"/>
        </w:rPr>
      </w:pPr>
      <w:r w:rsidRPr="007A25F2">
        <w:rPr>
          <w:rFonts w:asciiTheme="minorHAnsi" w:hAnsiTheme="minorHAnsi" w:cstheme="minorHAnsi"/>
          <w:b/>
          <w:bCs/>
          <w:color w:val="auto"/>
          <w:spacing w:val="3"/>
          <w:sz w:val="22"/>
          <w:szCs w:val="22"/>
        </w:rPr>
        <w:t>Fast-track action in relation to suspects:</w:t>
      </w:r>
    </w:p>
    <w:p w14:paraId="1FB3017C" w14:textId="77777777" w:rsidR="007A25F2" w:rsidRPr="007A25F2" w:rsidRDefault="007A25F2" w:rsidP="007A25F2">
      <w:pPr>
        <w:pStyle w:val="NormalWeb"/>
        <w:spacing w:before="0" w:beforeAutospacing="0" w:after="300" w:afterAutospacing="0" w:line="360" w:lineRule="auto"/>
        <w:rPr>
          <w:rFonts w:asciiTheme="minorHAnsi" w:hAnsiTheme="minorHAnsi" w:cstheme="minorHAnsi"/>
          <w:sz w:val="22"/>
          <w:szCs w:val="22"/>
        </w:rPr>
      </w:pPr>
      <w:r w:rsidRPr="007A25F2">
        <w:rPr>
          <w:rFonts w:asciiTheme="minorHAnsi" w:hAnsiTheme="minorHAnsi" w:cstheme="minorHAnsi"/>
          <w:sz w:val="22"/>
          <w:szCs w:val="22"/>
        </w:rPr>
        <w:t>Identifying suspects is a critical first step in any investigation. In this case, we quickly determined the suspect's identity through Niche checks, but his location was unknown. Although we considered Section 60 of the Criminal Justice and Public Order Act 1994, which allows officers to stop and search individuals in a specific area, we decided against it due to its intrusive nature. Given that we had a detailed description, it seemed unnecessary.</w:t>
      </w:r>
    </w:p>
    <w:p w14:paraId="314CB3AF" w14:textId="77777777" w:rsidR="007A25F2" w:rsidRPr="007A25F2" w:rsidRDefault="007A25F2" w:rsidP="007A25F2">
      <w:pPr>
        <w:pStyle w:val="NormalWeb"/>
        <w:spacing w:before="300" w:beforeAutospacing="0" w:after="300" w:afterAutospacing="0" w:line="360" w:lineRule="auto"/>
        <w:rPr>
          <w:rFonts w:asciiTheme="minorHAnsi" w:hAnsiTheme="minorHAnsi" w:cstheme="minorHAnsi"/>
          <w:sz w:val="22"/>
          <w:szCs w:val="22"/>
        </w:rPr>
      </w:pPr>
      <w:r w:rsidRPr="007A25F2">
        <w:rPr>
          <w:rFonts w:asciiTheme="minorHAnsi" w:hAnsiTheme="minorHAnsi" w:cstheme="minorHAnsi"/>
          <w:sz w:val="22"/>
          <w:szCs w:val="22"/>
        </w:rPr>
        <w:t>To locate the suspect, I promptly circulated his name, description, and last known direction over the radio. We then examined possible motives. The suspect had a history of harassment and was on bail for related offenses. The attack appeared to be connected to domestic violence, as he was the victim's former partner, struggling to accept the end of their relationship.</w:t>
      </w:r>
    </w:p>
    <w:p w14:paraId="66961EE8" w14:textId="77777777" w:rsidR="007A25F2" w:rsidRPr="007A25F2" w:rsidRDefault="007A25F2" w:rsidP="007A25F2">
      <w:pPr>
        <w:pStyle w:val="NormalWeb"/>
        <w:spacing w:before="300" w:beforeAutospacing="0" w:after="0" w:afterAutospacing="0" w:line="360" w:lineRule="auto"/>
        <w:rPr>
          <w:rFonts w:asciiTheme="minorHAnsi" w:hAnsiTheme="minorHAnsi" w:cstheme="minorHAnsi"/>
          <w:sz w:val="22"/>
          <w:szCs w:val="22"/>
        </w:rPr>
      </w:pPr>
      <w:r w:rsidRPr="007A25F2">
        <w:rPr>
          <w:rFonts w:asciiTheme="minorHAnsi" w:hAnsiTheme="minorHAnsi" w:cstheme="minorHAnsi"/>
          <w:sz w:val="22"/>
          <w:szCs w:val="22"/>
        </w:rPr>
        <w:lastRenderedPageBreak/>
        <w:t>Our priority was to locate the suspect and prevent further harm. We deployed specially trained officers to find and arrest him, while investigators continued to feed information to the specialist teams.</w:t>
      </w:r>
    </w:p>
    <w:p w14:paraId="282C9E6C" w14:textId="77777777" w:rsidR="007A25F2" w:rsidRPr="007A25F2" w:rsidRDefault="007A25F2" w:rsidP="007A25F2">
      <w:pPr>
        <w:pStyle w:val="z-TopofForm"/>
        <w:spacing w:line="360" w:lineRule="auto"/>
        <w:rPr>
          <w:rFonts w:asciiTheme="minorHAnsi" w:hAnsiTheme="minorHAnsi" w:cstheme="minorHAnsi"/>
          <w:sz w:val="22"/>
          <w:szCs w:val="22"/>
        </w:rPr>
      </w:pPr>
      <w:r w:rsidRPr="007A25F2">
        <w:rPr>
          <w:rFonts w:asciiTheme="minorHAnsi" w:hAnsiTheme="minorHAnsi" w:cstheme="minorHAnsi"/>
          <w:sz w:val="22"/>
          <w:szCs w:val="22"/>
        </w:rPr>
        <w:t>Top of Form</w:t>
      </w:r>
    </w:p>
    <w:p w14:paraId="52C65D8A" w14:textId="77777777" w:rsidR="007A25F2" w:rsidRPr="007A25F2" w:rsidRDefault="007A25F2" w:rsidP="007A25F2">
      <w:pPr>
        <w:spacing w:line="360" w:lineRule="auto"/>
        <w:rPr>
          <w:rFonts w:asciiTheme="minorHAnsi" w:hAnsiTheme="minorHAnsi" w:cstheme="minorHAnsi"/>
          <w:b/>
          <w:bCs/>
          <w:color w:val="auto"/>
          <w:sz w:val="22"/>
          <w:szCs w:val="22"/>
          <w:u w:val="single"/>
        </w:rPr>
      </w:pPr>
    </w:p>
    <w:p w14:paraId="1EFF5BD7" w14:textId="77777777" w:rsidR="007A25F2" w:rsidRPr="007A25F2" w:rsidRDefault="007A25F2" w:rsidP="007A25F2">
      <w:pPr>
        <w:spacing w:line="360" w:lineRule="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3c. Investigation evaluation</w:t>
      </w:r>
    </w:p>
    <w:p w14:paraId="4572FF60" w14:textId="77777777" w:rsidR="007A25F2" w:rsidRPr="007A25F2" w:rsidRDefault="007A25F2" w:rsidP="007A25F2">
      <w:pPr>
        <w:pStyle w:val="NormalWeb"/>
        <w:spacing w:before="0" w:beforeAutospacing="0" w:after="360" w:afterAutospacing="0" w:line="360" w:lineRule="auto"/>
        <w:rPr>
          <w:rFonts w:asciiTheme="minorHAnsi" w:hAnsiTheme="minorHAnsi" w:cstheme="minorHAnsi"/>
          <w:spacing w:val="3"/>
          <w:sz w:val="22"/>
          <w:szCs w:val="22"/>
        </w:rPr>
      </w:pPr>
      <w:r w:rsidRPr="007A25F2">
        <w:rPr>
          <w:rFonts w:asciiTheme="minorHAnsi" w:hAnsiTheme="minorHAnsi" w:cstheme="minorHAnsi"/>
          <w:spacing w:val="3"/>
          <w:sz w:val="22"/>
          <w:szCs w:val="22"/>
        </w:rPr>
        <w:t>Investigative evaluation involves assessing the relevance as well as the reliability of material obtained in the investigation. The investigator must ask themselves, what the material tells them and what they know and still need to find out. Evaluations should be repeated throughout the investigation to ensure lines of enquiries are reviewed and things aren’t missed.</w:t>
      </w:r>
    </w:p>
    <w:p w14:paraId="67BBEF86"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rPr>
      </w:pPr>
      <w:r w:rsidRPr="007A25F2">
        <w:rPr>
          <w:rFonts w:asciiTheme="minorHAnsi" w:hAnsiTheme="minorHAnsi" w:cstheme="minorHAnsi"/>
          <w:b/>
          <w:bCs/>
          <w:color w:val="auto"/>
          <w:sz w:val="22"/>
          <w:szCs w:val="22"/>
        </w:rPr>
        <w:t>3d. Suspect management</w:t>
      </w:r>
    </w:p>
    <w:p w14:paraId="2FE0C5DE"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 xml:space="preserve">This involves </w:t>
      </w:r>
      <w:proofErr w:type="gramStart"/>
      <w:r w:rsidRPr="007A25F2">
        <w:rPr>
          <w:rFonts w:asciiTheme="minorHAnsi" w:hAnsiTheme="minorHAnsi" w:cstheme="minorHAnsi"/>
          <w:color w:val="auto"/>
          <w:sz w:val="22"/>
          <w:szCs w:val="22"/>
        </w:rPr>
        <w:t>the,</w:t>
      </w:r>
      <w:proofErr w:type="gramEnd"/>
      <w:r w:rsidRPr="007A25F2">
        <w:rPr>
          <w:rFonts w:asciiTheme="minorHAnsi" w:hAnsiTheme="minorHAnsi" w:cstheme="minorHAnsi"/>
          <w:color w:val="auto"/>
          <w:sz w:val="22"/>
          <w:szCs w:val="22"/>
        </w:rPr>
        <w:t xml:space="preserve"> identification of the suspect, their arrest and subsequent searches. Suspect management must also consider if the suspect themselves are vulnerable and the risk others pose to them as well as the impact on the suspects family. A risk management plan may need to be created to manage the risk. In this case we recognised that the victim’s family wanted to find the suspect and felt a great deal of anger towards him, however, the family members I considered to pose the greatest risk to the suspect lived in Romania which mitigated this risk greatly. </w:t>
      </w:r>
    </w:p>
    <w:p w14:paraId="5D13957C"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3e &amp; f. Evidential evaluation leading to case file progression:</w:t>
      </w:r>
    </w:p>
    <w:p w14:paraId="535AACF5" w14:textId="77777777" w:rsidR="007A25F2" w:rsidRPr="007A25F2" w:rsidRDefault="007A25F2" w:rsidP="007A25F2">
      <w:pPr>
        <w:overflowPunct/>
        <w:autoSpaceDE/>
        <w:autoSpaceDN/>
        <w:adjustRightInd/>
        <w:spacing w:after="36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pacing w:val="3"/>
          <w:sz w:val="22"/>
          <w:szCs w:val="22"/>
        </w:rPr>
        <w:t xml:space="preserve">“The purpose of this evaluation is to ensure that a robust case is presented to the CPS for a charging decision. The evaluation will consider; </w:t>
      </w:r>
      <w:r w:rsidRPr="007A25F2">
        <w:rPr>
          <w:rFonts w:asciiTheme="minorHAnsi" w:hAnsiTheme="minorHAnsi" w:cstheme="minorHAnsi"/>
          <w:color w:val="auto"/>
          <w:sz w:val="22"/>
          <w:szCs w:val="22"/>
        </w:rPr>
        <w:t>the overall strength of the case</w:t>
      </w:r>
      <w:r w:rsidRPr="007A25F2">
        <w:rPr>
          <w:rFonts w:asciiTheme="minorHAnsi" w:hAnsiTheme="minorHAnsi" w:cstheme="minorHAnsi"/>
          <w:color w:val="auto"/>
          <w:spacing w:val="3"/>
          <w:sz w:val="22"/>
          <w:szCs w:val="22"/>
        </w:rPr>
        <w:t xml:space="preserve"> and </w:t>
      </w:r>
      <w:r w:rsidRPr="007A25F2">
        <w:rPr>
          <w:rFonts w:asciiTheme="minorHAnsi" w:hAnsiTheme="minorHAnsi" w:cstheme="minorHAnsi"/>
          <w:color w:val="auto"/>
          <w:sz w:val="22"/>
          <w:szCs w:val="22"/>
        </w:rPr>
        <w:t>whether sufficient evidence exists against the offender to proceed to charge”.</w:t>
      </w:r>
    </w:p>
    <w:p w14:paraId="58AA16F5" w14:textId="77777777" w:rsidR="007A25F2" w:rsidRPr="007A25F2" w:rsidRDefault="007A25F2" w:rsidP="007A25F2">
      <w:pPr>
        <w:overflowPunct/>
        <w:autoSpaceDE/>
        <w:autoSpaceDN/>
        <w:adjustRightInd/>
        <w:spacing w:after="360" w:line="360" w:lineRule="auto"/>
        <w:textAlignment w:val="auto"/>
        <w:rPr>
          <w:rFonts w:asciiTheme="minorHAnsi" w:hAnsiTheme="minorHAnsi" w:cstheme="minorHAnsi"/>
          <w:color w:val="auto"/>
          <w:spacing w:val="3"/>
          <w:sz w:val="22"/>
          <w:szCs w:val="22"/>
        </w:rPr>
      </w:pPr>
      <w:r w:rsidRPr="007A25F2">
        <w:rPr>
          <w:rFonts w:asciiTheme="minorHAnsi" w:hAnsiTheme="minorHAnsi" w:cstheme="minorHAnsi"/>
          <w:color w:val="auto"/>
          <w:sz w:val="22"/>
          <w:szCs w:val="22"/>
        </w:rPr>
        <w:t xml:space="preserve"> (College of Policing, “Investigation Process”, 2013)</w:t>
      </w:r>
    </w:p>
    <w:p w14:paraId="103F9AAF"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 xml:space="preserve">3g. Criminal justice outcomes </w:t>
      </w:r>
    </w:p>
    <w:p w14:paraId="731DF1B4" w14:textId="77777777" w:rsidR="007A25F2" w:rsidRPr="007A25F2" w:rsidRDefault="007A25F2" w:rsidP="007A25F2">
      <w:pPr>
        <w:pStyle w:val="NormalWeb"/>
        <w:shd w:val="clear" w:color="auto" w:fill="FFFFFF"/>
        <w:spacing w:before="0" w:beforeAutospacing="0" w:after="300" w:afterAutospacing="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Criminal justice outcomes vary, and not every case results in a conviction. Alternatives include out-of-court disposals, restorative justice, no further action, or the defendant being acquitted. Regardless of the outcome, a robust safeguarding strategy must be in place to support the victim, potentially involving civil orders.</w:t>
      </w:r>
    </w:p>
    <w:p w14:paraId="5ECE8731" w14:textId="77777777" w:rsidR="007A25F2" w:rsidRPr="007A25F2" w:rsidRDefault="007A25F2" w:rsidP="007A25F2">
      <w:pPr>
        <w:pStyle w:val="NormalWeb"/>
        <w:shd w:val="clear" w:color="auto" w:fill="FFFFFF"/>
        <w:spacing w:before="300" w:beforeAutospacing="0" w:after="0" w:afterAutospacing="0" w:line="360" w:lineRule="auto"/>
        <w:rPr>
          <w:rFonts w:asciiTheme="minorHAnsi" w:hAnsiTheme="minorHAnsi" w:cstheme="minorHAnsi"/>
          <w:sz w:val="22"/>
          <w:szCs w:val="22"/>
        </w:rPr>
      </w:pPr>
      <w:r w:rsidRPr="007A25F2">
        <w:rPr>
          <w:rFonts w:asciiTheme="minorHAnsi" w:hAnsiTheme="minorHAnsi" w:cstheme="minorHAnsi"/>
          <w:color w:val="0D0D0D"/>
          <w:sz w:val="22"/>
          <w:szCs w:val="22"/>
        </w:rPr>
        <w:lastRenderedPageBreak/>
        <w:t>If a case is referred to the Crown Prosecution Service (CPS) for a charging decision but they decide not to proceed, the victim has the right to request a review under specific circumstances</w:t>
      </w:r>
      <w:r w:rsidRPr="007A25F2">
        <w:rPr>
          <w:rFonts w:asciiTheme="minorHAnsi" w:hAnsiTheme="minorHAnsi" w:cstheme="minorHAnsi"/>
          <w:sz w:val="22"/>
          <w:szCs w:val="22"/>
        </w:rPr>
        <w:t xml:space="preserve">. </w:t>
      </w:r>
    </w:p>
    <w:p w14:paraId="342545EF" w14:textId="77777777" w:rsidR="007A25F2" w:rsidRPr="007A25F2"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(College of Policing, “Investigation Process”, 2013)</w:t>
      </w:r>
    </w:p>
    <w:p w14:paraId="14F8A137"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rPr>
        <w:t>3h. Further investigation</w:t>
      </w:r>
    </w:p>
    <w:p w14:paraId="214D8815"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The investigator should re-create or update an investigative plan based on an analysis of the information collected so far.</w:t>
      </w:r>
    </w:p>
    <w:p w14:paraId="366A63F2" w14:textId="77777777" w:rsidR="007A25F2" w:rsidRPr="007A25F2" w:rsidRDefault="007A25F2" w:rsidP="007A25F2">
      <w:pPr>
        <w:shd w:val="clear" w:color="auto" w:fill="FFFFFF"/>
        <w:spacing w:after="300" w:line="360" w:lineRule="auto"/>
        <w:rPr>
          <w:rFonts w:asciiTheme="minorHAnsi" w:hAnsiTheme="minorHAnsi" w:cstheme="minorHAnsi"/>
          <w:color w:val="0D0D0D"/>
          <w:sz w:val="22"/>
          <w:szCs w:val="22"/>
        </w:rPr>
      </w:pPr>
      <w:r w:rsidRPr="007A25F2">
        <w:rPr>
          <w:rFonts w:asciiTheme="minorHAnsi" w:hAnsiTheme="minorHAnsi" w:cstheme="minorHAnsi"/>
          <w:color w:val="0D0D0D"/>
          <w:sz w:val="22"/>
          <w:szCs w:val="22"/>
        </w:rPr>
        <w:t>As the investigation progresses, the investigator should update the plan based on new information. This plan includes setting objectives, outlining investigative strategies, identifying resource requirements, and charting the path to a successful conclusion.</w:t>
      </w:r>
    </w:p>
    <w:p w14:paraId="2A891E58" w14:textId="77777777" w:rsidR="007A25F2" w:rsidRPr="007A25F2" w:rsidRDefault="007A25F2" w:rsidP="007A25F2">
      <w:pPr>
        <w:overflowPunct/>
        <w:autoSpaceDE/>
        <w:autoSpaceDN/>
        <w:adjustRightInd/>
        <w:spacing w:before="100" w:beforeAutospacing="1" w:after="240" w:line="360" w:lineRule="auto"/>
        <w:textAlignment w:val="auto"/>
        <w:rPr>
          <w:rFonts w:asciiTheme="minorHAnsi" w:hAnsiTheme="minorHAnsi" w:cstheme="minorHAnsi"/>
          <w:b/>
          <w:bCs/>
          <w:color w:val="auto"/>
          <w:sz w:val="22"/>
          <w:szCs w:val="22"/>
          <w:u w:val="single"/>
        </w:rPr>
      </w:pPr>
      <w:r w:rsidRPr="007A25F2">
        <w:rPr>
          <w:rFonts w:asciiTheme="minorHAnsi" w:hAnsiTheme="minorHAnsi" w:cstheme="minorHAnsi"/>
          <w:b/>
          <w:bCs/>
          <w:color w:val="auto"/>
          <w:sz w:val="22"/>
          <w:szCs w:val="22"/>
          <w:u w:val="single"/>
          <w:shd w:val="clear" w:color="auto" w:fill="FFFFFF"/>
        </w:rPr>
        <w:t xml:space="preserve">4. Victim care and support &amp; 5. Managing threat, </w:t>
      </w:r>
      <w:proofErr w:type="gramStart"/>
      <w:r w:rsidRPr="007A25F2">
        <w:rPr>
          <w:rFonts w:asciiTheme="minorHAnsi" w:hAnsiTheme="minorHAnsi" w:cstheme="minorHAnsi"/>
          <w:b/>
          <w:bCs/>
          <w:color w:val="auto"/>
          <w:sz w:val="22"/>
          <w:szCs w:val="22"/>
          <w:u w:val="single"/>
          <w:shd w:val="clear" w:color="auto" w:fill="FFFFFF"/>
        </w:rPr>
        <w:t>risk</w:t>
      </w:r>
      <w:proofErr w:type="gramEnd"/>
      <w:r w:rsidRPr="007A25F2">
        <w:rPr>
          <w:rFonts w:asciiTheme="minorHAnsi" w:hAnsiTheme="minorHAnsi" w:cstheme="minorHAnsi"/>
          <w:b/>
          <w:bCs/>
          <w:color w:val="auto"/>
          <w:sz w:val="22"/>
          <w:szCs w:val="22"/>
          <w:u w:val="single"/>
          <w:shd w:val="clear" w:color="auto" w:fill="FFFFFF"/>
        </w:rPr>
        <w:t xml:space="preserve"> and harm – victims, witnesses, suspects and the wider public</w:t>
      </w:r>
    </w:p>
    <w:p w14:paraId="695DF13B" w14:textId="77777777" w:rsidR="007A25F2" w:rsidRPr="007A25F2" w:rsidRDefault="007A25F2" w:rsidP="007A25F2">
      <w:pPr>
        <w:spacing w:after="300" w:line="360" w:lineRule="auto"/>
        <w:rPr>
          <w:rFonts w:asciiTheme="minorHAnsi" w:hAnsiTheme="minorHAnsi" w:cstheme="minorHAnsi"/>
          <w:sz w:val="22"/>
          <w:szCs w:val="22"/>
        </w:rPr>
      </w:pPr>
      <w:r w:rsidRPr="007A25F2">
        <w:rPr>
          <w:rFonts w:asciiTheme="minorHAnsi" w:hAnsiTheme="minorHAnsi" w:cstheme="minorHAnsi"/>
          <w:sz w:val="22"/>
          <w:szCs w:val="22"/>
        </w:rPr>
        <w:t>Victim care and support are crucial in criminal investigations. Investigators must treat every victim with sensitivity, recognizing that people respond differently to violence and trauma. Victims need assurance that their report is taken seriously and that they will be supported throughout the process.</w:t>
      </w:r>
    </w:p>
    <w:p w14:paraId="53FC476A" w14:textId="77777777" w:rsidR="007A25F2" w:rsidRPr="007A25F2" w:rsidRDefault="007A25F2" w:rsidP="007A25F2">
      <w:pPr>
        <w:spacing w:before="300" w:after="300" w:line="360" w:lineRule="auto"/>
        <w:rPr>
          <w:rFonts w:asciiTheme="minorHAnsi" w:hAnsiTheme="minorHAnsi" w:cstheme="minorHAnsi"/>
          <w:sz w:val="22"/>
          <w:szCs w:val="22"/>
        </w:rPr>
      </w:pPr>
      <w:r w:rsidRPr="007A25F2">
        <w:rPr>
          <w:rFonts w:asciiTheme="minorHAnsi" w:hAnsiTheme="minorHAnsi" w:cstheme="minorHAnsi"/>
          <w:sz w:val="22"/>
          <w:szCs w:val="22"/>
        </w:rPr>
        <w:t>A vulnerability assessment should be conducted to understand each victim's specific needs, which helps in planning interviews and providing additional support. This assessment should be updated regularly as the investigation progresses. A comprehensive victim care strategy must be in place to keep victims engaged and safe. If risks are identified, a safeguarding plan should address ongoing threats and include referrals to other agencies or charities for continued support after the investigation.</w:t>
      </w:r>
    </w:p>
    <w:p w14:paraId="104C8554" w14:textId="77777777" w:rsidR="007A25F2" w:rsidRPr="007A25F2" w:rsidRDefault="007A25F2" w:rsidP="007A25F2">
      <w:pPr>
        <w:spacing w:before="300" w:after="300" w:line="360" w:lineRule="auto"/>
        <w:rPr>
          <w:rFonts w:asciiTheme="minorHAnsi" w:hAnsiTheme="minorHAnsi" w:cstheme="minorHAnsi"/>
          <w:sz w:val="22"/>
          <w:szCs w:val="22"/>
        </w:rPr>
      </w:pPr>
      <w:r w:rsidRPr="007A25F2">
        <w:rPr>
          <w:rFonts w:asciiTheme="minorHAnsi" w:hAnsiTheme="minorHAnsi" w:cstheme="minorHAnsi"/>
          <w:sz w:val="22"/>
          <w:szCs w:val="22"/>
        </w:rPr>
        <w:t>The Code of Practice for Victims outlines 12 key rights that victims are entitled to, which were closely followed in this investigation to ensure proper support. These rights include:</w:t>
      </w:r>
    </w:p>
    <w:p w14:paraId="62A3967E" w14:textId="77777777" w:rsidR="007A25F2" w:rsidRPr="007A25F2" w:rsidRDefault="007A25F2" w:rsidP="007A25F2">
      <w:pPr>
        <w:numPr>
          <w:ilvl w:val="0"/>
          <w:numId w:val="53"/>
        </w:numPr>
        <w:overflowPunct/>
        <w:autoSpaceDE/>
        <w:autoSpaceDN/>
        <w:adjustRightInd/>
        <w:spacing w:line="360" w:lineRule="auto"/>
        <w:textAlignment w:val="auto"/>
        <w:rPr>
          <w:rFonts w:asciiTheme="minorHAnsi" w:hAnsiTheme="minorHAnsi" w:cstheme="minorHAnsi"/>
          <w:sz w:val="22"/>
          <w:szCs w:val="22"/>
        </w:rPr>
      </w:pPr>
      <w:r w:rsidRPr="007A25F2">
        <w:rPr>
          <w:rFonts w:asciiTheme="minorHAnsi" w:hAnsiTheme="minorHAnsi" w:cstheme="minorHAnsi"/>
          <w:sz w:val="22"/>
          <w:szCs w:val="22"/>
        </w:rPr>
        <w:t>The right to be understood and to understand the information given.</w:t>
      </w:r>
    </w:p>
    <w:p w14:paraId="38D15BB5" w14:textId="77777777" w:rsidR="007A25F2" w:rsidRPr="007A25F2" w:rsidRDefault="007A25F2" w:rsidP="007A25F2">
      <w:pPr>
        <w:numPr>
          <w:ilvl w:val="0"/>
          <w:numId w:val="53"/>
        </w:numPr>
        <w:overflowPunct/>
        <w:autoSpaceDE/>
        <w:autoSpaceDN/>
        <w:adjustRightInd/>
        <w:spacing w:line="360" w:lineRule="auto"/>
        <w:textAlignment w:val="auto"/>
        <w:rPr>
          <w:rFonts w:asciiTheme="minorHAnsi" w:hAnsiTheme="minorHAnsi" w:cstheme="minorHAnsi"/>
          <w:sz w:val="22"/>
          <w:szCs w:val="22"/>
        </w:rPr>
      </w:pPr>
      <w:r w:rsidRPr="007A25F2">
        <w:rPr>
          <w:rFonts w:asciiTheme="minorHAnsi" w:hAnsiTheme="minorHAnsi" w:cstheme="minorHAnsi"/>
          <w:sz w:val="22"/>
          <w:szCs w:val="22"/>
        </w:rPr>
        <w:t>The right to have crime details recorded without unjustified delay.</w:t>
      </w:r>
    </w:p>
    <w:p w14:paraId="52B7F2DD" w14:textId="77777777" w:rsidR="007A25F2" w:rsidRPr="007A25F2" w:rsidRDefault="007A25F2" w:rsidP="007A25F2">
      <w:pPr>
        <w:numPr>
          <w:ilvl w:val="0"/>
          <w:numId w:val="53"/>
        </w:numPr>
        <w:overflowPunct/>
        <w:autoSpaceDE/>
        <w:autoSpaceDN/>
        <w:adjustRightInd/>
        <w:spacing w:line="360" w:lineRule="auto"/>
        <w:textAlignment w:val="auto"/>
        <w:rPr>
          <w:rFonts w:asciiTheme="minorHAnsi" w:hAnsiTheme="minorHAnsi" w:cstheme="minorHAnsi"/>
          <w:sz w:val="22"/>
          <w:szCs w:val="22"/>
        </w:rPr>
      </w:pPr>
      <w:r w:rsidRPr="007A25F2">
        <w:rPr>
          <w:rFonts w:asciiTheme="minorHAnsi" w:hAnsiTheme="minorHAnsi" w:cstheme="minorHAnsi"/>
          <w:sz w:val="22"/>
          <w:szCs w:val="22"/>
        </w:rPr>
        <w:t>Access to support services tailored to their needs.</w:t>
      </w:r>
    </w:p>
    <w:p w14:paraId="75ECE664" w14:textId="77777777" w:rsidR="007A25F2" w:rsidRPr="007A25F2" w:rsidRDefault="007A25F2" w:rsidP="007A25F2">
      <w:pPr>
        <w:numPr>
          <w:ilvl w:val="0"/>
          <w:numId w:val="53"/>
        </w:numPr>
        <w:overflowPunct/>
        <w:autoSpaceDE/>
        <w:autoSpaceDN/>
        <w:adjustRightInd/>
        <w:spacing w:line="360" w:lineRule="auto"/>
        <w:textAlignment w:val="auto"/>
        <w:rPr>
          <w:rFonts w:asciiTheme="minorHAnsi" w:hAnsiTheme="minorHAnsi" w:cstheme="minorHAnsi"/>
          <w:sz w:val="22"/>
          <w:szCs w:val="22"/>
        </w:rPr>
      </w:pPr>
      <w:r w:rsidRPr="007A25F2">
        <w:rPr>
          <w:rFonts w:asciiTheme="minorHAnsi" w:hAnsiTheme="minorHAnsi" w:cstheme="minorHAnsi"/>
          <w:sz w:val="22"/>
          <w:szCs w:val="22"/>
        </w:rPr>
        <w:t>Information about compensation and the investigation process</w:t>
      </w:r>
    </w:p>
    <w:p w14:paraId="1C4F8FEE" w14:textId="77777777" w:rsidR="007A25F2" w:rsidRPr="007A25F2" w:rsidRDefault="007A25F2" w:rsidP="007A25F2">
      <w:pPr>
        <w:numPr>
          <w:ilvl w:val="0"/>
          <w:numId w:val="53"/>
        </w:numPr>
        <w:overflowPunct/>
        <w:autoSpaceDE/>
        <w:autoSpaceDN/>
        <w:adjustRightInd/>
        <w:spacing w:line="360" w:lineRule="auto"/>
        <w:textAlignment w:val="auto"/>
        <w:rPr>
          <w:rFonts w:asciiTheme="minorHAnsi" w:hAnsiTheme="minorHAnsi" w:cstheme="minorHAnsi"/>
          <w:sz w:val="22"/>
          <w:szCs w:val="22"/>
        </w:rPr>
      </w:pPr>
      <w:r w:rsidRPr="007A25F2">
        <w:rPr>
          <w:rFonts w:asciiTheme="minorHAnsi" w:hAnsiTheme="minorHAnsi" w:cstheme="minorHAnsi"/>
          <w:sz w:val="22"/>
          <w:szCs w:val="22"/>
        </w:rPr>
        <w:lastRenderedPageBreak/>
        <w:t>The right to make a personal statement.</w:t>
      </w:r>
    </w:p>
    <w:p w14:paraId="33514BD8" w14:textId="77777777" w:rsidR="007A25F2" w:rsidRPr="007A25F2" w:rsidRDefault="007A25F2" w:rsidP="007A25F2">
      <w:pPr>
        <w:numPr>
          <w:ilvl w:val="0"/>
          <w:numId w:val="53"/>
        </w:numPr>
        <w:overflowPunct/>
        <w:autoSpaceDE/>
        <w:autoSpaceDN/>
        <w:adjustRightInd/>
        <w:spacing w:line="360" w:lineRule="auto"/>
        <w:textAlignment w:val="auto"/>
        <w:rPr>
          <w:rFonts w:asciiTheme="minorHAnsi" w:hAnsiTheme="minorHAnsi" w:cstheme="minorHAnsi"/>
          <w:sz w:val="22"/>
          <w:szCs w:val="22"/>
        </w:rPr>
      </w:pPr>
      <w:r w:rsidRPr="007A25F2">
        <w:rPr>
          <w:rFonts w:asciiTheme="minorHAnsi" w:hAnsiTheme="minorHAnsi" w:cstheme="minorHAnsi"/>
          <w:sz w:val="22"/>
          <w:szCs w:val="22"/>
        </w:rPr>
        <w:t>Information about the trial process and the outcome of the case</w:t>
      </w:r>
    </w:p>
    <w:p w14:paraId="50D761A7" w14:textId="77777777" w:rsidR="007A25F2" w:rsidRPr="007A25F2" w:rsidRDefault="007A25F2" w:rsidP="007A25F2">
      <w:pPr>
        <w:numPr>
          <w:ilvl w:val="0"/>
          <w:numId w:val="53"/>
        </w:numPr>
        <w:overflowPunct/>
        <w:autoSpaceDE/>
        <w:autoSpaceDN/>
        <w:adjustRightInd/>
        <w:spacing w:line="360" w:lineRule="auto"/>
        <w:textAlignment w:val="auto"/>
        <w:rPr>
          <w:rFonts w:asciiTheme="minorHAnsi" w:hAnsiTheme="minorHAnsi" w:cstheme="minorHAnsi"/>
          <w:sz w:val="22"/>
          <w:szCs w:val="22"/>
        </w:rPr>
      </w:pPr>
      <w:r w:rsidRPr="007A25F2">
        <w:rPr>
          <w:rFonts w:asciiTheme="minorHAnsi" w:hAnsiTheme="minorHAnsi" w:cstheme="minorHAnsi"/>
          <w:sz w:val="22"/>
          <w:szCs w:val="22"/>
        </w:rPr>
        <w:t>Rights to expenses, property return, and information about the offender post-conviction</w:t>
      </w:r>
    </w:p>
    <w:p w14:paraId="71CA28BE" w14:textId="77777777" w:rsidR="007A25F2" w:rsidRPr="007A25F2" w:rsidRDefault="007A25F2" w:rsidP="007A25F2">
      <w:pPr>
        <w:numPr>
          <w:ilvl w:val="0"/>
          <w:numId w:val="53"/>
        </w:numPr>
        <w:overflowPunct/>
        <w:autoSpaceDE/>
        <w:autoSpaceDN/>
        <w:adjustRightInd/>
        <w:spacing w:line="360" w:lineRule="auto"/>
        <w:textAlignment w:val="auto"/>
        <w:rPr>
          <w:rFonts w:asciiTheme="minorHAnsi" w:hAnsiTheme="minorHAnsi" w:cstheme="minorHAnsi"/>
          <w:sz w:val="22"/>
          <w:szCs w:val="22"/>
        </w:rPr>
      </w:pPr>
      <w:r w:rsidRPr="007A25F2">
        <w:rPr>
          <w:rFonts w:asciiTheme="minorHAnsi" w:hAnsiTheme="minorHAnsi" w:cstheme="minorHAnsi"/>
          <w:sz w:val="22"/>
          <w:szCs w:val="22"/>
        </w:rPr>
        <w:t>The right to complain if their rights are not met.</w:t>
      </w:r>
    </w:p>
    <w:p w14:paraId="738A027F" w14:textId="77777777" w:rsidR="007A25F2" w:rsidRPr="007A25F2" w:rsidRDefault="007A25F2" w:rsidP="007A25F2">
      <w:pPr>
        <w:spacing w:before="300" w:after="300" w:line="360" w:lineRule="auto"/>
        <w:rPr>
          <w:rFonts w:asciiTheme="minorHAnsi" w:hAnsiTheme="minorHAnsi" w:cstheme="minorHAnsi"/>
          <w:sz w:val="22"/>
          <w:szCs w:val="22"/>
        </w:rPr>
      </w:pPr>
      <w:r w:rsidRPr="007A25F2">
        <w:rPr>
          <w:rFonts w:asciiTheme="minorHAnsi" w:hAnsiTheme="minorHAnsi" w:cstheme="minorHAnsi"/>
          <w:sz w:val="22"/>
          <w:szCs w:val="22"/>
        </w:rPr>
        <w:t>Victims considered vulnerable under YJCEA 1999 may also be entitled to enhanced rights, such as earlier updates and special measures.</w:t>
      </w:r>
    </w:p>
    <w:p w14:paraId="108EBD8C" w14:textId="77777777" w:rsidR="007A25F2" w:rsidRPr="007A25F2"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r w:rsidRPr="007A25F2">
        <w:rPr>
          <w:rFonts w:asciiTheme="minorHAnsi" w:hAnsiTheme="minorHAnsi" w:cstheme="minorHAnsi"/>
          <w:color w:val="auto"/>
          <w:sz w:val="22"/>
          <w:szCs w:val="22"/>
        </w:rPr>
        <w:t>(College of Policing, “First Response”, 2013)</w:t>
      </w:r>
    </w:p>
    <w:p w14:paraId="4F0A5DA1" w14:textId="77777777" w:rsidR="007A25F2" w:rsidRPr="007A25F2" w:rsidRDefault="007A25F2" w:rsidP="007A25F2">
      <w:pPr>
        <w:overflowPunct/>
        <w:autoSpaceDE/>
        <w:autoSpaceDN/>
        <w:adjustRightInd/>
        <w:spacing w:line="360" w:lineRule="auto"/>
        <w:textAlignment w:val="auto"/>
        <w:rPr>
          <w:rFonts w:asciiTheme="minorHAnsi" w:hAnsiTheme="minorHAnsi" w:cstheme="minorHAnsi"/>
          <w:color w:val="auto"/>
          <w:sz w:val="22"/>
          <w:szCs w:val="22"/>
        </w:rPr>
      </w:pPr>
    </w:p>
    <w:p w14:paraId="5BB6C50D" w14:textId="77777777" w:rsidR="007A25F2" w:rsidRPr="007A25F2" w:rsidRDefault="007A25F2" w:rsidP="007A25F2">
      <w:pPr>
        <w:spacing w:before="300" w:after="100" w:line="360" w:lineRule="auto"/>
        <w:rPr>
          <w:rFonts w:asciiTheme="minorHAnsi" w:hAnsiTheme="minorHAnsi" w:cstheme="minorHAnsi"/>
          <w:sz w:val="22"/>
          <w:szCs w:val="22"/>
        </w:rPr>
      </w:pPr>
      <w:r w:rsidRPr="007A25F2">
        <w:rPr>
          <w:rFonts w:asciiTheme="minorHAnsi" w:hAnsiTheme="minorHAnsi" w:cstheme="minorHAnsi"/>
          <w:sz w:val="22"/>
          <w:szCs w:val="22"/>
        </w:rPr>
        <w:t>Despite empathising with the victim, I had to manage my personal feelings to remain impartial during the investigation.</w:t>
      </w:r>
    </w:p>
    <w:p w14:paraId="0DB25C37" w14:textId="77777777" w:rsidR="007A25F2" w:rsidRPr="007A25F2" w:rsidRDefault="007A25F2" w:rsidP="007A25F2">
      <w:pPr>
        <w:spacing w:line="360" w:lineRule="auto"/>
        <w:rPr>
          <w:rFonts w:asciiTheme="minorHAnsi" w:hAnsiTheme="minorHAnsi" w:cstheme="minorHAnsi"/>
          <w:color w:val="auto"/>
          <w:sz w:val="22"/>
          <w:szCs w:val="22"/>
        </w:rPr>
      </w:pPr>
    </w:p>
    <w:p w14:paraId="0E887151" w14:textId="1C1C0EE7" w:rsidR="007A25F2" w:rsidRPr="007A25F2" w:rsidRDefault="007A25F2" w:rsidP="007A25F2">
      <w:pPr>
        <w:rPr>
          <w:rFonts w:asciiTheme="minorHAnsi" w:hAnsiTheme="minorHAnsi" w:cstheme="minorHAnsi"/>
          <w:b/>
          <w:bCs/>
          <w:color w:val="auto"/>
          <w:sz w:val="22"/>
          <w:szCs w:val="22"/>
        </w:rPr>
      </w:pPr>
      <w:r w:rsidRPr="007A25F2">
        <w:rPr>
          <w:rFonts w:asciiTheme="minorHAnsi" w:hAnsiTheme="minorHAnsi" w:cstheme="minorHAnsi"/>
          <w:b/>
          <w:bCs/>
          <w:color w:val="auto"/>
          <w:sz w:val="22"/>
          <w:szCs w:val="22"/>
        </w:rPr>
        <w:t>Word Count: 218</w:t>
      </w:r>
      <w:r w:rsidRPr="007A25F2">
        <w:rPr>
          <w:rFonts w:asciiTheme="minorHAnsi" w:hAnsiTheme="minorHAnsi" w:cstheme="minorHAnsi"/>
          <w:b/>
          <w:bCs/>
          <w:color w:val="auto"/>
          <w:sz w:val="22"/>
          <w:szCs w:val="22"/>
        </w:rPr>
        <w:t>0</w:t>
      </w:r>
    </w:p>
    <w:p w14:paraId="05B75005" w14:textId="77777777" w:rsidR="007A25F2" w:rsidRDefault="007A25F2" w:rsidP="009370AE">
      <w:pPr>
        <w:ind w:right="237"/>
        <w:jc w:val="both"/>
        <w:rPr>
          <w:b/>
          <w:bCs/>
          <w:color w:val="000000" w:themeColor="text1"/>
          <w:sz w:val="28"/>
          <w:szCs w:val="28"/>
        </w:rPr>
      </w:pPr>
    </w:p>
    <w:p w14:paraId="6F4A3A17" w14:textId="77777777" w:rsidR="007A25F2" w:rsidRDefault="007A25F2" w:rsidP="009370AE">
      <w:pPr>
        <w:ind w:right="237"/>
        <w:jc w:val="both"/>
        <w:rPr>
          <w:b/>
          <w:bCs/>
          <w:color w:val="000000" w:themeColor="text1"/>
          <w:sz w:val="28"/>
          <w:szCs w:val="28"/>
        </w:rPr>
      </w:pPr>
    </w:p>
    <w:p w14:paraId="53AB8482" w14:textId="77777777" w:rsidR="007A25F2" w:rsidRDefault="007A25F2" w:rsidP="009370AE">
      <w:pPr>
        <w:ind w:right="237"/>
        <w:jc w:val="both"/>
        <w:rPr>
          <w:b/>
          <w:bCs/>
          <w:color w:val="000000" w:themeColor="text1"/>
          <w:sz w:val="28"/>
          <w:szCs w:val="28"/>
        </w:rPr>
      </w:pPr>
    </w:p>
    <w:p w14:paraId="115139ED" w14:textId="77777777" w:rsidR="007A25F2" w:rsidRDefault="007A25F2"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2A1D935B" w:rsidR="0FF883D4" w:rsidRDefault="5CE196A1" w:rsidP="5CE196A1">
      <w:r w:rsidRPr="5CE196A1">
        <w:rPr>
          <w:rFonts w:eastAsia="Arial"/>
          <w:b/>
          <w:bCs/>
          <w:color w:val="000000" w:themeColor="text1"/>
          <w:sz w:val="24"/>
          <w:szCs w:val="24"/>
        </w:rPr>
        <w:t xml:space="preserve">Authentication signature: </w:t>
      </w:r>
      <w:r w:rsidR="007A25F2">
        <w:rPr>
          <w:rFonts w:eastAsia="Arial"/>
          <w:b/>
          <w:bCs/>
          <w:color w:val="000000" w:themeColor="text1"/>
          <w:sz w:val="24"/>
          <w:szCs w:val="24"/>
        </w:rPr>
        <w:t xml:space="preserve"> R J Joyce</w:t>
      </w:r>
    </w:p>
    <w:p w14:paraId="3E37DF86" w14:textId="687D12EF" w:rsidR="0FF883D4" w:rsidRDefault="5CE196A1" w:rsidP="5CE196A1">
      <w:r w:rsidRPr="5CE196A1">
        <w:rPr>
          <w:rFonts w:eastAsia="Arial"/>
          <w:b/>
          <w:bCs/>
          <w:color w:val="000000" w:themeColor="text1"/>
          <w:sz w:val="24"/>
          <w:szCs w:val="24"/>
        </w:rPr>
        <w:t xml:space="preserve"> </w:t>
      </w:r>
    </w:p>
    <w:p w14:paraId="543EE689" w14:textId="4F2BA6AF"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r w:rsidR="007A25F2">
        <w:rPr>
          <w:rFonts w:eastAsia="Arial"/>
          <w:b/>
          <w:bCs/>
          <w:color w:val="000000" w:themeColor="text1"/>
          <w:sz w:val="24"/>
          <w:szCs w:val="24"/>
        </w:rPr>
        <w:t>R J Joyce</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2641303" w:rsidR="0FF883D4" w:rsidRDefault="5CE196A1" w:rsidP="5CE196A1">
      <w:r w:rsidRPr="5CE196A1">
        <w:rPr>
          <w:rFonts w:eastAsia="Arial"/>
          <w:b/>
          <w:bCs/>
          <w:color w:val="000000" w:themeColor="text1"/>
          <w:sz w:val="24"/>
          <w:szCs w:val="24"/>
        </w:rPr>
        <w:t xml:space="preserve">Signed: </w:t>
      </w:r>
      <w:r w:rsidR="007A25F2">
        <w:rPr>
          <w:rFonts w:eastAsia="Arial"/>
          <w:b/>
          <w:bCs/>
          <w:color w:val="000000" w:themeColor="text1"/>
          <w:sz w:val="24"/>
          <w:szCs w:val="24"/>
        </w:rPr>
        <w:t>R J Joyce</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439AFA1A" w:rsidR="0FF883D4" w:rsidRDefault="007A25F2" w:rsidP="007A25F2">
      <w:pPr>
        <w:ind w:right="225"/>
        <w:rPr>
          <w:b/>
          <w:bCs/>
          <w:sz w:val="24"/>
          <w:szCs w:val="24"/>
          <w:lang w:eastAsia="zh-TW"/>
        </w:rPr>
        <w:sectPr w:rsidR="0FF883D4" w:rsidSect="00681A1A">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docGrid w:linePitch="272"/>
        </w:sectPr>
      </w:pPr>
      <w:r>
        <w:rPr>
          <w:b/>
          <w:bCs/>
          <w:sz w:val="24"/>
          <w:szCs w:val="24"/>
          <w:lang w:eastAsia="zh-TW"/>
        </w:rPr>
        <w:t>29/04/2024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F494BE6" w14:textId="77777777" w:rsidR="007A25F2" w:rsidRDefault="007A25F2" w:rsidP="00EA28F1">
      <w:pPr>
        <w:keepNext/>
        <w:spacing w:before="240" w:after="60"/>
        <w:ind w:right="237"/>
        <w:jc w:val="both"/>
        <w:rPr>
          <w:sz w:val="24"/>
          <w:szCs w:val="24"/>
        </w:rPr>
      </w:pPr>
    </w:p>
    <w:p w14:paraId="20B0D47E" w14:textId="77777777" w:rsidR="001F6FBA" w:rsidRDefault="001F6FBA" w:rsidP="001F6FBA">
      <w:pPr>
        <w:spacing w:line="480" w:lineRule="auto"/>
        <w:ind w:hanging="720"/>
        <w:rPr>
          <w:rFonts w:ascii="Times New Roman" w:hAnsi="Times New Roman" w:cs="Times New Roman"/>
          <w:color w:val="auto"/>
          <w:sz w:val="24"/>
          <w:szCs w:val="24"/>
        </w:rPr>
      </w:pPr>
      <w:proofErr w:type="spellStart"/>
      <w:r>
        <w:rPr>
          <w:rFonts w:ascii="Times New Roman" w:hAnsi="Times New Roman" w:cs="Times New Roman"/>
          <w:sz w:val="24"/>
          <w:szCs w:val="24"/>
        </w:rPr>
        <w:t>BritainThinks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 xml:space="preserve">Research into Victim and Suspect Experiences of Changes to the Policing and Crime Act 2017 Research Commissioned by Her Majesty’s Inspectorate of Constabulary and Fire &amp; Rescue </w:t>
      </w:r>
      <w:proofErr w:type="gramStart"/>
      <w:r>
        <w:rPr>
          <w:rFonts w:ascii="Times New Roman" w:hAnsi="Times New Roman" w:cs="Times New Roman"/>
          <w:i/>
          <w:iCs/>
          <w:sz w:val="24"/>
          <w:szCs w:val="24"/>
        </w:rPr>
        <w:t xml:space="preserve">Services </w:t>
      </w:r>
      <w:r>
        <w:rPr>
          <w:rFonts w:ascii="Times New Roman" w:hAnsi="Times New Roman" w:cs="Times New Roman"/>
          <w:sz w:val="24"/>
          <w:szCs w:val="24"/>
        </w:rPr>
        <w:t>.</w:t>
      </w:r>
      <w:proofErr w:type="gramEnd"/>
      <w:r>
        <w:rPr>
          <w:rFonts w:ascii="Times New Roman" w:hAnsi="Times New Roman" w:cs="Times New Roman"/>
          <w:sz w:val="24"/>
          <w:szCs w:val="24"/>
        </w:rPr>
        <w:t xml:space="preserve"> Dec. 2020.</w:t>
      </w:r>
    </w:p>
    <w:p w14:paraId="3AD4A6BD"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College of Policing. “Crime Reduction Toolkit.” </w:t>
      </w:r>
      <w:r>
        <w:rPr>
          <w:rFonts w:ascii="Times New Roman" w:hAnsi="Times New Roman" w:cs="Times New Roman"/>
          <w:i/>
          <w:iCs/>
          <w:sz w:val="24"/>
          <w:szCs w:val="24"/>
        </w:rPr>
        <w:t>College of Policing</w:t>
      </w:r>
      <w:r>
        <w:rPr>
          <w:rFonts w:ascii="Times New Roman" w:hAnsi="Times New Roman" w:cs="Times New Roman"/>
          <w:sz w:val="24"/>
          <w:szCs w:val="24"/>
        </w:rPr>
        <w:t>, 2022, www.college.police.uk/research/crime-reduction-toolkit.</w:t>
      </w:r>
    </w:p>
    <w:p w14:paraId="0B0D66A6"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 “Evidence-Based Policing.” </w:t>
      </w:r>
      <w:r>
        <w:rPr>
          <w:rFonts w:ascii="Times New Roman" w:hAnsi="Times New Roman" w:cs="Times New Roman"/>
          <w:i/>
          <w:iCs/>
          <w:sz w:val="24"/>
          <w:szCs w:val="24"/>
        </w:rPr>
        <w:t>College of Policing</w:t>
      </w:r>
      <w:r>
        <w:rPr>
          <w:rFonts w:ascii="Times New Roman" w:hAnsi="Times New Roman" w:cs="Times New Roman"/>
          <w:sz w:val="24"/>
          <w:szCs w:val="24"/>
        </w:rPr>
        <w:t>, College of Policing, 2023, www.college.police.uk/research/evidence-based-policing-EBP.</w:t>
      </w:r>
    </w:p>
    <w:p w14:paraId="1C279472"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 “First Response.” </w:t>
      </w:r>
      <w:r>
        <w:rPr>
          <w:rFonts w:ascii="Times New Roman" w:hAnsi="Times New Roman" w:cs="Times New Roman"/>
          <w:i/>
          <w:iCs/>
          <w:sz w:val="24"/>
          <w:szCs w:val="24"/>
        </w:rPr>
        <w:t>College of Policing</w:t>
      </w:r>
      <w:r>
        <w:rPr>
          <w:rFonts w:ascii="Times New Roman" w:hAnsi="Times New Roman" w:cs="Times New Roman"/>
          <w:sz w:val="24"/>
          <w:szCs w:val="24"/>
        </w:rPr>
        <w:t>, 2015, www.college.police.uk/app/major-investigation-and-public-protection/domestic-abuse/first-response.</w:t>
      </w:r>
    </w:p>
    <w:p w14:paraId="35769E59"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 “Investigation Process.” </w:t>
      </w:r>
      <w:r>
        <w:rPr>
          <w:rFonts w:ascii="Times New Roman" w:hAnsi="Times New Roman" w:cs="Times New Roman"/>
          <w:i/>
          <w:iCs/>
          <w:sz w:val="24"/>
          <w:szCs w:val="24"/>
        </w:rPr>
        <w:t>College of Policing</w:t>
      </w:r>
      <w:r>
        <w:rPr>
          <w:rFonts w:ascii="Times New Roman" w:hAnsi="Times New Roman" w:cs="Times New Roman"/>
          <w:sz w:val="24"/>
          <w:szCs w:val="24"/>
        </w:rPr>
        <w:t>, 23 Oct. 2013, www.college.police.uk/app/investigation/investigation-process#fast-track-actions.</w:t>
      </w:r>
    </w:p>
    <w:p w14:paraId="22A59A5F"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 “Victims’ Code for Policing.” </w:t>
      </w:r>
      <w:r>
        <w:rPr>
          <w:rFonts w:ascii="Times New Roman" w:hAnsi="Times New Roman" w:cs="Times New Roman"/>
          <w:i/>
          <w:iCs/>
          <w:sz w:val="24"/>
          <w:szCs w:val="24"/>
        </w:rPr>
        <w:t>College of Policing</w:t>
      </w:r>
      <w:r>
        <w:rPr>
          <w:rFonts w:ascii="Times New Roman" w:hAnsi="Times New Roman" w:cs="Times New Roman"/>
          <w:sz w:val="24"/>
          <w:szCs w:val="24"/>
        </w:rPr>
        <w:t>, College of Policing, 30 Mar. 2021, www.college.police.uk/guidance/victims-code/victims-rights-policing.</w:t>
      </w:r>
    </w:p>
    <w:p w14:paraId="461FE06A"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i/>
          <w:iCs/>
          <w:sz w:val="24"/>
          <w:szCs w:val="24"/>
        </w:rPr>
        <w:t xml:space="preserve">Criminal Procedure and Investigations </w:t>
      </w:r>
      <w:proofErr w:type="gramStart"/>
      <w:r>
        <w:rPr>
          <w:rFonts w:ascii="Times New Roman" w:hAnsi="Times New Roman" w:cs="Times New Roman"/>
          <w:i/>
          <w:iCs/>
          <w:sz w:val="24"/>
          <w:szCs w:val="24"/>
        </w:rPr>
        <w:t xml:space="preserve">Act </w:t>
      </w:r>
      <w:r>
        <w:rPr>
          <w:rFonts w:ascii="Times New Roman" w:hAnsi="Times New Roman" w:cs="Times New Roman"/>
          <w:sz w:val="24"/>
          <w:szCs w:val="24"/>
        </w:rPr>
        <w:t>.</w:t>
      </w:r>
      <w:proofErr w:type="gramEnd"/>
      <w:r>
        <w:rPr>
          <w:rFonts w:ascii="Times New Roman" w:hAnsi="Times New Roman" w:cs="Times New Roman"/>
          <w:sz w:val="24"/>
          <w:szCs w:val="24"/>
        </w:rPr>
        <w:t xml:space="preserve"> 1996.</w:t>
      </w:r>
    </w:p>
    <w:p w14:paraId="4FF11B4C"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Crown Prosecution Service. “Special Measures | the Crown Prosecution Service.” </w:t>
      </w:r>
      <w:r>
        <w:rPr>
          <w:rFonts w:ascii="Times New Roman" w:hAnsi="Times New Roman" w:cs="Times New Roman"/>
          <w:i/>
          <w:iCs/>
          <w:sz w:val="24"/>
          <w:szCs w:val="24"/>
        </w:rPr>
        <w:t>Cps.gov.uk</w:t>
      </w:r>
      <w:r>
        <w:rPr>
          <w:rFonts w:ascii="Times New Roman" w:hAnsi="Times New Roman" w:cs="Times New Roman"/>
          <w:sz w:val="24"/>
          <w:szCs w:val="24"/>
        </w:rPr>
        <w:t>, 22 July 2021, www.cps.gov.uk/legal-guidance/special-measures.</w:t>
      </w:r>
    </w:p>
    <w:p w14:paraId="6FB115D0"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HM Crown Prosecution Service Inspectorate. </w:t>
      </w:r>
      <w:r>
        <w:rPr>
          <w:rFonts w:ascii="Times New Roman" w:hAnsi="Times New Roman" w:cs="Times New Roman"/>
          <w:i/>
          <w:iCs/>
          <w:sz w:val="24"/>
          <w:szCs w:val="24"/>
        </w:rPr>
        <w:t>Pre-Charge Bail and Released under Investigation Striking a Balance</w:t>
      </w:r>
      <w:r>
        <w:rPr>
          <w:rFonts w:ascii="Times New Roman" w:hAnsi="Times New Roman" w:cs="Times New Roman"/>
          <w:sz w:val="24"/>
          <w:szCs w:val="24"/>
        </w:rPr>
        <w:t>. Dec. 2020.</w:t>
      </w:r>
    </w:p>
    <w:p w14:paraId="779EB948"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lastRenderedPageBreak/>
        <w:t xml:space="preserve">HMICFRS. “Golden Hour Principle.” </w:t>
      </w:r>
      <w:r>
        <w:rPr>
          <w:rFonts w:ascii="Times New Roman" w:hAnsi="Times New Roman" w:cs="Times New Roman"/>
          <w:i/>
          <w:iCs/>
          <w:sz w:val="24"/>
          <w:szCs w:val="24"/>
        </w:rPr>
        <w:t>His Majesty’s Inspectorate of Constabulary and Fire &amp; Rescue Services</w:t>
      </w:r>
      <w:r>
        <w:rPr>
          <w:rFonts w:ascii="Times New Roman" w:hAnsi="Times New Roman" w:cs="Times New Roman"/>
          <w:sz w:val="24"/>
          <w:szCs w:val="24"/>
        </w:rPr>
        <w:t>, 22 Feb. 2023, hmicfrs.justiceinspectorates.gov.uk/glossary/golden-hour-principle/.</w:t>
      </w:r>
    </w:p>
    <w:p w14:paraId="1F36EE94"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Home Office. “Pre-Charge Bail Statutory Guidance.” </w:t>
      </w:r>
      <w:r>
        <w:rPr>
          <w:rFonts w:ascii="Times New Roman" w:hAnsi="Times New Roman" w:cs="Times New Roman"/>
          <w:i/>
          <w:iCs/>
          <w:sz w:val="24"/>
          <w:szCs w:val="24"/>
        </w:rPr>
        <w:t>GOV.UK</w:t>
      </w:r>
      <w:r>
        <w:rPr>
          <w:rFonts w:ascii="Times New Roman" w:hAnsi="Times New Roman" w:cs="Times New Roman"/>
          <w:sz w:val="24"/>
          <w:szCs w:val="24"/>
        </w:rPr>
        <w:t>, 9 June 2023, www.gov.uk/government/publications/pre-charge-bail-statutory-guidance/pre-charge-bail-statutory-guidance-accessible. Accessed 27 Apr. 2024.</w:t>
      </w:r>
    </w:p>
    <w:p w14:paraId="196B5B24"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Macpherson, Camilla. “The Youth Justice and Criminal Evidence Act 1999: Achieving Best Evidence?” </w:t>
      </w:r>
      <w:r>
        <w:rPr>
          <w:rFonts w:ascii="Times New Roman" w:hAnsi="Times New Roman" w:cs="Times New Roman"/>
          <w:i/>
          <w:iCs/>
          <w:sz w:val="24"/>
          <w:szCs w:val="24"/>
        </w:rPr>
        <w:t>Medicine, Science and the Law</w:t>
      </w:r>
      <w:r>
        <w:rPr>
          <w:rFonts w:ascii="Times New Roman" w:hAnsi="Times New Roman" w:cs="Times New Roman"/>
          <w:sz w:val="24"/>
          <w:szCs w:val="24"/>
        </w:rPr>
        <w:t>, vol. 41, no. 3, July 2001, pp. 230–236, https://doi.org/10.1177/002580240104100305.</w:t>
      </w:r>
    </w:p>
    <w:p w14:paraId="46943078"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Ministry of Justice. “Consultation Outcome: Delivering Justice for Victims: Consultation Response.” </w:t>
      </w:r>
      <w:r>
        <w:rPr>
          <w:rFonts w:ascii="Times New Roman" w:hAnsi="Times New Roman" w:cs="Times New Roman"/>
          <w:i/>
          <w:iCs/>
          <w:sz w:val="24"/>
          <w:szCs w:val="24"/>
        </w:rPr>
        <w:t>Gov.uk</w:t>
      </w:r>
      <w:r>
        <w:rPr>
          <w:rFonts w:ascii="Times New Roman" w:hAnsi="Times New Roman" w:cs="Times New Roman"/>
          <w:sz w:val="24"/>
          <w:szCs w:val="24"/>
        </w:rPr>
        <w:t xml:space="preserve">, Ministry of </w:t>
      </w:r>
      <w:proofErr w:type="gramStart"/>
      <w:r>
        <w:rPr>
          <w:rFonts w:ascii="Times New Roman" w:hAnsi="Times New Roman" w:cs="Times New Roman"/>
          <w:sz w:val="24"/>
          <w:szCs w:val="24"/>
        </w:rPr>
        <w:t>Justice ,</w:t>
      </w:r>
      <w:proofErr w:type="gramEnd"/>
      <w:r>
        <w:rPr>
          <w:rFonts w:ascii="Times New Roman" w:hAnsi="Times New Roman" w:cs="Times New Roman"/>
          <w:sz w:val="24"/>
          <w:szCs w:val="24"/>
        </w:rPr>
        <w:t xml:space="preserve"> 1 June 2021, www.gov.uk/government/consultations/delivering-justice-for-victims-a-consultation-on-improving-victims-experiences-of-the-justice-system/outcome/delivering-justice-for-victims-consultation-response. Accessed 27 Apr. 2024.</w:t>
      </w:r>
    </w:p>
    <w:p w14:paraId="3E1454DE"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 “The Code of Practice for Victims of Crime and Supporting Public Information Materials.” </w:t>
      </w:r>
      <w:r>
        <w:rPr>
          <w:rFonts w:ascii="Times New Roman" w:hAnsi="Times New Roman" w:cs="Times New Roman"/>
          <w:i/>
          <w:iCs/>
          <w:sz w:val="24"/>
          <w:szCs w:val="24"/>
        </w:rPr>
        <w:t>GOV.UK</w:t>
      </w:r>
      <w:r>
        <w:rPr>
          <w:rFonts w:ascii="Times New Roman" w:hAnsi="Times New Roman" w:cs="Times New Roman"/>
          <w:sz w:val="24"/>
          <w:szCs w:val="24"/>
        </w:rPr>
        <w:t>, 1 Oct. 2005, www.gov.uk/government/publications/the-code-of-practice-for-victims-of-crime.</w:t>
      </w:r>
    </w:p>
    <w:p w14:paraId="2D08AA5B" w14:textId="77777777" w:rsidR="001F6FBA" w:rsidRDefault="001F6FBA" w:rsidP="001F6FBA">
      <w:pPr>
        <w:spacing w:line="480" w:lineRule="auto"/>
        <w:ind w:hanging="720"/>
        <w:rPr>
          <w:rFonts w:ascii="Times New Roman" w:hAnsi="Times New Roman" w:cs="Times New Roman"/>
          <w:sz w:val="24"/>
          <w:szCs w:val="24"/>
          <w:lang w:val="nl-NL"/>
        </w:rPr>
      </w:pPr>
      <w:r>
        <w:rPr>
          <w:rFonts w:ascii="Times New Roman" w:hAnsi="Times New Roman" w:cs="Times New Roman"/>
          <w:sz w:val="24"/>
          <w:szCs w:val="24"/>
        </w:rPr>
        <w:t xml:space="preserve">NI Direct. “Custody and Bail | </w:t>
      </w:r>
      <w:proofErr w:type="spellStart"/>
      <w:r>
        <w:rPr>
          <w:rFonts w:ascii="Times New Roman" w:hAnsi="Times New Roman" w:cs="Times New Roman"/>
          <w:sz w:val="24"/>
          <w:szCs w:val="24"/>
        </w:rPr>
        <w:t>Nidirect</w:t>
      </w:r>
      <w:proofErr w:type="spellEnd"/>
      <w:r>
        <w:rPr>
          <w:rFonts w:ascii="Times New Roman" w:hAnsi="Times New Roman" w:cs="Times New Roman"/>
          <w:sz w:val="24"/>
          <w:szCs w:val="24"/>
        </w:rPr>
        <w:t xml:space="preserve">.” </w:t>
      </w:r>
      <w:r>
        <w:rPr>
          <w:rFonts w:ascii="Times New Roman" w:hAnsi="Times New Roman" w:cs="Times New Roman"/>
          <w:i/>
          <w:iCs/>
          <w:sz w:val="24"/>
          <w:szCs w:val="24"/>
          <w:lang w:val="nl-NL"/>
        </w:rPr>
        <w:t>Www.nidirect.gov.uk</w:t>
      </w:r>
      <w:r>
        <w:rPr>
          <w:rFonts w:ascii="Times New Roman" w:hAnsi="Times New Roman" w:cs="Times New Roman"/>
          <w:sz w:val="24"/>
          <w:szCs w:val="24"/>
          <w:lang w:val="nl-NL"/>
        </w:rPr>
        <w:t>, 15 Jan. 2016, www.nidirect.gov.uk/articles/custody-and-bail.</w:t>
      </w:r>
    </w:p>
    <w:p w14:paraId="407C3981"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sz w:val="24"/>
          <w:szCs w:val="24"/>
        </w:rPr>
        <w:t xml:space="preserve">Office For National Statistics. “Experience of the Criminal Justice System for Victims of Crime, England and Wales, Year Ending March 2009 to Year Ending March 2020 - Office for National Statistics.” </w:t>
      </w:r>
      <w:r>
        <w:rPr>
          <w:rFonts w:ascii="Times New Roman" w:hAnsi="Times New Roman" w:cs="Times New Roman"/>
          <w:i/>
          <w:iCs/>
          <w:sz w:val="24"/>
          <w:szCs w:val="24"/>
        </w:rPr>
        <w:t>Www.ons.gov.uk</w:t>
      </w:r>
      <w:r>
        <w:rPr>
          <w:rFonts w:ascii="Times New Roman" w:hAnsi="Times New Roman" w:cs="Times New Roman"/>
          <w:sz w:val="24"/>
          <w:szCs w:val="24"/>
        </w:rPr>
        <w:t>, Aug. 2021, www.ons.gov.uk/peoplepopulationandcommunity/crimeandjustice/adhocs/13635experienceofthecriminaljusticesystemforvictimsofcrimeenglandandwalesyearendingmarch2009toyearendingmarch2020.</w:t>
      </w:r>
    </w:p>
    <w:p w14:paraId="78B6D889" w14:textId="77777777" w:rsidR="001F6FBA" w:rsidRDefault="001F6FBA" w:rsidP="001F6FBA">
      <w:pPr>
        <w:spacing w:line="480" w:lineRule="auto"/>
        <w:ind w:hanging="720"/>
        <w:rPr>
          <w:rFonts w:ascii="Times New Roman" w:hAnsi="Times New Roman" w:cs="Times New Roman"/>
          <w:sz w:val="24"/>
          <w:szCs w:val="24"/>
        </w:rPr>
      </w:pPr>
      <w:r>
        <w:rPr>
          <w:rFonts w:ascii="Times New Roman" w:hAnsi="Times New Roman" w:cs="Times New Roman"/>
          <w:i/>
          <w:iCs/>
          <w:sz w:val="24"/>
          <w:szCs w:val="24"/>
        </w:rPr>
        <w:lastRenderedPageBreak/>
        <w:t>Youth Justice and Criminal Evidence Act</w:t>
      </w:r>
      <w:r>
        <w:rPr>
          <w:rFonts w:ascii="Times New Roman" w:hAnsi="Times New Roman" w:cs="Times New Roman"/>
          <w:sz w:val="24"/>
          <w:szCs w:val="24"/>
        </w:rPr>
        <w:t>. 1999, www.legislation.gov.uk/ukpga/1999/23/contents.</w:t>
      </w:r>
    </w:p>
    <w:p w14:paraId="199DF556" w14:textId="77777777" w:rsidR="001F6FBA" w:rsidRDefault="001F6FBA" w:rsidP="001F6FBA">
      <w:pPr>
        <w:rPr>
          <w:rFonts w:asciiTheme="minorHAnsi" w:eastAsiaTheme="minorHAnsi" w:hAnsiTheme="minorHAnsi" w:cstheme="minorBidi"/>
          <w:kern w:val="2"/>
          <w:sz w:val="22"/>
          <w:szCs w:val="22"/>
          <w:lang w:eastAsia="en-US"/>
          <w14:ligatures w14:val="standardContextual"/>
        </w:rPr>
      </w:pPr>
    </w:p>
    <w:p w14:paraId="780B8D15" w14:textId="77777777" w:rsidR="007A25F2" w:rsidRDefault="007A25F2" w:rsidP="00EA28F1">
      <w:pPr>
        <w:keepNext/>
        <w:spacing w:before="240" w:after="60"/>
        <w:ind w:right="237"/>
        <w:jc w:val="both"/>
      </w:pPr>
    </w:p>
    <w:sectPr w:rsidR="007A25F2" w:rsidSect="00681A1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C3111" w14:textId="77777777" w:rsidR="00681A1A" w:rsidRDefault="00681A1A">
      <w:r>
        <w:separator/>
      </w:r>
    </w:p>
  </w:endnote>
  <w:endnote w:type="continuationSeparator" w:id="0">
    <w:p w14:paraId="2D83B304" w14:textId="77777777" w:rsidR="00681A1A" w:rsidRDefault="00681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0EE37" w14:textId="77777777" w:rsidR="00681A1A" w:rsidRDefault="00681A1A">
      <w:r>
        <w:separator/>
      </w:r>
    </w:p>
  </w:footnote>
  <w:footnote w:type="continuationSeparator" w:id="0">
    <w:p w14:paraId="54301723" w14:textId="77777777" w:rsidR="00681A1A" w:rsidRDefault="00681A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4473DD"/>
    <w:multiLevelType w:val="multilevel"/>
    <w:tmpl w:val="472E1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441D26"/>
    <w:multiLevelType w:val="hybridMultilevel"/>
    <w:tmpl w:val="CFC08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985662D"/>
    <w:multiLevelType w:val="hybridMultilevel"/>
    <w:tmpl w:val="F3CED6D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B43346E"/>
    <w:multiLevelType w:val="multilevel"/>
    <w:tmpl w:val="3B72F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5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51"/>
  </w:num>
  <w:num w:numId="2" w16cid:durableId="417675724">
    <w:abstractNumId w:val="11"/>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3"/>
  </w:num>
  <w:num w:numId="5" w16cid:durableId="292910358">
    <w:abstractNumId w:val="48"/>
  </w:num>
  <w:num w:numId="6" w16cid:durableId="1535117422">
    <w:abstractNumId w:val="50"/>
  </w:num>
  <w:num w:numId="7" w16cid:durableId="497159976">
    <w:abstractNumId w:val="36"/>
  </w:num>
  <w:num w:numId="8" w16cid:durableId="1969892037">
    <w:abstractNumId w:val="34"/>
  </w:num>
  <w:num w:numId="9" w16cid:durableId="1373725377">
    <w:abstractNumId w:val="31"/>
  </w:num>
  <w:num w:numId="10" w16cid:durableId="825324590">
    <w:abstractNumId w:val="32"/>
  </w:num>
  <w:num w:numId="11" w16cid:durableId="813445957">
    <w:abstractNumId w:val="10"/>
  </w:num>
  <w:num w:numId="12" w16cid:durableId="232394586">
    <w:abstractNumId w:val="35"/>
  </w:num>
  <w:num w:numId="13" w16cid:durableId="1039740215">
    <w:abstractNumId w:val="18"/>
  </w:num>
  <w:num w:numId="14" w16cid:durableId="1170288507">
    <w:abstractNumId w:val="17"/>
  </w:num>
  <w:num w:numId="15" w16cid:durableId="456804283">
    <w:abstractNumId w:val="28"/>
  </w:num>
  <w:num w:numId="16" w16cid:durableId="647825036">
    <w:abstractNumId w:val="7"/>
  </w:num>
  <w:num w:numId="17" w16cid:durableId="431701502">
    <w:abstractNumId w:val="27"/>
  </w:num>
  <w:num w:numId="18" w16cid:durableId="55593141">
    <w:abstractNumId w:val="16"/>
  </w:num>
  <w:num w:numId="19" w16cid:durableId="514465446">
    <w:abstractNumId w:val="14"/>
  </w:num>
  <w:num w:numId="20" w16cid:durableId="4916032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4"/>
  </w:num>
  <w:num w:numId="22" w16cid:durableId="2142264046">
    <w:abstractNumId w:val="19"/>
  </w:num>
  <w:num w:numId="23" w16cid:durableId="137846151">
    <w:abstractNumId w:val="15"/>
  </w:num>
  <w:num w:numId="24" w16cid:durableId="1914271120">
    <w:abstractNumId w:val="12"/>
  </w:num>
  <w:num w:numId="25" w16cid:durableId="885063891">
    <w:abstractNumId w:val="29"/>
  </w:num>
  <w:num w:numId="26" w16cid:durableId="236403065">
    <w:abstractNumId w:val="20"/>
  </w:num>
  <w:num w:numId="27" w16cid:durableId="1573000687">
    <w:abstractNumId w:val="44"/>
  </w:num>
  <w:num w:numId="28" w16cid:durableId="66197777">
    <w:abstractNumId w:val="37"/>
  </w:num>
  <w:num w:numId="29" w16cid:durableId="1127815727">
    <w:abstractNumId w:val="42"/>
  </w:num>
  <w:num w:numId="30" w16cid:durableId="1139540040">
    <w:abstractNumId w:val="21"/>
  </w:num>
  <w:num w:numId="31" w16cid:durableId="34090301">
    <w:abstractNumId w:val="46"/>
  </w:num>
  <w:num w:numId="32" w16cid:durableId="222646112">
    <w:abstractNumId w:val="33"/>
  </w:num>
  <w:num w:numId="33" w16cid:durableId="2043940194">
    <w:abstractNumId w:val="13"/>
  </w:num>
  <w:num w:numId="34" w16cid:durableId="1879196244">
    <w:abstractNumId w:val="47"/>
  </w:num>
  <w:num w:numId="35" w16cid:durableId="682361466">
    <w:abstractNumId w:val="41"/>
  </w:num>
  <w:num w:numId="36" w16cid:durableId="1977442909">
    <w:abstractNumId w:val="4"/>
  </w:num>
  <w:num w:numId="37" w16cid:durableId="1583488633">
    <w:abstractNumId w:val="49"/>
  </w:num>
  <w:num w:numId="38" w16cid:durableId="440271129">
    <w:abstractNumId w:val="45"/>
  </w:num>
  <w:num w:numId="39" w16cid:durableId="738553744">
    <w:abstractNumId w:val="38"/>
  </w:num>
  <w:num w:numId="40" w16cid:durableId="1665820156">
    <w:abstractNumId w:val="39"/>
  </w:num>
  <w:num w:numId="41" w16cid:durableId="180051086">
    <w:abstractNumId w:val="3"/>
  </w:num>
  <w:num w:numId="42" w16cid:durableId="659695053">
    <w:abstractNumId w:val="5"/>
  </w:num>
  <w:num w:numId="43" w16cid:durableId="799807383">
    <w:abstractNumId w:val="26"/>
  </w:num>
  <w:num w:numId="44" w16cid:durableId="1438983801">
    <w:abstractNumId w:val="6"/>
  </w:num>
  <w:num w:numId="45" w16cid:durableId="3284368">
    <w:abstractNumId w:val="2"/>
  </w:num>
  <w:num w:numId="46" w16cid:durableId="397748815">
    <w:abstractNumId w:val="0"/>
  </w:num>
  <w:num w:numId="47" w16cid:durableId="220332332">
    <w:abstractNumId w:val="22"/>
  </w:num>
  <w:num w:numId="48" w16cid:durableId="504830301">
    <w:abstractNumId w:val="30"/>
  </w:num>
  <w:num w:numId="49" w16cid:durableId="54592622">
    <w:abstractNumId w:val="52"/>
  </w:num>
  <w:num w:numId="50" w16cid:durableId="125317422">
    <w:abstractNumId w:val="25"/>
  </w:num>
  <w:num w:numId="51" w16cid:durableId="177812260">
    <w:abstractNumId w:val="8"/>
  </w:num>
  <w:num w:numId="52" w16cid:durableId="1609893600">
    <w:abstractNumId w:val="40"/>
  </w:num>
  <w:num w:numId="53" w16cid:durableId="1074358108">
    <w:abstractNumId w:val="4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BAA"/>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4DD1"/>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1F6FBA"/>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7CC"/>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435"/>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1A1A"/>
    <w:rsid w:val="00682334"/>
    <w:rsid w:val="00684B16"/>
    <w:rsid w:val="00694C00"/>
    <w:rsid w:val="00696F65"/>
    <w:rsid w:val="006A7A6D"/>
    <w:rsid w:val="006B5E67"/>
    <w:rsid w:val="006C2EB5"/>
    <w:rsid w:val="006C3F19"/>
    <w:rsid w:val="006D18A3"/>
    <w:rsid w:val="006D5970"/>
    <w:rsid w:val="006E2D2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A25F2"/>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3D2A"/>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7A25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z-TopofForm">
    <w:name w:val="HTML Top of Form"/>
    <w:basedOn w:val="Normal"/>
    <w:next w:val="Normal"/>
    <w:link w:val="z-TopofFormChar"/>
    <w:hidden/>
    <w:uiPriority w:val="99"/>
    <w:semiHidden/>
    <w:unhideWhenUsed/>
    <w:rsid w:val="007A25F2"/>
    <w:pPr>
      <w:pBdr>
        <w:bottom w:val="single" w:sz="6" w:space="1" w:color="auto"/>
      </w:pBdr>
      <w:overflowPunct/>
      <w:autoSpaceDE/>
      <w:autoSpaceDN/>
      <w:adjustRightInd/>
      <w:jc w:val="center"/>
      <w:textAlignment w:val="auto"/>
    </w:pPr>
    <w:rPr>
      <w:vanish/>
      <w:color w:val="auto"/>
      <w:sz w:val="16"/>
      <w:szCs w:val="16"/>
    </w:rPr>
  </w:style>
  <w:style w:type="character" w:customStyle="1" w:styleId="z-TopofFormChar">
    <w:name w:val="z-Top of Form Char"/>
    <w:basedOn w:val="DefaultParagraphFont"/>
    <w:link w:val="z-TopofForm"/>
    <w:uiPriority w:val="99"/>
    <w:semiHidden/>
    <w:rsid w:val="007A25F2"/>
    <w:rPr>
      <w:rFonts w:ascii="Arial"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57387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1999/23/section/26"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legislation.gov.uk/ukpga/1999/23/section/2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99/23/section/25"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egislation.gov.uk/ukpga/1999/23/section/24" TargetMode="External"/><Relationship Id="rId20" Type="http://schemas.openxmlformats.org/officeDocument/2006/relationships/hyperlink" Target="https://www.legislation.gov.uk/ukpga/1999/23/section/2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legislation.gov.uk/ukpga/1999/23/section/23"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legislation.gov.uk/ukpga/1999/23/section/27"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99/23/section/30"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5868</Words>
  <Characters>33448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Joyce,Rebecca swp8487</cp:lastModifiedBy>
  <cp:revision>2</cp:revision>
  <cp:lastPrinted>2014-08-26T08:55:00Z</cp:lastPrinted>
  <dcterms:created xsi:type="dcterms:W3CDTF">2024-04-29T20:20:00Z</dcterms:created>
  <dcterms:modified xsi:type="dcterms:W3CDTF">2024-04-29T20:20:00Z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