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B68A2" w14:textId="77777777" w:rsidR="00B04E98" w:rsidRDefault="00B04E98" w:rsidP="00B04E98">
      <w:pPr>
        <w:spacing w:after="0"/>
        <w:jc w:val="center"/>
        <w:rPr>
          <w:rFonts w:ascii="Times New Roman" w:eastAsia="Calibri" w:hAnsi="Times New Roman"/>
          <w:b/>
          <w:bCs/>
          <w:sz w:val="56"/>
          <w:szCs w:val="56"/>
          <w:lang w:val="en-US"/>
        </w:rPr>
      </w:pPr>
    </w:p>
    <w:p w14:paraId="7A65EFA3" w14:textId="77777777" w:rsidR="00B04E98" w:rsidRDefault="00B04E98" w:rsidP="00B04E98">
      <w:pPr>
        <w:spacing w:after="0"/>
        <w:jc w:val="center"/>
        <w:rPr>
          <w:rFonts w:ascii="Times New Roman" w:eastAsia="Calibri" w:hAnsi="Times New Roman"/>
          <w:b/>
          <w:bCs/>
          <w:sz w:val="56"/>
          <w:szCs w:val="56"/>
          <w:lang w:val="en-US"/>
        </w:rPr>
      </w:pPr>
    </w:p>
    <w:p w14:paraId="2F444E6A" w14:textId="77777777" w:rsidR="00B04E98" w:rsidRDefault="00B04E98" w:rsidP="00B04E98">
      <w:pPr>
        <w:spacing w:after="0"/>
        <w:jc w:val="center"/>
        <w:rPr>
          <w:rFonts w:ascii="Times New Roman" w:eastAsia="Calibri" w:hAnsi="Times New Roman"/>
          <w:b/>
          <w:bCs/>
          <w:sz w:val="56"/>
          <w:szCs w:val="56"/>
          <w:lang w:val="en-US"/>
        </w:rPr>
      </w:pPr>
    </w:p>
    <w:p w14:paraId="43FBB29C" w14:textId="33A72BB3" w:rsidR="00B04E98" w:rsidRDefault="00B04E98" w:rsidP="00B04E98">
      <w:pPr>
        <w:spacing w:after="0"/>
        <w:jc w:val="center"/>
        <w:rPr>
          <w:rFonts w:ascii="Times New Roman" w:eastAsia="Calibri" w:hAnsi="Times New Roman"/>
          <w:b/>
          <w:bCs/>
          <w:sz w:val="56"/>
          <w:szCs w:val="56"/>
          <w:lang w:val="en-US"/>
        </w:rPr>
      </w:pPr>
      <w:r>
        <w:rPr>
          <w:rFonts w:ascii="Times New Roman" w:eastAsia="Calibri" w:hAnsi="Times New Roman"/>
          <w:b/>
          <w:bCs/>
          <w:sz w:val="56"/>
          <w:szCs w:val="56"/>
          <w:lang w:val="en-US"/>
        </w:rPr>
        <w:t>BA International Hotel Management</w:t>
      </w:r>
    </w:p>
    <w:p w14:paraId="29FFE5DC" w14:textId="77777777" w:rsidR="00B04E98" w:rsidRDefault="00B04E98" w:rsidP="00B04E98">
      <w:pPr>
        <w:spacing w:after="0"/>
        <w:jc w:val="center"/>
        <w:rPr>
          <w:rFonts w:ascii="Times New Roman" w:eastAsia="Calibri" w:hAnsi="Times New Roman"/>
          <w:sz w:val="36"/>
          <w:szCs w:val="36"/>
        </w:rPr>
      </w:pPr>
    </w:p>
    <w:p w14:paraId="592204EF" w14:textId="77777777" w:rsidR="00B04E98" w:rsidRDefault="00B04E98" w:rsidP="00B04E98">
      <w:pPr>
        <w:spacing w:after="0"/>
        <w:jc w:val="center"/>
        <w:rPr>
          <w:rFonts w:ascii="Times New Roman" w:eastAsia="Calibri" w:hAnsi="Times New Roman"/>
          <w:sz w:val="40"/>
          <w:szCs w:val="40"/>
          <w:lang w:val="en-US"/>
        </w:rPr>
      </w:pPr>
      <w:r>
        <w:rPr>
          <w:rFonts w:ascii="Times New Roman" w:eastAsia="Calibri" w:hAnsi="Times New Roman"/>
          <w:sz w:val="40"/>
          <w:szCs w:val="40"/>
        </w:rPr>
        <w:t>Module: Financial Management for the Hotel Industry</w:t>
      </w:r>
    </w:p>
    <w:p w14:paraId="092420C4" w14:textId="77777777" w:rsidR="00B04E98" w:rsidRDefault="00B04E98" w:rsidP="00B04E98">
      <w:pPr>
        <w:spacing w:after="0"/>
        <w:jc w:val="center"/>
        <w:rPr>
          <w:rFonts w:ascii="Times New Roman" w:eastAsia="Calibri" w:hAnsi="Times New Roman"/>
          <w:sz w:val="40"/>
          <w:szCs w:val="40"/>
          <w:lang w:val="en-US"/>
        </w:rPr>
      </w:pPr>
      <w:r>
        <w:rPr>
          <w:rFonts w:ascii="Times New Roman" w:eastAsia="Calibri" w:hAnsi="Times New Roman"/>
          <w:sz w:val="40"/>
          <w:szCs w:val="40"/>
          <w:lang w:val="en-US"/>
        </w:rPr>
        <w:t xml:space="preserve">Module code: </w:t>
      </w:r>
      <w:r>
        <w:rPr>
          <w:rFonts w:ascii="Times New Roman" w:eastAsia="Calibri" w:hAnsi="Times New Roman"/>
          <w:sz w:val="40"/>
          <w:szCs w:val="40"/>
        </w:rPr>
        <w:t>BMIH5007</w:t>
      </w:r>
    </w:p>
    <w:p w14:paraId="4A09ADCF" w14:textId="77777777" w:rsidR="00B04E98" w:rsidRDefault="00B04E98" w:rsidP="00B04E98">
      <w:pPr>
        <w:spacing w:after="0"/>
        <w:jc w:val="center"/>
        <w:rPr>
          <w:rFonts w:ascii="Times New Roman" w:eastAsia="Calibri" w:hAnsi="Times New Roman"/>
          <w:sz w:val="40"/>
          <w:szCs w:val="40"/>
        </w:rPr>
      </w:pPr>
      <w:r>
        <w:rPr>
          <w:rFonts w:ascii="Times New Roman" w:eastAsia="Calibri" w:hAnsi="Times New Roman"/>
          <w:sz w:val="40"/>
          <w:szCs w:val="40"/>
        </w:rPr>
        <w:t xml:space="preserve">Lecturer: </w:t>
      </w:r>
      <w:r>
        <w:rPr>
          <w:rFonts w:eastAsia="Calibri" w:cs="Vrinda"/>
          <w:sz w:val="40"/>
          <w:szCs w:val="40"/>
        </w:rPr>
        <w:t>Tristan Hawkins</w:t>
      </w:r>
    </w:p>
    <w:p w14:paraId="705DB749" w14:textId="77777777" w:rsidR="00B04E98" w:rsidRDefault="00B04E98" w:rsidP="00B04E98">
      <w:pPr>
        <w:spacing w:after="0"/>
        <w:jc w:val="center"/>
        <w:rPr>
          <w:rFonts w:ascii="Times New Roman" w:eastAsia="Calibri" w:hAnsi="Times New Roman"/>
          <w:sz w:val="40"/>
          <w:szCs w:val="40"/>
        </w:rPr>
      </w:pPr>
      <w:r>
        <w:rPr>
          <w:rFonts w:ascii="Times New Roman" w:eastAsia="Calibri" w:hAnsi="Times New Roman"/>
          <w:sz w:val="40"/>
          <w:szCs w:val="40"/>
        </w:rPr>
        <w:t>Student ID: Rezaul Rabbani (1813391)</w:t>
      </w:r>
    </w:p>
    <w:p w14:paraId="564D6A99" w14:textId="77777777" w:rsidR="00B04E98" w:rsidRDefault="00B04E98" w:rsidP="00B04E98">
      <w:pPr>
        <w:spacing w:after="0"/>
        <w:jc w:val="center"/>
        <w:rPr>
          <w:rFonts w:ascii="Times New Roman" w:eastAsia="Calibri" w:hAnsi="Times New Roman"/>
          <w:sz w:val="40"/>
          <w:szCs w:val="40"/>
        </w:rPr>
      </w:pPr>
      <w:r>
        <w:rPr>
          <w:rFonts w:ascii="Times New Roman" w:eastAsia="Calibri" w:hAnsi="Times New Roman"/>
          <w:sz w:val="40"/>
          <w:szCs w:val="40"/>
        </w:rPr>
        <w:t>Word Count: 2000</w:t>
      </w:r>
    </w:p>
    <w:p w14:paraId="72FF4BD1" w14:textId="77777777" w:rsidR="00B04E98" w:rsidRDefault="00B04E98" w:rsidP="00B04E98">
      <w:pPr>
        <w:pStyle w:val="Title"/>
        <w:jc w:val="center"/>
      </w:pPr>
    </w:p>
    <w:p w14:paraId="470C81C5" w14:textId="77777777" w:rsidR="00B04E98" w:rsidRDefault="00B04E98" w:rsidP="00B04E98">
      <w:pPr>
        <w:pStyle w:val="Title"/>
        <w:jc w:val="center"/>
      </w:pPr>
    </w:p>
    <w:p w14:paraId="45DB2B52" w14:textId="77777777" w:rsidR="00B04E98" w:rsidRDefault="00B04E98" w:rsidP="00B04E98">
      <w:pPr>
        <w:pStyle w:val="Title"/>
        <w:jc w:val="center"/>
      </w:pPr>
    </w:p>
    <w:p w14:paraId="0419D0F2" w14:textId="77777777" w:rsidR="00B04E98" w:rsidRDefault="00B04E98" w:rsidP="00B04E98">
      <w:pPr>
        <w:pStyle w:val="Title"/>
        <w:jc w:val="center"/>
      </w:pPr>
    </w:p>
    <w:p w14:paraId="6D717375" w14:textId="77777777" w:rsidR="00B04E98" w:rsidRDefault="00B04E98" w:rsidP="00B04E98">
      <w:pPr>
        <w:pStyle w:val="Title"/>
        <w:jc w:val="center"/>
      </w:pPr>
    </w:p>
    <w:p w14:paraId="34673B67" w14:textId="77777777" w:rsidR="00B04E98" w:rsidRDefault="00B04E98" w:rsidP="00B04E98">
      <w:pPr>
        <w:pStyle w:val="Title"/>
        <w:jc w:val="center"/>
      </w:pPr>
    </w:p>
    <w:p w14:paraId="74731475" w14:textId="77777777" w:rsidR="00B04E98" w:rsidRDefault="00B04E98" w:rsidP="00B04E98">
      <w:pPr>
        <w:pStyle w:val="Title"/>
        <w:jc w:val="center"/>
      </w:pPr>
    </w:p>
    <w:p w14:paraId="4DB92BA3" w14:textId="77777777" w:rsidR="00B04E98" w:rsidRDefault="00B04E98" w:rsidP="00B04E98">
      <w:pPr>
        <w:pStyle w:val="Title"/>
        <w:jc w:val="center"/>
      </w:pPr>
    </w:p>
    <w:p w14:paraId="3E9FF736" w14:textId="7DE4CDD4" w:rsidR="00B04E98" w:rsidRDefault="00B04E98" w:rsidP="00B04E98">
      <w:pPr>
        <w:pStyle w:val="Title"/>
        <w:jc w:val="center"/>
      </w:pPr>
      <w:r>
        <w:t>Financial Management for the Hotel Industry</w:t>
      </w:r>
    </w:p>
    <w:p w14:paraId="19DBABB6" w14:textId="77777777" w:rsidR="00B04E98" w:rsidRDefault="00B04E98" w:rsidP="00B04E98"/>
    <w:p w14:paraId="1B571779" w14:textId="77777777" w:rsidR="00B04E98" w:rsidRDefault="00B04E98" w:rsidP="00B04E98"/>
    <w:sdt>
      <w:sdtPr>
        <w:rPr>
          <w:rFonts w:ascii="Cambria" w:eastAsiaTheme="minorHAnsi" w:hAnsi="Cambria" w:cstheme="minorBidi"/>
          <w:color w:val="auto"/>
          <w:sz w:val="24"/>
          <w:szCs w:val="22"/>
          <w:lang w:val="en-GB"/>
        </w:rPr>
        <w:id w:val="245698298"/>
        <w:docPartObj>
          <w:docPartGallery w:val="Table of Contents"/>
          <w:docPartUnique/>
        </w:docPartObj>
      </w:sdtPr>
      <w:sdtContent>
        <w:p w14:paraId="772C32D4" w14:textId="77777777" w:rsidR="00B04E98" w:rsidRDefault="00B04E98" w:rsidP="00B04E98">
          <w:pPr>
            <w:pStyle w:val="TOCHeading"/>
          </w:pPr>
          <w:r>
            <w:t>Contents</w:t>
          </w:r>
        </w:p>
        <w:p w14:paraId="75A6DFDB" w14:textId="77777777" w:rsidR="00B04E98" w:rsidRDefault="00B04E98" w:rsidP="00B04E98">
          <w:pPr>
            <w:pStyle w:val="TOC1"/>
            <w:tabs>
              <w:tab w:val="right" w:leader="dot" w:pos="9350"/>
            </w:tabs>
            <w:rPr>
              <w:noProof/>
            </w:rPr>
          </w:pPr>
          <w:r>
            <w:fldChar w:fldCharType="begin"/>
          </w:r>
          <w:r>
            <w:instrText xml:space="preserve"> TOC \o "1-3" \h \z \u </w:instrText>
          </w:r>
          <w:r>
            <w:fldChar w:fldCharType="separate"/>
          </w:r>
          <w:hyperlink r:id="rId4" w:anchor="_Toc156484855"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_Toc156484855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1DE6C3AE" w14:textId="77777777" w:rsidR="00B04E98" w:rsidRDefault="00B04E98" w:rsidP="00B04E98">
          <w:pPr>
            <w:pStyle w:val="TOC1"/>
            <w:tabs>
              <w:tab w:val="right" w:leader="dot" w:pos="9350"/>
            </w:tabs>
            <w:rPr>
              <w:noProof/>
            </w:rPr>
          </w:pPr>
          <w:hyperlink r:id="rId5" w:anchor="_Toc156484856" w:history="1">
            <w:r>
              <w:rPr>
                <w:rStyle w:val="Hyperlink"/>
                <w:noProof/>
              </w:rPr>
              <w:t>Analysis of Financial Performance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_Toc156484856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38EDAC13" w14:textId="77777777" w:rsidR="00B04E98" w:rsidRDefault="00B04E98" w:rsidP="00B04E98">
          <w:pPr>
            <w:pStyle w:val="TOC1"/>
            <w:tabs>
              <w:tab w:val="right" w:leader="dot" w:pos="9350"/>
            </w:tabs>
            <w:rPr>
              <w:noProof/>
            </w:rPr>
          </w:pPr>
          <w:hyperlink r:id="rId6" w:anchor="_Toc156484857" w:history="1">
            <w:r>
              <w:rPr>
                <w:rStyle w:val="Hyperlink"/>
                <w:noProof/>
              </w:rPr>
              <w:t>Key Reasons behind the Decline in Profitability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_Toc156484857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14:paraId="10EF21C8" w14:textId="77777777" w:rsidR="00B04E98" w:rsidRDefault="00B04E98" w:rsidP="00B04E98">
          <w:pPr>
            <w:pStyle w:val="TOC1"/>
            <w:tabs>
              <w:tab w:val="right" w:leader="dot" w:pos="9350"/>
            </w:tabs>
            <w:rPr>
              <w:noProof/>
            </w:rPr>
          </w:pPr>
          <w:hyperlink r:id="rId7" w:anchor="_Toc156484858" w:history="1">
            <w:r>
              <w:rPr>
                <w:rStyle w:val="Hyperlink"/>
                <w:noProof/>
              </w:rPr>
              <w:t>Turnaround Strategy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_Toc156484858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40EFB712" w14:textId="77777777" w:rsidR="00B04E98" w:rsidRDefault="00B04E98" w:rsidP="00B04E98">
          <w:pPr>
            <w:pStyle w:val="TOC1"/>
            <w:tabs>
              <w:tab w:val="right" w:leader="dot" w:pos="9350"/>
            </w:tabs>
            <w:rPr>
              <w:noProof/>
            </w:rPr>
          </w:pPr>
          <w:hyperlink r:id="rId8" w:anchor="_Toc156484859" w:history="1">
            <w:r>
              <w:rPr>
                <w:rStyle w:val="Hyperlink"/>
                <w:noProof/>
              </w:rPr>
              <w:t>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_Toc156484859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14:paraId="474EF6F8" w14:textId="77777777" w:rsidR="00B04E98" w:rsidRDefault="00B04E98" w:rsidP="00B04E98">
          <w:pPr>
            <w:pStyle w:val="TOC1"/>
            <w:tabs>
              <w:tab w:val="right" w:leader="dot" w:pos="9350"/>
            </w:tabs>
            <w:rPr>
              <w:noProof/>
            </w:rPr>
          </w:pPr>
          <w:hyperlink r:id="rId9" w:anchor="_Toc156484860" w:history="1">
            <w:r>
              <w:rPr>
                <w:rStyle w:val="Hyperlink"/>
                <w:noProof/>
              </w:rPr>
              <w:t>References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_Toc156484860 \h </w:instrText>
            </w:r>
            <w:r>
              <w:rPr>
                <w:rStyle w:val="Hyperlink"/>
                <w:noProof/>
                <w:webHidden/>
                <w:color w:val="auto"/>
              </w:rPr>
            </w:r>
            <w:r>
              <w:rPr>
                <w:rStyle w:val="Hyperlink"/>
                <w:noProof/>
                <w:webHidden/>
                <w:color w:val="auto"/>
              </w:rPr>
              <w:fldChar w:fldCharType="separate"/>
            </w:r>
            <w:r>
              <w:rPr>
                <w:rStyle w:val="Hyperlink"/>
                <w:noProof/>
                <w:webHidden/>
                <w:color w:val="auto"/>
              </w:rPr>
              <w:t>11</w:t>
            </w:r>
            <w:r>
              <w:rPr>
                <w:rStyle w:val="Hyperlink"/>
                <w:noProof/>
                <w:webHidden/>
                <w:color w:val="auto"/>
              </w:rPr>
              <w:fldChar w:fldCharType="end"/>
            </w:r>
          </w:hyperlink>
        </w:p>
        <w:p w14:paraId="3B65623C" w14:textId="77777777" w:rsidR="00B04E98" w:rsidRDefault="00B04E98" w:rsidP="00B04E98">
          <w:r>
            <w:rPr>
              <w:b/>
              <w:bCs/>
              <w:noProof/>
            </w:rPr>
            <w:fldChar w:fldCharType="end"/>
          </w:r>
        </w:p>
      </w:sdtContent>
    </w:sdt>
    <w:p w14:paraId="3B765EFB" w14:textId="77777777" w:rsidR="00B04E98" w:rsidRDefault="00B04E98" w:rsidP="00B04E98">
      <w:pPr>
        <w:pStyle w:val="Subtitle"/>
        <w:jc w:val="center"/>
      </w:pPr>
      <w:r>
        <w:t>Case Study: The Seacrest Lodge</w:t>
      </w:r>
    </w:p>
    <w:p w14:paraId="47268C17" w14:textId="77777777" w:rsidR="00B04E98" w:rsidRDefault="00B04E98" w:rsidP="00B04E98">
      <w:pPr>
        <w:spacing w:after="0"/>
        <w:jc w:val="left"/>
        <w:rPr>
          <w:rFonts w:asciiTheme="minorHAnsi" w:eastAsiaTheme="minorEastAsia" w:hAnsiTheme="minorHAnsi"/>
          <w:color w:val="5A5A5A" w:themeColor="text1" w:themeTint="A5"/>
          <w:spacing w:val="15"/>
          <w:sz w:val="22"/>
        </w:rPr>
        <w:sectPr w:rsidR="00B04E98" w:rsidSect="00B04E98">
          <w:pgSz w:w="12240" w:h="15840"/>
          <w:pgMar w:top="1440" w:right="1440" w:bottom="1440" w:left="1440" w:header="720" w:footer="720" w:gutter="0"/>
          <w:cols w:space="720"/>
        </w:sectPr>
      </w:pPr>
    </w:p>
    <w:p w14:paraId="2CD91E15" w14:textId="77777777" w:rsidR="00B04E98" w:rsidRDefault="00B04E98" w:rsidP="00B04E98">
      <w:pPr>
        <w:keepNext/>
        <w:keepLines/>
        <w:spacing w:before="240" w:after="0"/>
        <w:outlineLvl w:val="0"/>
        <w:rPr>
          <w:rFonts w:eastAsiaTheme="majorEastAsia" w:cstheme="majorBidi"/>
          <w:b/>
          <w:szCs w:val="32"/>
        </w:rPr>
      </w:pPr>
      <w:r>
        <w:rPr>
          <w:rFonts w:eastAsiaTheme="majorEastAsia" w:cstheme="majorBidi"/>
          <w:b/>
          <w:szCs w:val="32"/>
        </w:rPr>
        <w:lastRenderedPageBreak/>
        <w:t>Introduction</w:t>
      </w:r>
    </w:p>
    <w:p w14:paraId="2063C94C" w14:textId="77777777" w:rsidR="00B04E98" w:rsidRDefault="00B04E98" w:rsidP="00B04E98">
      <w:r>
        <w:t>This report analyses The Seacrest Lodge's present circumstances thoroughly. Once a popular tourist site, it was currently seeing a drop in profits, occupancy rates, and client satisfaction. It carefully examines the resort's major performance metrics, such as the administration of assets, operating costs, and revenue patterns. The report also includes a look at outside variables that are causing it to suffer. To drive The Seacrest Lodge towards a strong recovery in finances and reclaim its prestigious standing as a top vacation spot in an evolving economic environment, the research offers a complete set of ideas to revitalise the resort's position.</w:t>
      </w:r>
    </w:p>
    <w:p w14:paraId="2F2E2EE5" w14:textId="77777777" w:rsidR="00B04E98" w:rsidRDefault="00B04E98" w:rsidP="00B04E98">
      <w:pPr>
        <w:keepNext/>
        <w:keepLines/>
        <w:spacing w:before="240" w:after="0"/>
        <w:outlineLvl w:val="0"/>
        <w:rPr>
          <w:rFonts w:eastAsiaTheme="majorEastAsia" w:cstheme="majorBidi"/>
          <w:b/>
          <w:szCs w:val="32"/>
        </w:rPr>
      </w:pPr>
      <w:r>
        <w:rPr>
          <w:rFonts w:eastAsiaTheme="majorEastAsia" w:cstheme="majorBidi"/>
          <w:b/>
          <w:szCs w:val="32"/>
        </w:rPr>
        <w:t>Analysis of Financial Performance</w:t>
      </w:r>
    </w:p>
    <w:p w14:paraId="19C9C935" w14:textId="77777777" w:rsidR="00B04E98" w:rsidRDefault="00B04E98" w:rsidP="00B04E98">
      <w:pPr>
        <w:rPr>
          <w:b/>
          <w:bCs/>
        </w:rPr>
      </w:pPr>
      <w:r>
        <w:rPr>
          <w:b/>
          <w:bCs/>
        </w:rPr>
        <w:t>Liquidity</w:t>
      </w:r>
    </w:p>
    <w:p w14:paraId="6D38AAB4" w14:textId="77777777" w:rsidR="00B04E98" w:rsidRDefault="00B04E98" w:rsidP="00B04E98">
      <w:r>
        <w:t>The estimated current ratios for the three-year timeframe suggest that The Seacrest Lodge's liquidity position is concerning. The company's strong current ratio of 5.00 in 2021 indicated a sound capacity to pay immediate obligations. Nevertheless, this ratio saw a sharp decrease to 3.00 in 2022 and a further dip to 1.00 in 2023. A current ratio of 1.00 suggests that there may be a liquidity constraint for the firm because its current assets barely cover its current obligations (</w:t>
      </w:r>
      <w:proofErr w:type="spellStart"/>
      <w:r>
        <w:t>Fridson</w:t>
      </w:r>
      <w:proofErr w:type="spellEnd"/>
      <w:r>
        <w:t xml:space="preserve"> &amp; Alvarez, 2022). The decrease in cash and equivalents from £100,000 in 2021 to £20,000 in 2023 highlights the difficulty in obtaining the necessary funds to fulfil urgent financial commitments.</w:t>
      </w:r>
    </w:p>
    <w:tbl>
      <w:tblPr>
        <w:tblStyle w:val="PlainTable2"/>
        <w:tblW w:w="10368" w:type="dxa"/>
        <w:tblInd w:w="0" w:type="dxa"/>
        <w:tblLook w:val="04A0" w:firstRow="1" w:lastRow="0" w:firstColumn="1" w:lastColumn="0" w:noHBand="0" w:noVBand="1"/>
      </w:tblPr>
      <w:tblGrid>
        <w:gridCol w:w="909"/>
        <w:gridCol w:w="1446"/>
        <w:gridCol w:w="1491"/>
        <w:gridCol w:w="1234"/>
        <w:gridCol w:w="2234"/>
        <w:gridCol w:w="1609"/>
        <w:gridCol w:w="1445"/>
      </w:tblGrid>
      <w:tr w:rsidR="00B04E98" w14:paraId="6FE246A0" w14:textId="77777777" w:rsidTr="00B04E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7F7F7F" w:themeColor="text1" w:themeTint="80"/>
              <w:left w:val="nil"/>
              <w:right w:val="nil"/>
            </w:tcBorders>
            <w:hideMark/>
          </w:tcPr>
          <w:p w14:paraId="31F99AED" w14:textId="77777777" w:rsidR="00B04E98" w:rsidRDefault="00B04E98">
            <w:pPr>
              <w:jc w:val="center"/>
              <w:rPr>
                <w:lang w:val="en-US"/>
              </w:rPr>
            </w:pPr>
            <w:r>
              <w:rPr>
                <w:b/>
                <w:bCs/>
                <w:lang w:val="en-US"/>
              </w:rPr>
              <w:t>Year</w:t>
            </w:r>
          </w:p>
        </w:tc>
        <w:tc>
          <w:tcPr>
            <w:tcW w:w="0" w:type="auto"/>
            <w:tcBorders>
              <w:top w:val="single" w:sz="4" w:space="0" w:color="7F7F7F" w:themeColor="text1" w:themeTint="80"/>
              <w:left w:val="nil"/>
              <w:right w:val="nil"/>
            </w:tcBorders>
            <w:hideMark/>
          </w:tcPr>
          <w:p w14:paraId="4FB9405A"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pPr>
            <w:r>
              <w:rPr>
                <w:b w:val="0"/>
                <w:bCs w:val="0"/>
              </w:rPr>
              <w:t>Current</w:t>
            </w:r>
          </w:p>
          <w:p w14:paraId="10E696C3"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Assets</w:t>
            </w:r>
          </w:p>
        </w:tc>
        <w:tc>
          <w:tcPr>
            <w:tcW w:w="0" w:type="auto"/>
            <w:tcBorders>
              <w:top w:val="single" w:sz="4" w:space="0" w:color="7F7F7F" w:themeColor="text1" w:themeTint="80"/>
              <w:left w:val="nil"/>
              <w:right w:val="nil"/>
            </w:tcBorders>
            <w:hideMark/>
          </w:tcPr>
          <w:p w14:paraId="7932770D"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pPr>
            <w:r>
              <w:rPr>
                <w:b w:val="0"/>
                <w:bCs w:val="0"/>
              </w:rPr>
              <w:t>Current</w:t>
            </w:r>
          </w:p>
          <w:p w14:paraId="200E211D"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Liabilities</w:t>
            </w:r>
          </w:p>
        </w:tc>
        <w:tc>
          <w:tcPr>
            <w:tcW w:w="0" w:type="auto"/>
            <w:tcBorders>
              <w:top w:val="single" w:sz="4" w:space="0" w:color="7F7F7F" w:themeColor="text1" w:themeTint="80"/>
              <w:left w:val="nil"/>
              <w:right w:val="nil"/>
            </w:tcBorders>
            <w:hideMark/>
          </w:tcPr>
          <w:p w14:paraId="591924E2"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pPr>
            <w:r>
              <w:rPr>
                <w:b w:val="0"/>
                <w:bCs w:val="0"/>
              </w:rPr>
              <w:t>Current</w:t>
            </w:r>
          </w:p>
          <w:p w14:paraId="34A8D9A7"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Ratio</w:t>
            </w:r>
          </w:p>
        </w:tc>
        <w:tc>
          <w:tcPr>
            <w:tcW w:w="0" w:type="auto"/>
            <w:tcBorders>
              <w:top w:val="single" w:sz="4" w:space="0" w:color="7F7F7F" w:themeColor="text1" w:themeTint="80"/>
              <w:left w:val="nil"/>
              <w:right w:val="nil"/>
            </w:tcBorders>
            <w:hideMark/>
          </w:tcPr>
          <w:p w14:paraId="4CB2B68E"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pPr>
            <w:r>
              <w:rPr>
                <w:b w:val="0"/>
                <w:bCs w:val="0"/>
              </w:rPr>
              <w:t>Net Credit Sales</w:t>
            </w:r>
          </w:p>
          <w:p w14:paraId="7F124C16"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pPr>
            <w:r>
              <w:rPr>
                <w:b w:val="0"/>
                <w:bCs w:val="0"/>
              </w:rPr>
              <w:t>(Proxied by</w:t>
            </w:r>
          </w:p>
          <w:p w14:paraId="7BFDD469"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Total Revenue)</w:t>
            </w:r>
          </w:p>
        </w:tc>
        <w:tc>
          <w:tcPr>
            <w:tcW w:w="0" w:type="auto"/>
            <w:tcBorders>
              <w:top w:val="single" w:sz="4" w:space="0" w:color="7F7F7F" w:themeColor="text1" w:themeTint="80"/>
              <w:left w:val="nil"/>
              <w:right w:val="nil"/>
            </w:tcBorders>
            <w:hideMark/>
          </w:tcPr>
          <w:p w14:paraId="53CABA0D"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pPr>
            <w:r>
              <w:rPr>
                <w:b w:val="0"/>
                <w:bCs w:val="0"/>
              </w:rPr>
              <w:t>Average</w:t>
            </w:r>
          </w:p>
          <w:p w14:paraId="235072F2"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pPr>
            <w:r>
              <w:rPr>
                <w:b w:val="0"/>
                <w:bCs w:val="0"/>
              </w:rPr>
              <w:t>Accounts</w:t>
            </w:r>
          </w:p>
          <w:p w14:paraId="605668CE"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Receivable</w:t>
            </w:r>
          </w:p>
        </w:tc>
        <w:tc>
          <w:tcPr>
            <w:tcW w:w="0" w:type="auto"/>
            <w:tcBorders>
              <w:top w:val="single" w:sz="4" w:space="0" w:color="7F7F7F" w:themeColor="text1" w:themeTint="80"/>
              <w:left w:val="nil"/>
              <w:right w:val="nil"/>
            </w:tcBorders>
            <w:hideMark/>
          </w:tcPr>
          <w:p w14:paraId="6DFF9E32"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pPr>
            <w:r>
              <w:rPr>
                <w:b w:val="0"/>
                <w:bCs w:val="0"/>
              </w:rPr>
              <w:t>AR</w:t>
            </w:r>
          </w:p>
          <w:p w14:paraId="0264CB92"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Turnover</w:t>
            </w:r>
          </w:p>
        </w:tc>
      </w:tr>
      <w:tr w:rsidR="00B04E98" w14:paraId="7D4974C8" w14:textId="77777777" w:rsidTr="00B04E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il"/>
              <w:right w:val="nil"/>
            </w:tcBorders>
            <w:hideMark/>
          </w:tcPr>
          <w:p w14:paraId="56BC56DF" w14:textId="77777777" w:rsidR="00B04E98" w:rsidRDefault="00B04E98">
            <w:pPr>
              <w:rPr>
                <w:b w:val="0"/>
                <w:bCs w:val="0"/>
              </w:rPr>
            </w:pPr>
            <w:r>
              <w:rPr>
                <w:b w:val="0"/>
                <w:bCs w:val="0"/>
              </w:rPr>
              <w:t>2021</w:t>
            </w:r>
          </w:p>
        </w:tc>
        <w:tc>
          <w:tcPr>
            <w:tcW w:w="0" w:type="auto"/>
            <w:tcBorders>
              <w:left w:val="nil"/>
              <w:right w:val="nil"/>
            </w:tcBorders>
            <w:hideMark/>
          </w:tcPr>
          <w:p w14:paraId="125D8567" w14:textId="77777777" w:rsidR="00B04E98" w:rsidRDefault="00B04E98">
            <w:pPr>
              <w:cnfStyle w:val="000000100000" w:firstRow="0" w:lastRow="0" w:firstColumn="0" w:lastColumn="0" w:oddVBand="0" w:evenVBand="0" w:oddHBand="1" w:evenHBand="0" w:firstRowFirstColumn="0" w:firstRowLastColumn="0" w:lastRowFirstColumn="0" w:lastRowLastColumn="0"/>
            </w:pPr>
            <w:r>
              <w:t>£150,000</w:t>
            </w:r>
          </w:p>
        </w:tc>
        <w:tc>
          <w:tcPr>
            <w:tcW w:w="0" w:type="auto"/>
            <w:tcBorders>
              <w:left w:val="nil"/>
              <w:right w:val="nil"/>
            </w:tcBorders>
            <w:hideMark/>
          </w:tcPr>
          <w:p w14:paraId="28D37279" w14:textId="77777777" w:rsidR="00B04E98" w:rsidRDefault="00B04E98">
            <w:pPr>
              <w:cnfStyle w:val="000000100000" w:firstRow="0" w:lastRow="0" w:firstColumn="0" w:lastColumn="0" w:oddVBand="0" w:evenVBand="0" w:oddHBand="1" w:evenHBand="0" w:firstRowFirstColumn="0" w:firstRowLastColumn="0" w:lastRowFirstColumn="0" w:lastRowLastColumn="0"/>
            </w:pPr>
            <w:r>
              <w:t>£30,000</w:t>
            </w:r>
          </w:p>
        </w:tc>
        <w:tc>
          <w:tcPr>
            <w:tcW w:w="0" w:type="auto"/>
            <w:tcBorders>
              <w:left w:val="nil"/>
              <w:right w:val="nil"/>
            </w:tcBorders>
            <w:hideMark/>
          </w:tcPr>
          <w:p w14:paraId="52DB4C52" w14:textId="77777777" w:rsidR="00B04E98" w:rsidRDefault="00B04E98">
            <w:pPr>
              <w:cnfStyle w:val="000000100000" w:firstRow="0" w:lastRow="0" w:firstColumn="0" w:lastColumn="0" w:oddVBand="0" w:evenVBand="0" w:oddHBand="1" w:evenHBand="0" w:firstRowFirstColumn="0" w:firstRowLastColumn="0" w:lastRowFirstColumn="0" w:lastRowLastColumn="0"/>
            </w:pPr>
            <w:r>
              <w:t>5.00</w:t>
            </w:r>
          </w:p>
        </w:tc>
        <w:tc>
          <w:tcPr>
            <w:tcW w:w="0" w:type="auto"/>
            <w:tcBorders>
              <w:left w:val="nil"/>
              <w:right w:val="nil"/>
            </w:tcBorders>
            <w:hideMark/>
          </w:tcPr>
          <w:p w14:paraId="420BC0C1" w14:textId="77777777" w:rsidR="00B04E98" w:rsidRDefault="00B04E98">
            <w:pPr>
              <w:cnfStyle w:val="000000100000" w:firstRow="0" w:lastRow="0" w:firstColumn="0" w:lastColumn="0" w:oddVBand="0" w:evenVBand="0" w:oddHBand="1" w:evenHBand="0" w:firstRowFirstColumn="0" w:firstRowLastColumn="0" w:lastRowFirstColumn="0" w:lastRowLastColumn="0"/>
            </w:pPr>
            <w:r>
              <w:t>£1,200,000</w:t>
            </w:r>
          </w:p>
        </w:tc>
        <w:tc>
          <w:tcPr>
            <w:tcW w:w="0" w:type="auto"/>
            <w:tcBorders>
              <w:left w:val="nil"/>
              <w:right w:val="nil"/>
            </w:tcBorders>
            <w:hideMark/>
          </w:tcPr>
          <w:p w14:paraId="57EE7338" w14:textId="77777777" w:rsidR="00B04E98" w:rsidRDefault="00B04E98">
            <w:pPr>
              <w:cnfStyle w:val="000000100000" w:firstRow="0" w:lastRow="0" w:firstColumn="0" w:lastColumn="0" w:oddVBand="0" w:evenVBand="0" w:oddHBand="1" w:evenHBand="0" w:firstRowFirstColumn="0" w:firstRowLastColumn="0" w:lastRowFirstColumn="0" w:lastRowLastColumn="0"/>
            </w:pPr>
            <w:r>
              <w:t>£45,000</w:t>
            </w:r>
          </w:p>
        </w:tc>
        <w:tc>
          <w:tcPr>
            <w:tcW w:w="0" w:type="auto"/>
            <w:tcBorders>
              <w:left w:val="nil"/>
              <w:right w:val="nil"/>
            </w:tcBorders>
            <w:hideMark/>
          </w:tcPr>
          <w:p w14:paraId="71C713A4" w14:textId="77777777" w:rsidR="00B04E98" w:rsidRDefault="00B04E98">
            <w:pPr>
              <w:cnfStyle w:val="000000100000" w:firstRow="0" w:lastRow="0" w:firstColumn="0" w:lastColumn="0" w:oddVBand="0" w:evenVBand="0" w:oddHBand="1" w:evenHBand="0" w:firstRowFirstColumn="0" w:firstRowLastColumn="0" w:lastRowFirstColumn="0" w:lastRowLastColumn="0"/>
            </w:pPr>
            <w:r>
              <w:t>26.67</w:t>
            </w:r>
          </w:p>
        </w:tc>
      </w:tr>
      <w:tr w:rsidR="00B04E98" w14:paraId="4CA2FB61" w14:textId="77777777" w:rsidTr="00B04E98">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hideMark/>
          </w:tcPr>
          <w:p w14:paraId="061226C1" w14:textId="77777777" w:rsidR="00B04E98" w:rsidRDefault="00B04E98">
            <w:pPr>
              <w:rPr>
                <w:b w:val="0"/>
                <w:bCs w:val="0"/>
              </w:rPr>
            </w:pPr>
            <w:r>
              <w:rPr>
                <w:b w:val="0"/>
                <w:bCs w:val="0"/>
              </w:rPr>
              <w:t>2022</w:t>
            </w:r>
          </w:p>
        </w:tc>
        <w:tc>
          <w:tcPr>
            <w:tcW w:w="0" w:type="auto"/>
            <w:tcBorders>
              <w:top w:val="nil"/>
              <w:left w:val="nil"/>
              <w:bottom w:val="nil"/>
              <w:right w:val="nil"/>
            </w:tcBorders>
            <w:hideMark/>
          </w:tcPr>
          <w:p w14:paraId="0165649A" w14:textId="77777777" w:rsidR="00B04E98" w:rsidRDefault="00B04E98">
            <w:pPr>
              <w:cnfStyle w:val="000000000000" w:firstRow="0" w:lastRow="0" w:firstColumn="0" w:lastColumn="0" w:oddVBand="0" w:evenVBand="0" w:oddHBand="0" w:evenHBand="0" w:firstRowFirstColumn="0" w:firstRowLastColumn="0" w:lastRowFirstColumn="0" w:lastRowLastColumn="0"/>
            </w:pPr>
            <w:r>
              <w:t>£120,000</w:t>
            </w:r>
          </w:p>
        </w:tc>
        <w:tc>
          <w:tcPr>
            <w:tcW w:w="0" w:type="auto"/>
            <w:tcBorders>
              <w:top w:val="nil"/>
              <w:left w:val="nil"/>
              <w:bottom w:val="nil"/>
              <w:right w:val="nil"/>
            </w:tcBorders>
            <w:hideMark/>
          </w:tcPr>
          <w:p w14:paraId="29D11B0C" w14:textId="77777777" w:rsidR="00B04E98" w:rsidRDefault="00B04E98">
            <w:pPr>
              <w:cnfStyle w:val="000000000000" w:firstRow="0" w:lastRow="0" w:firstColumn="0" w:lastColumn="0" w:oddVBand="0" w:evenVBand="0" w:oddHBand="0" w:evenHBand="0" w:firstRowFirstColumn="0" w:firstRowLastColumn="0" w:lastRowFirstColumn="0" w:lastRowLastColumn="0"/>
            </w:pPr>
            <w:r>
              <w:t>£40,000</w:t>
            </w:r>
          </w:p>
        </w:tc>
        <w:tc>
          <w:tcPr>
            <w:tcW w:w="0" w:type="auto"/>
            <w:tcBorders>
              <w:top w:val="nil"/>
              <w:left w:val="nil"/>
              <w:bottom w:val="nil"/>
              <w:right w:val="nil"/>
            </w:tcBorders>
            <w:hideMark/>
          </w:tcPr>
          <w:p w14:paraId="5607708E" w14:textId="77777777" w:rsidR="00B04E98" w:rsidRDefault="00B04E98">
            <w:pPr>
              <w:cnfStyle w:val="000000000000" w:firstRow="0" w:lastRow="0" w:firstColumn="0" w:lastColumn="0" w:oddVBand="0" w:evenVBand="0" w:oddHBand="0" w:evenHBand="0" w:firstRowFirstColumn="0" w:firstRowLastColumn="0" w:lastRowFirstColumn="0" w:lastRowLastColumn="0"/>
            </w:pPr>
            <w:r>
              <w:t>3.00</w:t>
            </w:r>
          </w:p>
        </w:tc>
        <w:tc>
          <w:tcPr>
            <w:tcW w:w="0" w:type="auto"/>
            <w:tcBorders>
              <w:top w:val="nil"/>
              <w:left w:val="nil"/>
              <w:bottom w:val="nil"/>
              <w:right w:val="nil"/>
            </w:tcBorders>
            <w:hideMark/>
          </w:tcPr>
          <w:p w14:paraId="7675CAB7" w14:textId="77777777" w:rsidR="00B04E98" w:rsidRDefault="00B04E98">
            <w:pPr>
              <w:cnfStyle w:val="000000000000" w:firstRow="0" w:lastRow="0" w:firstColumn="0" w:lastColumn="0" w:oddVBand="0" w:evenVBand="0" w:oddHBand="0" w:evenHBand="0" w:firstRowFirstColumn="0" w:firstRowLastColumn="0" w:lastRowFirstColumn="0" w:lastRowLastColumn="0"/>
            </w:pPr>
            <w:r>
              <w:t>£1,100,000</w:t>
            </w:r>
          </w:p>
        </w:tc>
        <w:tc>
          <w:tcPr>
            <w:tcW w:w="0" w:type="auto"/>
            <w:tcBorders>
              <w:top w:val="nil"/>
              <w:left w:val="nil"/>
              <w:bottom w:val="nil"/>
              <w:right w:val="nil"/>
            </w:tcBorders>
            <w:hideMark/>
          </w:tcPr>
          <w:p w14:paraId="1FEECFCF" w14:textId="77777777" w:rsidR="00B04E98" w:rsidRDefault="00B04E98">
            <w:pPr>
              <w:cnfStyle w:val="000000000000" w:firstRow="0" w:lastRow="0" w:firstColumn="0" w:lastColumn="0" w:oddVBand="0" w:evenVBand="0" w:oddHBand="0" w:evenHBand="0" w:firstRowFirstColumn="0" w:firstRowLastColumn="0" w:lastRowFirstColumn="0" w:lastRowLastColumn="0"/>
            </w:pPr>
            <w:r>
              <w:t>£35,000</w:t>
            </w:r>
          </w:p>
        </w:tc>
        <w:tc>
          <w:tcPr>
            <w:tcW w:w="0" w:type="auto"/>
            <w:tcBorders>
              <w:top w:val="nil"/>
              <w:left w:val="nil"/>
              <w:bottom w:val="nil"/>
              <w:right w:val="nil"/>
            </w:tcBorders>
            <w:hideMark/>
          </w:tcPr>
          <w:p w14:paraId="27A6FF75" w14:textId="77777777" w:rsidR="00B04E98" w:rsidRDefault="00B04E98">
            <w:pPr>
              <w:cnfStyle w:val="000000000000" w:firstRow="0" w:lastRow="0" w:firstColumn="0" w:lastColumn="0" w:oddVBand="0" w:evenVBand="0" w:oddHBand="0" w:evenHBand="0" w:firstRowFirstColumn="0" w:firstRowLastColumn="0" w:lastRowFirstColumn="0" w:lastRowLastColumn="0"/>
            </w:pPr>
            <w:r>
              <w:t>31.43</w:t>
            </w:r>
          </w:p>
        </w:tc>
      </w:tr>
      <w:tr w:rsidR="00B04E98" w14:paraId="46D8FA17" w14:textId="77777777" w:rsidTr="00B04E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il"/>
              <w:right w:val="nil"/>
            </w:tcBorders>
            <w:hideMark/>
          </w:tcPr>
          <w:p w14:paraId="239283D8" w14:textId="77777777" w:rsidR="00B04E98" w:rsidRDefault="00B04E98">
            <w:pPr>
              <w:rPr>
                <w:b w:val="0"/>
                <w:bCs w:val="0"/>
              </w:rPr>
            </w:pPr>
            <w:r>
              <w:rPr>
                <w:b w:val="0"/>
                <w:bCs w:val="0"/>
              </w:rPr>
              <w:t>2023</w:t>
            </w:r>
          </w:p>
        </w:tc>
        <w:tc>
          <w:tcPr>
            <w:tcW w:w="0" w:type="auto"/>
            <w:tcBorders>
              <w:left w:val="nil"/>
              <w:right w:val="nil"/>
            </w:tcBorders>
            <w:hideMark/>
          </w:tcPr>
          <w:p w14:paraId="46D8B382" w14:textId="77777777" w:rsidR="00B04E98" w:rsidRDefault="00B04E98">
            <w:pPr>
              <w:cnfStyle w:val="000000100000" w:firstRow="0" w:lastRow="0" w:firstColumn="0" w:lastColumn="0" w:oddVBand="0" w:evenVBand="0" w:oddHBand="1" w:evenHBand="0" w:firstRowFirstColumn="0" w:firstRowLastColumn="0" w:lastRowFirstColumn="0" w:lastRowLastColumn="0"/>
            </w:pPr>
            <w:r>
              <w:t>£50,000</w:t>
            </w:r>
          </w:p>
        </w:tc>
        <w:tc>
          <w:tcPr>
            <w:tcW w:w="0" w:type="auto"/>
            <w:tcBorders>
              <w:left w:val="nil"/>
              <w:right w:val="nil"/>
            </w:tcBorders>
            <w:hideMark/>
          </w:tcPr>
          <w:p w14:paraId="026B6B5B" w14:textId="77777777" w:rsidR="00B04E98" w:rsidRDefault="00B04E98">
            <w:pPr>
              <w:cnfStyle w:val="000000100000" w:firstRow="0" w:lastRow="0" w:firstColumn="0" w:lastColumn="0" w:oddVBand="0" w:evenVBand="0" w:oddHBand="1" w:evenHBand="0" w:firstRowFirstColumn="0" w:firstRowLastColumn="0" w:lastRowFirstColumn="0" w:lastRowLastColumn="0"/>
            </w:pPr>
            <w:r>
              <w:t>£50,000</w:t>
            </w:r>
          </w:p>
        </w:tc>
        <w:tc>
          <w:tcPr>
            <w:tcW w:w="0" w:type="auto"/>
            <w:tcBorders>
              <w:left w:val="nil"/>
              <w:right w:val="nil"/>
            </w:tcBorders>
            <w:hideMark/>
          </w:tcPr>
          <w:p w14:paraId="6E022F76" w14:textId="77777777" w:rsidR="00B04E98" w:rsidRDefault="00B04E98">
            <w:pPr>
              <w:cnfStyle w:val="000000100000" w:firstRow="0" w:lastRow="0" w:firstColumn="0" w:lastColumn="0" w:oddVBand="0" w:evenVBand="0" w:oddHBand="1" w:evenHBand="0" w:firstRowFirstColumn="0" w:firstRowLastColumn="0" w:lastRowFirstColumn="0" w:lastRowLastColumn="0"/>
            </w:pPr>
            <w:r>
              <w:t>1.00</w:t>
            </w:r>
          </w:p>
        </w:tc>
        <w:tc>
          <w:tcPr>
            <w:tcW w:w="0" w:type="auto"/>
            <w:tcBorders>
              <w:left w:val="nil"/>
              <w:right w:val="nil"/>
            </w:tcBorders>
            <w:hideMark/>
          </w:tcPr>
          <w:p w14:paraId="64E3C4EB" w14:textId="77777777" w:rsidR="00B04E98" w:rsidRDefault="00B04E98">
            <w:pPr>
              <w:cnfStyle w:val="000000100000" w:firstRow="0" w:lastRow="0" w:firstColumn="0" w:lastColumn="0" w:oddVBand="0" w:evenVBand="0" w:oddHBand="1" w:evenHBand="0" w:firstRowFirstColumn="0" w:firstRowLastColumn="0" w:lastRowFirstColumn="0" w:lastRowLastColumn="0"/>
            </w:pPr>
            <w:r>
              <w:t>£950,000</w:t>
            </w:r>
          </w:p>
        </w:tc>
        <w:tc>
          <w:tcPr>
            <w:tcW w:w="0" w:type="auto"/>
            <w:tcBorders>
              <w:left w:val="nil"/>
              <w:right w:val="nil"/>
            </w:tcBorders>
            <w:hideMark/>
          </w:tcPr>
          <w:p w14:paraId="1106504D" w14:textId="77777777" w:rsidR="00B04E98" w:rsidRDefault="00B04E98">
            <w:pPr>
              <w:cnfStyle w:val="000000100000" w:firstRow="0" w:lastRow="0" w:firstColumn="0" w:lastColumn="0" w:oddVBand="0" w:evenVBand="0" w:oddHBand="1" w:evenHBand="0" w:firstRowFirstColumn="0" w:firstRowLastColumn="0" w:lastRowFirstColumn="0" w:lastRowLastColumn="0"/>
            </w:pPr>
            <w:r>
              <w:t>£25,000</w:t>
            </w:r>
          </w:p>
        </w:tc>
        <w:tc>
          <w:tcPr>
            <w:tcW w:w="0" w:type="auto"/>
            <w:tcBorders>
              <w:left w:val="nil"/>
              <w:right w:val="nil"/>
            </w:tcBorders>
            <w:hideMark/>
          </w:tcPr>
          <w:p w14:paraId="3A436726" w14:textId="77777777" w:rsidR="00B04E98" w:rsidRDefault="00B04E98">
            <w:pPr>
              <w:cnfStyle w:val="000000100000" w:firstRow="0" w:lastRow="0" w:firstColumn="0" w:lastColumn="0" w:oddVBand="0" w:evenVBand="0" w:oddHBand="1" w:evenHBand="0" w:firstRowFirstColumn="0" w:firstRowLastColumn="0" w:lastRowFirstColumn="0" w:lastRowLastColumn="0"/>
            </w:pPr>
            <w:r>
              <w:t>38.00</w:t>
            </w:r>
          </w:p>
        </w:tc>
      </w:tr>
    </w:tbl>
    <w:p w14:paraId="0CFF23AB" w14:textId="77777777" w:rsidR="00B04E98" w:rsidRDefault="00B04E98" w:rsidP="00B04E98">
      <w:pPr>
        <w:jc w:val="center"/>
      </w:pPr>
      <w:r>
        <w:t>Table 1: Liquidity Ratios</w:t>
      </w:r>
    </w:p>
    <w:p w14:paraId="33080C65" w14:textId="77777777" w:rsidR="00B04E98" w:rsidRDefault="00B04E98" w:rsidP="00B04E98">
      <w:r>
        <w:t xml:space="preserve">The decreasing income stream may impact the cash situation because of the tendency to lower average room prices and occupancy rates. Seacrest Lodge should properly evaluate </w:t>
      </w:r>
      <w:r>
        <w:lastRenderedPageBreak/>
        <w:t>and address the issues behind this drop (Subramanyam, 2014).  Enhancement of revenue-generating techniques might be an essential elements of a complete turnaround strategy to strengthen the company's cash position and guarantee its financial sustainability.</w:t>
      </w:r>
    </w:p>
    <w:p w14:paraId="56D05E26" w14:textId="77777777" w:rsidR="00B04E98" w:rsidRDefault="00B04E98" w:rsidP="00B04E98">
      <w:pPr>
        <w:rPr>
          <w:b/>
          <w:bCs/>
        </w:rPr>
      </w:pPr>
      <w:r>
        <w:rPr>
          <w:b/>
          <w:bCs/>
        </w:rPr>
        <w:t>Profitability</w:t>
      </w:r>
    </w:p>
    <w:p w14:paraId="12B8C162" w14:textId="77777777" w:rsidR="00B04E98" w:rsidRDefault="00B04E98" w:rsidP="00B04E98">
      <w:r>
        <w:t>For three years, Seacrest Lodge's financial condition exposes a complex problem. With a robust Gross Profit Margin of 25% in 2021, the firm demonstrated its ability to generate revenue even after deducting direct expenditures. The effective cost management demonstrated by the Net Profit Margin of 25% resulted in a significant part of revenue being converted into net income. The efficient use of equity and assets to produce profits was shown by the Return on Equity (ROE) at 48.39% and Return on Assets (ROA) at 13.95%. But by 2022, there had been a noticeable drop in profitability, as seen by the Gross Profit Margin decreasing to 13.64%, indicating higher costs in comparison to sales (</w:t>
      </w:r>
      <w:proofErr w:type="spellStart"/>
      <w:r>
        <w:t>Fridson</w:t>
      </w:r>
      <w:proofErr w:type="spellEnd"/>
      <w:r>
        <w:t xml:space="preserve"> &amp; Alvarez, 2022). Additionally, the ROA, ROE, and net profit margin dropped to 13.64%, 7.08%, and 25.86%, respectively. These cuts indicate difficulties in maintaining profitability.</w:t>
      </w:r>
    </w:p>
    <w:tbl>
      <w:tblPr>
        <w:tblStyle w:val="PlainTable2"/>
        <w:tblW w:w="10368" w:type="dxa"/>
        <w:tblInd w:w="0" w:type="dxa"/>
        <w:tblLook w:val="04A0" w:firstRow="1" w:lastRow="0" w:firstColumn="1" w:lastColumn="0" w:noHBand="0" w:noVBand="1"/>
      </w:tblPr>
      <w:tblGrid>
        <w:gridCol w:w="881"/>
        <w:gridCol w:w="1642"/>
        <w:gridCol w:w="1992"/>
        <w:gridCol w:w="1863"/>
        <w:gridCol w:w="1606"/>
        <w:gridCol w:w="1192"/>
        <w:gridCol w:w="1192"/>
      </w:tblGrid>
      <w:tr w:rsidR="00B04E98" w14:paraId="43A736BD" w14:textId="77777777" w:rsidTr="00B04E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7F7F7F" w:themeColor="text1" w:themeTint="80"/>
              <w:left w:val="nil"/>
              <w:right w:val="nil"/>
            </w:tcBorders>
            <w:hideMark/>
          </w:tcPr>
          <w:p w14:paraId="54DF7D74" w14:textId="77777777" w:rsidR="00B04E98" w:rsidRDefault="00B04E98">
            <w:pPr>
              <w:jc w:val="center"/>
              <w:rPr>
                <w:lang w:val="en-US"/>
              </w:rPr>
            </w:pPr>
            <w:r>
              <w:rPr>
                <w:b/>
                <w:bCs/>
                <w:lang w:val="en-US"/>
              </w:rPr>
              <w:t>Year</w:t>
            </w:r>
          </w:p>
        </w:tc>
        <w:tc>
          <w:tcPr>
            <w:tcW w:w="0" w:type="auto"/>
            <w:tcBorders>
              <w:top w:val="single" w:sz="4" w:space="0" w:color="7F7F7F" w:themeColor="text1" w:themeTint="80"/>
              <w:left w:val="nil"/>
              <w:right w:val="nil"/>
            </w:tcBorders>
            <w:hideMark/>
          </w:tcPr>
          <w:p w14:paraId="1CDCB577"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Net Income</w:t>
            </w:r>
          </w:p>
        </w:tc>
        <w:tc>
          <w:tcPr>
            <w:tcW w:w="0" w:type="auto"/>
            <w:tcBorders>
              <w:top w:val="single" w:sz="4" w:space="0" w:color="7F7F7F" w:themeColor="text1" w:themeTint="80"/>
              <w:left w:val="nil"/>
              <w:right w:val="nil"/>
            </w:tcBorders>
            <w:hideMark/>
          </w:tcPr>
          <w:p w14:paraId="5A2A6667"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Total Revenue</w:t>
            </w:r>
          </w:p>
        </w:tc>
        <w:tc>
          <w:tcPr>
            <w:tcW w:w="0" w:type="auto"/>
            <w:tcBorders>
              <w:top w:val="single" w:sz="4" w:space="0" w:color="7F7F7F" w:themeColor="text1" w:themeTint="80"/>
              <w:left w:val="nil"/>
              <w:right w:val="nil"/>
            </w:tcBorders>
            <w:hideMark/>
          </w:tcPr>
          <w:p w14:paraId="27A764E5"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Gross Margin</w:t>
            </w:r>
          </w:p>
        </w:tc>
        <w:tc>
          <w:tcPr>
            <w:tcW w:w="0" w:type="auto"/>
            <w:tcBorders>
              <w:top w:val="single" w:sz="4" w:space="0" w:color="7F7F7F" w:themeColor="text1" w:themeTint="80"/>
              <w:left w:val="nil"/>
              <w:right w:val="nil"/>
            </w:tcBorders>
            <w:hideMark/>
          </w:tcPr>
          <w:p w14:paraId="5BD6791C"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Net Margin</w:t>
            </w:r>
          </w:p>
        </w:tc>
        <w:tc>
          <w:tcPr>
            <w:tcW w:w="0" w:type="auto"/>
            <w:tcBorders>
              <w:top w:val="single" w:sz="4" w:space="0" w:color="7F7F7F" w:themeColor="text1" w:themeTint="80"/>
              <w:left w:val="nil"/>
              <w:right w:val="nil"/>
            </w:tcBorders>
            <w:hideMark/>
          </w:tcPr>
          <w:p w14:paraId="4DF111CB"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ROA</w:t>
            </w:r>
          </w:p>
        </w:tc>
        <w:tc>
          <w:tcPr>
            <w:tcW w:w="0" w:type="auto"/>
            <w:tcBorders>
              <w:top w:val="single" w:sz="4" w:space="0" w:color="7F7F7F" w:themeColor="text1" w:themeTint="80"/>
              <w:left w:val="nil"/>
              <w:right w:val="nil"/>
            </w:tcBorders>
            <w:hideMark/>
          </w:tcPr>
          <w:p w14:paraId="344484CB" w14:textId="77777777" w:rsidR="00B04E98" w:rsidRDefault="00B04E9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ROE</w:t>
            </w:r>
          </w:p>
        </w:tc>
      </w:tr>
      <w:tr w:rsidR="00B04E98" w14:paraId="20E9FE45" w14:textId="77777777" w:rsidTr="00B04E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il"/>
              <w:right w:val="nil"/>
            </w:tcBorders>
            <w:hideMark/>
          </w:tcPr>
          <w:p w14:paraId="00EBC615" w14:textId="77777777" w:rsidR="00B04E98" w:rsidRDefault="00B04E98">
            <w:pPr>
              <w:jc w:val="center"/>
            </w:pPr>
            <w:r>
              <w:rPr>
                <w:b w:val="0"/>
                <w:bCs w:val="0"/>
              </w:rPr>
              <w:t>2021</w:t>
            </w:r>
          </w:p>
        </w:tc>
        <w:tc>
          <w:tcPr>
            <w:tcW w:w="0" w:type="auto"/>
            <w:tcBorders>
              <w:left w:val="nil"/>
              <w:right w:val="nil"/>
            </w:tcBorders>
            <w:hideMark/>
          </w:tcPr>
          <w:p w14:paraId="701AC9CD" w14:textId="77777777" w:rsidR="00B04E98" w:rsidRDefault="00B04E98">
            <w:pPr>
              <w:jc w:val="center"/>
              <w:cnfStyle w:val="000000100000" w:firstRow="0" w:lastRow="0" w:firstColumn="0" w:lastColumn="0" w:oddVBand="0" w:evenVBand="0" w:oddHBand="1" w:evenHBand="0" w:firstRowFirstColumn="0" w:firstRowLastColumn="0" w:lastRowFirstColumn="0" w:lastRowLastColumn="0"/>
            </w:pPr>
            <w:r>
              <w:t>£300,000</w:t>
            </w:r>
          </w:p>
        </w:tc>
        <w:tc>
          <w:tcPr>
            <w:tcW w:w="0" w:type="auto"/>
            <w:tcBorders>
              <w:left w:val="nil"/>
              <w:right w:val="nil"/>
            </w:tcBorders>
            <w:hideMark/>
          </w:tcPr>
          <w:p w14:paraId="4EBCA3D3" w14:textId="77777777" w:rsidR="00B04E98" w:rsidRDefault="00B04E98">
            <w:pPr>
              <w:jc w:val="center"/>
              <w:cnfStyle w:val="000000100000" w:firstRow="0" w:lastRow="0" w:firstColumn="0" w:lastColumn="0" w:oddVBand="0" w:evenVBand="0" w:oddHBand="1" w:evenHBand="0" w:firstRowFirstColumn="0" w:firstRowLastColumn="0" w:lastRowFirstColumn="0" w:lastRowLastColumn="0"/>
            </w:pPr>
            <w:r>
              <w:t>£1,200,000</w:t>
            </w:r>
          </w:p>
        </w:tc>
        <w:tc>
          <w:tcPr>
            <w:tcW w:w="0" w:type="auto"/>
            <w:tcBorders>
              <w:left w:val="nil"/>
              <w:right w:val="nil"/>
            </w:tcBorders>
            <w:hideMark/>
          </w:tcPr>
          <w:p w14:paraId="35E5BFAD" w14:textId="77777777" w:rsidR="00B04E98" w:rsidRDefault="00B04E98">
            <w:pPr>
              <w:jc w:val="center"/>
              <w:cnfStyle w:val="000000100000" w:firstRow="0" w:lastRow="0" w:firstColumn="0" w:lastColumn="0" w:oddVBand="0" w:evenVBand="0" w:oddHBand="1" w:evenHBand="0" w:firstRowFirstColumn="0" w:firstRowLastColumn="0" w:lastRowFirstColumn="0" w:lastRowLastColumn="0"/>
            </w:pPr>
            <w:r>
              <w:t>25.00%</w:t>
            </w:r>
          </w:p>
        </w:tc>
        <w:tc>
          <w:tcPr>
            <w:tcW w:w="0" w:type="auto"/>
            <w:tcBorders>
              <w:left w:val="nil"/>
              <w:right w:val="nil"/>
            </w:tcBorders>
            <w:hideMark/>
          </w:tcPr>
          <w:p w14:paraId="49F72A83" w14:textId="77777777" w:rsidR="00B04E98" w:rsidRDefault="00B04E98">
            <w:pPr>
              <w:jc w:val="center"/>
              <w:cnfStyle w:val="000000100000" w:firstRow="0" w:lastRow="0" w:firstColumn="0" w:lastColumn="0" w:oddVBand="0" w:evenVBand="0" w:oddHBand="1" w:evenHBand="0" w:firstRowFirstColumn="0" w:firstRowLastColumn="0" w:lastRowFirstColumn="0" w:lastRowLastColumn="0"/>
            </w:pPr>
            <w:r>
              <w:t>25.00%</w:t>
            </w:r>
          </w:p>
        </w:tc>
        <w:tc>
          <w:tcPr>
            <w:tcW w:w="0" w:type="auto"/>
            <w:tcBorders>
              <w:left w:val="nil"/>
              <w:right w:val="nil"/>
            </w:tcBorders>
            <w:hideMark/>
          </w:tcPr>
          <w:p w14:paraId="2A26B530" w14:textId="77777777" w:rsidR="00B04E98" w:rsidRDefault="00B04E98">
            <w:pPr>
              <w:jc w:val="center"/>
              <w:cnfStyle w:val="000000100000" w:firstRow="0" w:lastRow="0" w:firstColumn="0" w:lastColumn="0" w:oddVBand="0" w:evenVBand="0" w:oddHBand="1" w:evenHBand="0" w:firstRowFirstColumn="0" w:firstRowLastColumn="0" w:lastRowFirstColumn="0" w:lastRowLastColumn="0"/>
            </w:pPr>
            <w:r>
              <w:t>13.95%</w:t>
            </w:r>
          </w:p>
        </w:tc>
        <w:tc>
          <w:tcPr>
            <w:tcW w:w="0" w:type="auto"/>
            <w:tcBorders>
              <w:left w:val="nil"/>
              <w:right w:val="nil"/>
            </w:tcBorders>
            <w:hideMark/>
          </w:tcPr>
          <w:p w14:paraId="2A01C4DC" w14:textId="77777777" w:rsidR="00B04E98" w:rsidRDefault="00B04E98">
            <w:pPr>
              <w:jc w:val="center"/>
              <w:cnfStyle w:val="000000100000" w:firstRow="0" w:lastRow="0" w:firstColumn="0" w:lastColumn="0" w:oddVBand="0" w:evenVBand="0" w:oddHBand="1" w:evenHBand="0" w:firstRowFirstColumn="0" w:firstRowLastColumn="0" w:lastRowFirstColumn="0" w:lastRowLastColumn="0"/>
            </w:pPr>
            <w:r>
              <w:t>48.39%</w:t>
            </w:r>
          </w:p>
        </w:tc>
      </w:tr>
      <w:tr w:rsidR="00B04E98" w14:paraId="0C22FC10" w14:textId="77777777" w:rsidTr="00B04E98">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hideMark/>
          </w:tcPr>
          <w:p w14:paraId="4BCC6872" w14:textId="77777777" w:rsidR="00B04E98" w:rsidRDefault="00B04E98">
            <w:pPr>
              <w:jc w:val="center"/>
              <w:rPr>
                <w:b w:val="0"/>
                <w:bCs w:val="0"/>
              </w:rPr>
            </w:pPr>
            <w:r>
              <w:rPr>
                <w:b w:val="0"/>
                <w:bCs w:val="0"/>
              </w:rPr>
              <w:t>2022</w:t>
            </w:r>
          </w:p>
        </w:tc>
        <w:tc>
          <w:tcPr>
            <w:tcW w:w="0" w:type="auto"/>
            <w:tcBorders>
              <w:top w:val="nil"/>
              <w:left w:val="nil"/>
              <w:bottom w:val="nil"/>
              <w:right w:val="nil"/>
            </w:tcBorders>
            <w:hideMark/>
          </w:tcPr>
          <w:p w14:paraId="7BCFACE9" w14:textId="77777777" w:rsidR="00B04E98" w:rsidRDefault="00B04E98">
            <w:pPr>
              <w:jc w:val="center"/>
              <w:cnfStyle w:val="000000000000" w:firstRow="0" w:lastRow="0" w:firstColumn="0" w:lastColumn="0" w:oddVBand="0" w:evenVBand="0" w:oddHBand="0" w:evenHBand="0" w:firstRowFirstColumn="0" w:firstRowLastColumn="0" w:lastRowFirstColumn="0" w:lastRowLastColumn="0"/>
            </w:pPr>
            <w:r>
              <w:t>£150,000</w:t>
            </w:r>
          </w:p>
        </w:tc>
        <w:tc>
          <w:tcPr>
            <w:tcW w:w="0" w:type="auto"/>
            <w:tcBorders>
              <w:top w:val="nil"/>
              <w:left w:val="nil"/>
              <w:bottom w:val="nil"/>
              <w:right w:val="nil"/>
            </w:tcBorders>
            <w:hideMark/>
          </w:tcPr>
          <w:p w14:paraId="69295C21" w14:textId="77777777" w:rsidR="00B04E98" w:rsidRDefault="00B04E98">
            <w:pPr>
              <w:jc w:val="center"/>
              <w:cnfStyle w:val="000000000000" w:firstRow="0" w:lastRow="0" w:firstColumn="0" w:lastColumn="0" w:oddVBand="0" w:evenVBand="0" w:oddHBand="0" w:evenHBand="0" w:firstRowFirstColumn="0" w:firstRowLastColumn="0" w:lastRowFirstColumn="0" w:lastRowLastColumn="0"/>
            </w:pPr>
            <w:r>
              <w:t>£1,100,000</w:t>
            </w:r>
          </w:p>
        </w:tc>
        <w:tc>
          <w:tcPr>
            <w:tcW w:w="0" w:type="auto"/>
            <w:tcBorders>
              <w:top w:val="nil"/>
              <w:left w:val="nil"/>
              <w:bottom w:val="nil"/>
              <w:right w:val="nil"/>
            </w:tcBorders>
            <w:hideMark/>
          </w:tcPr>
          <w:p w14:paraId="72C056FF" w14:textId="77777777" w:rsidR="00B04E98" w:rsidRDefault="00B04E98">
            <w:pPr>
              <w:jc w:val="center"/>
              <w:cnfStyle w:val="000000000000" w:firstRow="0" w:lastRow="0" w:firstColumn="0" w:lastColumn="0" w:oddVBand="0" w:evenVBand="0" w:oddHBand="0" w:evenHBand="0" w:firstRowFirstColumn="0" w:firstRowLastColumn="0" w:lastRowFirstColumn="0" w:lastRowLastColumn="0"/>
            </w:pPr>
            <w:r>
              <w:t>13.64%</w:t>
            </w:r>
          </w:p>
        </w:tc>
        <w:tc>
          <w:tcPr>
            <w:tcW w:w="0" w:type="auto"/>
            <w:tcBorders>
              <w:top w:val="nil"/>
              <w:left w:val="nil"/>
              <w:bottom w:val="nil"/>
              <w:right w:val="nil"/>
            </w:tcBorders>
            <w:hideMark/>
          </w:tcPr>
          <w:p w14:paraId="57D65BE3" w14:textId="77777777" w:rsidR="00B04E98" w:rsidRDefault="00B04E98">
            <w:pPr>
              <w:jc w:val="center"/>
              <w:cnfStyle w:val="000000000000" w:firstRow="0" w:lastRow="0" w:firstColumn="0" w:lastColumn="0" w:oddVBand="0" w:evenVBand="0" w:oddHBand="0" w:evenHBand="0" w:firstRowFirstColumn="0" w:firstRowLastColumn="0" w:lastRowFirstColumn="0" w:lastRowLastColumn="0"/>
            </w:pPr>
            <w:r>
              <w:t>13.64%</w:t>
            </w:r>
          </w:p>
        </w:tc>
        <w:tc>
          <w:tcPr>
            <w:tcW w:w="0" w:type="auto"/>
            <w:tcBorders>
              <w:top w:val="nil"/>
              <w:left w:val="nil"/>
              <w:bottom w:val="nil"/>
              <w:right w:val="nil"/>
            </w:tcBorders>
            <w:hideMark/>
          </w:tcPr>
          <w:p w14:paraId="558FF8FE" w14:textId="77777777" w:rsidR="00B04E98" w:rsidRDefault="00B04E98">
            <w:pPr>
              <w:jc w:val="center"/>
              <w:cnfStyle w:val="000000000000" w:firstRow="0" w:lastRow="0" w:firstColumn="0" w:lastColumn="0" w:oddVBand="0" w:evenVBand="0" w:oddHBand="0" w:evenHBand="0" w:firstRowFirstColumn="0" w:firstRowLastColumn="0" w:lastRowFirstColumn="0" w:lastRowLastColumn="0"/>
            </w:pPr>
            <w:r>
              <w:t>7.08%</w:t>
            </w:r>
          </w:p>
        </w:tc>
        <w:tc>
          <w:tcPr>
            <w:tcW w:w="0" w:type="auto"/>
            <w:tcBorders>
              <w:top w:val="nil"/>
              <w:left w:val="nil"/>
              <w:bottom w:val="nil"/>
              <w:right w:val="nil"/>
            </w:tcBorders>
            <w:hideMark/>
          </w:tcPr>
          <w:p w14:paraId="0F5006D6" w14:textId="77777777" w:rsidR="00B04E98" w:rsidRDefault="00B04E98">
            <w:pPr>
              <w:jc w:val="center"/>
              <w:cnfStyle w:val="000000000000" w:firstRow="0" w:lastRow="0" w:firstColumn="0" w:lastColumn="0" w:oddVBand="0" w:evenVBand="0" w:oddHBand="0" w:evenHBand="0" w:firstRowFirstColumn="0" w:firstRowLastColumn="0" w:lastRowFirstColumn="0" w:lastRowLastColumn="0"/>
            </w:pPr>
            <w:r>
              <w:t>25.86%</w:t>
            </w:r>
          </w:p>
        </w:tc>
      </w:tr>
      <w:tr w:rsidR="00B04E98" w14:paraId="21D33711" w14:textId="77777777" w:rsidTr="00B04E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il"/>
              <w:right w:val="nil"/>
            </w:tcBorders>
            <w:hideMark/>
          </w:tcPr>
          <w:p w14:paraId="352CADC2" w14:textId="77777777" w:rsidR="00B04E98" w:rsidRDefault="00B04E98">
            <w:pPr>
              <w:jc w:val="center"/>
              <w:rPr>
                <w:b w:val="0"/>
                <w:bCs w:val="0"/>
              </w:rPr>
            </w:pPr>
            <w:r>
              <w:rPr>
                <w:b w:val="0"/>
                <w:bCs w:val="0"/>
              </w:rPr>
              <w:t>2023</w:t>
            </w:r>
          </w:p>
        </w:tc>
        <w:tc>
          <w:tcPr>
            <w:tcW w:w="0" w:type="auto"/>
            <w:tcBorders>
              <w:left w:val="nil"/>
              <w:right w:val="nil"/>
            </w:tcBorders>
            <w:hideMark/>
          </w:tcPr>
          <w:p w14:paraId="0E12AAF2" w14:textId="77777777" w:rsidR="00B04E98" w:rsidRDefault="00B04E98">
            <w:pPr>
              <w:jc w:val="center"/>
              <w:cnfStyle w:val="000000100000" w:firstRow="0" w:lastRow="0" w:firstColumn="0" w:lastColumn="0" w:oddVBand="0" w:evenVBand="0" w:oddHBand="1" w:evenHBand="0" w:firstRowFirstColumn="0" w:firstRowLastColumn="0" w:lastRowFirstColumn="0" w:lastRowLastColumn="0"/>
            </w:pPr>
            <w:r>
              <w:t>-£150,000</w:t>
            </w:r>
          </w:p>
        </w:tc>
        <w:tc>
          <w:tcPr>
            <w:tcW w:w="0" w:type="auto"/>
            <w:tcBorders>
              <w:left w:val="nil"/>
              <w:right w:val="nil"/>
            </w:tcBorders>
            <w:hideMark/>
          </w:tcPr>
          <w:p w14:paraId="7D34B39E" w14:textId="77777777" w:rsidR="00B04E98" w:rsidRDefault="00B04E98">
            <w:pPr>
              <w:jc w:val="center"/>
              <w:cnfStyle w:val="000000100000" w:firstRow="0" w:lastRow="0" w:firstColumn="0" w:lastColumn="0" w:oddVBand="0" w:evenVBand="0" w:oddHBand="1" w:evenHBand="0" w:firstRowFirstColumn="0" w:firstRowLastColumn="0" w:lastRowFirstColumn="0" w:lastRowLastColumn="0"/>
            </w:pPr>
            <w:r>
              <w:t>£950,000</w:t>
            </w:r>
          </w:p>
        </w:tc>
        <w:tc>
          <w:tcPr>
            <w:tcW w:w="0" w:type="auto"/>
            <w:tcBorders>
              <w:left w:val="nil"/>
              <w:right w:val="nil"/>
            </w:tcBorders>
            <w:hideMark/>
          </w:tcPr>
          <w:p w14:paraId="69DBACF5" w14:textId="77777777" w:rsidR="00B04E98" w:rsidRDefault="00B04E98">
            <w:pPr>
              <w:jc w:val="center"/>
              <w:cnfStyle w:val="000000100000" w:firstRow="0" w:lastRow="0" w:firstColumn="0" w:lastColumn="0" w:oddVBand="0" w:evenVBand="0" w:oddHBand="1" w:evenHBand="0" w:firstRowFirstColumn="0" w:firstRowLastColumn="0" w:lastRowFirstColumn="0" w:lastRowLastColumn="0"/>
            </w:pPr>
            <w:r>
              <w:t>N/A</w:t>
            </w:r>
          </w:p>
        </w:tc>
        <w:tc>
          <w:tcPr>
            <w:tcW w:w="0" w:type="auto"/>
            <w:tcBorders>
              <w:left w:val="nil"/>
              <w:right w:val="nil"/>
            </w:tcBorders>
            <w:hideMark/>
          </w:tcPr>
          <w:p w14:paraId="2B8716E3" w14:textId="77777777" w:rsidR="00B04E98" w:rsidRDefault="00B04E98">
            <w:pPr>
              <w:jc w:val="center"/>
              <w:cnfStyle w:val="000000100000" w:firstRow="0" w:lastRow="0" w:firstColumn="0" w:lastColumn="0" w:oddVBand="0" w:evenVBand="0" w:oddHBand="1" w:evenHBand="0" w:firstRowFirstColumn="0" w:firstRowLastColumn="0" w:lastRowFirstColumn="0" w:lastRowLastColumn="0"/>
            </w:pPr>
            <w:r>
              <w:t>-15.79%</w:t>
            </w:r>
          </w:p>
        </w:tc>
        <w:tc>
          <w:tcPr>
            <w:tcW w:w="0" w:type="auto"/>
            <w:tcBorders>
              <w:left w:val="nil"/>
              <w:right w:val="nil"/>
            </w:tcBorders>
            <w:hideMark/>
          </w:tcPr>
          <w:p w14:paraId="7885BACF" w14:textId="77777777" w:rsidR="00B04E98" w:rsidRDefault="00B04E98">
            <w:pPr>
              <w:jc w:val="center"/>
              <w:cnfStyle w:val="000000100000" w:firstRow="0" w:lastRow="0" w:firstColumn="0" w:lastColumn="0" w:oddVBand="0" w:evenVBand="0" w:oddHBand="1" w:evenHBand="0" w:firstRowFirstColumn="0" w:firstRowLastColumn="0" w:lastRowFirstColumn="0" w:lastRowLastColumn="0"/>
            </w:pPr>
            <w:r>
              <w:t>N/A</w:t>
            </w:r>
          </w:p>
        </w:tc>
        <w:tc>
          <w:tcPr>
            <w:tcW w:w="0" w:type="auto"/>
            <w:tcBorders>
              <w:left w:val="nil"/>
              <w:right w:val="nil"/>
            </w:tcBorders>
            <w:hideMark/>
          </w:tcPr>
          <w:p w14:paraId="3D5C87D1" w14:textId="77777777" w:rsidR="00B04E98" w:rsidRDefault="00B04E98">
            <w:pPr>
              <w:jc w:val="center"/>
              <w:cnfStyle w:val="000000100000" w:firstRow="0" w:lastRow="0" w:firstColumn="0" w:lastColumn="0" w:oddVBand="0" w:evenVBand="0" w:oddHBand="1" w:evenHBand="0" w:firstRowFirstColumn="0" w:firstRowLastColumn="0" w:lastRowFirstColumn="0" w:lastRowLastColumn="0"/>
            </w:pPr>
            <w:r>
              <w:t>N/A</w:t>
            </w:r>
          </w:p>
        </w:tc>
      </w:tr>
    </w:tbl>
    <w:p w14:paraId="3EF44E5C" w14:textId="77777777" w:rsidR="00B04E98" w:rsidRDefault="00B04E98" w:rsidP="00B04E98">
      <w:pPr>
        <w:jc w:val="center"/>
      </w:pPr>
      <w:r>
        <w:t>Table 2: Profitability Ratios</w:t>
      </w:r>
    </w:p>
    <w:p w14:paraId="3D6EE854" w14:textId="77777777" w:rsidR="00B04E98" w:rsidRDefault="00B04E98" w:rsidP="00B04E98">
      <w:r>
        <w:t>The most significant element appears in 2023 when Net Income goes negative to -£150,000, signifying significant losses. As demonstrated by these ratios, the negative numbers make several profitability comparisons unfeasible or useless. This troubling scenario has resulted from a rapid fall in income and an inability to pay operating expenditures (Subramanyam, 2014). The financial burden is exacerbated by the negative ROA which suggests that the assets are not favourably contributing to earnings.</w:t>
      </w:r>
    </w:p>
    <w:p w14:paraId="62D3AE3D" w14:textId="77777777" w:rsidR="00B04E98" w:rsidRDefault="00B04E98" w:rsidP="00B04E98">
      <w:pPr>
        <w:rPr>
          <w:b/>
          <w:bCs/>
        </w:rPr>
      </w:pPr>
      <w:r>
        <w:rPr>
          <w:b/>
          <w:bCs/>
        </w:rPr>
        <w:t>Solvency</w:t>
      </w:r>
    </w:p>
    <w:p w14:paraId="6DD03E30" w14:textId="77777777" w:rsidR="00B04E98" w:rsidRDefault="00B04E98" w:rsidP="00B04E98">
      <w:r>
        <w:t xml:space="preserve">Over the three years, The Seacrest Lodge’s solvency condition offers a difficult and complex scenario. With debt-to-equity ratios of 0.48 in 2021 and 2022, the firm showed a reasonably </w:t>
      </w:r>
      <w:r>
        <w:lastRenderedPageBreak/>
        <w:t>steady position of solvency, demonstrating an equitable balance of debt and equity in funding its financial resources. The ratio of long-term debt to equity stayed modest, indicating that long-term debt levels are acceptable concerning equity (Wright et al., 2004). But the disturbing change came in 2023 when the Equity fell to a negative £300,000. The combination of this poor capital position and £1,550,000 in total liabilities yields a 5.17 debt-to-equity ratio and a 5.00 long-term debt-to-equity ratio and both of which point to a highly indebted and precarious financial situation.</w:t>
      </w:r>
    </w:p>
    <w:tbl>
      <w:tblPr>
        <w:tblStyle w:val="PlainTable2"/>
        <w:tblW w:w="10368" w:type="dxa"/>
        <w:tblInd w:w="0" w:type="dxa"/>
        <w:tblLook w:val="04A0" w:firstRow="1" w:lastRow="0" w:firstColumn="1" w:lastColumn="0" w:noHBand="0" w:noVBand="1"/>
      </w:tblPr>
      <w:tblGrid>
        <w:gridCol w:w="755"/>
        <w:gridCol w:w="1475"/>
        <w:gridCol w:w="1832"/>
        <w:gridCol w:w="1202"/>
        <w:gridCol w:w="2552"/>
        <w:gridCol w:w="2552"/>
      </w:tblGrid>
      <w:tr w:rsidR="00B04E98" w14:paraId="0D30D4C4" w14:textId="77777777" w:rsidTr="00B04E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7F7F7F" w:themeColor="text1" w:themeTint="80"/>
              <w:left w:val="nil"/>
              <w:right w:val="nil"/>
            </w:tcBorders>
            <w:hideMark/>
          </w:tcPr>
          <w:p w14:paraId="68EEA415" w14:textId="77777777" w:rsidR="00B04E98" w:rsidRDefault="00B04E98">
            <w:pPr>
              <w:rPr>
                <w:lang w:val="en-US"/>
              </w:rPr>
            </w:pPr>
            <w:r>
              <w:rPr>
                <w:b/>
                <w:bCs/>
                <w:lang w:val="en-US"/>
              </w:rPr>
              <w:t>Year</w:t>
            </w:r>
          </w:p>
        </w:tc>
        <w:tc>
          <w:tcPr>
            <w:tcW w:w="0" w:type="auto"/>
            <w:tcBorders>
              <w:top w:val="single" w:sz="4" w:space="0" w:color="7F7F7F" w:themeColor="text1" w:themeTint="80"/>
              <w:left w:val="nil"/>
              <w:right w:val="nil"/>
            </w:tcBorders>
            <w:hideMark/>
          </w:tcPr>
          <w:p w14:paraId="2619A228" w14:textId="77777777" w:rsidR="00B04E98" w:rsidRDefault="00B04E98">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Total Assets</w:t>
            </w:r>
          </w:p>
        </w:tc>
        <w:tc>
          <w:tcPr>
            <w:tcW w:w="0" w:type="auto"/>
            <w:tcBorders>
              <w:top w:val="single" w:sz="4" w:space="0" w:color="7F7F7F" w:themeColor="text1" w:themeTint="80"/>
              <w:left w:val="nil"/>
              <w:right w:val="nil"/>
            </w:tcBorders>
            <w:hideMark/>
          </w:tcPr>
          <w:p w14:paraId="406E9AEB" w14:textId="77777777" w:rsidR="00B04E98" w:rsidRDefault="00B04E98">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Total Liabilities</w:t>
            </w:r>
          </w:p>
        </w:tc>
        <w:tc>
          <w:tcPr>
            <w:tcW w:w="0" w:type="auto"/>
            <w:tcBorders>
              <w:top w:val="single" w:sz="4" w:space="0" w:color="7F7F7F" w:themeColor="text1" w:themeTint="80"/>
              <w:left w:val="nil"/>
              <w:right w:val="nil"/>
            </w:tcBorders>
            <w:hideMark/>
          </w:tcPr>
          <w:p w14:paraId="6E3A00A9" w14:textId="77777777" w:rsidR="00B04E98" w:rsidRDefault="00B04E98">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Equity</w:t>
            </w:r>
          </w:p>
        </w:tc>
        <w:tc>
          <w:tcPr>
            <w:tcW w:w="0" w:type="auto"/>
            <w:tcBorders>
              <w:top w:val="single" w:sz="4" w:space="0" w:color="7F7F7F" w:themeColor="text1" w:themeTint="80"/>
              <w:left w:val="nil"/>
              <w:right w:val="nil"/>
            </w:tcBorders>
            <w:hideMark/>
          </w:tcPr>
          <w:p w14:paraId="423844B0" w14:textId="77777777" w:rsidR="00B04E98" w:rsidRDefault="00B04E98">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D/E Ratio</w:t>
            </w:r>
          </w:p>
        </w:tc>
        <w:tc>
          <w:tcPr>
            <w:tcW w:w="0" w:type="auto"/>
            <w:tcBorders>
              <w:top w:val="single" w:sz="4" w:space="0" w:color="7F7F7F" w:themeColor="text1" w:themeTint="80"/>
              <w:left w:val="nil"/>
              <w:right w:val="nil"/>
            </w:tcBorders>
            <w:hideMark/>
          </w:tcPr>
          <w:p w14:paraId="03AFDFFE" w14:textId="77777777" w:rsidR="00B04E98" w:rsidRDefault="00B04E98">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Long-term D/E ratio</w:t>
            </w:r>
          </w:p>
        </w:tc>
      </w:tr>
      <w:tr w:rsidR="00B04E98" w14:paraId="4D45DF8F" w14:textId="77777777" w:rsidTr="00B04E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il"/>
              <w:right w:val="nil"/>
            </w:tcBorders>
            <w:hideMark/>
          </w:tcPr>
          <w:p w14:paraId="255F0D3D" w14:textId="77777777" w:rsidR="00B04E98" w:rsidRDefault="00B04E98">
            <w:r>
              <w:rPr>
                <w:b w:val="0"/>
                <w:bCs w:val="0"/>
              </w:rPr>
              <w:t>2021</w:t>
            </w:r>
          </w:p>
        </w:tc>
        <w:tc>
          <w:tcPr>
            <w:tcW w:w="0" w:type="auto"/>
            <w:tcBorders>
              <w:left w:val="nil"/>
              <w:right w:val="nil"/>
            </w:tcBorders>
            <w:hideMark/>
          </w:tcPr>
          <w:p w14:paraId="4A8BB32D" w14:textId="77777777" w:rsidR="00B04E98" w:rsidRDefault="00B04E98">
            <w:pPr>
              <w:cnfStyle w:val="000000100000" w:firstRow="0" w:lastRow="0" w:firstColumn="0" w:lastColumn="0" w:oddVBand="0" w:evenVBand="0" w:oddHBand="1" w:evenHBand="0" w:firstRowFirstColumn="0" w:firstRowLastColumn="0" w:lastRowFirstColumn="0" w:lastRowLastColumn="0"/>
            </w:pPr>
            <w:r>
              <w:t>£2,150,000</w:t>
            </w:r>
          </w:p>
        </w:tc>
        <w:tc>
          <w:tcPr>
            <w:tcW w:w="0" w:type="auto"/>
            <w:tcBorders>
              <w:left w:val="nil"/>
              <w:right w:val="nil"/>
            </w:tcBorders>
            <w:hideMark/>
          </w:tcPr>
          <w:p w14:paraId="6C65B344" w14:textId="77777777" w:rsidR="00B04E98" w:rsidRDefault="00B04E98">
            <w:pPr>
              <w:cnfStyle w:val="000000100000" w:firstRow="0" w:lastRow="0" w:firstColumn="0" w:lastColumn="0" w:oddVBand="0" w:evenVBand="0" w:oddHBand="1" w:evenHBand="0" w:firstRowFirstColumn="0" w:firstRowLastColumn="0" w:lastRowFirstColumn="0" w:lastRowLastColumn="0"/>
            </w:pPr>
            <w:r>
              <w:t>£1,530,000</w:t>
            </w:r>
          </w:p>
        </w:tc>
        <w:tc>
          <w:tcPr>
            <w:tcW w:w="0" w:type="auto"/>
            <w:tcBorders>
              <w:left w:val="nil"/>
              <w:right w:val="nil"/>
            </w:tcBorders>
            <w:hideMark/>
          </w:tcPr>
          <w:p w14:paraId="149B2374" w14:textId="77777777" w:rsidR="00B04E98" w:rsidRDefault="00B04E98">
            <w:pPr>
              <w:cnfStyle w:val="000000100000" w:firstRow="0" w:lastRow="0" w:firstColumn="0" w:lastColumn="0" w:oddVBand="0" w:evenVBand="0" w:oddHBand="1" w:evenHBand="0" w:firstRowFirstColumn="0" w:firstRowLastColumn="0" w:lastRowFirstColumn="0" w:lastRowLastColumn="0"/>
            </w:pPr>
            <w:r>
              <w:t>£620,000</w:t>
            </w:r>
          </w:p>
        </w:tc>
        <w:tc>
          <w:tcPr>
            <w:tcW w:w="0" w:type="auto"/>
            <w:tcBorders>
              <w:left w:val="nil"/>
              <w:right w:val="nil"/>
            </w:tcBorders>
            <w:hideMark/>
          </w:tcPr>
          <w:p w14:paraId="1EABD469" w14:textId="77777777" w:rsidR="00B04E98" w:rsidRDefault="00B04E98">
            <w:pPr>
              <w:cnfStyle w:val="000000100000" w:firstRow="0" w:lastRow="0" w:firstColumn="0" w:lastColumn="0" w:oddVBand="0" w:evenVBand="0" w:oddHBand="1" w:evenHBand="0" w:firstRowFirstColumn="0" w:firstRowLastColumn="0" w:lastRowFirstColumn="0" w:lastRowLastColumn="0"/>
            </w:pPr>
            <w:r>
              <w:t>0.48</w:t>
            </w:r>
          </w:p>
        </w:tc>
        <w:tc>
          <w:tcPr>
            <w:tcW w:w="0" w:type="auto"/>
            <w:tcBorders>
              <w:left w:val="nil"/>
              <w:right w:val="nil"/>
            </w:tcBorders>
            <w:hideMark/>
          </w:tcPr>
          <w:p w14:paraId="41008D9F" w14:textId="77777777" w:rsidR="00B04E98" w:rsidRDefault="00B04E98">
            <w:pPr>
              <w:cnfStyle w:val="000000100000" w:firstRow="0" w:lastRow="0" w:firstColumn="0" w:lastColumn="0" w:oddVBand="0" w:evenVBand="0" w:oddHBand="1" w:evenHBand="0" w:firstRowFirstColumn="0" w:firstRowLastColumn="0" w:lastRowFirstColumn="0" w:lastRowLastColumn="0"/>
            </w:pPr>
            <w:r>
              <w:t>0.37</w:t>
            </w:r>
          </w:p>
        </w:tc>
      </w:tr>
      <w:tr w:rsidR="00B04E98" w14:paraId="2A141F58" w14:textId="77777777" w:rsidTr="00B04E98">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hideMark/>
          </w:tcPr>
          <w:p w14:paraId="0C9E3FC7" w14:textId="77777777" w:rsidR="00B04E98" w:rsidRDefault="00B04E98">
            <w:pPr>
              <w:rPr>
                <w:b w:val="0"/>
                <w:bCs w:val="0"/>
              </w:rPr>
            </w:pPr>
            <w:r>
              <w:rPr>
                <w:b w:val="0"/>
                <w:bCs w:val="0"/>
              </w:rPr>
              <w:t>2022</w:t>
            </w:r>
          </w:p>
        </w:tc>
        <w:tc>
          <w:tcPr>
            <w:tcW w:w="0" w:type="auto"/>
            <w:tcBorders>
              <w:top w:val="nil"/>
              <w:left w:val="nil"/>
              <w:bottom w:val="nil"/>
              <w:right w:val="nil"/>
            </w:tcBorders>
            <w:hideMark/>
          </w:tcPr>
          <w:p w14:paraId="2E016C11" w14:textId="77777777" w:rsidR="00B04E98" w:rsidRDefault="00B04E98">
            <w:pPr>
              <w:cnfStyle w:val="000000000000" w:firstRow="0" w:lastRow="0" w:firstColumn="0" w:lastColumn="0" w:oddVBand="0" w:evenVBand="0" w:oddHBand="0" w:evenHBand="0" w:firstRowFirstColumn="0" w:firstRowLastColumn="0" w:lastRowFirstColumn="0" w:lastRowLastColumn="0"/>
            </w:pPr>
            <w:r>
              <w:t>£2,120,000</w:t>
            </w:r>
          </w:p>
        </w:tc>
        <w:tc>
          <w:tcPr>
            <w:tcW w:w="0" w:type="auto"/>
            <w:tcBorders>
              <w:top w:val="nil"/>
              <w:left w:val="nil"/>
              <w:bottom w:val="nil"/>
              <w:right w:val="nil"/>
            </w:tcBorders>
            <w:hideMark/>
          </w:tcPr>
          <w:p w14:paraId="079B998D" w14:textId="77777777" w:rsidR="00B04E98" w:rsidRDefault="00B04E98">
            <w:pPr>
              <w:cnfStyle w:val="000000000000" w:firstRow="0" w:lastRow="0" w:firstColumn="0" w:lastColumn="0" w:oddVBand="0" w:evenVBand="0" w:oddHBand="0" w:evenHBand="0" w:firstRowFirstColumn="0" w:firstRowLastColumn="0" w:lastRowFirstColumn="0" w:lastRowLastColumn="0"/>
            </w:pPr>
            <w:r>
              <w:t>£1,540,000</w:t>
            </w:r>
          </w:p>
        </w:tc>
        <w:tc>
          <w:tcPr>
            <w:tcW w:w="0" w:type="auto"/>
            <w:tcBorders>
              <w:top w:val="nil"/>
              <w:left w:val="nil"/>
              <w:bottom w:val="nil"/>
              <w:right w:val="nil"/>
            </w:tcBorders>
            <w:hideMark/>
          </w:tcPr>
          <w:p w14:paraId="775E73BC" w14:textId="77777777" w:rsidR="00B04E98" w:rsidRDefault="00B04E98">
            <w:pPr>
              <w:cnfStyle w:val="000000000000" w:firstRow="0" w:lastRow="0" w:firstColumn="0" w:lastColumn="0" w:oddVBand="0" w:evenVBand="0" w:oddHBand="0" w:evenHBand="0" w:firstRowFirstColumn="0" w:firstRowLastColumn="0" w:lastRowFirstColumn="0" w:lastRowLastColumn="0"/>
            </w:pPr>
            <w:r>
              <w:t>£580,000</w:t>
            </w:r>
          </w:p>
        </w:tc>
        <w:tc>
          <w:tcPr>
            <w:tcW w:w="0" w:type="auto"/>
            <w:tcBorders>
              <w:top w:val="nil"/>
              <w:left w:val="nil"/>
              <w:bottom w:val="nil"/>
              <w:right w:val="nil"/>
            </w:tcBorders>
            <w:hideMark/>
          </w:tcPr>
          <w:p w14:paraId="7D8AF85E" w14:textId="77777777" w:rsidR="00B04E98" w:rsidRDefault="00B04E98">
            <w:pPr>
              <w:cnfStyle w:val="000000000000" w:firstRow="0" w:lastRow="0" w:firstColumn="0" w:lastColumn="0" w:oddVBand="0" w:evenVBand="0" w:oddHBand="0" w:evenHBand="0" w:firstRowFirstColumn="0" w:firstRowLastColumn="0" w:lastRowFirstColumn="0" w:lastRowLastColumn="0"/>
            </w:pPr>
            <w:r>
              <w:t>0.48</w:t>
            </w:r>
          </w:p>
        </w:tc>
        <w:tc>
          <w:tcPr>
            <w:tcW w:w="0" w:type="auto"/>
            <w:tcBorders>
              <w:top w:val="nil"/>
              <w:left w:val="nil"/>
              <w:bottom w:val="nil"/>
              <w:right w:val="nil"/>
            </w:tcBorders>
            <w:hideMark/>
          </w:tcPr>
          <w:p w14:paraId="57671EC4" w14:textId="77777777" w:rsidR="00B04E98" w:rsidRDefault="00B04E98">
            <w:pPr>
              <w:cnfStyle w:val="000000000000" w:firstRow="0" w:lastRow="0" w:firstColumn="0" w:lastColumn="0" w:oddVBand="0" w:evenVBand="0" w:oddHBand="0" w:evenHBand="0" w:firstRowFirstColumn="0" w:firstRowLastColumn="0" w:lastRowFirstColumn="0" w:lastRowLastColumn="0"/>
            </w:pPr>
            <w:r>
              <w:t>0.41</w:t>
            </w:r>
          </w:p>
        </w:tc>
      </w:tr>
      <w:tr w:rsidR="00B04E98" w14:paraId="77E9D1FF" w14:textId="77777777" w:rsidTr="00B04E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il"/>
              <w:right w:val="nil"/>
            </w:tcBorders>
            <w:hideMark/>
          </w:tcPr>
          <w:p w14:paraId="61033A26" w14:textId="77777777" w:rsidR="00B04E98" w:rsidRDefault="00B04E98">
            <w:pPr>
              <w:rPr>
                <w:b w:val="0"/>
                <w:bCs w:val="0"/>
              </w:rPr>
            </w:pPr>
            <w:r>
              <w:rPr>
                <w:b w:val="0"/>
                <w:bCs w:val="0"/>
              </w:rPr>
              <w:t>2023</w:t>
            </w:r>
          </w:p>
        </w:tc>
        <w:tc>
          <w:tcPr>
            <w:tcW w:w="0" w:type="auto"/>
            <w:tcBorders>
              <w:left w:val="nil"/>
              <w:right w:val="nil"/>
            </w:tcBorders>
            <w:hideMark/>
          </w:tcPr>
          <w:p w14:paraId="53DAB313" w14:textId="77777777" w:rsidR="00B04E98" w:rsidRDefault="00B04E98">
            <w:pPr>
              <w:cnfStyle w:val="000000100000" w:firstRow="0" w:lastRow="0" w:firstColumn="0" w:lastColumn="0" w:oddVBand="0" w:evenVBand="0" w:oddHBand="1" w:evenHBand="0" w:firstRowFirstColumn="0" w:firstRowLastColumn="0" w:lastRowFirstColumn="0" w:lastRowLastColumn="0"/>
            </w:pPr>
            <w:r>
              <w:t>£1,850,000</w:t>
            </w:r>
          </w:p>
        </w:tc>
        <w:tc>
          <w:tcPr>
            <w:tcW w:w="0" w:type="auto"/>
            <w:tcBorders>
              <w:left w:val="nil"/>
              <w:right w:val="nil"/>
            </w:tcBorders>
            <w:hideMark/>
          </w:tcPr>
          <w:p w14:paraId="0814AFA1" w14:textId="77777777" w:rsidR="00B04E98" w:rsidRDefault="00B04E98">
            <w:pPr>
              <w:cnfStyle w:val="000000100000" w:firstRow="0" w:lastRow="0" w:firstColumn="0" w:lastColumn="0" w:oddVBand="0" w:evenVBand="0" w:oddHBand="1" w:evenHBand="0" w:firstRowFirstColumn="0" w:firstRowLastColumn="0" w:lastRowFirstColumn="0" w:lastRowLastColumn="0"/>
            </w:pPr>
            <w:r>
              <w:t>£1,550,000</w:t>
            </w:r>
          </w:p>
        </w:tc>
        <w:tc>
          <w:tcPr>
            <w:tcW w:w="0" w:type="auto"/>
            <w:tcBorders>
              <w:left w:val="nil"/>
              <w:right w:val="nil"/>
            </w:tcBorders>
            <w:hideMark/>
          </w:tcPr>
          <w:p w14:paraId="1CA27128" w14:textId="77777777" w:rsidR="00B04E98" w:rsidRDefault="00B04E98">
            <w:pPr>
              <w:cnfStyle w:val="000000100000" w:firstRow="0" w:lastRow="0" w:firstColumn="0" w:lastColumn="0" w:oddVBand="0" w:evenVBand="0" w:oddHBand="1" w:evenHBand="0" w:firstRowFirstColumn="0" w:firstRowLastColumn="0" w:lastRowFirstColumn="0" w:lastRowLastColumn="0"/>
            </w:pPr>
            <w:r>
              <w:t>£300,000</w:t>
            </w:r>
          </w:p>
        </w:tc>
        <w:tc>
          <w:tcPr>
            <w:tcW w:w="0" w:type="auto"/>
            <w:tcBorders>
              <w:left w:val="nil"/>
              <w:right w:val="nil"/>
            </w:tcBorders>
            <w:hideMark/>
          </w:tcPr>
          <w:p w14:paraId="1EDBD1D1" w14:textId="77777777" w:rsidR="00B04E98" w:rsidRDefault="00B04E98">
            <w:pPr>
              <w:cnfStyle w:val="000000100000" w:firstRow="0" w:lastRow="0" w:firstColumn="0" w:lastColumn="0" w:oddVBand="0" w:evenVBand="0" w:oddHBand="1" w:evenHBand="0" w:firstRowFirstColumn="0" w:firstRowLastColumn="0" w:lastRowFirstColumn="0" w:lastRowLastColumn="0"/>
            </w:pPr>
            <w:r>
              <w:t>5.17 (Negative Equity)</w:t>
            </w:r>
          </w:p>
        </w:tc>
        <w:tc>
          <w:tcPr>
            <w:tcW w:w="0" w:type="auto"/>
            <w:tcBorders>
              <w:left w:val="nil"/>
              <w:right w:val="nil"/>
            </w:tcBorders>
            <w:hideMark/>
          </w:tcPr>
          <w:p w14:paraId="720D00EF" w14:textId="77777777" w:rsidR="00B04E98" w:rsidRDefault="00B04E98">
            <w:pPr>
              <w:cnfStyle w:val="000000100000" w:firstRow="0" w:lastRow="0" w:firstColumn="0" w:lastColumn="0" w:oddVBand="0" w:evenVBand="0" w:oddHBand="1" w:evenHBand="0" w:firstRowFirstColumn="0" w:firstRowLastColumn="0" w:lastRowFirstColumn="0" w:lastRowLastColumn="0"/>
            </w:pPr>
            <w:r>
              <w:t>5.00 (Negative Equity)</w:t>
            </w:r>
          </w:p>
        </w:tc>
      </w:tr>
    </w:tbl>
    <w:p w14:paraId="602A2988" w14:textId="77777777" w:rsidR="00B04E98" w:rsidRDefault="00B04E98" w:rsidP="00B04E98">
      <w:pPr>
        <w:jc w:val="center"/>
      </w:pPr>
      <w:r>
        <w:t>Table 3: Solvency Ratios</w:t>
      </w:r>
    </w:p>
    <w:p w14:paraId="4C883706" w14:textId="77777777" w:rsidR="00B04E98" w:rsidRDefault="00B04E98" w:rsidP="00B04E98">
      <w:r>
        <w:t>The company's inability to meet long-term obligations is seriously raised by the negative equity. It indicates that its liabilities outweigh its assets. This may be explained by persistent losses that have an impact on the long-term profitability of the company. Negative equity may also make it more difficult for the business to raise capital or get funding for required upgrades (Wright et al., 2004). Working together with stakeholders and financial professionals to create a workable strategy is essential to overcoming solvency issues and guaranteeing the company's long-term viability. It is essential to act quickly to recover solvency.</w:t>
      </w:r>
    </w:p>
    <w:p w14:paraId="20B3BB3F" w14:textId="77777777" w:rsidR="00B04E98" w:rsidRDefault="00B04E98" w:rsidP="00B04E98">
      <w:pPr>
        <w:spacing w:after="0"/>
        <w:jc w:val="left"/>
        <w:sectPr w:rsidR="00B04E98" w:rsidSect="00B04E98">
          <w:pgSz w:w="12240" w:h="15840"/>
          <w:pgMar w:top="1440" w:right="1440" w:bottom="1440" w:left="1440" w:header="720" w:footer="720" w:gutter="0"/>
          <w:cols w:space="720"/>
        </w:sectPr>
      </w:pPr>
    </w:p>
    <w:p w14:paraId="2A23201A" w14:textId="77777777" w:rsidR="00B04E98" w:rsidRDefault="00B04E98" w:rsidP="00B04E98">
      <w:pPr>
        <w:keepNext/>
        <w:keepLines/>
        <w:spacing w:before="240" w:after="0"/>
        <w:outlineLvl w:val="0"/>
        <w:rPr>
          <w:rFonts w:eastAsiaTheme="majorEastAsia" w:cstheme="majorBidi"/>
          <w:b/>
          <w:szCs w:val="32"/>
        </w:rPr>
      </w:pPr>
      <w:r>
        <w:rPr>
          <w:rFonts w:eastAsiaTheme="majorEastAsia" w:cstheme="majorBidi"/>
          <w:b/>
          <w:szCs w:val="32"/>
        </w:rPr>
        <w:lastRenderedPageBreak/>
        <w:t>Key Reasons behind the Decline in Profitability</w:t>
      </w:r>
    </w:p>
    <w:p w14:paraId="20935279" w14:textId="77777777" w:rsidR="00B04E98" w:rsidRDefault="00B04E98" w:rsidP="00B04E98">
      <w:r>
        <w:t>The pandemic's devastating effects have not only changed consumer behaviour in the near term but also led to a more comprehensive re-evaluation of travel objectives and expectations. The increased emphasis on health and safety has made it a top priority for travellers impacting their selection of lodging. Contemporary resorts featuring cutting-edge health and safety protocols have an advantage in drawing visitors who are worried about their well-being while visiting (Bradshaw et al., 2015). Like many other hospitality organisations, Seacrest Lodge must make significant investments in health and safety standards to win back consumer trust and conform to the changing post-pandemic travel norms (Milovanović, 2021). The obsolete amenities and declining service quality mentioned in the unfavourable customer evaluations underline how urgently the lodge needs to solve internal operating issues. Reduced customer satisfaction affects not just the possibility of recurring business but also the internet reputation that attracts future reservations. Enhancing the entire guest experience requires doing a thorough analysis of consumer opinions and putting in place staff training initiatives to match modern standards.</w:t>
      </w:r>
    </w:p>
    <w:p w14:paraId="4ECFBB4E" w14:textId="77777777" w:rsidR="00B04E98" w:rsidRDefault="00B04E98" w:rsidP="00B04E98">
      <w:r>
        <w:t>Unpredictability in the world economy makes its financial crisis worse. The wider economic environment is marked by shifts in individual purchasing habits and currency exchange rates have a big influence on the financial success of the hotel industry. The resort's 2023 net losses could be a sign of these more general economic difficulties and the requirement for financial plans that are resilient to outside forces (</w:t>
      </w:r>
      <w:proofErr w:type="spellStart"/>
      <w:r>
        <w:t>Paminto</w:t>
      </w:r>
      <w:proofErr w:type="spellEnd"/>
      <w:r>
        <w:t xml:space="preserve"> et al., 2023). In addition to the obvious effects of the COVID-19 epidemic and sharp competition, several other actual occurrences have also had a role in its declining profitability. The growing cost of electricity is one significant aspect that has impacted firms in the hotel industry especially. The Seacrest Lodge is experiencing higher operating expenditures because of the increase in energy costs brought on by geopolitical concerns (Joshi &amp; Klein, 2021). Utility costs have increased since the resort probably uses a lot of energy-intensive features like air conditioning and heating. Profit margins have been further compressed by the failure to pass along these higher expenses to customers.</w:t>
      </w:r>
    </w:p>
    <w:p w14:paraId="125186E4" w14:textId="77777777" w:rsidR="00B04E98" w:rsidRDefault="00B04E98" w:rsidP="00B04E98">
      <w:r>
        <w:lastRenderedPageBreak/>
        <w:t>interruptions in the supply chain have become a serious problem. Due to the pandemic-induced disruptions, there are shortages and price instability throughout the world's supply chains. The impact was particularly felt by the hotel sector as it is highly dependent on a consistent supply of commodities. Increased expenses and inefficiencies in operations resulted from price variations in necessary goods and possible delays in sourcing (Hendricks &amp; Singhal, 2011). Moreover, these difficulties are compounded by swings in currency and interruptions in shipping as the resort is dependent on imported supplies. The corporate climate is impacted by the uncertainty brought about by the geopolitical situation. The company's financial health is immediately impacted by the implementation of new rules or modifications to tax laws. It may be necessary to make additional expenditures in infrastructure or personnel training to comply with changing regulatory standards. The resort's profitability is directly impacted by modifications to tax laws through its net income. ongoing planning for finances becomes difficult in an atmosphere of uncertainty. It makes it more difficult for it to make strategic choices that might improve its financial success. The resort's financial performance is also impacted by global warming occurrences. For example, a strong storm or hurricane that hits the resort's seaside location causes wreckage and expensive repairs. There is a loss of revenue and reservations due to the accompanying downtime during repairs. The cost of insurance also went up. The unpredictable nature of climate-related occurrences adds a layer of risk that may eventually undermine the resort's capacity to make money.</w:t>
      </w:r>
    </w:p>
    <w:p w14:paraId="5CB08D5A" w14:textId="77777777" w:rsidR="00B04E98" w:rsidRDefault="00B04E98" w:rsidP="00B04E98">
      <w:pPr>
        <w:keepNext/>
        <w:keepLines/>
        <w:spacing w:before="240" w:after="0"/>
        <w:outlineLvl w:val="0"/>
        <w:rPr>
          <w:rFonts w:eastAsiaTheme="majorEastAsia" w:cstheme="majorBidi"/>
          <w:b/>
          <w:szCs w:val="32"/>
        </w:rPr>
      </w:pPr>
      <w:r>
        <w:rPr>
          <w:rFonts w:eastAsiaTheme="majorEastAsia" w:cstheme="majorBidi"/>
          <w:b/>
          <w:szCs w:val="32"/>
        </w:rPr>
        <w:t>Turnaround Strategy</w:t>
      </w:r>
    </w:p>
    <w:p w14:paraId="7C2B9C32" w14:textId="77777777" w:rsidR="00B04E98" w:rsidRDefault="00B04E98" w:rsidP="00B04E98">
      <w:pPr>
        <w:rPr>
          <w:b/>
          <w:bCs/>
        </w:rPr>
      </w:pPr>
      <w:r>
        <w:rPr>
          <w:b/>
          <w:bCs/>
        </w:rPr>
        <w:t>Cost Management and Control</w:t>
      </w:r>
    </w:p>
    <w:p w14:paraId="30141696" w14:textId="77777777" w:rsidR="00B04E98" w:rsidRDefault="00B04E98" w:rsidP="00B04E98">
      <w:r>
        <w:t>For the Seacrest Lodge, a thorough analysis of cost structures must be carried out. The resort may deliberately reduce expenses without sacrificing service quality by revisiting arrangements with partners and optimising workforce levels. Automated procedures and energy-efficient technologies help to improve efficiency in operations by correcting the mismatch between expenses and revenues (</w:t>
      </w:r>
      <w:proofErr w:type="spellStart"/>
      <w:r>
        <w:t>Paminto</w:t>
      </w:r>
      <w:proofErr w:type="spellEnd"/>
      <w:r>
        <w:t xml:space="preserve"> et al., 2023). This methodology not only maximises internal processes but also augments profitability by guaranteeing that expenditures correspond with revenue-producing endeavours.</w:t>
      </w:r>
    </w:p>
    <w:p w14:paraId="0DB34C0A" w14:textId="77777777" w:rsidR="00B04E98" w:rsidRDefault="00B04E98" w:rsidP="00B04E98">
      <w:pPr>
        <w:rPr>
          <w:b/>
          <w:bCs/>
        </w:rPr>
      </w:pPr>
      <w:r>
        <w:rPr>
          <w:b/>
          <w:bCs/>
        </w:rPr>
        <w:lastRenderedPageBreak/>
        <w:t>Restructuring the Brand Image</w:t>
      </w:r>
    </w:p>
    <w:p w14:paraId="3278E36A" w14:textId="77777777" w:rsidR="00B04E98" w:rsidRDefault="00B04E98" w:rsidP="00B04E98">
      <w:r>
        <w:t>To reclaim itself in the market, the resort must implement a detailed marketing plan and rebranding. Rebuilding customer confidence requires emphasising exclusive offers and contemporary conveniences (Milovanović, 2021). The resort can reach a wider audience through focused digital advertising efforts that are implemented on many channels. Boosting overall satisfaction with guests and the resort's image requires responding to customer comments and resolving issues raised in ratings.</w:t>
      </w:r>
    </w:p>
    <w:p w14:paraId="62B933CB" w14:textId="77777777" w:rsidR="00B04E98" w:rsidRDefault="00B04E98" w:rsidP="00B04E98">
      <w:pPr>
        <w:rPr>
          <w:b/>
          <w:bCs/>
        </w:rPr>
      </w:pPr>
      <w:r>
        <w:rPr>
          <w:b/>
          <w:bCs/>
        </w:rPr>
        <w:t>Customer Orientation</w:t>
      </w:r>
    </w:p>
    <w:p w14:paraId="7604EE3A" w14:textId="77777777" w:rsidR="00B04E98" w:rsidRDefault="00B04E98" w:rsidP="00B04E98">
      <w:r>
        <w:t>Investing in modern technology is essential to raising operational effectiveness and improving the visitor experience. Using sophisticated online booking platforms and smartphone-based concierge services helps businesses meet changing customer demands while optimising internal workflows (Bradshaw et al., 2015). It stands out in a crowded market because of its smart technology integration. It also satisfies the expectations of tech-savvy tourists and provides a smooth and contemporary stay for guests.</w:t>
      </w:r>
    </w:p>
    <w:p w14:paraId="36340E19" w14:textId="77777777" w:rsidR="00B04E98" w:rsidRDefault="00B04E98" w:rsidP="00B04E98">
      <w:pPr>
        <w:rPr>
          <w:b/>
          <w:bCs/>
        </w:rPr>
      </w:pPr>
      <w:r>
        <w:rPr>
          <w:b/>
          <w:bCs/>
        </w:rPr>
        <w:t>Reassessments of Strategic Partnership</w:t>
      </w:r>
    </w:p>
    <w:p w14:paraId="060DA5A2" w14:textId="77777777" w:rsidR="00B04E98" w:rsidRDefault="00B04E98" w:rsidP="00B04E98">
      <w:r>
        <w:t>Working together with regional companies and business leaders enables The Lodge to develop unique products. This might entail special offers, cooperative marketing initiatives, or shared facilities. These collaborations improve the resort's appeal by providing visitors with unique experiences (Hendricks &amp; Singhal, 2011). Working together with regional tourist boards enhances marketing initiatives aimed at positioning the lodge as a key component of the holiday visit and drawing a varied audience.</w:t>
      </w:r>
    </w:p>
    <w:p w14:paraId="5497F571" w14:textId="77777777" w:rsidR="00B04E98" w:rsidRDefault="00B04E98" w:rsidP="00B04E98">
      <w:pPr>
        <w:rPr>
          <w:b/>
          <w:bCs/>
        </w:rPr>
      </w:pPr>
      <w:r>
        <w:rPr>
          <w:b/>
          <w:bCs/>
        </w:rPr>
        <w:t>Responsible Tourism Practices</w:t>
      </w:r>
    </w:p>
    <w:p w14:paraId="64AFD5BA" w14:textId="77777777" w:rsidR="00B04E98" w:rsidRDefault="00B04E98" w:rsidP="00B04E98">
      <w:r>
        <w:t>Adopting sustainable practices is consistent with consumers' evolving inclinations towards travel which is fair. A favourable impression of the brand is enhanced by environmentally responsible operations and community service initiatives. By appealing to a rising market group, marketing materials that openly communicate these initiatives can draw eco-aware tourists (Bradshaw et al., 2015). The Lodge's basic principles now include sustainability which not only follows international trends but also cultivates a feeling of accountability.</w:t>
      </w:r>
    </w:p>
    <w:p w14:paraId="48A72D11" w14:textId="77777777" w:rsidR="00B04E98" w:rsidRDefault="00B04E98" w:rsidP="00B04E98">
      <w:pPr>
        <w:rPr>
          <w:b/>
          <w:bCs/>
        </w:rPr>
      </w:pPr>
      <w:r>
        <w:rPr>
          <w:b/>
          <w:bCs/>
        </w:rPr>
        <w:lastRenderedPageBreak/>
        <w:t>Business Diversification</w:t>
      </w:r>
    </w:p>
    <w:p w14:paraId="5078BF9D" w14:textId="77777777" w:rsidR="00B04E98" w:rsidRDefault="00B04E98" w:rsidP="00B04E98">
      <w:r>
        <w:t>The Seacrest Lodge may want to consider varying its sources of income. This might necessitate adding other services like event planning, wellness initiatives, or collaborating with nearby tour companies to provide guided tours. In addition to customary services, the resort might reach out to various consumer groups to lessen its reliance on hotel reservations. Variety makes a company model more tolerant and flexible to shifts in the economy and increases opportunity (Hendricks &amp; Singhal, 2011).</w:t>
      </w:r>
    </w:p>
    <w:p w14:paraId="435BCD17" w14:textId="77777777" w:rsidR="00B04E98" w:rsidRDefault="00B04E98" w:rsidP="00B04E98">
      <w:pPr>
        <w:rPr>
          <w:b/>
          <w:bCs/>
        </w:rPr>
      </w:pPr>
      <w:r>
        <w:rPr>
          <w:b/>
          <w:bCs/>
        </w:rPr>
        <w:t>Human Capital Restoration</w:t>
      </w:r>
    </w:p>
    <w:p w14:paraId="33D7CA24" w14:textId="77777777" w:rsidR="00B04E98" w:rsidRDefault="00B04E98" w:rsidP="00B04E98">
      <w:r>
        <w:t>The Seacrest Lodge ought to put money into thorough training initiatives for staff members and give staff happiness priority. When employees are enthusiastic and proficient, they can solve issues brought up in client feedback enhancing the quality of services provided. Improved visitor experiences have a favourable effect on patron loyalty as well as fulfilment. Employers may build a cohesive team that is committed to maintaining the resort's high standards by supporting professional growth and employee welfare (Joshi &amp; Klein, 2021). This focus on the needs of the staff not only improves visitor experiences but also enhances the resort's standing.</w:t>
      </w:r>
    </w:p>
    <w:p w14:paraId="7872984C" w14:textId="77777777" w:rsidR="00B04E98" w:rsidRDefault="00B04E98" w:rsidP="00B04E98">
      <w:pPr>
        <w:spacing w:after="0"/>
        <w:jc w:val="left"/>
        <w:sectPr w:rsidR="00B04E98" w:rsidSect="00B04E98">
          <w:pgSz w:w="12240" w:h="15840"/>
          <w:pgMar w:top="1440" w:right="1440" w:bottom="1440" w:left="1440" w:header="720" w:footer="720" w:gutter="0"/>
          <w:cols w:space="720"/>
        </w:sectPr>
      </w:pPr>
    </w:p>
    <w:p w14:paraId="5F4997EA" w14:textId="77777777" w:rsidR="00B04E98" w:rsidRDefault="00B04E98" w:rsidP="00B04E98">
      <w:pPr>
        <w:keepNext/>
        <w:keepLines/>
        <w:spacing w:before="240" w:after="0"/>
        <w:outlineLvl w:val="0"/>
        <w:rPr>
          <w:rFonts w:eastAsiaTheme="majorEastAsia" w:cstheme="majorBidi"/>
          <w:b/>
          <w:szCs w:val="32"/>
        </w:rPr>
      </w:pPr>
      <w:r>
        <w:rPr>
          <w:rFonts w:eastAsiaTheme="majorEastAsia" w:cstheme="majorBidi"/>
          <w:b/>
          <w:szCs w:val="32"/>
        </w:rPr>
        <w:lastRenderedPageBreak/>
        <w:t>Conclusion</w:t>
      </w:r>
    </w:p>
    <w:p w14:paraId="2555D309" w14:textId="77777777" w:rsidR="00B04E98" w:rsidRDefault="00B04E98" w:rsidP="00B04E98">
      <w:r>
        <w:t>The results highlight the many ways in which the resort has struggled due to outside factors such as the COVID-19 pandemic's lasting effects, stronger rivalry, and rising fuel costs. The difficulties are exacerbated by ineffective operations and a mismatch between income and expenses. The suggested tactics provide a comprehensive revival plan and range from cost optimisation to strategic collaborations and ongoing efforts. By taking a thorough and flexible approach to resolving these discoveries. The Seacrest Lodge cannot only surmount its present difficulties but also surface as a robust and distinguished location within the dynamic hospitality industry.</w:t>
      </w:r>
    </w:p>
    <w:p w14:paraId="688DD0BE" w14:textId="77777777" w:rsidR="00B04E98" w:rsidRDefault="00B04E98" w:rsidP="00B04E98">
      <w:pPr>
        <w:spacing w:after="0"/>
        <w:jc w:val="left"/>
        <w:sectPr w:rsidR="00B04E98" w:rsidSect="00B04E98">
          <w:pgSz w:w="12240" w:h="15840"/>
          <w:pgMar w:top="1440" w:right="1440" w:bottom="1440" w:left="1440" w:header="720" w:footer="720" w:gutter="0"/>
          <w:cols w:space="720"/>
        </w:sectPr>
      </w:pPr>
    </w:p>
    <w:p w14:paraId="238DE603" w14:textId="77777777" w:rsidR="00B04E98" w:rsidRDefault="00B04E98" w:rsidP="00B04E98">
      <w:pPr>
        <w:keepNext/>
        <w:keepLines/>
        <w:spacing w:before="240" w:after="0"/>
        <w:outlineLvl w:val="0"/>
        <w:rPr>
          <w:rFonts w:eastAsiaTheme="majorEastAsia" w:cstheme="majorBidi"/>
          <w:b/>
          <w:szCs w:val="32"/>
        </w:rPr>
      </w:pPr>
      <w:r>
        <w:rPr>
          <w:rFonts w:eastAsiaTheme="majorEastAsia" w:cstheme="majorBidi"/>
          <w:b/>
          <w:szCs w:val="32"/>
        </w:rPr>
        <w:lastRenderedPageBreak/>
        <w:t>References</w:t>
      </w:r>
    </w:p>
    <w:p w14:paraId="15BDC487" w14:textId="77777777" w:rsidR="00B04E98" w:rsidRDefault="00B04E98" w:rsidP="00B04E98">
      <w:pPr>
        <w:spacing w:before="100" w:beforeAutospacing="1" w:after="100" w:afterAutospacing="1"/>
        <w:ind w:left="567" w:hanging="567"/>
        <w:jc w:val="left"/>
        <w:rPr>
          <w:rFonts w:eastAsia="Times New Roman" w:cs="Times New Roman"/>
          <w:szCs w:val="24"/>
          <w:lang w:val="en-US"/>
        </w:rPr>
      </w:pPr>
      <w:r>
        <w:rPr>
          <w:rFonts w:eastAsia="Times New Roman" w:cs="Times New Roman"/>
          <w:szCs w:val="24"/>
          <w:lang w:val="en-US"/>
        </w:rPr>
        <w:t xml:space="preserve">Bradshaw, M., Dutton, J. and Bridge, G. (2015) ‘The geopolitical economy of a globalizing gas market’, </w:t>
      </w:r>
      <w:r>
        <w:rPr>
          <w:rFonts w:eastAsia="Times New Roman" w:cs="Times New Roman"/>
          <w:i/>
          <w:iCs/>
          <w:szCs w:val="24"/>
          <w:lang w:val="en-US"/>
        </w:rPr>
        <w:t>Global Energy</w:t>
      </w:r>
      <w:r>
        <w:rPr>
          <w:rFonts w:eastAsia="Times New Roman" w:cs="Times New Roman"/>
          <w:szCs w:val="24"/>
          <w:lang w:val="en-US"/>
        </w:rPr>
        <w:t>, pp. 291–305. doi:10.1093/</w:t>
      </w:r>
      <w:proofErr w:type="spellStart"/>
      <w:proofErr w:type="gramStart"/>
      <w:r>
        <w:rPr>
          <w:rFonts w:eastAsia="Times New Roman" w:cs="Times New Roman"/>
          <w:szCs w:val="24"/>
          <w:lang w:val="en-US"/>
        </w:rPr>
        <w:t>acprof:oso</w:t>
      </w:r>
      <w:proofErr w:type="spellEnd"/>
      <w:proofErr w:type="gramEnd"/>
      <w:r>
        <w:rPr>
          <w:rFonts w:eastAsia="Times New Roman" w:cs="Times New Roman"/>
          <w:szCs w:val="24"/>
          <w:lang w:val="en-US"/>
        </w:rPr>
        <w:t xml:space="preserve">/9780198719526.003.0016. </w:t>
      </w:r>
    </w:p>
    <w:p w14:paraId="2C2934CE" w14:textId="77777777" w:rsidR="00B04E98" w:rsidRDefault="00B04E98" w:rsidP="00B04E98">
      <w:pPr>
        <w:spacing w:before="100" w:beforeAutospacing="1" w:after="100" w:afterAutospacing="1"/>
        <w:ind w:left="567" w:hanging="567"/>
        <w:jc w:val="left"/>
        <w:rPr>
          <w:rFonts w:eastAsia="Times New Roman" w:cs="Times New Roman"/>
          <w:szCs w:val="24"/>
          <w:lang w:val="en-US"/>
        </w:rPr>
      </w:pPr>
      <w:proofErr w:type="spellStart"/>
      <w:r>
        <w:rPr>
          <w:rFonts w:eastAsia="Times New Roman" w:cs="Times New Roman"/>
          <w:szCs w:val="24"/>
          <w:lang w:val="en-US"/>
        </w:rPr>
        <w:t>Fridson</w:t>
      </w:r>
      <w:proofErr w:type="spellEnd"/>
      <w:r>
        <w:rPr>
          <w:rFonts w:eastAsia="Times New Roman" w:cs="Times New Roman"/>
          <w:szCs w:val="24"/>
          <w:lang w:val="en-US"/>
        </w:rPr>
        <w:t xml:space="preserve">, M.S. and Alvarez, F. (2022) </w:t>
      </w:r>
      <w:r>
        <w:rPr>
          <w:rFonts w:eastAsia="Times New Roman" w:cs="Times New Roman"/>
          <w:i/>
          <w:iCs/>
          <w:szCs w:val="24"/>
          <w:lang w:val="en-US"/>
        </w:rPr>
        <w:t>Financial statement analysis: A practitioner’s guide</w:t>
      </w:r>
      <w:r>
        <w:rPr>
          <w:rFonts w:eastAsia="Times New Roman" w:cs="Times New Roman"/>
          <w:szCs w:val="24"/>
          <w:lang w:val="en-US"/>
        </w:rPr>
        <w:t xml:space="preserve">. Hoboken, NJ: Wiley. </w:t>
      </w:r>
    </w:p>
    <w:p w14:paraId="43DB7A6F" w14:textId="77777777" w:rsidR="00B04E98" w:rsidRDefault="00B04E98" w:rsidP="00B04E98">
      <w:pPr>
        <w:spacing w:before="100" w:beforeAutospacing="1" w:after="100" w:afterAutospacing="1"/>
        <w:ind w:left="567" w:hanging="567"/>
        <w:jc w:val="left"/>
        <w:rPr>
          <w:rFonts w:eastAsia="Times New Roman" w:cs="Times New Roman"/>
          <w:szCs w:val="24"/>
          <w:lang w:val="en-US"/>
        </w:rPr>
      </w:pPr>
      <w:r>
        <w:rPr>
          <w:rFonts w:eastAsia="Times New Roman" w:cs="Times New Roman"/>
          <w:szCs w:val="24"/>
          <w:lang w:val="en-US"/>
        </w:rPr>
        <w:t xml:space="preserve">Hendricks, K.B. and Singhal, V.R. (2011) ‘Supply chain disruptions and Corporate Performance’, </w:t>
      </w:r>
      <w:r>
        <w:rPr>
          <w:rFonts w:eastAsia="Times New Roman" w:cs="Times New Roman"/>
          <w:i/>
          <w:iCs/>
          <w:szCs w:val="24"/>
          <w:lang w:val="en-US"/>
        </w:rPr>
        <w:t>Supply Chain Disruptions</w:t>
      </w:r>
      <w:r>
        <w:rPr>
          <w:rFonts w:eastAsia="Times New Roman" w:cs="Times New Roman"/>
          <w:szCs w:val="24"/>
          <w:lang w:val="en-US"/>
        </w:rPr>
        <w:t xml:space="preserve">, pp. 1–19. doi:10.1007/978-0-85729-778-5_1. </w:t>
      </w:r>
    </w:p>
    <w:p w14:paraId="55F4C59F" w14:textId="77777777" w:rsidR="00B04E98" w:rsidRDefault="00B04E98" w:rsidP="00B04E98">
      <w:pPr>
        <w:spacing w:before="100" w:beforeAutospacing="1" w:after="100" w:afterAutospacing="1"/>
        <w:ind w:left="567" w:hanging="567"/>
        <w:jc w:val="left"/>
        <w:rPr>
          <w:rFonts w:eastAsia="Times New Roman" w:cs="Times New Roman"/>
          <w:szCs w:val="24"/>
          <w:lang w:val="en-US"/>
        </w:rPr>
      </w:pPr>
      <w:r>
        <w:rPr>
          <w:rFonts w:eastAsia="Times New Roman" w:cs="Times New Roman"/>
          <w:szCs w:val="24"/>
          <w:lang w:val="en-US"/>
        </w:rPr>
        <w:t xml:space="preserve">Joshi, M.K. and Klein, J.R. (2021) ‘Geopolitical fractures’, </w:t>
      </w:r>
      <w:r>
        <w:rPr>
          <w:rFonts w:eastAsia="Times New Roman" w:cs="Times New Roman"/>
          <w:i/>
          <w:iCs/>
          <w:szCs w:val="24"/>
          <w:lang w:val="en-US"/>
        </w:rPr>
        <w:t>Global Business in the Age of Transformation</w:t>
      </w:r>
      <w:r>
        <w:rPr>
          <w:rFonts w:eastAsia="Times New Roman" w:cs="Times New Roman"/>
          <w:szCs w:val="24"/>
          <w:lang w:val="en-US"/>
        </w:rPr>
        <w:t>, pp. 92–106. doi:10.1093/</w:t>
      </w:r>
      <w:proofErr w:type="spellStart"/>
      <w:r>
        <w:rPr>
          <w:rFonts w:eastAsia="Times New Roman" w:cs="Times New Roman"/>
          <w:szCs w:val="24"/>
          <w:lang w:val="en-US"/>
        </w:rPr>
        <w:t>oso</w:t>
      </w:r>
      <w:proofErr w:type="spellEnd"/>
      <w:r>
        <w:rPr>
          <w:rFonts w:eastAsia="Times New Roman" w:cs="Times New Roman"/>
          <w:szCs w:val="24"/>
          <w:lang w:val="en-US"/>
        </w:rPr>
        <w:t xml:space="preserve">/9780192847232.003.0007. </w:t>
      </w:r>
    </w:p>
    <w:p w14:paraId="2A4E41AD" w14:textId="77777777" w:rsidR="00B04E98" w:rsidRDefault="00B04E98" w:rsidP="00B04E98">
      <w:pPr>
        <w:spacing w:before="100" w:beforeAutospacing="1" w:after="100" w:afterAutospacing="1"/>
        <w:ind w:left="567" w:hanging="567"/>
        <w:jc w:val="left"/>
        <w:rPr>
          <w:rFonts w:eastAsia="Times New Roman" w:cs="Times New Roman"/>
          <w:szCs w:val="24"/>
          <w:lang w:val="en-US"/>
        </w:rPr>
      </w:pPr>
      <w:r>
        <w:rPr>
          <w:rFonts w:eastAsia="Times New Roman" w:cs="Times New Roman"/>
          <w:szCs w:val="24"/>
          <w:lang w:val="en-US"/>
        </w:rPr>
        <w:t xml:space="preserve">Milovanović, V. (2021) ‘The COVID-19 pandemic effects on the hotel industry’, </w:t>
      </w:r>
      <w:r>
        <w:rPr>
          <w:rFonts w:eastAsia="Times New Roman" w:cs="Times New Roman"/>
          <w:i/>
          <w:iCs/>
          <w:szCs w:val="24"/>
          <w:lang w:val="en-US"/>
        </w:rPr>
        <w:t>TOURISM CHALLENGES AMID COVID-19</w:t>
      </w:r>
      <w:r>
        <w:rPr>
          <w:rFonts w:eastAsia="Times New Roman" w:cs="Times New Roman"/>
          <w:szCs w:val="24"/>
          <w:lang w:val="en-US"/>
        </w:rPr>
        <w:t xml:space="preserve"> [Preprint]. doi:10.52370/tisc21570vm. </w:t>
      </w:r>
    </w:p>
    <w:p w14:paraId="173A4651" w14:textId="77777777" w:rsidR="00B04E98" w:rsidRDefault="00B04E98" w:rsidP="00B04E98">
      <w:pPr>
        <w:spacing w:before="100" w:beforeAutospacing="1" w:after="100" w:afterAutospacing="1"/>
        <w:ind w:left="567" w:hanging="567"/>
        <w:jc w:val="left"/>
        <w:rPr>
          <w:rFonts w:eastAsia="Times New Roman" w:cs="Times New Roman"/>
          <w:szCs w:val="24"/>
          <w:lang w:val="en-US"/>
        </w:rPr>
      </w:pPr>
      <w:proofErr w:type="spellStart"/>
      <w:r>
        <w:rPr>
          <w:rFonts w:eastAsia="Times New Roman" w:cs="Times New Roman"/>
          <w:szCs w:val="24"/>
          <w:lang w:val="en-US"/>
        </w:rPr>
        <w:t>Paminto</w:t>
      </w:r>
      <w:proofErr w:type="spellEnd"/>
      <w:r>
        <w:rPr>
          <w:rFonts w:eastAsia="Times New Roman" w:cs="Times New Roman"/>
          <w:szCs w:val="24"/>
          <w:lang w:val="en-US"/>
        </w:rPr>
        <w:t xml:space="preserve">, A. </w:t>
      </w:r>
      <w:r>
        <w:rPr>
          <w:rFonts w:eastAsia="Times New Roman" w:cs="Times New Roman"/>
          <w:i/>
          <w:iCs/>
          <w:szCs w:val="24"/>
          <w:lang w:val="en-US"/>
        </w:rPr>
        <w:t>et al.</w:t>
      </w:r>
      <w:r>
        <w:rPr>
          <w:rFonts w:eastAsia="Times New Roman" w:cs="Times New Roman"/>
          <w:szCs w:val="24"/>
          <w:lang w:val="en-US"/>
        </w:rPr>
        <w:t xml:space="preserve"> (2023) ‘Covid-19 pandemic and firm performance in the insurance industry in developed and emerging markets’, </w:t>
      </w:r>
      <w:r>
        <w:rPr>
          <w:rFonts w:eastAsia="Times New Roman" w:cs="Times New Roman"/>
          <w:i/>
          <w:iCs/>
          <w:szCs w:val="24"/>
          <w:lang w:val="en-US"/>
        </w:rPr>
        <w:t>Insurance Markets and Companies</w:t>
      </w:r>
      <w:r>
        <w:rPr>
          <w:rFonts w:eastAsia="Times New Roman" w:cs="Times New Roman"/>
          <w:szCs w:val="24"/>
          <w:lang w:val="en-US"/>
        </w:rPr>
        <w:t xml:space="preserve">, 14(1), pp. 85–98. doi:10.21511/ins.14(1).2023.08. </w:t>
      </w:r>
    </w:p>
    <w:p w14:paraId="31A85B4E" w14:textId="77777777" w:rsidR="00B04E98" w:rsidRDefault="00B04E98" w:rsidP="00B04E98">
      <w:pPr>
        <w:spacing w:before="100" w:beforeAutospacing="1" w:after="100" w:afterAutospacing="1"/>
        <w:ind w:left="567" w:hanging="567"/>
        <w:jc w:val="left"/>
        <w:rPr>
          <w:rFonts w:eastAsia="Times New Roman" w:cs="Times New Roman"/>
          <w:szCs w:val="24"/>
          <w:lang w:val="en-US"/>
        </w:rPr>
      </w:pPr>
      <w:r>
        <w:rPr>
          <w:rFonts w:eastAsia="Times New Roman" w:cs="Times New Roman"/>
          <w:szCs w:val="24"/>
          <w:lang w:val="en-US"/>
        </w:rPr>
        <w:t xml:space="preserve">Subramanyam, K.R. (2014) </w:t>
      </w:r>
      <w:r>
        <w:rPr>
          <w:rFonts w:eastAsia="Times New Roman" w:cs="Times New Roman"/>
          <w:i/>
          <w:iCs/>
          <w:szCs w:val="24"/>
          <w:lang w:val="en-US"/>
        </w:rPr>
        <w:t>Financial statement analysis</w:t>
      </w:r>
      <w:r>
        <w:rPr>
          <w:rFonts w:eastAsia="Times New Roman" w:cs="Times New Roman"/>
          <w:szCs w:val="24"/>
          <w:lang w:val="en-US"/>
        </w:rPr>
        <w:t xml:space="preserve">. New York: McGraw-Hill Education. </w:t>
      </w:r>
    </w:p>
    <w:p w14:paraId="515AF9D9" w14:textId="77777777" w:rsidR="00B04E98" w:rsidRDefault="00B04E98" w:rsidP="00B04E98">
      <w:pPr>
        <w:spacing w:before="100" w:beforeAutospacing="1" w:after="100" w:afterAutospacing="1"/>
        <w:ind w:left="567" w:hanging="567"/>
        <w:jc w:val="left"/>
        <w:rPr>
          <w:rFonts w:eastAsia="Times New Roman" w:cs="Times New Roman"/>
          <w:szCs w:val="24"/>
          <w:lang w:val="en-US"/>
        </w:rPr>
      </w:pPr>
      <w:r>
        <w:rPr>
          <w:rFonts w:eastAsia="Times New Roman" w:cs="Times New Roman"/>
          <w:szCs w:val="24"/>
          <w:lang w:val="en-US"/>
        </w:rPr>
        <w:t xml:space="preserve">Wright, S., Bruner, R.F. and DeMello, J. (2004) </w:t>
      </w:r>
      <w:r>
        <w:rPr>
          <w:rFonts w:eastAsia="Times New Roman" w:cs="Times New Roman"/>
          <w:i/>
          <w:iCs/>
          <w:szCs w:val="24"/>
          <w:lang w:val="en-US"/>
        </w:rPr>
        <w:t>Financial statement analysis</w:t>
      </w:r>
      <w:r>
        <w:rPr>
          <w:rFonts w:eastAsia="Times New Roman" w:cs="Times New Roman"/>
          <w:szCs w:val="24"/>
          <w:lang w:val="en-US"/>
        </w:rPr>
        <w:t>. North Ryde: McGraw-</w:t>
      </w:r>
      <w:proofErr w:type="spellStart"/>
      <w:r>
        <w:rPr>
          <w:rFonts w:eastAsia="Times New Roman" w:cs="Times New Roman"/>
          <w:szCs w:val="24"/>
          <w:lang w:val="en-US"/>
        </w:rPr>
        <w:t>Hil</w:t>
      </w:r>
      <w:proofErr w:type="spellEnd"/>
    </w:p>
    <w:p w14:paraId="0AB53E2F" w14:textId="77777777" w:rsidR="00B04E98" w:rsidRDefault="00B04E98" w:rsidP="00B04E98">
      <w:pPr>
        <w:spacing w:before="100" w:beforeAutospacing="1" w:after="100" w:afterAutospacing="1"/>
        <w:ind w:left="567" w:hanging="567"/>
        <w:jc w:val="left"/>
        <w:rPr>
          <w:rFonts w:eastAsia="Times New Roman" w:cs="Times New Roman"/>
          <w:szCs w:val="24"/>
          <w:lang w:val="en-US"/>
        </w:rPr>
      </w:pPr>
    </w:p>
    <w:p w14:paraId="5642A1AA" w14:textId="77777777" w:rsidR="00B04E98" w:rsidRDefault="00B04E98" w:rsidP="00B04E98">
      <w:pPr>
        <w:spacing w:before="100" w:beforeAutospacing="1" w:after="100" w:afterAutospacing="1"/>
        <w:ind w:left="567" w:hanging="567"/>
        <w:jc w:val="left"/>
        <w:rPr>
          <w:rFonts w:eastAsia="Times New Roman" w:cs="Times New Roman"/>
          <w:szCs w:val="24"/>
          <w:lang w:val="en-US"/>
        </w:rPr>
      </w:pPr>
    </w:p>
    <w:p w14:paraId="624F0CA9" w14:textId="77777777" w:rsidR="00B04E98" w:rsidRDefault="00B04E98" w:rsidP="00B04E98">
      <w:pPr>
        <w:spacing w:before="100" w:beforeAutospacing="1" w:after="100" w:afterAutospacing="1"/>
        <w:jc w:val="left"/>
        <w:rPr>
          <w:rFonts w:eastAsia="Times New Roman" w:cs="Times New Roman"/>
          <w:szCs w:val="24"/>
          <w:lang w:val="en-US"/>
        </w:rPr>
      </w:pPr>
    </w:p>
    <w:p w14:paraId="23634AE7" w14:textId="77777777" w:rsidR="00B04E98" w:rsidRDefault="00B04E98" w:rsidP="00B04E98">
      <w:pPr>
        <w:spacing w:before="100" w:beforeAutospacing="1" w:after="100" w:afterAutospacing="1"/>
        <w:jc w:val="left"/>
        <w:rPr>
          <w:rFonts w:eastAsia="Times New Roman" w:cs="Times New Roman"/>
          <w:szCs w:val="24"/>
          <w:lang w:val="en-US"/>
        </w:rPr>
      </w:pPr>
    </w:p>
    <w:sectPr w:rsidR="00B04E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E98"/>
    <w:rsid w:val="002519A4"/>
    <w:rsid w:val="002F0F85"/>
    <w:rsid w:val="00B04E98"/>
    <w:rsid w:val="00EC2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E5522"/>
  <w15:chartTrackingRefBased/>
  <w15:docId w15:val="{3D67E149-88BC-45C5-ACA7-4C4A2C411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E98"/>
    <w:pPr>
      <w:spacing w:line="360" w:lineRule="auto"/>
      <w:jc w:val="both"/>
    </w:pPr>
    <w:rPr>
      <w:rFonts w:ascii="Cambria" w:hAnsi="Cambria"/>
      <w:kern w:val="0"/>
      <w:sz w:val="24"/>
      <w14:ligatures w14:val="none"/>
    </w:rPr>
  </w:style>
  <w:style w:type="paragraph" w:styleId="Heading1">
    <w:name w:val="heading 1"/>
    <w:basedOn w:val="Normal"/>
    <w:next w:val="Normal"/>
    <w:link w:val="Heading1Char"/>
    <w:uiPriority w:val="9"/>
    <w:qFormat/>
    <w:rsid w:val="00B04E98"/>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B04E98"/>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B04E98"/>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04E98"/>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B04E98"/>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B04E98"/>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B04E98"/>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B04E98"/>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B04E98"/>
    <w:pPr>
      <w:keepNext/>
      <w:keepLines/>
      <w:spacing w:after="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E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4E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4E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4E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4E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4E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E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E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E98"/>
    <w:rPr>
      <w:rFonts w:eastAsiaTheme="majorEastAsia" w:cstheme="majorBidi"/>
      <w:color w:val="272727" w:themeColor="text1" w:themeTint="D8"/>
    </w:rPr>
  </w:style>
  <w:style w:type="paragraph" w:styleId="Title">
    <w:name w:val="Title"/>
    <w:basedOn w:val="Normal"/>
    <w:next w:val="Normal"/>
    <w:link w:val="TitleChar"/>
    <w:uiPriority w:val="10"/>
    <w:qFormat/>
    <w:rsid w:val="00B04E98"/>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04E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E98"/>
    <w:pPr>
      <w:numPr>
        <w:ilvl w:val="1"/>
      </w:numPr>
      <w:spacing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04E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E98"/>
    <w:pPr>
      <w:spacing w:before="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B04E98"/>
    <w:rPr>
      <w:i/>
      <w:iCs/>
      <w:color w:val="404040" w:themeColor="text1" w:themeTint="BF"/>
    </w:rPr>
  </w:style>
  <w:style w:type="paragraph" w:styleId="ListParagraph">
    <w:name w:val="List Paragraph"/>
    <w:basedOn w:val="Normal"/>
    <w:uiPriority w:val="34"/>
    <w:qFormat/>
    <w:rsid w:val="00B04E98"/>
    <w:pPr>
      <w:spacing w:line="259" w:lineRule="auto"/>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B04E98"/>
    <w:rPr>
      <w:i/>
      <w:iCs/>
      <w:color w:val="0F4761" w:themeColor="accent1" w:themeShade="BF"/>
    </w:rPr>
  </w:style>
  <w:style w:type="paragraph" w:styleId="IntenseQuote">
    <w:name w:val="Intense Quote"/>
    <w:basedOn w:val="Normal"/>
    <w:next w:val="Normal"/>
    <w:link w:val="IntenseQuoteChar"/>
    <w:uiPriority w:val="30"/>
    <w:qFormat/>
    <w:rsid w:val="00B04E98"/>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B04E98"/>
    <w:rPr>
      <w:i/>
      <w:iCs/>
      <w:color w:val="0F4761" w:themeColor="accent1" w:themeShade="BF"/>
    </w:rPr>
  </w:style>
  <w:style w:type="character" w:styleId="IntenseReference">
    <w:name w:val="Intense Reference"/>
    <w:basedOn w:val="DefaultParagraphFont"/>
    <w:uiPriority w:val="32"/>
    <w:qFormat/>
    <w:rsid w:val="00B04E98"/>
    <w:rPr>
      <w:b/>
      <w:bCs/>
      <w:smallCaps/>
      <w:color w:val="0F4761" w:themeColor="accent1" w:themeShade="BF"/>
      <w:spacing w:val="5"/>
    </w:rPr>
  </w:style>
  <w:style w:type="character" w:styleId="Hyperlink">
    <w:name w:val="Hyperlink"/>
    <w:basedOn w:val="DefaultParagraphFont"/>
    <w:uiPriority w:val="99"/>
    <w:semiHidden/>
    <w:unhideWhenUsed/>
    <w:rsid w:val="00B04E98"/>
    <w:rPr>
      <w:color w:val="467886" w:themeColor="hyperlink"/>
      <w:u w:val="single"/>
    </w:rPr>
  </w:style>
  <w:style w:type="paragraph" w:styleId="TOC1">
    <w:name w:val="toc 1"/>
    <w:basedOn w:val="Normal"/>
    <w:next w:val="Normal"/>
    <w:autoRedefine/>
    <w:uiPriority w:val="39"/>
    <w:semiHidden/>
    <w:unhideWhenUsed/>
    <w:rsid w:val="00B04E98"/>
    <w:pPr>
      <w:spacing w:after="100"/>
    </w:pPr>
  </w:style>
  <w:style w:type="paragraph" w:styleId="TOCHeading">
    <w:name w:val="TOC Heading"/>
    <w:basedOn w:val="Heading1"/>
    <w:next w:val="Normal"/>
    <w:uiPriority w:val="39"/>
    <w:semiHidden/>
    <w:unhideWhenUsed/>
    <w:qFormat/>
    <w:rsid w:val="00B04E98"/>
    <w:pPr>
      <w:spacing w:before="240" w:after="0" w:line="256" w:lineRule="auto"/>
      <w:outlineLvl w:val="9"/>
    </w:pPr>
    <w:rPr>
      <w:kern w:val="0"/>
      <w:sz w:val="32"/>
      <w:szCs w:val="32"/>
      <w:lang w:val="en-US"/>
      <w14:ligatures w14:val="none"/>
    </w:rPr>
  </w:style>
  <w:style w:type="table" w:styleId="PlainTable2">
    <w:name w:val="Plain Table 2"/>
    <w:basedOn w:val="TableNormal"/>
    <w:uiPriority w:val="42"/>
    <w:rsid w:val="00B04E98"/>
    <w:pPr>
      <w:spacing w:after="0" w:line="240" w:lineRule="auto"/>
    </w:pPr>
    <w:rPr>
      <w:lang w:val="en-US"/>
    </w:r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443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raji1\Downloads\Rezaul%20Rabbani%20Financial%20Management%20for%20the%20Hotel%20Industry%20Assignment%202.docx" TargetMode="External"/><Relationship Id="rId3" Type="http://schemas.openxmlformats.org/officeDocument/2006/relationships/webSettings" Target="webSettings.xml"/><Relationship Id="rId7" Type="http://schemas.openxmlformats.org/officeDocument/2006/relationships/hyperlink" Target="file:///C:\Users\raji1\Downloads\Rezaul%20Rabbani%20Financial%20Management%20for%20the%20Hotel%20Industry%20Assignment%202.doc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raji1\Downloads\Rezaul%20Rabbani%20Financial%20Management%20for%20the%20Hotel%20Industry%20Assignment%202.docx" TargetMode="External"/><Relationship Id="rId11" Type="http://schemas.openxmlformats.org/officeDocument/2006/relationships/theme" Target="theme/theme1.xml"/><Relationship Id="rId5" Type="http://schemas.openxmlformats.org/officeDocument/2006/relationships/hyperlink" Target="file:///C:\Users\raji1\Downloads\Rezaul%20Rabbani%20Financial%20Management%20for%20the%20Hotel%20Industry%20Assignment%202.docx" TargetMode="External"/><Relationship Id="rId10" Type="http://schemas.openxmlformats.org/officeDocument/2006/relationships/fontTable" Target="fontTable.xml"/><Relationship Id="rId4" Type="http://schemas.openxmlformats.org/officeDocument/2006/relationships/hyperlink" Target="file:///C:\Users\raji1\Downloads\Rezaul%20Rabbani%20Financial%20Management%20for%20the%20Hotel%20Industry%20Assignment%202.docx" TargetMode="External"/><Relationship Id="rId9" Type="http://schemas.openxmlformats.org/officeDocument/2006/relationships/hyperlink" Target="file:///C:\Users\raji1\Downloads\Rezaul%20Rabbani%20Financial%20Management%20for%20the%20Hotel%20Industry%20Assignment%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2556</Words>
  <Characters>14572</Characters>
  <Application>Microsoft Office Word</Application>
  <DocSecurity>0</DocSecurity>
  <Lines>121</Lines>
  <Paragraphs>34</Paragraphs>
  <ScaleCrop>false</ScaleCrop>
  <Company/>
  <LinksUpToDate>false</LinksUpToDate>
  <CharactersWithSpaces>17094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Rezaul Rabbani</dc:creator>
  <cp:keywords/>
  <dc:description/>
  <cp:lastModifiedBy>Rezaul Rabbani</cp:lastModifiedBy>
  <cp:revision>1</cp:revision>
  <dcterms:created xsi:type="dcterms:W3CDTF">2024-02-29T20:27:00Z</dcterms:created>
  <dcterms:modified xsi:type="dcterms:W3CDTF">2024-02-29T20:35:00Z</dcterms:modified>
</cp:coreProperties>
</file>