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A4125" w14:textId="25A853A5" w:rsidR="00AE282F" w:rsidRPr="00807E50" w:rsidRDefault="00AE282F" w:rsidP="00807E50">
      <w:pPr>
        <w:jc w:val="center"/>
        <w:rPr>
          <w:rFonts w:ascii="Arial" w:hAnsi="Arial" w:cs="Arial"/>
          <w:szCs w:val="24"/>
        </w:rPr>
      </w:pPr>
      <w:r w:rsidRPr="00807E50">
        <w:rPr>
          <w:rFonts w:ascii="Arial" w:hAnsi="Arial" w:cs="Arial"/>
          <w:noProof/>
          <w:szCs w:val="24"/>
        </w:rPr>
        <w:drawing>
          <wp:inline distT="0" distB="0" distL="0" distR="0" wp14:anchorId="459DB95B" wp14:editId="4EDCBEC9">
            <wp:extent cx="2025754" cy="838243"/>
            <wp:effectExtent l="0" t="0" r="0" b="0"/>
            <wp:docPr id="1809957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57361" name=""/>
                    <pic:cNvPicPr/>
                  </pic:nvPicPr>
                  <pic:blipFill>
                    <a:blip r:embed="rId8"/>
                    <a:stretch>
                      <a:fillRect/>
                    </a:stretch>
                  </pic:blipFill>
                  <pic:spPr>
                    <a:xfrm>
                      <a:off x="0" y="0"/>
                      <a:ext cx="2025754" cy="838243"/>
                    </a:xfrm>
                    <a:prstGeom prst="rect">
                      <a:avLst/>
                    </a:prstGeom>
                  </pic:spPr>
                </pic:pic>
              </a:graphicData>
            </a:graphic>
          </wp:inline>
        </w:drawing>
      </w:r>
    </w:p>
    <w:p w14:paraId="26E9BA6B" w14:textId="77777777" w:rsidR="003D5466" w:rsidRPr="00807E50" w:rsidRDefault="003D5466" w:rsidP="00807E50">
      <w:pPr>
        <w:jc w:val="center"/>
        <w:rPr>
          <w:rFonts w:ascii="Arial" w:hAnsi="Arial" w:cs="Arial"/>
          <w:szCs w:val="24"/>
        </w:rPr>
      </w:pPr>
    </w:p>
    <w:p w14:paraId="7E65032F" w14:textId="016BFF01" w:rsidR="00AE282F" w:rsidRPr="00807E50" w:rsidRDefault="00AE282F" w:rsidP="00807E50">
      <w:pPr>
        <w:jc w:val="center"/>
        <w:rPr>
          <w:rFonts w:ascii="Arial" w:hAnsi="Arial" w:cs="Arial"/>
          <w:b/>
          <w:bCs/>
          <w:szCs w:val="24"/>
        </w:rPr>
      </w:pPr>
      <w:r w:rsidRPr="00807E50">
        <w:rPr>
          <w:rFonts w:ascii="Arial" w:hAnsi="Arial" w:cs="Arial"/>
          <w:b/>
          <w:bCs/>
          <w:szCs w:val="24"/>
        </w:rPr>
        <w:t>Assessment component 1: Individual report</w:t>
      </w:r>
    </w:p>
    <w:p w14:paraId="1C6105D3" w14:textId="77777777" w:rsidR="003D5466" w:rsidRPr="00807E50" w:rsidRDefault="003D5466" w:rsidP="00807E50">
      <w:pPr>
        <w:jc w:val="center"/>
        <w:rPr>
          <w:rFonts w:ascii="Arial" w:hAnsi="Arial" w:cs="Arial"/>
          <w:b/>
          <w:bCs/>
          <w:szCs w:val="24"/>
        </w:rPr>
      </w:pPr>
    </w:p>
    <w:tbl>
      <w:tblPr>
        <w:tblStyle w:val="TableGrid"/>
        <w:tblW w:w="9589" w:type="dxa"/>
        <w:jc w:val="center"/>
        <w:tblLook w:val="04A0" w:firstRow="1" w:lastRow="0" w:firstColumn="1" w:lastColumn="0" w:noHBand="0" w:noVBand="1"/>
      </w:tblPr>
      <w:tblGrid>
        <w:gridCol w:w="3225"/>
        <w:gridCol w:w="6364"/>
      </w:tblGrid>
      <w:tr w:rsidR="00AE282F" w:rsidRPr="00807E50" w14:paraId="5232ABF1" w14:textId="77777777" w:rsidTr="00BE15B5">
        <w:trPr>
          <w:trHeight w:val="883"/>
          <w:jc w:val="center"/>
        </w:trPr>
        <w:tc>
          <w:tcPr>
            <w:tcW w:w="3225" w:type="dxa"/>
          </w:tcPr>
          <w:p w14:paraId="513C76F6" w14:textId="04E33727" w:rsidR="00AE282F" w:rsidRPr="00807E50" w:rsidRDefault="00AE282F" w:rsidP="00807E50">
            <w:pPr>
              <w:rPr>
                <w:rFonts w:ascii="Arial" w:hAnsi="Arial" w:cs="Arial"/>
                <w:b/>
                <w:bCs/>
                <w:szCs w:val="24"/>
              </w:rPr>
            </w:pPr>
            <w:r w:rsidRPr="00807E50">
              <w:rPr>
                <w:rFonts w:ascii="Arial" w:hAnsi="Arial" w:cs="Arial"/>
                <w:b/>
                <w:bCs/>
                <w:szCs w:val="24"/>
              </w:rPr>
              <w:t>Student Name</w:t>
            </w:r>
          </w:p>
        </w:tc>
        <w:tc>
          <w:tcPr>
            <w:tcW w:w="6364" w:type="dxa"/>
          </w:tcPr>
          <w:p w14:paraId="17AC9090" w14:textId="377D5D0B" w:rsidR="00AE282F" w:rsidRPr="00807E50" w:rsidRDefault="00AE282F" w:rsidP="00807E50">
            <w:pPr>
              <w:rPr>
                <w:rFonts w:ascii="Arial" w:hAnsi="Arial" w:cs="Arial"/>
                <w:b/>
                <w:bCs/>
                <w:szCs w:val="24"/>
              </w:rPr>
            </w:pPr>
            <w:r w:rsidRPr="00807E50">
              <w:rPr>
                <w:rFonts w:ascii="Arial" w:hAnsi="Arial" w:cs="Arial"/>
                <w:b/>
                <w:bCs/>
                <w:szCs w:val="24"/>
              </w:rPr>
              <w:t>Kharul Alam Riad</w:t>
            </w:r>
          </w:p>
        </w:tc>
      </w:tr>
      <w:tr w:rsidR="00AE282F" w:rsidRPr="00807E50" w14:paraId="026E493E" w14:textId="77777777" w:rsidTr="00BE15B5">
        <w:trPr>
          <w:trHeight w:val="883"/>
          <w:jc w:val="center"/>
        </w:trPr>
        <w:tc>
          <w:tcPr>
            <w:tcW w:w="3225" w:type="dxa"/>
          </w:tcPr>
          <w:p w14:paraId="7CFB2F43" w14:textId="19690F9F" w:rsidR="00AE282F" w:rsidRPr="00807E50" w:rsidRDefault="00AE282F" w:rsidP="00807E50">
            <w:pPr>
              <w:rPr>
                <w:rFonts w:ascii="Arial" w:hAnsi="Arial" w:cs="Arial"/>
                <w:b/>
                <w:bCs/>
                <w:szCs w:val="24"/>
              </w:rPr>
            </w:pPr>
            <w:r w:rsidRPr="00807E50">
              <w:rPr>
                <w:rFonts w:ascii="Arial" w:hAnsi="Arial" w:cs="Arial"/>
                <w:b/>
                <w:bCs/>
                <w:szCs w:val="24"/>
              </w:rPr>
              <w:t>ID</w:t>
            </w:r>
          </w:p>
        </w:tc>
        <w:tc>
          <w:tcPr>
            <w:tcW w:w="6364" w:type="dxa"/>
          </w:tcPr>
          <w:p w14:paraId="4B512110" w14:textId="77D7CAB5" w:rsidR="00AE282F" w:rsidRPr="00807E50" w:rsidRDefault="00AE282F" w:rsidP="00807E50">
            <w:pPr>
              <w:rPr>
                <w:rFonts w:ascii="Arial" w:hAnsi="Arial" w:cs="Arial"/>
                <w:b/>
                <w:bCs/>
                <w:szCs w:val="24"/>
              </w:rPr>
            </w:pPr>
            <w:r w:rsidRPr="00807E50">
              <w:rPr>
                <w:rFonts w:ascii="Arial" w:hAnsi="Arial" w:cs="Arial"/>
                <w:b/>
                <w:bCs/>
                <w:szCs w:val="24"/>
              </w:rPr>
              <w:t>2438577</w:t>
            </w:r>
          </w:p>
        </w:tc>
      </w:tr>
      <w:tr w:rsidR="00AE282F" w:rsidRPr="00807E50" w14:paraId="7D709BED" w14:textId="77777777" w:rsidTr="00BE15B5">
        <w:trPr>
          <w:trHeight w:val="852"/>
          <w:jc w:val="center"/>
        </w:trPr>
        <w:tc>
          <w:tcPr>
            <w:tcW w:w="3225" w:type="dxa"/>
          </w:tcPr>
          <w:p w14:paraId="5BFC8E9D" w14:textId="7CBFB607" w:rsidR="00AE282F" w:rsidRPr="00807E50" w:rsidRDefault="00AE282F" w:rsidP="00807E50">
            <w:pPr>
              <w:rPr>
                <w:rFonts w:ascii="Arial" w:hAnsi="Arial" w:cs="Arial"/>
                <w:b/>
                <w:bCs/>
                <w:szCs w:val="24"/>
              </w:rPr>
            </w:pPr>
            <w:r w:rsidRPr="00807E50">
              <w:rPr>
                <w:rFonts w:ascii="Arial" w:hAnsi="Arial" w:cs="Arial"/>
                <w:b/>
                <w:bCs/>
                <w:szCs w:val="24"/>
              </w:rPr>
              <w:t xml:space="preserve">Program </w:t>
            </w:r>
          </w:p>
        </w:tc>
        <w:tc>
          <w:tcPr>
            <w:tcW w:w="6364" w:type="dxa"/>
          </w:tcPr>
          <w:p w14:paraId="02F7F4A2" w14:textId="5402F04D" w:rsidR="00AE282F" w:rsidRPr="00807E50" w:rsidRDefault="00AE282F" w:rsidP="00807E50">
            <w:pPr>
              <w:rPr>
                <w:rFonts w:ascii="Arial" w:hAnsi="Arial" w:cs="Arial"/>
                <w:b/>
                <w:bCs/>
                <w:szCs w:val="24"/>
              </w:rPr>
            </w:pPr>
            <w:r w:rsidRPr="00807E50">
              <w:rPr>
                <w:rFonts w:ascii="Arial" w:hAnsi="Arial" w:cs="Arial"/>
                <w:b/>
                <w:bCs/>
                <w:szCs w:val="24"/>
              </w:rPr>
              <w:t>Master of Business Administration</w:t>
            </w:r>
          </w:p>
        </w:tc>
      </w:tr>
      <w:tr w:rsidR="00AE282F" w:rsidRPr="00807E50" w14:paraId="4E3944EB" w14:textId="77777777" w:rsidTr="00BE15B5">
        <w:trPr>
          <w:trHeight w:val="883"/>
          <w:jc w:val="center"/>
        </w:trPr>
        <w:tc>
          <w:tcPr>
            <w:tcW w:w="3225" w:type="dxa"/>
          </w:tcPr>
          <w:p w14:paraId="641AD254" w14:textId="3A229427" w:rsidR="00AE282F" w:rsidRPr="00807E50" w:rsidRDefault="00AE282F" w:rsidP="00807E50">
            <w:pPr>
              <w:rPr>
                <w:rFonts w:ascii="Arial" w:hAnsi="Arial" w:cs="Arial"/>
                <w:b/>
                <w:bCs/>
                <w:szCs w:val="24"/>
              </w:rPr>
            </w:pPr>
            <w:r w:rsidRPr="00807E50">
              <w:rPr>
                <w:rFonts w:ascii="Arial" w:hAnsi="Arial" w:cs="Arial"/>
                <w:b/>
                <w:bCs/>
                <w:szCs w:val="24"/>
              </w:rPr>
              <w:t>Module Code</w:t>
            </w:r>
          </w:p>
        </w:tc>
        <w:tc>
          <w:tcPr>
            <w:tcW w:w="6364" w:type="dxa"/>
          </w:tcPr>
          <w:p w14:paraId="7403BB67" w14:textId="5B9A7C13" w:rsidR="00AE282F" w:rsidRPr="00807E50" w:rsidRDefault="00AE282F" w:rsidP="00807E50">
            <w:pPr>
              <w:rPr>
                <w:rFonts w:ascii="Arial" w:hAnsi="Arial" w:cs="Arial"/>
                <w:b/>
                <w:bCs/>
                <w:szCs w:val="24"/>
              </w:rPr>
            </w:pPr>
            <w:r w:rsidRPr="00807E50">
              <w:rPr>
                <w:rFonts w:ascii="Arial" w:hAnsi="Arial" w:cs="Arial"/>
                <w:b/>
                <w:bCs/>
                <w:szCs w:val="24"/>
              </w:rPr>
              <w:t>LCMB7023</w:t>
            </w:r>
          </w:p>
        </w:tc>
      </w:tr>
      <w:tr w:rsidR="00AE282F" w:rsidRPr="00807E50" w14:paraId="3505D728" w14:textId="77777777" w:rsidTr="00BE15B5">
        <w:trPr>
          <w:trHeight w:val="883"/>
          <w:jc w:val="center"/>
        </w:trPr>
        <w:tc>
          <w:tcPr>
            <w:tcW w:w="3225" w:type="dxa"/>
          </w:tcPr>
          <w:p w14:paraId="0615D7CC" w14:textId="28ADEA57" w:rsidR="00AE282F" w:rsidRPr="00807E50" w:rsidRDefault="00AE282F" w:rsidP="00807E50">
            <w:pPr>
              <w:rPr>
                <w:rFonts w:ascii="Arial" w:hAnsi="Arial" w:cs="Arial"/>
                <w:b/>
                <w:bCs/>
                <w:szCs w:val="24"/>
              </w:rPr>
            </w:pPr>
            <w:r w:rsidRPr="00807E50">
              <w:rPr>
                <w:rFonts w:ascii="Arial" w:hAnsi="Arial" w:cs="Arial"/>
                <w:b/>
                <w:bCs/>
                <w:szCs w:val="24"/>
              </w:rPr>
              <w:t>Module</w:t>
            </w:r>
          </w:p>
        </w:tc>
        <w:tc>
          <w:tcPr>
            <w:tcW w:w="6364" w:type="dxa"/>
          </w:tcPr>
          <w:p w14:paraId="0F045A38" w14:textId="69C19A96" w:rsidR="00AE282F" w:rsidRPr="00807E50" w:rsidRDefault="00AE282F" w:rsidP="00807E50">
            <w:pPr>
              <w:rPr>
                <w:rFonts w:ascii="Arial" w:hAnsi="Arial" w:cs="Arial"/>
                <w:b/>
                <w:bCs/>
                <w:szCs w:val="24"/>
              </w:rPr>
            </w:pPr>
            <w:r w:rsidRPr="00807E50">
              <w:rPr>
                <w:rFonts w:ascii="Arial" w:hAnsi="Arial" w:cs="Arial"/>
                <w:b/>
                <w:bCs/>
                <w:szCs w:val="24"/>
              </w:rPr>
              <w:t>Human Capital Management</w:t>
            </w:r>
          </w:p>
        </w:tc>
      </w:tr>
      <w:tr w:rsidR="00AE282F" w:rsidRPr="00807E50" w14:paraId="0633C456" w14:textId="77777777" w:rsidTr="00BE15B5">
        <w:trPr>
          <w:trHeight w:val="883"/>
          <w:jc w:val="center"/>
        </w:trPr>
        <w:tc>
          <w:tcPr>
            <w:tcW w:w="3225" w:type="dxa"/>
          </w:tcPr>
          <w:p w14:paraId="38834234" w14:textId="6C66BFC6" w:rsidR="00AE282F" w:rsidRPr="00807E50" w:rsidRDefault="00AE282F" w:rsidP="00807E50">
            <w:pPr>
              <w:rPr>
                <w:rFonts w:ascii="Arial" w:hAnsi="Arial" w:cs="Arial"/>
                <w:b/>
                <w:bCs/>
                <w:szCs w:val="24"/>
              </w:rPr>
            </w:pPr>
            <w:r w:rsidRPr="00807E50">
              <w:rPr>
                <w:rFonts w:ascii="Arial" w:hAnsi="Arial" w:cs="Arial"/>
                <w:b/>
                <w:bCs/>
                <w:szCs w:val="24"/>
              </w:rPr>
              <w:t>Assignment Title</w:t>
            </w:r>
          </w:p>
        </w:tc>
        <w:tc>
          <w:tcPr>
            <w:tcW w:w="6364" w:type="dxa"/>
          </w:tcPr>
          <w:p w14:paraId="1E8F9AD6" w14:textId="37BDA76E" w:rsidR="00AE282F" w:rsidRPr="00807E50" w:rsidRDefault="00AE282F" w:rsidP="00807E50">
            <w:pPr>
              <w:rPr>
                <w:rFonts w:ascii="Arial" w:hAnsi="Arial" w:cs="Arial"/>
                <w:b/>
                <w:bCs/>
                <w:szCs w:val="24"/>
              </w:rPr>
            </w:pPr>
            <w:r w:rsidRPr="00807E50">
              <w:rPr>
                <w:rFonts w:ascii="Arial" w:hAnsi="Arial" w:cs="Arial"/>
                <w:b/>
                <w:bCs/>
                <w:szCs w:val="24"/>
              </w:rPr>
              <w:t>Assessment component 1: Individual report</w:t>
            </w:r>
          </w:p>
        </w:tc>
      </w:tr>
      <w:tr w:rsidR="00AE282F" w:rsidRPr="00807E50" w14:paraId="601C00CB" w14:textId="77777777" w:rsidTr="00BE15B5">
        <w:trPr>
          <w:trHeight w:val="852"/>
          <w:jc w:val="center"/>
        </w:trPr>
        <w:tc>
          <w:tcPr>
            <w:tcW w:w="3225" w:type="dxa"/>
          </w:tcPr>
          <w:p w14:paraId="3C1BF7F1" w14:textId="791077A7" w:rsidR="00AE282F" w:rsidRPr="00807E50" w:rsidRDefault="00AE282F" w:rsidP="00807E50">
            <w:pPr>
              <w:rPr>
                <w:rFonts w:ascii="Arial" w:hAnsi="Arial" w:cs="Arial"/>
                <w:b/>
                <w:bCs/>
                <w:szCs w:val="24"/>
              </w:rPr>
            </w:pPr>
            <w:r w:rsidRPr="00807E50">
              <w:rPr>
                <w:rFonts w:ascii="Arial" w:hAnsi="Arial" w:cs="Arial"/>
                <w:b/>
                <w:bCs/>
                <w:szCs w:val="24"/>
              </w:rPr>
              <w:t>Lecturer Name</w:t>
            </w:r>
          </w:p>
        </w:tc>
        <w:tc>
          <w:tcPr>
            <w:tcW w:w="6364" w:type="dxa"/>
          </w:tcPr>
          <w:p w14:paraId="1803AD4C" w14:textId="5A990F87" w:rsidR="00AE282F" w:rsidRPr="00807E50" w:rsidRDefault="00AE282F" w:rsidP="00807E50">
            <w:pPr>
              <w:rPr>
                <w:rFonts w:ascii="Arial" w:hAnsi="Arial" w:cs="Arial"/>
                <w:b/>
                <w:bCs/>
                <w:szCs w:val="24"/>
              </w:rPr>
            </w:pPr>
            <w:r w:rsidRPr="00807E50">
              <w:rPr>
                <w:rFonts w:ascii="Arial" w:hAnsi="Arial" w:cs="Arial"/>
                <w:b/>
                <w:bCs/>
                <w:szCs w:val="24"/>
              </w:rPr>
              <w:t>Ejike Udeogu (Birmingham)</w:t>
            </w:r>
          </w:p>
        </w:tc>
      </w:tr>
    </w:tbl>
    <w:p w14:paraId="64BF373A" w14:textId="28052454" w:rsidR="006B32F0" w:rsidRPr="00807E50" w:rsidRDefault="006B32F0" w:rsidP="00807E50">
      <w:pPr>
        <w:jc w:val="center"/>
        <w:rPr>
          <w:rFonts w:ascii="Arial" w:hAnsi="Arial" w:cs="Arial"/>
          <w:b/>
          <w:bCs/>
          <w:szCs w:val="24"/>
        </w:rPr>
      </w:pPr>
      <w:r w:rsidRPr="00807E50">
        <w:rPr>
          <w:rFonts w:ascii="Arial" w:hAnsi="Arial" w:cs="Arial"/>
          <w:b/>
          <w:bCs/>
          <w:szCs w:val="24"/>
        </w:rPr>
        <w:br w:type="page"/>
      </w:r>
    </w:p>
    <w:sdt>
      <w:sdtPr>
        <w:rPr>
          <w:rFonts w:ascii="Arial" w:eastAsia="Times New Roman" w:hAnsi="Arial" w:cs="Arial"/>
          <w:color w:val="auto"/>
          <w:sz w:val="24"/>
          <w:lang w:val="en-GB"/>
        </w:rPr>
        <w:id w:val="274294709"/>
        <w:docPartObj>
          <w:docPartGallery w:val="Table of Contents"/>
          <w:docPartUnique/>
        </w:docPartObj>
      </w:sdtPr>
      <w:sdtEndPr>
        <w:rPr>
          <w:b/>
          <w:bCs/>
          <w:noProof/>
        </w:rPr>
      </w:sdtEndPr>
      <w:sdtContent>
        <w:p w14:paraId="7407B666" w14:textId="158BEEB7" w:rsidR="00853B07" w:rsidRPr="00807E50" w:rsidRDefault="00853B07" w:rsidP="00807E50">
          <w:pPr>
            <w:pStyle w:val="TOCHeading"/>
            <w:spacing w:line="360" w:lineRule="auto"/>
            <w:rPr>
              <w:rFonts w:ascii="Arial" w:hAnsi="Arial" w:cs="Arial"/>
              <w:b/>
              <w:bCs/>
              <w:color w:val="auto"/>
              <w:sz w:val="24"/>
            </w:rPr>
          </w:pPr>
          <w:r w:rsidRPr="00807E50">
            <w:rPr>
              <w:rFonts w:ascii="Arial" w:hAnsi="Arial" w:cs="Arial"/>
              <w:b/>
              <w:bCs/>
              <w:color w:val="auto"/>
              <w:sz w:val="24"/>
            </w:rPr>
            <w:t>Table of Contents</w:t>
          </w:r>
        </w:p>
        <w:p w14:paraId="3743EE8C" w14:textId="194AE558" w:rsidR="005C64B0" w:rsidRPr="00807E50" w:rsidRDefault="00853B07" w:rsidP="00807E50">
          <w:pPr>
            <w:pStyle w:val="TOC1"/>
            <w:tabs>
              <w:tab w:val="right" w:leader="dot" w:pos="9350"/>
            </w:tabs>
            <w:rPr>
              <w:rFonts w:ascii="Arial" w:eastAsiaTheme="minorEastAsia" w:hAnsi="Arial" w:cs="Arial"/>
              <w:noProof/>
              <w:kern w:val="2"/>
              <w:szCs w:val="24"/>
              <w:lang w:val="en-US"/>
              <w14:ligatures w14:val="standardContextual"/>
            </w:rPr>
          </w:pPr>
          <w:r w:rsidRPr="00807E50">
            <w:rPr>
              <w:rFonts w:ascii="Arial" w:hAnsi="Arial" w:cs="Arial"/>
              <w:szCs w:val="24"/>
            </w:rPr>
            <w:fldChar w:fldCharType="begin"/>
          </w:r>
          <w:r w:rsidRPr="00807E50">
            <w:rPr>
              <w:rFonts w:ascii="Arial" w:hAnsi="Arial" w:cs="Arial"/>
              <w:szCs w:val="24"/>
            </w:rPr>
            <w:instrText xml:space="preserve"> TOC \o "1-3" \h \z \u </w:instrText>
          </w:r>
          <w:r w:rsidRPr="00807E50">
            <w:rPr>
              <w:rFonts w:ascii="Arial" w:hAnsi="Arial" w:cs="Arial"/>
              <w:szCs w:val="24"/>
            </w:rPr>
            <w:fldChar w:fldCharType="separate"/>
          </w:r>
          <w:hyperlink w:anchor="_Toc211436888" w:history="1">
            <w:r w:rsidR="005C64B0" w:rsidRPr="00807E50">
              <w:rPr>
                <w:rStyle w:val="Hyperlink"/>
                <w:rFonts w:ascii="Arial" w:hAnsi="Arial" w:cs="Arial"/>
                <w:noProof/>
                <w:szCs w:val="24"/>
              </w:rPr>
              <w:t>Introduction</w:t>
            </w:r>
            <w:r w:rsidR="005C64B0" w:rsidRPr="00807E50">
              <w:rPr>
                <w:rFonts w:ascii="Arial" w:hAnsi="Arial" w:cs="Arial"/>
                <w:noProof/>
                <w:webHidden/>
                <w:szCs w:val="24"/>
              </w:rPr>
              <w:tab/>
            </w:r>
            <w:r w:rsidR="005C64B0" w:rsidRPr="00807E50">
              <w:rPr>
                <w:rFonts w:ascii="Arial" w:hAnsi="Arial" w:cs="Arial"/>
                <w:noProof/>
                <w:webHidden/>
                <w:szCs w:val="24"/>
              </w:rPr>
              <w:fldChar w:fldCharType="begin"/>
            </w:r>
            <w:r w:rsidR="005C64B0" w:rsidRPr="00807E50">
              <w:rPr>
                <w:rFonts w:ascii="Arial" w:hAnsi="Arial" w:cs="Arial"/>
                <w:noProof/>
                <w:webHidden/>
                <w:szCs w:val="24"/>
              </w:rPr>
              <w:instrText xml:space="preserve"> PAGEREF _Toc211436888 \h </w:instrText>
            </w:r>
            <w:r w:rsidR="005C64B0" w:rsidRPr="00807E50">
              <w:rPr>
                <w:rFonts w:ascii="Arial" w:hAnsi="Arial" w:cs="Arial"/>
                <w:noProof/>
                <w:webHidden/>
                <w:szCs w:val="24"/>
              </w:rPr>
            </w:r>
            <w:r w:rsidR="005C64B0" w:rsidRPr="00807E50">
              <w:rPr>
                <w:rFonts w:ascii="Arial" w:hAnsi="Arial" w:cs="Arial"/>
                <w:noProof/>
                <w:webHidden/>
                <w:szCs w:val="24"/>
              </w:rPr>
              <w:fldChar w:fldCharType="separate"/>
            </w:r>
            <w:r w:rsidR="00807E50">
              <w:rPr>
                <w:rFonts w:ascii="Arial" w:hAnsi="Arial" w:cs="Arial"/>
                <w:noProof/>
                <w:webHidden/>
                <w:szCs w:val="24"/>
              </w:rPr>
              <w:t>3</w:t>
            </w:r>
            <w:r w:rsidR="005C64B0" w:rsidRPr="00807E50">
              <w:rPr>
                <w:rFonts w:ascii="Arial" w:hAnsi="Arial" w:cs="Arial"/>
                <w:noProof/>
                <w:webHidden/>
                <w:szCs w:val="24"/>
              </w:rPr>
              <w:fldChar w:fldCharType="end"/>
            </w:r>
          </w:hyperlink>
        </w:p>
        <w:p w14:paraId="442333FF" w14:textId="50C7E089"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889" w:history="1">
            <w:r w:rsidRPr="00807E50">
              <w:rPr>
                <w:rStyle w:val="Hyperlink"/>
                <w:rFonts w:ascii="Arial" w:hAnsi="Arial" w:cs="Arial"/>
                <w:noProof/>
                <w:szCs w:val="24"/>
              </w:rPr>
              <w:t>Task 1</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_Toc211436889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4</w:t>
            </w:r>
            <w:r w:rsidRPr="00807E50">
              <w:rPr>
                <w:rFonts w:ascii="Arial" w:hAnsi="Arial" w:cs="Arial"/>
                <w:noProof/>
                <w:webHidden/>
                <w:szCs w:val="24"/>
              </w:rPr>
              <w:fldChar w:fldCharType="end"/>
            </w:r>
          </w:hyperlink>
        </w:p>
        <w:p w14:paraId="158E8DE3" w14:textId="0BB0C48A"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0" w:history="1">
            <w:r w:rsidRPr="00807E50">
              <w:rPr>
                <w:rStyle w:val="Hyperlink"/>
                <w:rFonts w:ascii="Arial" w:hAnsi="Arial" w:cs="Arial"/>
                <w:noProof/>
                <w:szCs w:val="24"/>
              </w:rPr>
              <w:t>Nature of Technological Advancements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_Toc211436890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4</w:t>
            </w:r>
            <w:r w:rsidRPr="00807E50">
              <w:rPr>
                <w:rFonts w:ascii="Arial" w:hAnsi="Arial" w:cs="Arial"/>
                <w:noProof/>
                <w:webHidden/>
                <w:szCs w:val="24"/>
              </w:rPr>
              <w:fldChar w:fldCharType="end"/>
            </w:r>
          </w:hyperlink>
        </w:p>
        <w:p w14:paraId="18E6058C" w14:textId="57A396C3"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1" w:history="1">
            <w:r w:rsidRPr="00807E50">
              <w:rPr>
                <w:rStyle w:val="Hyperlink"/>
                <w:rFonts w:ascii="Arial" w:hAnsi="Arial" w:cs="Arial"/>
                <w:noProof/>
                <w:szCs w:val="24"/>
              </w:rPr>
              <w:t>Impact of Technological Advantage on Labour Markets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_Toc211436891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4</w:t>
            </w:r>
            <w:r w:rsidRPr="00807E50">
              <w:rPr>
                <w:rFonts w:ascii="Arial" w:hAnsi="Arial" w:cs="Arial"/>
                <w:noProof/>
                <w:webHidden/>
                <w:szCs w:val="24"/>
              </w:rPr>
              <w:fldChar w:fldCharType="end"/>
            </w:r>
          </w:hyperlink>
        </w:p>
        <w:p w14:paraId="4B6F9BA8" w14:textId="38B74476"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2" w:history="1">
            <w:r w:rsidRPr="00807E50">
              <w:rPr>
                <w:rStyle w:val="Hyperlink"/>
                <w:rFonts w:ascii="Arial" w:hAnsi="Arial" w:cs="Arial"/>
                <w:noProof/>
                <w:szCs w:val="24"/>
              </w:rPr>
              <w:t>Impact of Technological Advantage on HRM</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_Toc211436892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5</w:t>
            </w:r>
            <w:r w:rsidRPr="00807E50">
              <w:rPr>
                <w:rFonts w:ascii="Arial" w:hAnsi="Arial" w:cs="Arial"/>
                <w:noProof/>
                <w:webHidden/>
                <w:szCs w:val="24"/>
              </w:rPr>
              <w:fldChar w:fldCharType="end"/>
            </w:r>
          </w:hyperlink>
        </w:p>
        <w:p w14:paraId="13B36708" w14:textId="0AC4C8C1"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3" w:history="1">
            <w:r w:rsidRPr="00807E50">
              <w:rPr>
                <w:rStyle w:val="Hyperlink"/>
                <w:rFonts w:ascii="Arial" w:hAnsi="Arial" w:cs="Arial"/>
                <w:noProof/>
                <w:szCs w:val="24"/>
              </w:rPr>
              <w:t>Impact of Technological Advantage for IHRM</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_Toc211436893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5</w:t>
            </w:r>
            <w:r w:rsidRPr="00807E50">
              <w:rPr>
                <w:rFonts w:ascii="Arial" w:hAnsi="Arial" w:cs="Arial"/>
                <w:noProof/>
                <w:webHidden/>
                <w:szCs w:val="24"/>
              </w:rPr>
              <w:fldChar w:fldCharType="end"/>
            </w:r>
          </w:hyperlink>
        </w:p>
        <w:p w14:paraId="64846011" w14:textId="1ADFDF36"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894" w:history="1">
            <w:r w:rsidRPr="00807E50">
              <w:rPr>
                <w:rStyle w:val="Hyperlink"/>
                <w:rFonts w:ascii="Arial" w:hAnsi="Arial" w:cs="Arial"/>
                <w:noProof/>
                <w:szCs w:val="24"/>
              </w:rPr>
              <w:t>Task 2</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_Toc211436894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6</w:t>
            </w:r>
            <w:r w:rsidRPr="00807E50">
              <w:rPr>
                <w:rFonts w:ascii="Arial" w:hAnsi="Arial" w:cs="Arial"/>
                <w:noProof/>
                <w:webHidden/>
                <w:szCs w:val="24"/>
              </w:rPr>
              <w:fldChar w:fldCharType="end"/>
            </w:r>
          </w:hyperlink>
        </w:p>
        <w:p w14:paraId="456654ED" w14:textId="4C5F86EA"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5" w:history="1">
            <w:r w:rsidRPr="00807E50">
              <w:rPr>
                <w:rStyle w:val="Hyperlink"/>
                <w:rFonts w:ascii="Arial" w:hAnsi="Arial" w:cs="Arial"/>
                <w:noProof/>
                <w:szCs w:val="24"/>
              </w:rPr>
              <w:t>Demographic Factors Influencing Employment Markets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_Toc211436895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6</w:t>
            </w:r>
            <w:r w:rsidRPr="00807E50">
              <w:rPr>
                <w:rFonts w:ascii="Arial" w:hAnsi="Arial" w:cs="Arial"/>
                <w:noProof/>
                <w:webHidden/>
                <w:szCs w:val="24"/>
              </w:rPr>
              <w:fldChar w:fldCharType="end"/>
            </w:r>
          </w:hyperlink>
        </w:p>
        <w:p w14:paraId="01D4DF65" w14:textId="0E3FBA04"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6" w:history="1">
            <w:r w:rsidRPr="00807E50">
              <w:rPr>
                <w:rStyle w:val="Hyperlink"/>
                <w:rFonts w:ascii="Arial" w:hAnsi="Arial" w:cs="Arial"/>
                <w:noProof/>
                <w:szCs w:val="24"/>
              </w:rPr>
              <w:t>Geopolitical Factors Influencing Employment Markets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_Toc211436896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6</w:t>
            </w:r>
            <w:r w:rsidRPr="00807E50">
              <w:rPr>
                <w:rFonts w:ascii="Arial" w:hAnsi="Arial" w:cs="Arial"/>
                <w:noProof/>
                <w:webHidden/>
                <w:szCs w:val="24"/>
              </w:rPr>
              <w:fldChar w:fldCharType="end"/>
            </w:r>
          </w:hyperlink>
        </w:p>
        <w:p w14:paraId="5E8ACA41" w14:textId="6DCFDDCA"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7" w:history="1">
            <w:r w:rsidRPr="00807E50">
              <w:rPr>
                <w:rStyle w:val="Hyperlink"/>
                <w:rFonts w:ascii="Arial" w:hAnsi="Arial" w:cs="Arial"/>
                <w:noProof/>
                <w:szCs w:val="24"/>
              </w:rPr>
              <w:t>Resulting Challenges for HR</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_Toc211436897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7</w:t>
            </w:r>
            <w:r w:rsidRPr="00807E50">
              <w:rPr>
                <w:rFonts w:ascii="Arial" w:hAnsi="Arial" w:cs="Arial"/>
                <w:noProof/>
                <w:webHidden/>
                <w:szCs w:val="24"/>
              </w:rPr>
              <w:fldChar w:fldCharType="end"/>
            </w:r>
          </w:hyperlink>
        </w:p>
        <w:p w14:paraId="0D7E1209" w14:textId="76548F5F"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898" w:history="1">
            <w:r w:rsidRPr="00807E50">
              <w:rPr>
                <w:rStyle w:val="Hyperlink"/>
                <w:rFonts w:ascii="Arial" w:hAnsi="Arial" w:cs="Arial"/>
                <w:noProof/>
                <w:szCs w:val="24"/>
              </w:rPr>
              <w:t>Task 3</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_Toc211436898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8</w:t>
            </w:r>
            <w:r w:rsidRPr="00807E50">
              <w:rPr>
                <w:rFonts w:ascii="Arial" w:hAnsi="Arial" w:cs="Arial"/>
                <w:noProof/>
                <w:webHidden/>
                <w:szCs w:val="24"/>
              </w:rPr>
              <w:fldChar w:fldCharType="end"/>
            </w:r>
          </w:hyperlink>
        </w:p>
        <w:p w14:paraId="38869566" w14:textId="071463FC"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899" w:history="1">
            <w:r w:rsidRPr="00807E50">
              <w:rPr>
                <w:rStyle w:val="Hyperlink"/>
                <w:rFonts w:ascii="Arial" w:hAnsi="Arial" w:cs="Arial"/>
                <w:noProof/>
                <w:szCs w:val="24"/>
              </w:rPr>
              <w:t>Nature of Skills Gaps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_Toc211436899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8</w:t>
            </w:r>
            <w:r w:rsidRPr="00807E50">
              <w:rPr>
                <w:rFonts w:ascii="Arial" w:hAnsi="Arial" w:cs="Arial"/>
                <w:noProof/>
                <w:webHidden/>
                <w:szCs w:val="24"/>
              </w:rPr>
              <w:fldChar w:fldCharType="end"/>
            </w:r>
          </w:hyperlink>
        </w:p>
        <w:p w14:paraId="1E1E3164" w14:textId="74CC3AD6"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0" w:history="1">
            <w:r w:rsidRPr="00807E50">
              <w:rPr>
                <w:rStyle w:val="Hyperlink"/>
                <w:rFonts w:ascii="Arial" w:hAnsi="Arial" w:cs="Arial"/>
                <w:noProof/>
                <w:szCs w:val="24"/>
              </w:rPr>
              <w:t>Strategic HRM Respondents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_Toc211436900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8</w:t>
            </w:r>
            <w:r w:rsidRPr="00807E50">
              <w:rPr>
                <w:rFonts w:ascii="Arial" w:hAnsi="Arial" w:cs="Arial"/>
                <w:noProof/>
                <w:webHidden/>
                <w:szCs w:val="24"/>
              </w:rPr>
              <w:fldChar w:fldCharType="end"/>
            </w:r>
          </w:hyperlink>
        </w:p>
        <w:p w14:paraId="075979CF" w14:textId="6D641F86"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1" w:history="1">
            <w:r w:rsidRPr="00807E50">
              <w:rPr>
                <w:rStyle w:val="Hyperlink"/>
                <w:rFonts w:ascii="Arial" w:hAnsi="Arial" w:cs="Arial"/>
                <w:noProof/>
                <w:szCs w:val="24"/>
              </w:rPr>
              <w:t>Sector Specific Considerations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_Toc211436901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9</w:t>
            </w:r>
            <w:r w:rsidRPr="00807E50">
              <w:rPr>
                <w:rFonts w:ascii="Arial" w:hAnsi="Arial" w:cs="Arial"/>
                <w:noProof/>
                <w:webHidden/>
                <w:szCs w:val="24"/>
              </w:rPr>
              <w:fldChar w:fldCharType="end"/>
            </w:r>
          </w:hyperlink>
        </w:p>
        <w:p w14:paraId="0EA2C1AF" w14:textId="49B6A3F5"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902" w:history="1">
            <w:r w:rsidRPr="00807E50">
              <w:rPr>
                <w:rStyle w:val="Hyperlink"/>
                <w:rFonts w:ascii="Arial" w:hAnsi="Arial" w:cs="Arial"/>
                <w:noProof/>
                <w:szCs w:val="24"/>
              </w:rPr>
              <w:t>Task 4</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_Toc211436902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9</w:t>
            </w:r>
            <w:r w:rsidRPr="00807E50">
              <w:rPr>
                <w:rFonts w:ascii="Arial" w:hAnsi="Arial" w:cs="Arial"/>
                <w:noProof/>
                <w:webHidden/>
                <w:szCs w:val="24"/>
              </w:rPr>
              <w:fldChar w:fldCharType="end"/>
            </w:r>
          </w:hyperlink>
        </w:p>
        <w:p w14:paraId="14ED14FE" w14:textId="29B62D61"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3" w:history="1">
            <w:r w:rsidRPr="00807E50">
              <w:rPr>
                <w:rStyle w:val="Hyperlink"/>
                <w:rFonts w:ascii="Arial" w:hAnsi="Arial" w:cs="Arial"/>
                <w:noProof/>
                <w:szCs w:val="24"/>
              </w:rPr>
              <w:t>Concrete Experience</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_Toc211436903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10</w:t>
            </w:r>
            <w:r w:rsidRPr="00807E50">
              <w:rPr>
                <w:rFonts w:ascii="Arial" w:hAnsi="Arial" w:cs="Arial"/>
                <w:noProof/>
                <w:webHidden/>
                <w:szCs w:val="24"/>
              </w:rPr>
              <w:fldChar w:fldCharType="end"/>
            </w:r>
          </w:hyperlink>
        </w:p>
        <w:p w14:paraId="664B1383" w14:textId="52009619"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4" w:history="1">
            <w:r w:rsidRPr="00807E50">
              <w:rPr>
                <w:rStyle w:val="Hyperlink"/>
                <w:rFonts w:ascii="Arial" w:hAnsi="Arial" w:cs="Arial"/>
                <w:noProof/>
                <w:szCs w:val="24"/>
              </w:rPr>
              <w:t>Reflective Observation</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_Toc211436904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10</w:t>
            </w:r>
            <w:r w:rsidRPr="00807E50">
              <w:rPr>
                <w:rFonts w:ascii="Arial" w:hAnsi="Arial" w:cs="Arial"/>
                <w:noProof/>
                <w:webHidden/>
                <w:szCs w:val="24"/>
              </w:rPr>
              <w:fldChar w:fldCharType="end"/>
            </w:r>
          </w:hyperlink>
        </w:p>
        <w:p w14:paraId="69386E1E" w14:textId="24AD0E5F"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5" w:history="1">
            <w:r w:rsidRPr="00807E50">
              <w:rPr>
                <w:rStyle w:val="Hyperlink"/>
                <w:rFonts w:ascii="Arial" w:hAnsi="Arial" w:cs="Arial"/>
                <w:noProof/>
                <w:szCs w:val="24"/>
              </w:rPr>
              <w:t>Abstract Conceptualisation</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_Toc211436905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10</w:t>
            </w:r>
            <w:r w:rsidRPr="00807E50">
              <w:rPr>
                <w:rFonts w:ascii="Arial" w:hAnsi="Arial" w:cs="Arial"/>
                <w:noProof/>
                <w:webHidden/>
                <w:szCs w:val="24"/>
              </w:rPr>
              <w:fldChar w:fldCharType="end"/>
            </w:r>
          </w:hyperlink>
        </w:p>
        <w:p w14:paraId="34E55375" w14:textId="75E1FE9D" w:rsidR="005C64B0" w:rsidRPr="00807E50" w:rsidRDefault="005C64B0" w:rsidP="00807E50">
          <w:pPr>
            <w:pStyle w:val="TOC2"/>
            <w:tabs>
              <w:tab w:val="right" w:leader="dot" w:pos="9350"/>
            </w:tabs>
            <w:rPr>
              <w:rFonts w:ascii="Arial" w:eastAsiaTheme="minorEastAsia" w:hAnsi="Arial" w:cs="Arial"/>
              <w:noProof/>
              <w:kern w:val="2"/>
              <w:szCs w:val="24"/>
              <w:lang w:val="en-US"/>
              <w14:ligatures w14:val="standardContextual"/>
            </w:rPr>
          </w:pPr>
          <w:hyperlink w:anchor="_Toc211436906" w:history="1">
            <w:r w:rsidRPr="00807E50">
              <w:rPr>
                <w:rStyle w:val="Hyperlink"/>
                <w:rFonts w:ascii="Arial" w:hAnsi="Arial" w:cs="Arial"/>
                <w:noProof/>
                <w:szCs w:val="24"/>
              </w:rPr>
              <w:t>Active Experimentation</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_Toc211436906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11</w:t>
            </w:r>
            <w:r w:rsidRPr="00807E50">
              <w:rPr>
                <w:rFonts w:ascii="Arial" w:hAnsi="Arial" w:cs="Arial"/>
                <w:noProof/>
                <w:webHidden/>
                <w:szCs w:val="24"/>
              </w:rPr>
              <w:fldChar w:fldCharType="end"/>
            </w:r>
          </w:hyperlink>
        </w:p>
        <w:p w14:paraId="5CBF922F" w14:textId="48D4D784"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907" w:history="1">
            <w:r w:rsidRPr="00807E50">
              <w:rPr>
                <w:rStyle w:val="Hyperlink"/>
                <w:rFonts w:ascii="Arial" w:hAnsi="Arial" w:cs="Arial"/>
                <w:noProof/>
                <w:szCs w:val="24"/>
              </w:rPr>
              <w:t>Conclusion</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_Toc211436907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12</w:t>
            </w:r>
            <w:r w:rsidRPr="00807E50">
              <w:rPr>
                <w:rFonts w:ascii="Arial" w:hAnsi="Arial" w:cs="Arial"/>
                <w:noProof/>
                <w:webHidden/>
                <w:szCs w:val="24"/>
              </w:rPr>
              <w:fldChar w:fldCharType="end"/>
            </w:r>
          </w:hyperlink>
        </w:p>
        <w:p w14:paraId="3C57F761" w14:textId="0833CFE3" w:rsidR="005C64B0" w:rsidRPr="00807E50" w:rsidRDefault="005C64B0" w:rsidP="00807E50">
          <w:pPr>
            <w:pStyle w:val="TOC1"/>
            <w:tabs>
              <w:tab w:val="right" w:leader="dot" w:pos="9350"/>
            </w:tabs>
            <w:rPr>
              <w:rFonts w:ascii="Arial" w:eastAsiaTheme="minorEastAsia" w:hAnsi="Arial" w:cs="Arial"/>
              <w:noProof/>
              <w:kern w:val="2"/>
              <w:szCs w:val="24"/>
              <w:lang w:val="en-US"/>
              <w14:ligatures w14:val="standardContextual"/>
            </w:rPr>
          </w:pPr>
          <w:hyperlink w:anchor="_Toc211436908" w:history="1">
            <w:r w:rsidRPr="00807E50">
              <w:rPr>
                <w:rStyle w:val="Hyperlink"/>
                <w:rFonts w:ascii="Arial" w:hAnsi="Arial" w:cs="Arial"/>
                <w:noProof/>
                <w:szCs w:val="24"/>
              </w:rPr>
              <w:t>References</w:t>
            </w:r>
            <w:r w:rsidRPr="00807E50">
              <w:rPr>
                <w:rFonts w:ascii="Arial" w:hAnsi="Arial" w:cs="Arial"/>
                <w:noProof/>
                <w:webHidden/>
                <w:szCs w:val="24"/>
              </w:rPr>
              <w:tab/>
            </w:r>
            <w:r w:rsidRPr="00807E50">
              <w:rPr>
                <w:rFonts w:ascii="Arial" w:hAnsi="Arial" w:cs="Arial"/>
                <w:noProof/>
                <w:webHidden/>
                <w:szCs w:val="24"/>
              </w:rPr>
              <w:fldChar w:fldCharType="begin"/>
            </w:r>
            <w:r w:rsidRPr="00807E50">
              <w:rPr>
                <w:rFonts w:ascii="Arial" w:hAnsi="Arial" w:cs="Arial"/>
                <w:noProof/>
                <w:webHidden/>
                <w:szCs w:val="24"/>
              </w:rPr>
              <w:instrText xml:space="preserve"> PAGEREF _Toc211436908 \h </w:instrText>
            </w:r>
            <w:r w:rsidRPr="00807E50">
              <w:rPr>
                <w:rFonts w:ascii="Arial" w:hAnsi="Arial" w:cs="Arial"/>
                <w:noProof/>
                <w:webHidden/>
                <w:szCs w:val="24"/>
              </w:rPr>
            </w:r>
            <w:r w:rsidRPr="00807E50">
              <w:rPr>
                <w:rFonts w:ascii="Arial" w:hAnsi="Arial" w:cs="Arial"/>
                <w:noProof/>
                <w:webHidden/>
                <w:szCs w:val="24"/>
              </w:rPr>
              <w:fldChar w:fldCharType="separate"/>
            </w:r>
            <w:r w:rsidR="00807E50">
              <w:rPr>
                <w:rFonts w:ascii="Arial" w:hAnsi="Arial" w:cs="Arial"/>
                <w:noProof/>
                <w:webHidden/>
                <w:szCs w:val="24"/>
              </w:rPr>
              <w:t>13</w:t>
            </w:r>
            <w:r w:rsidRPr="00807E50">
              <w:rPr>
                <w:rFonts w:ascii="Arial" w:hAnsi="Arial" w:cs="Arial"/>
                <w:noProof/>
                <w:webHidden/>
                <w:szCs w:val="24"/>
              </w:rPr>
              <w:fldChar w:fldCharType="end"/>
            </w:r>
          </w:hyperlink>
        </w:p>
        <w:p w14:paraId="66ED57E5" w14:textId="15BA2A12" w:rsidR="00853B07" w:rsidRPr="00807E50" w:rsidRDefault="00853B07" w:rsidP="00807E50">
          <w:pPr>
            <w:rPr>
              <w:rFonts w:ascii="Arial" w:hAnsi="Arial" w:cs="Arial"/>
              <w:szCs w:val="24"/>
            </w:rPr>
          </w:pPr>
          <w:r w:rsidRPr="00807E50">
            <w:rPr>
              <w:rFonts w:ascii="Arial" w:hAnsi="Arial" w:cs="Arial"/>
              <w:b/>
              <w:bCs/>
              <w:noProof/>
              <w:szCs w:val="24"/>
            </w:rPr>
            <w:fldChar w:fldCharType="end"/>
          </w:r>
        </w:p>
      </w:sdtContent>
    </w:sdt>
    <w:p w14:paraId="6D1C4DCD" w14:textId="33BC982A" w:rsidR="00C80086" w:rsidRPr="00807E50" w:rsidRDefault="00C80086" w:rsidP="00807E50">
      <w:pPr>
        <w:rPr>
          <w:rFonts w:ascii="Arial" w:hAnsi="Arial" w:cs="Arial"/>
          <w:szCs w:val="24"/>
        </w:rPr>
      </w:pPr>
    </w:p>
    <w:p w14:paraId="78D66CC8" w14:textId="77777777" w:rsidR="006B32F0" w:rsidRPr="00807E50" w:rsidRDefault="006B32F0" w:rsidP="00807E50">
      <w:pPr>
        <w:rPr>
          <w:rFonts w:ascii="Arial" w:hAnsi="Arial" w:cs="Arial"/>
          <w:szCs w:val="24"/>
        </w:rPr>
      </w:pPr>
    </w:p>
    <w:p w14:paraId="14631BDC" w14:textId="39308E08" w:rsidR="00103E4C" w:rsidRPr="00807E50" w:rsidRDefault="00103E4C" w:rsidP="00807E50">
      <w:pPr>
        <w:spacing w:after="160"/>
        <w:jc w:val="left"/>
        <w:rPr>
          <w:rFonts w:ascii="Arial" w:hAnsi="Arial" w:cs="Arial"/>
          <w:szCs w:val="24"/>
        </w:rPr>
      </w:pPr>
      <w:r w:rsidRPr="00807E50">
        <w:rPr>
          <w:rFonts w:ascii="Arial" w:hAnsi="Arial" w:cs="Arial"/>
          <w:szCs w:val="24"/>
        </w:rPr>
        <w:br w:type="page"/>
      </w:r>
    </w:p>
    <w:p w14:paraId="2C08F800" w14:textId="54B949FF" w:rsidR="000C3023" w:rsidRPr="00807E50" w:rsidRDefault="00103E4C" w:rsidP="00807E50">
      <w:pPr>
        <w:pStyle w:val="Heading1"/>
      </w:pPr>
      <w:bookmarkStart w:id="0" w:name="_Toc101999040"/>
      <w:bookmarkStart w:id="1" w:name="_Toc211436888"/>
      <w:r w:rsidRPr="00807E50">
        <w:lastRenderedPageBreak/>
        <w:t>Introduction</w:t>
      </w:r>
      <w:bookmarkEnd w:id="0"/>
      <w:bookmarkEnd w:id="1"/>
      <w:r w:rsidRPr="00807E50">
        <w:t xml:space="preserve"> </w:t>
      </w:r>
    </w:p>
    <w:p w14:paraId="0160CC88" w14:textId="7225E505" w:rsidR="00694525" w:rsidRPr="00807E50" w:rsidRDefault="00694525" w:rsidP="00807E50">
      <w:pPr>
        <w:rPr>
          <w:rFonts w:ascii="Arial" w:hAnsi="Arial" w:cs="Arial"/>
          <w:szCs w:val="24"/>
        </w:rPr>
      </w:pPr>
      <w:r w:rsidRPr="00807E50">
        <w:rPr>
          <w:rFonts w:ascii="Arial" w:hAnsi="Arial" w:cs="Arial"/>
          <w:szCs w:val="24"/>
        </w:rPr>
        <w:t>The HRM and IHRM evolve due to the changes in the labour markets in the world. The current companies are struggling with numerous issues as a result of emerging technologies, population shifts, political unpredictability, and the continuing lack of skills. These are problems that require the HR professionals to develop flexible strategies that address the domestic labour requirements and those of the international competition. This report critically examines four critical spheres which have an impact on HRM and IHRM. First section examines the transformation of labour market and HR strategy by use of artificial intelligence, automation and online platforms</w:t>
      </w:r>
      <w:r w:rsidR="00F96DB4" w:rsidRPr="00807E50">
        <w:rPr>
          <w:rFonts w:ascii="Arial" w:hAnsi="Arial" w:cs="Arial"/>
          <w:szCs w:val="24"/>
        </w:rPr>
        <w:t xml:space="preserve"> (Ogedengbe et al., 2024)</w:t>
      </w:r>
      <w:r w:rsidRPr="00807E50">
        <w:rPr>
          <w:rFonts w:ascii="Arial" w:hAnsi="Arial" w:cs="Arial"/>
          <w:szCs w:val="24"/>
        </w:rPr>
        <w:t>. The second section is a reflection of the impact of population and political shifts on employment and Hr issues. The third section explains why firms should address the talent issues and skill gaps using intelligent HR practices. Lastly, a personal reflection applies the model of Kolb to test the skills of working in an international context.</w:t>
      </w:r>
    </w:p>
    <w:p w14:paraId="03AC363B" w14:textId="77777777" w:rsidR="000C3023" w:rsidRPr="00807E50" w:rsidRDefault="000C3023" w:rsidP="00807E50">
      <w:pPr>
        <w:rPr>
          <w:rFonts w:ascii="Arial" w:hAnsi="Arial" w:cs="Arial"/>
          <w:szCs w:val="24"/>
        </w:rPr>
      </w:pPr>
    </w:p>
    <w:p w14:paraId="3A1E5E55" w14:textId="77777777" w:rsidR="000C3023" w:rsidRPr="00807E50" w:rsidRDefault="000C3023" w:rsidP="00807E50">
      <w:pPr>
        <w:spacing w:after="160"/>
        <w:jc w:val="left"/>
        <w:rPr>
          <w:rFonts w:ascii="Arial" w:hAnsi="Arial" w:cs="Arial"/>
          <w:b/>
          <w:szCs w:val="24"/>
          <w:lang w:eastAsia="en-GB"/>
        </w:rPr>
      </w:pPr>
      <w:r w:rsidRPr="00807E50">
        <w:rPr>
          <w:rFonts w:ascii="Arial" w:hAnsi="Arial" w:cs="Arial"/>
          <w:szCs w:val="24"/>
        </w:rPr>
        <w:br w:type="page"/>
      </w:r>
    </w:p>
    <w:p w14:paraId="6B51B933" w14:textId="2104397E" w:rsidR="00514C0E" w:rsidRPr="00807E50" w:rsidRDefault="00514C0E" w:rsidP="00807E50">
      <w:pPr>
        <w:pStyle w:val="Heading1"/>
      </w:pPr>
      <w:bookmarkStart w:id="2" w:name="_Toc211436889"/>
      <w:r w:rsidRPr="00807E50">
        <w:lastRenderedPageBreak/>
        <w:t>Task 1</w:t>
      </w:r>
      <w:bookmarkEnd w:id="2"/>
    </w:p>
    <w:p w14:paraId="5B886092" w14:textId="35F6441A" w:rsidR="00514C0E" w:rsidRPr="00807E50" w:rsidRDefault="00514C0E" w:rsidP="00807E50">
      <w:pPr>
        <w:pStyle w:val="Heading2"/>
        <w:rPr>
          <w:rFonts w:ascii="Arial" w:hAnsi="Arial" w:cs="Arial"/>
          <w:sz w:val="24"/>
          <w:szCs w:val="24"/>
        </w:rPr>
      </w:pPr>
      <w:bookmarkStart w:id="3" w:name="_Toc211436890"/>
      <w:r w:rsidRPr="00807E50">
        <w:rPr>
          <w:rFonts w:ascii="Arial" w:hAnsi="Arial" w:cs="Arial"/>
          <w:sz w:val="24"/>
          <w:szCs w:val="24"/>
        </w:rPr>
        <w:t>Nature of Technological Advancements</w:t>
      </w:r>
      <w:bookmarkEnd w:id="3"/>
    </w:p>
    <w:p w14:paraId="3A6D972A" w14:textId="194CEB7F" w:rsidR="00585D47" w:rsidRPr="00807E50" w:rsidRDefault="000C3023" w:rsidP="00807E50">
      <w:pPr>
        <w:rPr>
          <w:rFonts w:ascii="Arial" w:hAnsi="Arial" w:cs="Arial"/>
          <w:szCs w:val="24"/>
        </w:rPr>
      </w:pPr>
      <w:r w:rsidRPr="00807E50">
        <w:rPr>
          <w:rFonts w:ascii="Arial" w:hAnsi="Arial" w:cs="Arial"/>
          <w:szCs w:val="24"/>
        </w:rPr>
        <w:t>Rapid technological developments such as artificial intelligence (AI), automation, robotics, machine learning and digital platforms are turning the way labour markets work on its head. AI-powered tools are now taking over the role of data-driven decision making, prediction, and customer interaction, as replacements or additions to human tasks</w:t>
      </w:r>
      <w:r w:rsidR="00652749" w:rsidRPr="00807E50">
        <w:rPr>
          <w:rFonts w:ascii="Arial" w:hAnsi="Arial" w:cs="Arial"/>
          <w:szCs w:val="24"/>
        </w:rPr>
        <w:t xml:space="preserve"> (Farndale et al., 2025)</w:t>
      </w:r>
      <w:r w:rsidRPr="00807E50">
        <w:rPr>
          <w:rFonts w:ascii="Arial" w:hAnsi="Arial" w:cs="Arial"/>
          <w:szCs w:val="24"/>
        </w:rPr>
        <w:t xml:space="preserve">. Automation and the use of robots are increasing in the manufacturing and service sectors, which reduces the demand for manual labour on a more repetitive basis. </w:t>
      </w:r>
    </w:p>
    <w:p w14:paraId="6D3C92F4" w14:textId="77777777" w:rsidR="00585D47" w:rsidRPr="00807E50" w:rsidRDefault="00585D47" w:rsidP="00807E50">
      <w:pPr>
        <w:keepNext/>
        <w:jc w:val="center"/>
        <w:rPr>
          <w:rFonts w:ascii="Arial" w:hAnsi="Arial" w:cs="Arial"/>
          <w:szCs w:val="24"/>
        </w:rPr>
      </w:pPr>
      <w:r w:rsidRPr="00807E50">
        <w:rPr>
          <w:rFonts w:ascii="Arial" w:hAnsi="Arial" w:cs="Arial"/>
          <w:noProof/>
          <w:szCs w:val="24"/>
        </w:rPr>
        <w:drawing>
          <wp:inline distT="0" distB="0" distL="0" distR="0" wp14:anchorId="2F67A660" wp14:editId="2D7A8D0B">
            <wp:extent cx="4572000" cy="2677805"/>
            <wp:effectExtent l="0" t="0" r="0" b="8255"/>
            <wp:docPr id="717835642"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35642" name="Picture 1" descr="A diagram of a proces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8900" cy="2681846"/>
                    </a:xfrm>
                    <a:prstGeom prst="rect">
                      <a:avLst/>
                    </a:prstGeom>
                    <a:noFill/>
                    <a:ln>
                      <a:noFill/>
                    </a:ln>
                  </pic:spPr>
                </pic:pic>
              </a:graphicData>
            </a:graphic>
          </wp:inline>
        </w:drawing>
      </w:r>
    </w:p>
    <w:p w14:paraId="265F5592" w14:textId="282ED393" w:rsidR="00585D47" w:rsidRPr="00807E50" w:rsidRDefault="00585D47" w:rsidP="00807E50">
      <w:pPr>
        <w:pStyle w:val="Caption"/>
        <w:rPr>
          <w:rFonts w:ascii="Arial" w:hAnsi="Arial" w:cs="Arial"/>
          <w:sz w:val="24"/>
          <w:szCs w:val="24"/>
        </w:rPr>
      </w:pPr>
      <w:r w:rsidRPr="00807E50">
        <w:rPr>
          <w:rFonts w:ascii="Arial" w:hAnsi="Arial" w:cs="Arial"/>
          <w:sz w:val="24"/>
          <w:szCs w:val="24"/>
        </w:rPr>
        <w:t xml:space="preserve">Figure </w:t>
      </w:r>
      <w:r w:rsidR="00156A3A" w:rsidRPr="00807E50">
        <w:rPr>
          <w:rFonts w:ascii="Arial" w:hAnsi="Arial" w:cs="Arial"/>
          <w:sz w:val="24"/>
          <w:szCs w:val="24"/>
        </w:rPr>
        <w:fldChar w:fldCharType="begin"/>
      </w:r>
      <w:r w:rsidR="00156A3A" w:rsidRPr="00807E50">
        <w:rPr>
          <w:rFonts w:ascii="Arial" w:hAnsi="Arial" w:cs="Arial"/>
          <w:sz w:val="24"/>
          <w:szCs w:val="24"/>
        </w:rPr>
        <w:instrText xml:space="preserve"> SEQ Figure \* ARABIC </w:instrText>
      </w:r>
      <w:r w:rsidR="00156A3A" w:rsidRPr="00807E50">
        <w:rPr>
          <w:rFonts w:ascii="Arial" w:hAnsi="Arial" w:cs="Arial"/>
          <w:sz w:val="24"/>
          <w:szCs w:val="24"/>
        </w:rPr>
        <w:fldChar w:fldCharType="separate"/>
      </w:r>
      <w:r w:rsidR="00676AA7" w:rsidRPr="00807E50">
        <w:rPr>
          <w:rFonts w:ascii="Arial" w:hAnsi="Arial" w:cs="Arial"/>
          <w:noProof/>
          <w:sz w:val="24"/>
          <w:szCs w:val="24"/>
        </w:rPr>
        <w:t>1</w:t>
      </w:r>
      <w:r w:rsidR="00156A3A" w:rsidRPr="00807E50">
        <w:rPr>
          <w:rFonts w:ascii="Arial" w:hAnsi="Arial" w:cs="Arial"/>
          <w:noProof/>
          <w:sz w:val="24"/>
          <w:szCs w:val="24"/>
        </w:rPr>
        <w:fldChar w:fldCharType="end"/>
      </w:r>
      <w:r w:rsidRPr="00807E50">
        <w:rPr>
          <w:rFonts w:ascii="Arial" w:hAnsi="Arial" w:cs="Arial"/>
          <w:sz w:val="24"/>
          <w:szCs w:val="24"/>
        </w:rPr>
        <w:t>: AI in HR</w:t>
      </w:r>
    </w:p>
    <w:p w14:paraId="7F57CD73" w14:textId="69FA9DB9" w:rsidR="00585D47" w:rsidRPr="00807E50" w:rsidRDefault="00585D47" w:rsidP="00807E50">
      <w:pPr>
        <w:jc w:val="center"/>
        <w:rPr>
          <w:rFonts w:ascii="Arial" w:hAnsi="Arial" w:cs="Arial"/>
          <w:szCs w:val="24"/>
          <w:lang w:val="en-US"/>
        </w:rPr>
      </w:pPr>
      <w:r w:rsidRPr="00807E50">
        <w:rPr>
          <w:rFonts w:ascii="Arial" w:hAnsi="Arial" w:cs="Arial"/>
          <w:szCs w:val="24"/>
          <w:lang w:val="en-US"/>
        </w:rPr>
        <w:t xml:space="preserve">Source: </w:t>
      </w:r>
      <w:r w:rsidRPr="00807E50">
        <w:rPr>
          <w:rFonts w:ascii="Arial" w:hAnsi="Arial" w:cs="Arial"/>
          <w:szCs w:val="24"/>
        </w:rPr>
        <w:t>(Hassanein and Özgit, 2022)</w:t>
      </w:r>
    </w:p>
    <w:p w14:paraId="4C2D51F8" w14:textId="0CC69C79" w:rsidR="00514C0E" w:rsidRPr="00807E50" w:rsidRDefault="000C3023" w:rsidP="00807E50">
      <w:pPr>
        <w:rPr>
          <w:rFonts w:ascii="Arial" w:hAnsi="Arial" w:cs="Arial"/>
          <w:szCs w:val="24"/>
        </w:rPr>
      </w:pPr>
      <w:r w:rsidRPr="00807E50">
        <w:rPr>
          <w:rFonts w:ascii="Arial" w:hAnsi="Arial" w:cs="Arial"/>
          <w:szCs w:val="24"/>
        </w:rPr>
        <w:t>Digital labour platforms such as Upwork and Fiverr ensure remote and freelance work whereby organisations can source talent from across the world</w:t>
      </w:r>
      <w:r w:rsidR="00652749" w:rsidRPr="00807E50">
        <w:rPr>
          <w:rFonts w:ascii="Arial" w:hAnsi="Arial" w:cs="Arial"/>
          <w:szCs w:val="24"/>
        </w:rPr>
        <w:t xml:space="preserve"> (Vrontis et al., 2023)</w:t>
      </w:r>
      <w:r w:rsidRPr="00807E50">
        <w:rPr>
          <w:rFonts w:ascii="Arial" w:hAnsi="Arial" w:cs="Arial"/>
          <w:szCs w:val="24"/>
        </w:rPr>
        <w:t xml:space="preserve">. </w:t>
      </w:r>
      <w:r w:rsidR="00514C0E" w:rsidRPr="00807E50">
        <w:rPr>
          <w:rFonts w:ascii="Arial" w:hAnsi="Arial" w:cs="Arial"/>
          <w:szCs w:val="24"/>
        </w:rPr>
        <w:t>In addition, the dynamics of the workplace are not limited by geographical locations as digital collaboration tools and cloud computing promote virtual teams and decentralized operations. Together these innovations have changed the roles of work, the skills required and the structure of work.</w:t>
      </w:r>
    </w:p>
    <w:p w14:paraId="1D06E8CD" w14:textId="085408BC" w:rsidR="00514C0E" w:rsidRPr="00807E50" w:rsidRDefault="00514C0E" w:rsidP="00807E50">
      <w:pPr>
        <w:pStyle w:val="Heading2"/>
        <w:rPr>
          <w:rFonts w:ascii="Arial" w:hAnsi="Arial" w:cs="Arial"/>
          <w:sz w:val="24"/>
          <w:szCs w:val="24"/>
        </w:rPr>
      </w:pPr>
      <w:bookmarkStart w:id="4" w:name="_Toc211436891"/>
      <w:r w:rsidRPr="00807E50">
        <w:rPr>
          <w:rFonts w:ascii="Arial" w:hAnsi="Arial" w:cs="Arial"/>
          <w:sz w:val="24"/>
          <w:szCs w:val="24"/>
        </w:rPr>
        <w:t>Impact of Technological Advantage on Labour Markets</w:t>
      </w:r>
      <w:bookmarkEnd w:id="4"/>
    </w:p>
    <w:p w14:paraId="6728BE7A" w14:textId="7C7122A8" w:rsidR="00514C0E" w:rsidRPr="00807E50" w:rsidRDefault="00514C0E" w:rsidP="00807E50">
      <w:pPr>
        <w:rPr>
          <w:rFonts w:ascii="Arial" w:hAnsi="Arial" w:cs="Arial"/>
          <w:szCs w:val="24"/>
        </w:rPr>
      </w:pPr>
      <w:r w:rsidRPr="00807E50">
        <w:rPr>
          <w:rFonts w:ascii="Arial" w:hAnsi="Arial" w:cs="Arial"/>
          <w:szCs w:val="24"/>
        </w:rPr>
        <w:t xml:space="preserve">Technology has fundamentally changed the structures of the labour market by changing demand from low-skilled, routine jobs to high-skilled, knowledge-intensive work. Reliance </w:t>
      </w:r>
      <w:r w:rsidRPr="00807E50">
        <w:rPr>
          <w:rFonts w:ascii="Arial" w:hAnsi="Arial" w:cs="Arial"/>
          <w:szCs w:val="24"/>
        </w:rPr>
        <w:lastRenderedPageBreak/>
        <w:t>on manual labor in manufacturing, logistics, and retail industries has been replaced by automation, and this has resulted in the displacement of jobs in certain sectors</w:t>
      </w:r>
      <w:r w:rsidR="00652749" w:rsidRPr="00807E50">
        <w:rPr>
          <w:rFonts w:ascii="Arial" w:hAnsi="Arial" w:cs="Arial"/>
          <w:szCs w:val="24"/>
        </w:rPr>
        <w:t xml:space="preserve"> (Kakepota and Atif, 2024)</w:t>
      </w:r>
      <w:r w:rsidRPr="00807E50">
        <w:rPr>
          <w:rFonts w:ascii="Arial" w:hAnsi="Arial" w:cs="Arial"/>
          <w:szCs w:val="24"/>
        </w:rPr>
        <w:t xml:space="preserve">. On the other hand, digital transformation has given rise to new jobs in data science, cybersecurity, digital marketing, software development, etc. </w:t>
      </w:r>
      <w:r w:rsidR="000C3023" w:rsidRPr="00807E50">
        <w:rPr>
          <w:rFonts w:ascii="Arial" w:hAnsi="Arial" w:cs="Arial"/>
          <w:szCs w:val="24"/>
        </w:rPr>
        <w:t>The expansion of gig and platform type work has also led to the emergence of more flexible but less secure labour market processes. Remote work has become mainstream, with the geographical constraints minimize and global competition among the candidates has reached its peak</w:t>
      </w:r>
      <w:r w:rsidR="00652749" w:rsidRPr="00807E50">
        <w:rPr>
          <w:rFonts w:ascii="Arial" w:hAnsi="Arial" w:cs="Arial"/>
          <w:szCs w:val="24"/>
        </w:rPr>
        <w:t xml:space="preserve"> (Pandey et al., 2023)</w:t>
      </w:r>
      <w:r w:rsidR="000C3023" w:rsidRPr="00807E50">
        <w:rPr>
          <w:rFonts w:ascii="Arial" w:hAnsi="Arial" w:cs="Arial"/>
          <w:szCs w:val="24"/>
        </w:rPr>
        <w:t>. These are structural change and workers have to continuously upskill or reskill to retain employability and governments and organisations adapt to new models of employment.</w:t>
      </w:r>
    </w:p>
    <w:p w14:paraId="6CA29CAE" w14:textId="1E8AEBC4" w:rsidR="00514C0E" w:rsidRPr="00807E50" w:rsidRDefault="00514C0E" w:rsidP="00807E50">
      <w:pPr>
        <w:pStyle w:val="Heading2"/>
        <w:rPr>
          <w:rFonts w:ascii="Arial" w:hAnsi="Arial" w:cs="Arial"/>
          <w:sz w:val="24"/>
          <w:szCs w:val="24"/>
        </w:rPr>
      </w:pPr>
      <w:bookmarkStart w:id="5" w:name="_Toc211436892"/>
      <w:r w:rsidRPr="00807E50">
        <w:rPr>
          <w:rFonts w:ascii="Arial" w:hAnsi="Arial" w:cs="Arial"/>
          <w:sz w:val="24"/>
          <w:szCs w:val="24"/>
        </w:rPr>
        <w:t>Impact of Technological Advantage on HRM</w:t>
      </w:r>
      <w:bookmarkEnd w:id="5"/>
    </w:p>
    <w:p w14:paraId="0113219B" w14:textId="681C5A92" w:rsidR="00514C0E" w:rsidRPr="00807E50" w:rsidRDefault="000C3023" w:rsidP="00807E50">
      <w:pPr>
        <w:rPr>
          <w:rFonts w:ascii="Arial" w:hAnsi="Arial" w:cs="Arial"/>
          <w:szCs w:val="24"/>
        </w:rPr>
      </w:pPr>
      <w:r w:rsidRPr="00807E50">
        <w:rPr>
          <w:rFonts w:ascii="Arial" w:hAnsi="Arial" w:cs="Arial"/>
          <w:szCs w:val="24"/>
        </w:rPr>
        <w:t xml:space="preserve">The digital candidates are becoming an important area of work for HR professionals, who use AI-powered recruitment tools to evaluate their candidates and application filters. </w:t>
      </w:r>
      <w:r w:rsidR="00514C0E" w:rsidRPr="00807E50">
        <w:rPr>
          <w:rFonts w:ascii="Arial" w:hAnsi="Arial" w:cs="Arial"/>
          <w:szCs w:val="24"/>
        </w:rPr>
        <w:t>Rather than traditional performance management, Human Resources analytics are moving toward continuous feedback and monitoring systems that are data driven</w:t>
      </w:r>
      <w:r w:rsidR="00652749" w:rsidRPr="00807E50">
        <w:rPr>
          <w:rFonts w:ascii="Arial" w:hAnsi="Arial" w:cs="Arial"/>
          <w:szCs w:val="24"/>
        </w:rPr>
        <w:t xml:space="preserve"> (Horwitz and Lee Cooke, 2022)</w:t>
      </w:r>
      <w:r w:rsidR="00514C0E" w:rsidRPr="00807E50">
        <w:rPr>
          <w:rFonts w:ascii="Arial" w:hAnsi="Arial" w:cs="Arial"/>
          <w:szCs w:val="24"/>
        </w:rPr>
        <w:t>. Thus, HRM needs to focus on reskilling and upskilling programs that adapt employees to new technical and hybrid jobs to mitigate the risk of job displacement. In addition, there are ethical and regulatory issues relating to data privacy, employee surveillance, and intensification of labor that are associated with increased automation. Flexible work arrangements, including remote and hybrid models, need new engagement, well-being and productivity management policies</w:t>
      </w:r>
      <w:r w:rsidR="00652749" w:rsidRPr="00807E50">
        <w:rPr>
          <w:rFonts w:ascii="Arial" w:hAnsi="Arial" w:cs="Arial"/>
          <w:szCs w:val="24"/>
        </w:rPr>
        <w:t xml:space="preserve"> (Malik et al., 2020)</w:t>
      </w:r>
      <w:r w:rsidR="00514C0E" w:rsidRPr="00807E50">
        <w:rPr>
          <w:rFonts w:ascii="Arial" w:hAnsi="Arial" w:cs="Arial"/>
          <w:szCs w:val="24"/>
        </w:rPr>
        <w:t>. Overall, HRM strategies should link the adoption of technology with employee planning that is inclusive and sustainable in the long term.</w:t>
      </w:r>
    </w:p>
    <w:p w14:paraId="616C2257" w14:textId="6E47E884" w:rsidR="00514C0E" w:rsidRPr="00807E50" w:rsidRDefault="00514C0E" w:rsidP="00807E50">
      <w:pPr>
        <w:pStyle w:val="Heading2"/>
        <w:rPr>
          <w:rFonts w:ascii="Arial" w:hAnsi="Arial" w:cs="Arial"/>
          <w:sz w:val="24"/>
          <w:szCs w:val="24"/>
        </w:rPr>
      </w:pPr>
      <w:bookmarkStart w:id="6" w:name="_Toc211436893"/>
      <w:r w:rsidRPr="00807E50">
        <w:rPr>
          <w:rFonts w:ascii="Arial" w:hAnsi="Arial" w:cs="Arial"/>
          <w:sz w:val="24"/>
          <w:szCs w:val="24"/>
        </w:rPr>
        <w:t>Impact of Technological Advantage for IHRM</w:t>
      </w:r>
      <w:bookmarkEnd w:id="6"/>
    </w:p>
    <w:p w14:paraId="000B0A97" w14:textId="16111759" w:rsidR="00514C0E" w:rsidRPr="00807E50" w:rsidRDefault="00514C0E" w:rsidP="00807E50">
      <w:pPr>
        <w:rPr>
          <w:rFonts w:ascii="Arial" w:hAnsi="Arial" w:cs="Arial"/>
          <w:szCs w:val="24"/>
        </w:rPr>
      </w:pPr>
      <w:r w:rsidRPr="00807E50">
        <w:rPr>
          <w:rFonts w:ascii="Arial" w:hAnsi="Arial" w:cs="Arial"/>
          <w:szCs w:val="24"/>
        </w:rPr>
        <w:t>In international settings, IHRM has to deal with diverse global workforces which are technology-enabled and work across borders. Digital platforms enable multinational companies to source talent from various countries, which may increase the cultural diversity within the organization, but may also necessitate consideration of local employment laws and practices</w:t>
      </w:r>
      <w:r w:rsidR="00652749" w:rsidRPr="00807E50">
        <w:rPr>
          <w:rFonts w:ascii="Arial" w:hAnsi="Arial" w:cs="Arial"/>
          <w:szCs w:val="24"/>
        </w:rPr>
        <w:t xml:space="preserve"> (Pulami and Nepal, 2024)</w:t>
      </w:r>
      <w:r w:rsidRPr="00807E50">
        <w:rPr>
          <w:rFonts w:ascii="Arial" w:hAnsi="Arial" w:cs="Arial"/>
          <w:szCs w:val="24"/>
        </w:rPr>
        <w:t xml:space="preserve">. Inter-national teams rely on digital communication and collaboration tools extensively, therefore it is the responsibility of IHRM to implement virtual leadership, cross-cultural training and technology assisted </w:t>
      </w:r>
      <w:r w:rsidRPr="00807E50">
        <w:rPr>
          <w:rFonts w:ascii="Arial" w:hAnsi="Arial" w:cs="Arial"/>
          <w:szCs w:val="24"/>
        </w:rPr>
        <w:lastRenderedPageBreak/>
        <w:t xml:space="preserve">performance systems. Different countries have different levels of automation and AI adoption, and IHRM will need to manage the workforce transition accordingly. </w:t>
      </w:r>
      <w:r w:rsidR="007C7F33" w:rsidRPr="00807E50">
        <w:rPr>
          <w:rFonts w:ascii="Arial" w:hAnsi="Arial" w:cs="Arial"/>
          <w:szCs w:val="24"/>
        </w:rPr>
        <w:t>Digital mobility is also impacting the management of global talent - it is possible now to send virtual flights rather than physical relocations. Furthermore, multinational organisations require a uniformity of policies in terms of cybersecurity, data protection and the digital rights of employees across jurisdictions</w:t>
      </w:r>
      <w:r w:rsidR="00652749" w:rsidRPr="00807E50">
        <w:rPr>
          <w:rFonts w:ascii="Arial" w:hAnsi="Arial" w:cs="Arial"/>
          <w:szCs w:val="24"/>
        </w:rPr>
        <w:t xml:space="preserve"> (Strielkowski et al., 2021)</w:t>
      </w:r>
      <w:r w:rsidR="007C7F33" w:rsidRPr="00807E50">
        <w:rPr>
          <w:rFonts w:ascii="Arial" w:hAnsi="Arial" w:cs="Arial"/>
          <w:szCs w:val="24"/>
        </w:rPr>
        <w:t>. Therefore, IHRM must combine technology and culturally competent people management and strategic workforce planning.</w:t>
      </w:r>
    </w:p>
    <w:p w14:paraId="42A201A5" w14:textId="67AFDEC9" w:rsidR="00514C0E" w:rsidRPr="00807E50" w:rsidRDefault="00514C0E" w:rsidP="00807E50">
      <w:pPr>
        <w:pStyle w:val="Heading1"/>
      </w:pPr>
      <w:bookmarkStart w:id="7" w:name="_Toc211436894"/>
      <w:r w:rsidRPr="00807E50">
        <w:t>Task 2</w:t>
      </w:r>
      <w:bookmarkEnd w:id="7"/>
    </w:p>
    <w:p w14:paraId="37CF39BD" w14:textId="3FA063CB" w:rsidR="00514C0E" w:rsidRPr="00807E50" w:rsidRDefault="00514C0E" w:rsidP="00807E50">
      <w:pPr>
        <w:pStyle w:val="Heading2"/>
        <w:rPr>
          <w:rFonts w:ascii="Arial" w:hAnsi="Arial" w:cs="Arial"/>
          <w:sz w:val="24"/>
          <w:szCs w:val="24"/>
        </w:rPr>
      </w:pPr>
      <w:bookmarkStart w:id="8" w:name="_Toc211436895"/>
      <w:r w:rsidRPr="00807E50">
        <w:rPr>
          <w:rFonts w:ascii="Arial" w:hAnsi="Arial" w:cs="Arial"/>
          <w:sz w:val="24"/>
          <w:szCs w:val="24"/>
        </w:rPr>
        <w:t>Demographic Factors Influencing Employment Markets</w:t>
      </w:r>
      <w:bookmarkEnd w:id="8"/>
    </w:p>
    <w:p w14:paraId="2E8E8BAA" w14:textId="40AA90F9" w:rsidR="00802CAF" w:rsidRPr="00807E50" w:rsidRDefault="00802CAF" w:rsidP="00807E50">
      <w:pPr>
        <w:rPr>
          <w:rFonts w:ascii="Arial" w:hAnsi="Arial" w:cs="Arial"/>
          <w:szCs w:val="24"/>
        </w:rPr>
      </w:pPr>
      <w:r w:rsidRPr="00807E50">
        <w:rPr>
          <w:rFonts w:ascii="Arial" w:hAnsi="Arial" w:cs="Arial"/>
          <w:szCs w:val="24"/>
        </w:rPr>
        <w:t>The world is experiencing a transformation in the job markets due to changes in population, such as the aging of the population, reduction in the number of births, and diversity in the workers. In the affluent nations, the number of workers is aging leaving shortages in employment and employment opportunities such as health care, teaching, and engineering</w:t>
      </w:r>
      <w:r w:rsidR="00652749" w:rsidRPr="00807E50">
        <w:rPr>
          <w:rFonts w:ascii="Arial" w:hAnsi="Arial" w:cs="Arial"/>
          <w:szCs w:val="24"/>
        </w:rPr>
        <w:t xml:space="preserve"> (Rekunenko et al., 2024)</w:t>
      </w:r>
      <w:r w:rsidRPr="00807E50">
        <w:rPr>
          <w:rFonts w:ascii="Arial" w:hAnsi="Arial" w:cs="Arial"/>
          <w:szCs w:val="24"/>
        </w:rPr>
        <w:t>. Gen Z and millennials prefer to have more flexibility in their working hours and their use of technology and opportunity to switch jobs and this is the reason why companies adjust their regulations in order to keep their employees satisfied. Migration also alters the labor force because skilled and unskilled labor force migrate towards the locations where there are better job opportunities. Female employees who are more in the workforce, demand equal working environments have altered the regulations on HR concerning fair work, parental leaves, and time flexibility</w:t>
      </w:r>
      <w:r w:rsidR="00652749" w:rsidRPr="00807E50">
        <w:rPr>
          <w:rFonts w:ascii="Arial" w:hAnsi="Arial" w:cs="Arial"/>
          <w:szCs w:val="24"/>
        </w:rPr>
        <w:t xml:space="preserve"> (Benabed, 2024)</w:t>
      </w:r>
      <w:r w:rsidRPr="00807E50">
        <w:rPr>
          <w:rFonts w:ascii="Arial" w:hAnsi="Arial" w:cs="Arial"/>
          <w:szCs w:val="24"/>
        </w:rPr>
        <w:t xml:space="preserve">. In the poor states, a number of the young individuals carry opportunities to embrace new ideas as well as issues with the lack of enough employment. </w:t>
      </w:r>
    </w:p>
    <w:p w14:paraId="324F76C5" w14:textId="6F2133A9" w:rsidR="00802CAF" w:rsidRPr="00807E50" w:rsidRDefault="00514C0E" w:rsidP="00807E50">
      <w:pPr>
        <w:pStyle w:val="Heading2"/>
        <w:rPr>
          <w:rFonts w:ascii="Arial" w:hAnsi="Arial" w:cs="Arial"/>
          <w:sz w:val="24"/>
          <w:szCs w:val="24"/>
        </w:rPr>
      </w:pPr>
      <w:bookmarkStart w:id="9" w:name="_Toc211436896"/>
      <w:r w:rsidRPr="00807E50">
        <w:rPr>
          <w:rFonts w:ascii="Arial" w:hAnsi="Arial" w:cs="Arial"/>
          <w:sz w:val="24"/>
          <w:szCs w:val="24"/>
        </w:rPr>
        <w:t>Geopolitical Factors Influencing Employment Markets</w:t>
      </w:r>
      <w:bookmarkEnd w:id="9"/>
    </w:p>
    <w:p w14:paraId="3A5A1026" w14:textId="0A3186CC" w:rsidR="00802CAF" w:rsidRPr="00807E50" w:rsidRDefault="00802CAF" w:rsidP="00807E50">
      <w:pPr>
        <w:rPr>
          <w:rFonts w:ascii="Arial" w:hAnsi="Arial" w:cs="Arial"/>
          <w:szCs w:val="24"/>
        </w:rPr>
      </w:pPr>
      <w:r w:rsidRPr="00807E50">
        <w:rPr>
          <w:rFonts w:ascii="Arial" w:hAnsi="Arial" w:cs="Arial"/>
          <w:szCs w:val="24"/>
        </w:rPr>
        <w:t xml:space="preserve">World politics such as wars, trade conflict, sanctions, and alliances are significant influencers of employment. The supply chains have been disrupted by political issues in various regions such as the Middle East, Eastern Europe, and parts of Africa that have caused the workforce to move out. Trade wars between the large nations such as the US and China have an impact on the employment of these countries in the factories, shipping and technologies. Policies regarding immigrations and visas alter the ease with which employees travel, including skilled and unskilled labor. The minimum wages, rights and </w:t>
      </w:r>
      <w:r w:rsidRPr="00807E50">
        <w:rPr>
          <w:rFonts w:ascii="Arial" w:hAnsi="Arial" w:cs="Arial"/>
          <w:szCs w:val="24"/>
        </w:rPr>
        <w:lastRenderedPageBreak/>
        <w:t>conditions of the workers are established by organizations such as international labour organization</w:t>
      </w:r>
      <w:r w:rsidR="00652749" w:rsidRPr="00807E50">
        <w:rPr>
          <w:rFonts w:ascii="Arial" w:hAnsi="Arial" w:cs="Arial"/>
          <w:szCs w:val="24"/>
        </w:rPr>
        <w:t xml:space="preserve"> </w:t>
      </w:r>
      <w:r w:rsidR="005802BE" w:rsidRPr="00807E50">
        <w:rPr>
          <w:rFonts w:ascii="Arial" w:hAnsi="Arial" w:cs="Arial"/>
          <w:szCs w:val="24"/>
        </w:rPr>
        <w:t>(Pareekh, 2025)</w:t>
      </w:r>
      <w:r w:rsidRPr="00807E50">
        <w:rPr>
          <w:rFonts w:ascii="Arial" w:hAnsi="Arial" w:cs="Arial"/>
          <w:szCs w:val="24"/>
        </w:rPr>
        <w:t>. Protectionism and economic nationalism complicates the employment of other nations, forcing them to employ the nationally or resort to increased use of machines. The HR leaders should monitor these threats and reformulate their employee strategies to ensure that business operates and does as per the regulations.</w:t>
      </w:r>
    </w:p>
    <w:p w14:paraId="7322F9D5" w14:textId="1B44D2DC" w:rsidR="00802CAF" w:rsidRPr="00807E50" w:rsidRDefault="004D464F" w:rsidP="00807E50">
      <w:pPr>
        <w:pStyle w:val="Heading2"/>
        <w:rPr>
          <w:rFonts w:ascii="Arial" w:hAnsi="Arial" w:cs="Arial"/>
          <w:sz w:val="24"/>
          <w:szCs w:val="24"/>
        </w:rPr>
      </w:pPr>
      <w:bookmarkStart w:id="10" w:name="_Toc211436897"/>
      <w:r w:rsidRPr="00807E50">
        <w:rPr>
          <w:rFonts w:ascii="Arial" w:hAnsi="Arial" w:cs="Arial"/>
          <w:sz w:val="24"/>
          <w:szCs w:val="24"/>
        </w:rPr>
        <w:t>Resulting Challenges for HR</w:t>
      </w:r>
      <w:bookmarkEnd w:id="10"/>
    </w:p>
    <w:p w14:paraId="4F55CAA7" w14:textId="77777777" w:rsidR="00585D47" w:rsidRPr="00807E50" w:rsidRDefault="00802CAF" w:rsidP="00807E50">
      <w:pPr>
        <w:rPr>
          <w:rFonts w:ascii="Arial" w:hAnsi="Arial" w:cs="Arial"/>
          <w:szCs w:val="24"/>
        </w:rPr>
      </w:pPr>
      <w:r w:rsidRPr="00807E50">
        <w:rPr>
          <w:rFonts w:ascii="Arial" w:hAnsi="Arial" w:cs="Arial"/>
          <w:szCs w:val="24"/>
        </w:rPr>
        <w:t>The shifting population and politics present numerous difficult challenges to HR staff who not only have to deal with recruiting, retention, law and other regulations but also face risks. A greying workforce will require the HR to have a sound retirement strategy, knowledge transfer to the novice workers, and flexible working arrangements. Simultaneously, younger employees desire an opportunity to develop at the workplace, juggle work and life, as well as apply digital technology, and the HR needs a revamp of its rewards and employee engagement strategies</w:t>
      </w:r>
      <w:r w:rsidR="005802BE" w:rsidRPr="00807E50">
        <w:rPr>
          <w:rFonts w:ascii="Arial" w:hAnsi="Arial" w:cs="Arial"/>
          <w:szCs w:val="24"/>
        </w:rPr>
        <w:t xml:space="preserve"> (Adias and Raimi, 2025)</w:t>
      </w:r>
      <w:r w:rsidRPr="00807E50">
        <w:rPr>
          <w:rFonts w:ascii="Arial" w:hAnsi="Arial" w:cs="Arial"/>
          <w:szCs w:val="24"/>
        </w:rPr>
        <w:t xml:space="preserve">. The lack of skilled workers may be prompted by political issues and migration restrictions: in this case, HR support will allow local workers to acquire new skills. </w:t>
      </w:r>
    </w:p>
    <w:p w14:paraId="4D89775C" w14:textId="77777777" w:rsidR="00676AA7" w:rsidRPr="00807E50" w:rsidRDefault="00676AA7" w:rsidP="00807E50">
      <w:pPr>
        <w:keepNext/>
        <w:jc w:val="center"/>
        <w:rPr>
          <w:rFonts w:ascii="Arial" w:hAnsi="Arial" w:cs="Arial"/>
          <w:szCs w:val="24"/>
        </w:rPr>
      </w:pPr>
      <w:r w:rsidRPr="00807E50">
        <w:rPr>
          <w:rFonts w:ascii="Arial" w:hAnsi="Arial" w:cs="Arial"/>
          <w:noProof/>
          <w:szCs w:val="24"/>
        </w:rPr>
        <w:drawing>
          <wp:inline distT="0" distB="0" distL="0" distR="0" wp14:anchorId="4A12088E" wp14:editId="6020AB8E">
            <wp:extent cx="5016500" cy="3658401"/>
            <wp:effectExtent l="0" t="0" r="0" b="0"/>
            <wp:docPr id="901022937" name="Picture 4" descr="A graph with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022937" name="Picture 4" descr="A graph with blue and orange bar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4124" cy="3663961"/>
                    </a:xfrm>
                    <a:prstGeom prst="rect">
                      <a:avLst/>
                    </a:prstGeom>
                    <a:noFill/>
                    <a:ln>
                      <a:noFill/>
                    </a:ln>
                  </pic:spPr>
                </pic:pic>
              </a:graphicData>
            </a:graphic>
          </wp:inline>
        </w:drawing>
      </w:r>
    </w:p>
    <w:p w14:paraId="6EC579B4" w14:textId="54DFC7CC" w:rsidR="00585D47" w:rsidRPr="00807E50" w:rsidRDefault="00676AA7" w:rsidP="00807E50">
      <w:pPr>
        <w:pStyle w:val="Caption"/>
        <w:rPr>
          <w:rFonts w:ascii="Arial" w:hAnsi="Arial" w:cs="Arial"/>
          <w:sz w:val="24"/>
          <w:szCs w:val="24"/>
        </w:rPr>
      </w:pPr>
      <w:r w:rsidRPr="00807E50">
        <w:rPr>
          <w:rFonts w:ascii="Arial" w:hAnsi="Arial" w:cs="Arial"/>
          <w:sz w:val="24"/>
          <w:szCs w:val="24"/>
        </w:rPr>
        <w:t xml:space="preserve">Figure </w:t>
      </w:r>
      <w:r w:rsidR="00156A3A" w:rsidRPr="00807E50">
        <w:rPr>
          <w:rFonts w:ascii="Arial" w:hAnsi="Arial" w:cs="Arial"/>
          <w:sz w:val="24"/>
          <w:szCs w:val="24"/>
        </w:rPr>
        <w:fldChar w:fldCharType="begin"/>
      </w:r>
      <w:r w:rsidR="00156A3A" w:rsidRPr="00807E50">
        <w:rPr>
          <w:rFonts w:ascii="Arial" w:hAnsi="Arial" w:cs="Arial"/>
          <w:sz w:val="24"/>
          <w:szCs w:val="24"/>
        </w:rPr>
        <w:instrText xml:space="preserve"> SEQ Figure \* ARABIC </w:instrText>
      </w:r>
      <w:r w:rsidR="00156A3A" w:rsidRPr="00807E50">
        <w:rPr>
          <w:rFonts w:ascii="Arial" w:hAnsi="Arial" w:cs="Arial"/>
          <w:sz w:val="24"/>
          <w:szCs w:val="24"/>
        </w:rPr>
        <w:fldChar w:fldCharType="separate"/>
      </w:r>
      <w:r w:rsidRPr="00807E50">
        <w:rPr>
          <w:rFonts w:ascii="Arial" w:hAnsi="Arial" w:cs="Arial"/>
          <w:noProof/>
          <w:sz w:val="24"/>
          <w:szCs w:val="24"/>
        </w:rPr>
        <w:t>2</w:t>
      </w:r>
      <w:r w:rsidR="00156A3A" w:rsidRPr="00807E50">
        <w:rPr>
          <w:rFonts w:ascii="Arial" w:hAnsi="Arial" w:cs="Arial"/>
          <w:noProof/>
          <w:sz w:val="24"/>
          <w:szCs w:val="24"/>
        </w:rPr>
        <w:fldChar w:fldCharType="end"/>
      </w:r>
      <w:r w:rsidRPr="00807E50">
        <w:rPr>
          <w:rFonts w:ascii="Arial" w:hAnsi="Arial" w:cs="Arial"/>
          <w:sz w:val="24"/>
          <w:szCs w:val="24"/>
        </w:rPr>
        <w:t>: Demographic factors and HR Challenges</w:t>
      </w:r>
    </w:p>
    <w:p w14:paraId="3568A518" w14:textId="1ACCC2C5" w:rsidR="00676AA7" w:rsidRPr="00807E50" w:rsidRDefault="00676AA7" w:rsidP="00807E50">
      <w:pPr>
        <w:jc w:val="center"/>
        <w:rPr>
          <w:rFonts w:ascii="Arial" w:hAnsi="Arial" w:cs="Arial"/>
          <w:szCs w:val="24"/>
          <w:lang w:val="en-US"/>
        </w:rPr>
      </w:pPr>
      <w:r w:rsidRPr="00807E50">
        <w:rPr>
          <w:rFonts w:ascii="Arial" w:hAnsi="Arial" w:cs="Arial"/>
          <w:szCs w:val="24"/>
          <w:lang w:val="en-US"/>
        </w:rPr>
        <w:lastRenderedPageBreak/>
        <w:t xml:space="preserve">Source: </w:t>
      </w:r>
      <w:r w:rsidRPr="00807E50">
        <w:rPr>
          <w:rFonts w:ascii="Arial" w:hAnsi="Arial" w:cs="Arial"/>
          <w:szCs w:val="24"/>
          <w:lang w:eastAsia="en-GB"/>
        </w:rPr>
        <w:t>(Budhwar et al., 2022)</w:t>
      </w:r>
    </w:p>
    <w:p w14:paraId="1C279948" w14:textId="294C4A27" w:rsidR="00802CAF" w:rsidRPr="00807E50" w:rsidRDefault="00802CAF" w:rsidP="00807E50">
      <w:pPr>
        <w:rPr>
          <w:rFonts w:ascii="Arial" w:hAnsi="Arial" w:cs="Arial"/>
          <w:szCs w:val="24"/>
        </w:rPr>
      </w:pPr>
      <w:r w:rsidRPr="00807E50">
        <w:rPr>
          <w:rFonts w:ascii="Arial" w:hAnsi="Arial" w:cs="Arial"/>
          <w:szCs w:val="24"/>
        </w:rPr>
        <w:t>When there is a large number of diverse backgrounds concerning the workforce, the HR is required to develop equitable policies that accommodate gender, ethnicities, disabilities, and cultures. Unstable politics is also an indication that companies may have to schedule the relocation of workers, work via distance, or offshoring. In most places, HR needs to remain abreast with the shifting work regulations, sanctions and visa policies to remain legal</w:t>
      </w:r>
      <w:r w:rsidR="005802BE" w:rsidRPr="00807E50">
        <w:rPr>
          <w:rFonts w:ascii="Arial" w:hAnsi="Arial" w:cs="Arial"/>
          <w:szCs w:val="24"/>
        </w:rPr>
        <w:t xml:space="preserve"> (Hassanein and Özgit, 2022)</w:t>
      </w:r>
      <w:r w:rsidRPr="00807E50">
        <w:rPr>
          <w:rFonts w:ascii="Arial" w:hAnsi="Arial" w:cs="Arial"/>
          <w:szCs w:val="24"/>
        </w:rPr>
        <w:t>. In difficult markets, retaining talented employees is more challenging, and the HR needs to concentrate on the development of a good company image, attention to the welfare of the employees, and flexible work. Altogether, HR has to develop malleable, equitable and progressive strategies in mitigating these enormous challenges.</w:t>
      </w:r>
    </w:p>
    <w:p w14:paraId="38F09B01" w14:textId="0608D6DD" w:rsidR="004D464F" w:rsidRPr="00807E50" w:rsidRDefault="004D464F" w:rsidP="00807E50">
      <w:pPr>
        <w:pStyle w:val="Heading1"/>
      </w:pPr>
      <w:bookmarkStart w:id="11" w:name="_Toc211436898"/>
      <w:r w:rsidRPr="00807E50">
        <w:t>Task 3</w:t>
      </w:r>
      <w:bookmarkEnd w:id="11"/>
    </w:p>
    <w:p w14:paraId="59FB05FE" w14:textId="5440D610" w:rsidR="004D464F" w:rsidRPr="00807E50" w:rsidRDefault="004D464F" w:rsidP="00807E50">
      <w:pPr>
        <w:pStyle w:val="Heading2"/>
        <w:rPr>
          <w:rFonts w:ascii="Arial" w:hAnsi="Arial" w:cs="Arial"/>
          <w:sz w:val="24"/>
          <w:szCs w:val="24"/>
        </w:rPr>
      </w:pPr>
      <w:bookmarkStart w:id="12" w:name="_Toc211436899"/>
      <w:r w:rsidRPr="00807E50">
        <w:rPr>
          <w:rFonts w:ascii="Arial" w:hAnsi="Arial" w:cs="Arial"/>
          <w:sz w:val="24"/>
          <w:szCs w:val="24"/>
        </w:rPr>
        <w:t>Nature of Skills Gaps</w:t>
      </w:r>
      <w:bookmarkEnd w:id="12"/>
    </w:p>
    <w:p w14:paraId="3F4DA216" w14:textId="474E7B31" w:rsidR="004D464F" w:rsidRPr="00807E50" w:rsidRDefault="00694525" w:rsidP="00807E50">
      <w:pPr>
        <w:rPr>
          <w:rFonts w:ascii="Arial" w:hAnsi="Arial" w:cs="Arial"/>
          <w:szCs w:val="24"/>
        </w:rPr>
      </w:pPr>
      <w:r w:rsidRPr="00807E50">
        <w:rPr>
          <w:rFonts w:ascii="Arial" w:hAnsi="Arial" w:cs="Arial"/>
          <w:szCs w:val="24"/>
        </w:rPr>
        <w:t>As</w:t>
      </w:r>
      <w:r w:rsidR="00A23154" w:rsidRPr="00807E50">
        <w:rPr>
          <w:rFonts w:ascii="Arial" w:hAnsi="Arial" w:cs="Arial"/>
          <w:szCs w:val="24"/>
        </w:rPr>
        <w:t xml:space="preserve"> the pace of innovation in technology has increased, workers with specific skills in artificial intelligence, computer security, cloud computing, and data mining have become increasingly scarce, as a greater number of workers is needed than are available to fill that role</w:t>
      </w:r>
      <w:r w:rsidR="005802BE" w:rsidRPr="00807E50">
        <w:rPr>
          <w:rFonts w:ascii="Arial" w:hAnsi="Arial" w:cs="Arial"/>
          <w:szCs w:val="24"/>
        </w:rPr>
        <w:t xml:space="preserve"> (Jooss et al., 2024)</w:t>
      </w:r>
      <w:r w:rsidR="00A23154" w:rsidRPr="00807E50">
        <w:rPr>
          <w:rFonts w:ascii="Arial" w:hAnsi="Arial" w:cs="Arial"/>
          <w:szCs w:val="24"/>
        </w:rPr>
        <w:t xml:space="preserve">. However, the hotel industry is also experiencing consistent shortages of qualified workers, particularly in customer service, culinary and hotel management, due to high turnover rates and lack of career advancement. </w:t>
      </w:r>
      <w:r w:rsidR="004D464F" w:rsidRPr="00807E50">
        <w:rPr>
          <w:rFonts w:ascii="Arial" w:hAnsi="Arial" w:cs="Arial"/>
          <w:szCs w:val="24"/>
        </w:rPr>
        <w:t>The healthcare industry is suffering from critical shortages of doctors, nurses and allied health professionals due to aging population and the after-effects of international health scourges like COVID-19. These shortages have been aggravated by demographic factors, migration barriers and mismatches between the education systems and the needs of industry</w:t>
      </w:r>
      <w:r w:rsidR="005802BE" w:rsidRPr="00807E50">
        <w:rPr>
          <w:rFonts w:ascii="Arial" w:hAnsi="Arial" w:cs="Arial"/>
          <w:szCs w:val="24"/>
        </w:rPr>
        <w:t xml:space="preserve"> (Ogedengbe et al., 2024)</w:t>
      </w:r>
      <w:r w:rsidR="004D464F" w:rsidRPr="00807E50">
        <w:rPr>
          <w:rFonts w:ascii="Arial" w:hAnsi="Arial" w:cs="Arial"/>
          <w:szCs w:val="24"/>
        </w:rPr>
        <w:t>. Consequently, organisations find it difficult to attract, retain, and develop the right talent, which is a clear indication of the dire need for more strategic interventions in HR itself, in order to align workforce capabilities with the demands of the organisation and the industry.</w:t>
      </w:r>
    </w:p>
    <w:p w14:paraId="35F7187F" w14:textId="3D5FA54B" w:rsidR="004D464F" w:rsidRPr="00807E50" w:rsidRDefault="004D464F" w:rsidP="00807E50">
      <w:pPr>
        <w:pStyle w:val="Heading2"/>
        <w:rPr>
          <w:rFonts w:ascii="Arial" w:hAnsi="Arial" w:cs="Arial"/>
          <w:sz w:val="24"/>
          <w:szCs w:val="24"/>
        </w:rPr>
      </w:pPr>
      <w:bookmarkStart w:id="13" w:name="_Toc211436900"/>
      <w:r w:rsidRPr="00807E50">
        <w:rPr>
          <w:rFonts w:ascii="Arial" w:hAnsi="Arial" w:cs="Arial"/>
          <w:sz w:val="24"/>
          <w:szCs w:val="24"/>
        </w:rPr>
        <w:t>Strategic HRM Respondents</w:t>
      </w:r>
      <w:bookmarkEnd w:id="13"/>
    </w:p>
    <w:p w14:paraId="60D36C70" w14:textId="18BCEF94" w:rsidR="004D464F" w:rsidRPr="00807E50" w:rsidRDefault="00A23154" w:rsidP="00807E50">
      <w:pPr>
        <w:rPr>
          <w:rFonts w:ascii="Arial" w:hAnsi="Arial" w:cs="Arial"/>
          <w:szCs w:val="24"/>
        </w:rPr>
      </w:pPr>
      <w:r w:rsidRPr="00807E50">
        <w:rPr>
          <w:rFonts w:ascii="Arial" w:hAnsi="Arial" w:cs="Arial"/>
          <w:szCs w:val="24"/>
        </w:rPr>
        <w:t xml:space="preserve">Some recommended strategies that organizations can use to address shortage of skills is by being proactive and innovative in designing and implementing their HRM strategies. One of these is to invest in ongoing learning and development programs to empower </w:t>
      </w:r>
      <w:r w:rsidRPr="00807E50">
        <w:rPr>
          <w:rFonts w:ascii="Arial" w:hAnsi="Arial" w:cs="Arial"/>
          <w:szCs w:val="24"/>
        </w:rPr>
        <w:lastRenderedPageBreak/>
        <w:t xml:space="preserve">employees to reskill and upskill to adapt to changing business needs. </w:t>
      </w:r>
      <w:r w:rsidR="004D464F" w:rsidRPr="00807E50">
        <w:rPr>
          <w:rFonts w:ascii="Arial" w:hAnsi="Arial" w:cs="Arial"/>
          <w:szCs w:val="24"/>
        </w:rPr>
        <w:t>Talent analytics and workforce planning are also necessary, so that HR managers can anticipate skills shortages and develop strategic recruitment pipelines</w:t>
      </w:r>
      <w:r w:rsidR="005802BE" w:rsidRPr="00807E50">
        <w:rPr>
          <w:rFonts w:ascii="Arial" w:hAnsi="Arial" w:cs="Arial"/>
          <w:szCs w:val="24"/>
        </w:rPr>
        <w:t xml:space="preserve"> (Porkodi et al., 2025)</w:t>
      </w:r>
      <w:r w:rsidR="004D464F" w:rsidRPr="00807E50">
        <w:rPr>
          <w:rFonts w:ascii="Arial" w:hAnsi="Arial" w:cs="Arial"/>
          <w:szCs w:val="24"/>
        </w:rPr>
        <w:t>. Flexible recruitment strategies, such as drawing on underutilised labour markets such as older workers, international talent pools or those returning from career breaks, can help to fill shortages. Furthermore, employer branding and employee value propositions are important to attract the best talent, especially for younger generations who look for their 'why' in work and career mobility. By embedding diversity, equity and inclusion initiatives organisations can broaden their talent base whilst creating innovative workplaces</w:t>
      </w:r>
      <w:r w:rsidR="005802BE" w:rsidRPr="00807E50">
        <w:rPr>
          <w:rFonts w:ascii="Arial" w:hAnsi="Arial" w:cs="Arial"/>
          <w:szCs w:val="24"/>
        </w:rPr>
        <w:t xml:space="preserve"> (Wijnen-Meijer et al., 2022)</w:t>
      </w:r>
      <w:r w:rsidR="004D464F" w:rsidRPr="00807E50">
        <w:rPr>
          <w:rFonts w:ascii="Arial" w:hAnsi="Arial" w:cs="Arial"/>
          <w:szCs w:val="24"/>
        </w:rPr>
        <w:t>. Overall, HRM needs to be strategic and not reactive in nature, thereby ensuring long-term sustainability of the organisation by meeting the twin objectives of alignment between talent management and organisational growth, and alignment between talent management and labour market conditions.</w:t>
      </w:r>
    </w:p>
    <w:p w14:paraId="0B92D3E2" w14:textId="645119D0" w:rsidR="004D464F" w:rsidRPr="00807E50" w:rsidRDefault="004D464F" w:rsidP="00807E50">
      <w:pPr>
        <w:pStyle w:val="Heading2"/>
        <w:rPr>
          <w:rFonts w:ascii="Arial" w:hAnsi="Arial" w:cs="Arial"/>
          <w:sz w:val="24"/>
          <w:szCs w:val="24"/>
        </w:rPr>
      </w:pPr>
      <w:bookmarkStart w:id="14" w:name="_Toc211436901"/>
      <w:r w:rsidRPr="00807E50">
        <w:rPr>
          <w:rFonts w:ascii="Arial" w:hAnsi="Arial" w:cs="Arial"/>
          <w:sz w:val="24"/>
          <w:szCs w:val="24"/>
        </w:rPr>
        <w:t>Sector Specific Considerations</w:t>
      </w:r>
      <w:bookmarkEnd w:id="14"/>
    </w:p>
    <w:p w14:paraId="4D603A69" w14:textId="0785CB18" w:rsidR="004D464F" w:rsidRPr="00807E50" w:rsidRDefault="004D464F" w:rsidP="00807E50">
      <w:pPr>
        <w:rPr>
          <w:rFonts w:ascii="Arial" w:hAnsi="Arial" w:cs="Arial"/>
          <w:szCs w:val="24"/>
        </w:rPr>
      </w:pPr>
      <w:r w:rsidRPr="00807E50">
        <w:rPr>
          <w:rFonts w:ascii="Arial" w:hAnsi="Arial" w:cs="Arial"/>
          <w:szCs w:val="24"/>
        </w:rPr>
        <w:t>Sector-specific problems demand specific HRM solutions. In technology, educational institution and apprenticeship programme partnerships can help to cultivate talent pipelines as well as innovation</w:t>
      </w:r>
      <w:r w:rsidR="005802BE" w:rsidRPr="00807E50">
        <w:rPr>
          <w:rFonts w:ascii="Arial" w:hAnsi="Arial" w:cs="Arial"/>
          <w:szCs w:val="24"/>
        </w:rPr>
        <w:t xml:space="preserve"> (Farndale et al., 2025)</w:t>
      </w:r>
      <w:r w:rsidRPr="00807E50">
        <w:rPr>
          <w:rFonts w:ascii="Arial" w:hAnsi="Arial" w:cs="Arial"/>
          <w:szCs w:val="24"/>
        </w:rPr>
        <w:t>. The hospitality industry benefits from the approach of improving the engagement of their employees through career development, competitive rewards, and better working conditions to reduce a high rate of turnover. In healthcare investment in continual professional training, international recruitment, and helpful working environments can help maintain staff and manage burnout. Additionally, in some of these critical sectors there is a need for government co-operation and public-private partnerships to fill systemic labour shortages. For example, national healthcare systems may require coordinated workforce planning whilst tourism boards may be able to provide support for hospitality training schemes</w:t>
      </w:r>
      <w:r w:rsidR="005802BE" w:rsidRPr="00807E50">
        <w:rPr>
          <w:rFonts w:ascii="Arial" w:hAnsi="Arial" w:cs="Arial"/>
          <w:szCs w:val="24"/>
        </w:rPr>
        <w:t xml:space="preserve"> (Vrontis et al., 2023)</w:t>
      </w:r>
      <w:r w:rsidRPr="00807E50">
        <w:rPr>
          <w:rFonts w:ascii="Arial" w:hAnsi="Arial" w:cs="Arial"/>
          <w:szCs w:val="24"/>
        </w:rPr>
        <w:t>. Ultimately, strategic HRM needs to tailor its approach to the specific dynamics of every sector, using models like talent management models and the human capital theory to ensure resilience in the face of future workforce disruptions.</w:t>
      </w:r>
    </w:p>
    <w:p w14:paraId="4B92E30B" w14:textId="3B4499B2" w:rsidR="004D464F" w:rsidRPr="00807E50" w:rsidRDefault="004D464F" w:rsidP="00807E50">
      <w:pPr>
        <w:pStyle w:val="Heading1"/>
      </w:pPr>
      <w:bookmarkStart w:id="15" w:name="_Toc211436902"/>
      <w:r w:rsidRPr="00807E50">
        <w:t>Task 4</w:t>
      </w:r>
      <w:bookmarkEnd w:id="15"/>
      <w:r w:rsidRPr="00807E50">
        <w:t xml:space="preserve"> </w:t>
      </w:r>
    </w:p>
    <w:p w14:paraId="5D1CF509" w14:textId="305190A9" w:rsidR="004D464F" w:rsidRPr="00807E50" w:rsidRDefault="00384D6B" w:rsidP="00807E50">
      <w:pPr>
        <w:rPr>
          <w:rFonts w:ascii="Arial" w:hAnsi="Arial" w:cs="Arial"/>
          <w:szCs w:val="24"/>
        </w:rPr>
      </w:pPr>
      <w:r w:rsidRPr="00807E50">
        <w:rPr>
          <w:rFonts w:ascii="Arial" w:hAnsi="Arial" w:cs="Arial"/>
          <w:szCs w:val="24"/>
        </w:rPr>
        <w:t>Using Kolb’s experimental learning cycle, in following a reflective analysis is provided on my current capabilities in working within an international context.</w:t>
      </w:r>
    </w:p>
    <w:p w14:paraId="3AF14485" w14:textId="378C7489" w:rsidR="004D464F" w:rsidRPr="00807E50" w:rsidRDefault="004D464F" w:rsidP="00807E50">
      <w:pPr>
        <w:pStyle w:val="Heading2"/>
        <w:rPr>
          <w:rFonts w:ascii="Arial" w:hAnsi="Arial" w:cs="Arial"/>
          <w:sz w:val="24"/>
          <w:szCs w:val="24"/>
        </w:rPr>
      </w:pPr>
      <w:bookmarkStart w:id="16" w:name="_Toc211436903"/>
      <w:r w:rsidRPr="00807E50">
        <w:rPr>
          <w:rFonts w:ascii="Arial" w:hAnsi="Arial" w:cs="Arial"/>
          <w:sz w:val="24"/>
          <w:szCs w:val="24"/>
        </w:rPr>
        <w:lastRenderedPageBreak/>
        <w:t>Concrete Experience</w:t>
      </w:r>
      <w:bookmarkEnd w:id="16"/>
    </w:p>
    <w:p w14:paraId="4931DA29" w14:textId="622B3C4A" w:rsidR="00802CAF" w:rsidRPr="00807E50" w:rsidRDefault="00A23154" w:rsidP="00807E50">
      <w:pPr>
        <w:rPr>
          <w:rFonts w:ascii="Arial" w:hAnsi="Arial" w:cs="Arial"/>
          <w:szCs w:val="24"/>
        </w:rPr>
      </w:pPr>
      <w:r w:rsidRPr="00807E50">
        <w:rPr>
          <w:rFonts w:ascii="Arial" w:hAnsi="Arial" w:cs="Arial"/>
          <w:szCs w:val="24"/>
        </w:rPr>
        <w:t>I have encountered several situations which challenged my skills in terms of technology, communication, collaborative learning, leadership and self-determined learning. For instance, I participated in a big international group project where we used the digital platforms to work together online. While I was productive in delivering towards the research and presentation, I also found it challenging to get used to working styles, time zones and cultural perspectives. Like advanced analysis tools for data which seemed at first daunting</w:t>
      </w:r>
      <w:r w:rsidR="005802BE" w:rsidRPr="00807E50">
        <w:rPr>
          <w:rFonts w:ascii="Arial" w:hAnsi="Arial" w:cs="Arial"/>
          <w:szCs w:val="24"/>
        </w:rPr>
        <w:t xml:space="preserve"> (Malik et al., 2020)</w:t>
      </w:r>
      <w:r w:rsidRPr="00807E50">
        <w:rPr>
          <w:rFonts w:ascii="Arial" w:hAnsi="Arial" w:cs="Arial"/>
          <w:szCs w:val="24"/>
        </w:rPr>
        <w:t xml:space="preserve">. </w:t>
      </w:r>
      <w:r w:rsidR="00802CAF" w:rsidRPr="00807E50">
        <w:rPr>
          <w:rFonts w:ascii="Arial" w:hAnsi="Arial" w:cs="Arial"/>
          <w:szCs w:val="24"/>
        </w:rPr>
        <w:t xml:space="preserve">Moreover, I found myself enjoying the services that I had led in organising several tasks by maintaining exact deadlines. However, during this time, I faced difficulties in maintaining cross-cultural interactions. </w:t>
      </w:r>
    </w:p>
    <w:p w14:paraId="284F5B72" w14:textId="40109DEE" w:rsidR="004D464F" w:rsidRPr="00807E50" w:rsidRDefault="004D464F" w:rsidP="00807E50">
      <w:pPr>
        <w:pStyle w:val="Heading2"/>
        <w:rPr>
          <w:rFonts w:ascii="Arial" w:hAnsi="Arial" w:cs="Arial"/>
          <w:sz w:val="24"/>
          <w:szCs w:val="24"/>
        </w:rPr>
      </w:pPr>
      <w:bookmarkStart w:id="17" w:name="_Toc211436904"/>
      <w:r w:rsidRPr="00807E50">
        <w:rPr>
          <w:rFonts w:ascii="Arial" w:hAnsi="Arial" w:cs="Arial"/>
          <w:sz w:val="24"/>
          <w:szCs w:val="24"/>
        </w:rPr>
        <w:t>Reflective Observation</w:t>
      </w:r>
      <w:bookmarkEnd w:id="17"/>
    </w:p>
    <w:p w14:paraId="0FB53018" w14:textId="6075701C" w:rsidR="00802CAF" w:rsidRPr="00807E50" w:rsidRDefault="00EB1642" w:rsidP="00807E50">
      <w:pPr>
        <w:rPr>
          <w:rFonts w:ascii="Arial" w:hAnsi="Arial" w:cs="Arial"/>
          <w:szCs w:val="24"/>
        </w:rPr>
      </w:pPr>
      <w:r w:rsidRPr="00807E50">
        <w:rPr>
          <w:rFonts w:ascii="Arial" w:hAnsi="Arial" w:cs="Arial"/>
          <w:szCs w:val="24"/>
        </w:rPr>
        <w:t>Reflecting on the case, I have realized that I had excelled in aspects like being disciplined, completing tasks on schedule and inspiring my colleagues. The group appreciated my ability to organize and take the initiative and I felt a good leader at one point. Nonetheless, in certain cases the communication was not clear due to cultural factors and my lack of confidence in conducting delicate cross-cultural conversations. In terms of technology, I utilized digital resources in teamwork and have not studied more in data analysis and sophisticated software. This even caused me some dependence on others. On the whole, I understood that I am a good team-player who can adjust to the situation, though I should work on my digital competencies and multi-cultural communication skills.</w:t>
      </w:r>
    </w:p>
    <w:p w14:paraId="21FA9391" w14:textId="0F7B7E9E" w:rsidR="004D464F" w:rsidRPr="00807E50" w:rsidRDefault="004D464F" w:rsidP="00807E50">
      <w:pPr>
        <w:pStyle w:val="Heading2"/>
        <w:rPr>
          <w:rFonts w:ascii="Arial" w:hAnsi="Arial" w:cs="Arial"/>
          <w:sz w:val="24"/>
          <w:szCs w:val="24"/>
        </w:rPr>
      </w:pPr>
      <w:bookmarkStart w:id="18" w:name="_Toc211436905"/>
      <w:r w:rsidRPr="00807E50">
        <w:rPr>
          <w:rFonts w:ascii="Arial" w:hAnsi="Arial" w:cs="Arial"/>
          <w:sz w:val="24"/>
          <w:szCs w:val="24"/>
        </w:rPr>
        <w:t>Abstract Conceptualisation</w:t>
      </w:r>
      <w:bookmarkEnd w:id="18"/>
    </w:p>
    <w:p w14:paraId="3B495959" w14:textId="6B5B8183" w:rsidR="00A23154" w:rsidRPr="00807E50" w:rsidRDefault="00802CAF" w:rsidP="00807E50">
      <w:pPr>
        <w:rPr>
          <w:rFonts w:ascii="Arial" w:hAnsi="Arial" w:cs="Arial"/>
          <w:szCs w:val="24"/>
        </w:rPr>
      </w:pPr>
      <w:r w:rsidRPr="00807E50">
        <w:rPr>
          <w:rFonts w:ascii="Arial" w:hAnsi="Arial" w:cs="Arial"/>
          <w:szCs w:val="24"/>
        </w:rPr>
        <w:t xml:space="preserve">I focus more on inspiring my peers and those who work with me. I always try to engage with people that goes with the transformational leadership type. I remain consistent with style while maintaining organisational behaviour. </w:t>
      </w:r>
      <w:r w:rsidR="00A23154" w:rsidRPr="00807E50">
        <w:rPr>
          <w:rFonts w:ascii="Arial" w:hAnsi="Arial" w:cs="Arial"/>
          <w:szCs w:val="24"/>
        </w:rPr>
        <w:t>However, I realized the importance of Hofstede's cultural dimensions theory that explains how culture affects communication and collaboration through values such as individualism or collectivism when I struggled to communicate cross-culturally. Similarly, my dependence on others for technical work showed how critically important digital literacy is in today's workplaces as mentioned in human capital theory. These findings highlight the need for practitioners to enable a complex mix between technical, interpersonal and leadership competencies in order to be successful in international settings</w:t>
      </w:r>
      <w:r w:rsidR="005802BE" w:rsidRPr="00807E50">
        <w:rPr>
          <w:rFonts w:ascii="Arial" w:hAnsi="Arial" w:cs="Arial"/>
          <w:szCs w:val="24"/>
        </w:rPr>
        <w:t xml:space="preserve"> (Pandey et al., 2023)</w:t>
      </w:r>
      <w:r w:rsidR="00A23154" w:rsidRPr="00807E50">
        <w:rPr>
          <w:rFonts w:ascii="Arial" w:hAnsi="Arial" w:cs="Arial"/>
          <w:szCs w:val="24"/>
        </w:rPr>
        <w:t xml:space="preserve">. The life-long learning </w:t>
      </w:r>
      <w:r w:rsidR="00A23154" w:rsidRPr="00807E50">
        <w:rPr>
          <w:rFonts w:ascii="Arial" w:hAnsi="Arial" w:cs="Arial"/>
          <w:szCs w:val="24"/>
        </w:rPr>
        <w:lastRenderedPageBreak/>
        <w:t>theories also highlight the need for lifelong self-development to be able to stay competitive in changing labour markets. Thus, my experiences reaffirm the need to have a balance between strengths and continuous development in the area of technology and intercultural competences.</w:t>
      </w:r>
      <w:r w:rsidR="00A23154" w:rsidRPr="00807E50">
        <w:rPr>
          <w:rFonts w:ascii="Arial" w:hAnsi="Arial" w:cs="Arial"/>
          <w:szCs w:val="24"/>
        </w:rPr>
        <w:tab/>
      </w:r>
    </w:p>
    <w:p w14:paraId="6F3508C0" w14:textId="103423AD" w:rsidR="00384D6B" w:rsidRPr="00807E50" w:rsidRDefault="00384D6B" w:rsidP="00807E50">
      <w:pPr>
        <w:pStyle w:val="Heading2"/>
        <w:rPr>
          <w:rFonts w:ascii="Arial" w:hAnsi="Arial" w:cs="Arial"/>
          <w:sz w:val="24"/>
          <w:szCs w:val="24"/>
        </w:rPr>
      </w:pPr>
      <w:bookmarkStart w:id="19" w:name="_Toc211436906"/>
      <w:r w:rsidRPr="00807E50">
        <w:rPr>
          <w:rFonts w:ascii="Arial" w:hAnsi="Arial" w:cs="Arial"/>
          <w:sz w:val="24"/>
          <w:szCs w:val="24"/>
        </w:rPr>
        <w:t>Active Experimentation</w:t>
      </w:r>
      <w:bookmarkEnd w:id="19"/>
    </w:p>
    <w:p w14:paraId="7CFD29D6" w14:textId="1258F8CC" w:rsidR="00384D6B" w:rsidRPr="00807E50" w:rsidRDefault="00A23154" w:rsidP="00807E50">
      <w:pPr>
        <w:rPr>
          <w:rFonts w:ascii="Arial" w:hAnsi="Arial" w:cs="Arial"/>
          <w:szCs w:val="24"/>
        </w:rPr>
      </w:pPr>
      <w:r w:rsidRPr="00807E50">
        <w:rPr>
          <w:rFonts w:ascii="Arial" w:hAnsi="Arial" w:cs="Arial"/>
          <w:szCs w:val="24"/>
        </w:rPr>
        <w:t xml:space="preserve">I want to maintain my strengths and work on my weaknesses in the upcoming days. To further develop my leadership and teamwork abilities, I will remain active in offering my services to project coordination panels to make sure that I improve my capacity to motivate and steer groups that are dissimilar. Networking and career development: I will also pursue online courses in data analytics, digital HR tools, and other emerging technologies relevant to my career path to improve my technical skills. In respect of communication I will look for opportunities to work with people from diverse cultural backgrounds both in academic and professional contexts and develop active listening skills, and cultural sensitivity. Self-directed learning will continue as the concept of setting personal goals, monitoring progress and reflecting often on outcomes. </w:t>
      </w:r>
    </w:p>
    <w:p w14:paraId="7E07021D" w14:textId="230ABB3C" w:rsidR="00DD453D" w:rsidRPr="00807E50" w:rsidRDefault="00DD453D" w:rsidP="00807E50">
      <w:pPr>
        <w:rPr>
          <w:rFonts w:ascii="Arial" w:hAnsi="Arial" w:cs="Arial"/>
          <w:szCs w:val="24"/>
        </w:rPr>
      </w:pPr>
      <w:r w:rsidRPr="00807E50">
        <w:rPr>
          <w:rFonts w:ascii="Arial" w:hAnsi="Arial" w:cs="Arial"/>
          <w:szCs w:val="24"/>
        </w:rPr>
        <w:br w:type="page"/>
      </w:r>
    </w:p>
    <w:p w14:paraId="23E13A7C" w14:textId="7827B429" w:rsidR="00CB455F" w:rsidRPr="00807E50" w:rsidRDefault="00DD453D" w:rsidP="00807E50">
      <w:pPr>
        <w:pStyle w:val="Heading1"/>
      </w:pPr>
      <w:bookmarkStart w:id="20" w:name="_Toc101999047"/>
      <w:bookmarkStart w:id="21" w:name="_Toc211436907"/>
      <w:r w:rsidRPr="00807E50">
        <w:lastRenderedPageBreak/>
        <w:t>Conclusion</w:t>
      </w:r>
      <w:bookmarkEnd w:id="20"/>
      <w:bookmarkEnd w:id="21"/>
      <w:r w:rsidRPr="00807E50">
        <w:t xml:space="preserve"> </w:t>
      </w:r>
    </w:p>
    <w:p w14:paraId="1724C96A" w14:textId="478B525B" w:rsidR="00694525" w:rsidRPr="00807E50" w:rsidRDefault="00694525" w:rsidP="00807E50">
      <w:pPr>
        <w:rPr>
          <w:rFonts w:ascii="Arial" w:hAnsi="Arial" w:cs="Arial"/>
          <w:szCs w:val="24"/>
          <w:lang w:eastAsia="en-GB"/>
        </w:rPr>
      </w:pPr>
      <w:r w:rsidRPr="00807E50">
        <w:rPr>
          <w:rFonts w:ascii="Arial" w:hAnsi="Arial" w:cs="Arial"/>
          <w:szCs w:val="24"/>
        </w:rPr>
        <w:t>The research revealed that the labor markets are experiencing gigantic transformations, and mainly due to access to technology, demographics, and political occurrences. These trends harbor their own challenges and opportunities in the HRM and IHRM. emerging technologies have altered job description and staff structure and require proper planning of the workforce and frequent learning refreshers. Such shifts as aging and unemployment among the youths coupled with political instabilities place the burden on the HR personnel in their talent management, legislation and movement of workers. The further lack of skills in certain areas makes it more significant to have new HR plans prepared among specific industries</w:t>
      </w:r>
      <w:r w:rsidR="00652749" w:rsidRPr="00807E50">
        <w:rPr>
          <w:rFonts w:ascii="Arial" w:hAnsi="Arial" w:cs="Arial"/>
          <w:szCs w:val="24"/>
        </w:rPr>
        <w:t xml:space="preserve"> </w:t>
      </w:r>
      <w:r w:rsidR="00652749" w:rsidRPr="00807E50">
        <w:rPr>
          <w:rFonts w:ascii="Arial" w:hAnsi="Arial" w:cs="Arial"/>
          <w:szCs w:val="24"/>
          <w:lang w:eastAsia="en-GB"/>
        </w:rPr>
        <w:t>(Budhwar et al., 2022)</w:t>
      </w:r>
      <w:r w:rsidRPr="00807E50">
        <w:rPr>
          <w:rFonts w:ascii="Arial" w:hAnsi="Arial" w:cs="Arial"/>
          <w:szCs w:val="24"/>
        </w:rPr>
        <w:t>. The personal reflection demonstrated the relevance of enhancing personal competencies to the needs made in the global workforce in the future. Teamwork and leadership are strengths that can ensure a foundation to grow, and the enhancement of digital skills and cultural communication will make it possible to work in diverse, technologically oriented locations.</w:t>
      </w:r>
    </w:p>
    <w:p w14:paraId="1E7AA612" w14:textId="77777777" w:rsidR="00DC69B6" w:rsidRPr="00807E50" w:rsidRDefault="00DD453D" w:rsidP="00807E50">
      <w:pPr>
        <w:pStyle w:val="Heading1"/>
        <w:jc w:val="left"/>
      </w:pPr>
      <w:r w:rsidRPr="00807E50">
        <w:br w:type="page"/>
      </w:r>
      <w:bookmarkStart w:id="22" w:name="_Toc211436908"/>
      <w:r w:rsidR="00DC69B6" w:rsidRPr="00807E50">
        <w:lastRenderedPageBreak/>
        <w:t>References</w:t>
      </w:r>
      <w:bookmarkEnd w:id="22"/>
    </w:p>
    <w:p w14:paraId="4583E648"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BBC News (2022) ‘Amazon scraps AI recruiting tool that showed bias against women’, </w:t>
      </w:r>
      <w:r w:rsidRPr="00807E50">
        <w:rPr>
          <w:rFonts w:ascii="Arial" w:hAnsi="Arial" w:cs="Arial"/>
          <w:i/>
          <w:iCs/>
          <w:szCs w:val="24"/>
          <w:lang w:val="en-US"/>
        </w:rPr>
        <w:t>BBC News</w:t>
      </w:r>
      <w:r w:rsidRPr="00807E50">
        <w:rPr>
          <w:rFonts w:ascii="Arial" w:hAnsi="Arial" w:cs="Arial"/>
          <w:szCs w:val="24"/>
          <w:lang w:val="en-US"/>
        </w:rPr>
        <w:t xml:space="preserve">, 25 September. Available at: </w:t>
      </w:r>
      <w:hyperlink r:id="rId11" w:tgtFrame="_new" w:history="1">
        <w:r w:rsidRPr="00807E50">
          <w:rPr>
            <w:rStyle w:val="Hyperlink"/>
            <w:rFonts w:ascii="Arial" w:hAnsi="Arial" w:cs="Arial"/>
            <w:szCs w:val="24"/>
            <w:lang w:val="en-US"/>
          </w:rPr>
          <w:t>https://www.bbc.com/news/technology-45672523</w:t>
        </w:r>
      </w:hyperlink>
      <w:r w:rsidRPr="00807E50">
        <w:rPr>
          <w:rFonts w:ascii="Arial" w:hAnsi="Arial" w:cs="Arial"/>
          <w:szCs w:val="24"/>
          <w:lang w:val="en-US"/>
        </w:rPr>
        <w:t xml:space="preserve"> (Accessed: 12 October 2025).</w:t>
      </w:r>
    </w:p>
    <w:p w14:paraId="70262508"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Belbin, R.M. (2010) </w:t>
      </w:r>
      <w:r w:rsidRPr="00807E50">
        <w:rPr>
          <w:rFonts w:ascii="Arial" w:hAnsi="Arial" w:cs="Arial"/>
          <w:i/>
          <w:iCs/>
          <w:szCs w:val="24"/>
          <w:lang w:val="en-US"/>
        </w:rPr>
        <w:t>Team Roles at Work.</w:t>
      </w:r>
      <w:r w:rsidRPr="00807E50">
        <w:rPr>
          <w:rFonts w:ascii="Arial" w:hAnsi="Arial" w:cs="Arial"/>
          <w:szCs w:val="24"/>
          <w:lang w:val="en-US"/>
        </w:rPr>
        <w:t xml:space="preserve"> 2nd ed. Oxford: Butterworth-Heinemann.</w:t>
      </w:r>
    </w:p>
    <w:p w14:paraId="02678BB0"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Bondarouk, T. and Brewster, C. (2023) </w:t>
      </w:r>
      <w:r w:rsidRPr="00807E50">
        <w:rPr>
          <w:rFonts w:ascii="Arial" w:hAnsi="Arial" w:cs="Arial"/>
          <w:i/>
          <w:iCs/>
          <w:szCs w:val="24"/>
          <w:lang w:val="en-US"/>
        </w:rPr>
        <w:t>e-HRM: Digital Transformation of Human Resource Management.</w:t>
      </w:r>
      <w:r w:rsidRPr="00807E50">
        <w:rPr>
          <w:rFonts w:ascii="Arial" w:hAnsi="Arial" w:cs="Arial"/>
          <w:szCs w:val="24"/>
          <w:lang w:val="en-US"/>
        </w:rPr>
        <w:t xml:space="preserve"> London: Routledge.</w:t>
      </w:r>
    </w:p>
    <w:p w14:paraId="59668214"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Bratton, J. and Gold, J. (2022) </w:t>
      </w:r>
      <w:r w:rsidRPr="00807E50">
        <w:rPr>
          <w:rFonts w:ascii="Arial" w:hAnsi="Arial" w:cs="Arial"/>
          <w:i/>
          <w:iCs/>
          <w:szCs w:val="24"/>
          <w:lang w:val="en-US"/>
        </w:rPr>
        <w:t>Human Resource Management: Theory and Practice.</w:t>
      </w:r>
      <w:r w:rsidRPr="00807E50">
        <w:rPr>
          <w:rFonts w:ascii="Arial" w:hAnsi="Arial" w:cs="Arial"/>
          <w:szCs w:val="24"/>
          <w:lang w:val="en-US"/>
        </w:rPr>
        <w:t xml:space="preserve"> 7th ed. Basingstoke: Palgrave Macmillan.</w:t>
      </w:r>
    </w:p>
    <w:p w14:paraId="4C991A60"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CIPD (2023) </w:t>
      </w:r>
      <w:r w:rsidRPr="00807E50">
        <w:rPr>
          <w:rFonts w:ascii="Arial" w:hAnsi="Arial" w:cs="Arial"/>
          <w:i/>
          <w:iCs/>
          <w:szCs w:val="24"/>
          <w:lang w:val="en-US"/>
        </w:rPr>
        <w:t>Resourcing and Talent Planning Survey 2023.</w:t>
      </w:r>
      <w:r w:rsidRPr="00807E50">
        <w:rPr>
          <w:rFonts w:ascii="Arial" w:hAnsi="Arial" w:cs="Arial"/>
          <w:szCs w:val="24"/>
          <w:lang w:val="en-US"/>
        </w:rPr>
        <w:t xml:space="preserve"> London: Chartered Institute of Personnel and Development. Available at: https://www.cipd.co.uk (Accessed: 12 October 2025).</w:t>
      </w:r>
    </w:p>
    <w:p w14:paraId="2895AEF1"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Dowling, P.J., Festing, M. and Engle, A.D. (2017) </w:t>
      </w:r>
      <w:r w:rsidRPr="00807E50">
        <w:rPr>
          <w:rFonts w:ascii="Arial" w:hAnsi="Arial" w:cs="Arial"/>
          <w:i/>
          <w:iCs/>
          <w:szCs w:val="24"/>
          <w:lang w:val="en-US"/>
        </w:rPr>
        <w:t>International Human Resource Management.</w:t>
      </w:r>
      <w:r w:rsidRPr="00807E50">
        <w:rPr>
          <w:rFonts w:ascii="Arial" w:hAnsi="Arial" w:cs="Arial"/>
          <w:szCs w:val="24"/>
          <w:lang w:val="en-US"/>
        </w:rPr>
        <w:t xml:space="preserve"> 7th ed. London: Cengage Learning.</w:t>
      </w:r>
    </w:p>
    <w:p w14:paraId="116513C4"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Gibbs, G. (1988) </w:t>
      </w:r>
      <w:r w:rsidRPr="00807E50">
        <w:rPr>
          <w:rFonts w:ascii="Arial" w:hAnsi="Arial" w:cs="Arial"/>
          <w:i/>
          <w:iCs/>
          <w:szCs w:val="24"/>
          <w:lang w:val="en-US"/>
        </w:rPr>
        <w:t>Learning by Doing: A Guide to Teaching and Learning Methods.</w:t>
      </w:r>
      <w:r w:rsidRPr="00807E50">
        <w:rPr>
          <w:rFonts w:ascii="Arial" w:hAnsi="Arial" w:cs="Arial"/>
          <w:szCs w:val="24"/>
          <w:lang w:val="en-US"/>
        </w:rPr>
        <w:t xml:space="preserve"> Oxford: Oxford Polytechnic.</w:t>
      </w:r>
    </w:p>
    <w:p w14:paraId="6DB4133A"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Goleman, D. (2009) </w:t>
      </w:r>
      <w:r w:rsidRPr="00807E50">
        <w:rPr>
          <w:rFonts w:ascii="Arial" w:hAnsi="Arial" w:cs="Arial"/>
          <w:i/>
          <w:iCs/>
          <w:szCs w:val="24"/>
          <w:lang w:val="en-US"/>
        </w:rPr>
        <w:t>Emotional Intelligence: Why It Can Matter More Than IQ.</w:t>
      </w:r>
      <w:r w:rsidRPr="00807E50">
        <w:rPr>
          <w:rFonts w:ascii="Arial" w:hAnsi="Arial" w:cs="Arial"/>
          <w:szCs w:val="24"/>
          <w:lang w:val="en-US"/>
        </w:rPr>
        <w:t xml:space="preserve"> London: Bloomsbury.</w:t>
      </w:r>
    </w:p>
    <w:p w14:paraId="30528DC9"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Hofstede Insights (2023) </w:t>
      </w:r>
      <w:r w:rsidRPr="00807E50">
        <w:rPr>
          <w:rFonts w:ascii="Arial" w:hAnsi="Arial" w:cs="Arial"/>
          <w:i/>
          <w:iCs/>
          <w:szCs w:val="24"/>
          <w:lang w:val="en-US"/>
        </w:rPr>
        <w:t>Cultural Dimensions.</w:t>
      </w:r>
      <w:r w:rsidRPr="00807E50">
        <w:rPr>
          <w:rFonts w:ascii="Arial" w:hAnsi="Arial" w:cs="Arial"/>
          <w:szCs w:val="24"/>
          <w:lang w:val="en-US"/>
        </w:rPr>
        <w:t xml:space="preserve"> Available at: https://www.hofstede-insights.com (Accessed: 12 October 2025).</w:t>
      </w:r>
    </w:p>
    <w:p w14:paraId="6A161948"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Honey, P. and Mumford, A. (1992) </w:t>
      </w:r>
      <w:r w:rsidRPr="00807E50">
        <w:rPr>
          <w:rFonts w:ascii="Arial" w:hAnsi="Arial" w:cs="Arial"/>
          <w:i/>
          <w:iCs/>
          <w:szCs w:val="24"/>
          <w:lang w:val="en-US"/>
        </w:rPr>
        <w:t>The Manual of Learning Styles.</w:t>
      </w:r>
      <w:r w:rsidRPr="00807E50">
        <w:rPr>
          <w:rFonts w:ascii="Arial" w:hAnsi="Arial" w:cs="Arial"/>
          <w:szCs w:val="24"/>
          <w:lang w:val="en-US"/>
        </w:rPr>
        <w:t xml:space="preserve"> Maidenhead: Peter Honey Publications.</w:t>
      </w:r>
    </w:p>
    <w:p w14:paraId="6CD4C103"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International Labour Organization (ILO) (2023) </w:t>
      </w:r>
      <w:r w:rsidRPr="00807E50">
        <w:rPr>
          <w:rFonts w:ascii="Arial" w:hAnsi="Arial" w:cs="Arial"/>
          <w:i/>
          <w:iCs/>
          <w:szCs w:val="24"/>
          <w:lang w:val="en-US"/>
        </w:rPr>
        <w:t>World Employment and Social Outlook 2023: The Role of Demographic Change.</w:t>
      </w:r>
      <w:r w:rsidRPr="00807E50">
        <w:rPr>
          <w:rFonts w:ascii="Arial" w:hAnsi="Arial" w:cs="Arial"/>
          <w:szCs w:val="24"/>
          <w:lang w:val="en-US"/>
        </w:rPr>
        <w:t xml:space="preserve"> Geneva: ILO Publishing. Available at: https://www.ilo.org (Accessed: 12 October 2025).</w:t>
      </w:r>
    </w:p>
    <w:p w14:paraId="38FD7279"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Kolb, D.A. (1984) </w:t>
      </w:r>
      <w:r w:rsidRPr="00807E50">
        <w:rPr>
          <w:rFonts w:ascii="Arial" w:hAnsi="Arial" w:cs="Arial"/>
          <w:i/>
          <w:iCs/>
          <w:szCs w:val="24"/>
          <w:lang w:val="en-US"/>
        </w:rPr>
        <w:t>Experiential Learning: Experience as the Source of Learning and Development.</w:t>
      </w:r>
      <w:r w:rsidRPr="00807E50">
        <w:rPr>
          <w:rFonts w:ascii="Arial" w:hAnsi="Arial" w:cs="Arial"/>
          <w:szCs w:val="24"/>
          <w:lang w:val="en-US"/>
        </w:rPr>
        <w:t xml:space="preserve"> Englewood Cliffs, NJ: Prentice Hall.</w:t>
      </w:r>
    </w:p>
    <w:p w14:paraId="6E1D5276"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Lewis, R.E. and Heckman, R.J. (2006) ‘Talent management: A critical review’, </w:t>
      </w:r>
      <w:r w:rsidRPr="00807E50">
        <w:rPr>
          <w:rFonts w:ascii="Arial" w:hAnsi="Arial" w:cs="Arial"/>
          <w:i/>
          <w:iCs/>
          <w:szCs w:val="24"/>
          <w:lang w:val="en-US"/>
        </w:rPr>
        <w:t>Human Resource Management Review</w:t>
      </w:r>
      <w:r w:rsidRPr="00807E50">
        <w:rPr>
          <w:rFonts w:ascii="Arial" w:hAnsi="Arial" w:cs="Arial"/>
          <w:szCs w:val="24"/>
          <w:lang w:val="en-US"/>
        </w:rPr>
        <w:t>, 16(2), pp. 139–154.</w:t>
      </w:r>
    </w:p>
    <w:p w14:paraId="75F17625"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Microsoft (2023) </w:t>
      </w:r>
      <w:r w:rsidRPr="00807E50">
        <w:rPr>
          <w:rFonts w:ascii="Arial" w:hAnsi="Arial" w:cs="Arial"/>
          <w:i/>
          <w:iCs/>
          <w:szCs w:val="24"/>
          <w:lang w:val="en-US"/>
        </w:rPr>
        <w:t>Global Skills Initiative Report.</w:t>
      </w:r>
      <w:r w:rsidRPr="00807E50">
        <w:rPr>
          <w:rFonts w:ascii="Arial" w:hAnsi="Arial" w:cs="Arial"/>
          <w:szCs w:val="24"/>
          <w:lang w:val="en-US"/>
        </w:rPr>
        <w:t xml:space="preserve"> Available at: https://news.microsoft.com (Accessed: 12 October 2025).</w:t>
      </w:r>
    </w:p>
    <w:p w14:paraId="4B4E5E41"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lastRenderedPageBreak/>
        <w:t xml:space="preserve">NHS (2023) </w:t>
      </w:r>
      <w:r w:rsidRPr="00807E50">
        <w:rPr>
          <w:rFonts w:ascii="Arial" w:hAnsi="Arial" w:cs="Arial"/>
          <w:i/>
          <w:iCs/>
          <w:szCs w:val="24"/>
          <w:lang w:val="en-US"/>
        </w:rPr>
        <w:t>International Recruitment Strategy.</w:t>
      </w:r>
      <w:r w:rsidRPr="00807E50">
        <w:rPr>
          <w:rFonts w:ascii="Arial" w:hAnsi="Arial" w:cs="Arial"/>
          <w:szCs w:val="24"/>
          <w:lang w:val="en-US"/>
        </w:rPr>
        <w:t xml:space="preserve"> London: NHS England.</w:t>
      </w:r>
    </w:p>
    <w:p w14:paraId="1882C459"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OECD (2023) </w:t>
      </w:r>
      <w:r w:rsidRPr="00807E50">
        <w:rPr>
          <w:rFonts w:ascii="Arial" w:hAnsi="Arial" w:cs="Arial"/>
          <w:i/>
          <w:iCs/>
          <w:szCs w:val="24"/>
          <w:lang w:val="en-US"/>
        </w:rPr>
        <w:t>Skills Outlook 2023: Building a Resilient Workforce.</w:t>
      </w:r>
      <w:r w:rsidRPr="00807E50">
        <w:rPr>
          <w:rFonts w:ascii="Arial" w:hAnsi="Arial" w:cs="Arial"/>
          <w:szCs w:val="24"/>
          <w:lang w:val="en-US"/>
        </w:rPr>
        <w:t xml:space="preserve"> Paris: OECD Publishing. Available at: https://www.oecd.org (Accessed: 12 October 2025).</w:t>
      </w:r>
    </w:p>
    <w:p w14:paraId="6BB350EA"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United Nations (2022) </w:t>
      </w:r>
      <w:r w:rsidRPr="00807E50">
        <w:rPr>
          <w:rFonts w:ascii="Arial" w:hAnsi="Arial" w:cs="Arial"/>
          <w:i/>
          <w:iCs/>
          <w:szCs w:val="24"/>
          <w:lang w:val="en-US"/>
        </w:rPr>
        <w:t>World Population Prospects 2022: Summary of Results.</w:t>
      </w:r>
      <w:r w:rsidRPr="00807E50">
        <w:rPr>
          <w:rFonts w:ascii="Arial" w:hAnsi="Arial" w:cs="Arial"/>
          <w:szCs w:val="24"/>
          <w:lang w:val="en-US"/>
        </w:rPr>
        <w:t xml:space="preserve"> New York: United Nations Department of Economic and Social Affairs. Available at: https://population.un.org (Accessed: 12 October 2025).</w:t>
      </w:r>
    </w:p>
    <w:p w14:paraId="5933FEE4"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World Bank (2023) </w:t>
      </w:r>
      <w:r w:rsidRPr="00807E50">
        <w:rPr>
          <w:rFonts w:ascii="Arial" w:hAnsi="Arial" w:cs="Arial"/>
          <w:i/>
          <w:iCs/>
          <w:szCs w:val="24"/>
          <w:lang w:val="en-US"/>
        </w:rPr>
        <w:t>Global Economic Prospects 2023.</w:t>
      </w:r>
      <w:r w:rsidRPr="00807E50">
        <w:rPr>
          <w:rFonts w:ascii="Arial" w:hAnsi="Arial" w:cs="Arial"/>
          <w:szCs w:val="24"/>
          <w:lang w:val="en-US"/>
        </w:rPr>
        <w:t xml:space="preserve"> Washington, DC: World Bank. Available at: </w:t>
      </w:r>
      <w:hyperlink r:id="rId12" w:tgtFrame="_new" w:history="1">
        <w:r w:rsidRPr="00807E50">
          <w:rPr>
            <w:rStyle w:val="Hyperlink"/>
            <w:rFonts w:ascii="Arial" w:hAnsi="Arial" w:cs="Arial"/>
            <w:szCs w:val="24"/>
            <w:lang w:val="en-US"/>
          </w:rPr>
          <w:t>https://www.worldbank.org</w:t>
        </w:r>
      </w:hyperlink>
      <w:r w:rsidRPr="00807E50">
        <w:rPr>
          <w:rFonts w:ascii="Arial" w:hAnsi="Arial" w:cs="Arial"/>
          <w:szCs w:val="24"/>
          <w:lang w:val="en-US"/>
        </w:rPr>
        <w:t xml:space="preserve"> (Accessed: 12 October 2025).</w:t>
      </w:r>
    </w:p>
    <w:p w14:paraId="3AC66199" w14:textId="77777777" w:rsidR="00807E50" w:rsidRPr="00807E50" w:rsidRDefault="00807E50" w:rsidP="00807E50">
      <w:pPr>
        <w:jc w:val="left"/>
        <w:rPr>
          <w:rFonts w:ascii="Arial" w:hAnsi="Arial" w:cs="Arial"/>
          <w:szCs w:val="24"/>
          <w:lang w:val="en-US"/>
        </w:rPr>
      </w:pPr>
      <w:r w:rsidRPr="00807E50">
        <w:rPr>
          <w:rFonts w:ascii="Arial" w:hAnsi="Arial" w:cs="Arial"/>
          <w:szCs w:val="24"/>
          <w:lang w:val="en-US"/>
        </w:rPr>
        <w:t xml:space="preserve">World Economic Forum (2023) </w:t>
      </w:r>
      <w:r w:rsidRPr="00807E50">
        <w:rPr>
          <w:rFonts w:ascii="Arial" w:hAnsi="Arial" w:cs="Arial"/>
          <w:i/>
          <w:iCs/>
          <w:szCs w:val="24"/>
          <w:lang w:val="en-US"/>
        </w:rPr>
        <w:t>The Future of Jobs Report 2023.</w:t>
      </w:r>
      <w:r w:rsidRPr="00807E50">
        <w:rPr>
          <w:rFonts w:ascii="Arial" w:hAnsi="Arial" w:cs="Arial"/>
          <w:szCs w:val="24"/>
          <w:lang w:val="en-US"/>
        </w:rPr>
        <w:t xml:space="preserve"> Geneva: World Economic Forum. Available at: https://www.weforum.org (Accessed: 12 October 2025).</w:t>
      </w:r>
    </w:p>
    <w:p w14:paraId="2637752B" w14:textId="14E3DFCD" w:rsidR="00DD453D" w:rsidRPr="00807E50" w:rsidRDefault="00DD453D" w:rsidP="00807E50">
      <w:pPr>
        <w:jc w:val="left"/>
        <w:rPr>
          <w:rFonts w:ascii="Arial" w:hAnsi="Arial" w:cs="Arial"/>
          <w:szCs w:val="24"/>
          <w:lang w:eastAsia="en-GB"/>
        </w:rPr>
      </w:pPr>
    </w:p>
    <w:sectPr w:rsidR="00DD453D" w:rsidRPr="00807E5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E5EFC" w14:textId="77777777" w:rsidR="00616EF7" w:rsidRDefault="00616EF7" w:rsidP="000960DA">
      <w:pPr>
        <w:spacing w:line="240" w:lineRule="auto"/>
      </w:pPr>
      <w:r>
        <w:separator/>
      </w:r>
    </w:p>
  </w:endnote>
  <w:endnote w:type="continuationSeparator" w:id="0">
    <w:p w14:paraId="1C69E13A" w14:textId="77777777" w:rsidR="00616EF7" w:rsidRDefault="00616EF7"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063F7" w14:textId="77777777" w:rsidR="00616EF7" w:rsidRDefault="00616EF7" w:rsidP="000960DA">
      <w:pPr>
        <w:spacing w:line="240" w:lineRule="auto"/>
      </w:pPr>
      <w:r>
        <w:separator/>
      </w:r>
    </w:p>
  </w:footnote>
  <w:footnote w:type="continuationSeparator" w:id="0">
    <w:p w14:paraId="4E2EC320" w14:textId="77777777" w:rsidR="00616EF7" w:rsidRDefault="00616EF7"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560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qwUAUNygBiwAAAA="/>
  </w:docVars>
  <w:rsids>
    <w:rsidRoot w:val="00A27A2D"/>
    <w:rsid w:val="00056E69"/>
    <w:rsid w:val="00070058"/>
    <w:rsid w:val="000960DA"/>
    <w:rsid w:val="000A6B49"/>
    <w:rsid w:val="000C3023"/>
    <w:rsid w:val="000D34D8"/>
    <w:rsid w:val="000E785E"/>
    <w:rsid w:val="000F591B"/>
    <w:rsid w:val="001015FC"/>
    <w:rsid w:val="00103E4C"/>
    <w:rsid w:val="00151BF9"/>
    <w:rsid w:val="001526D2"/>
    <w:rsid w:val="00156A3A"/>
    <w:rsid w:val="0018308C"/>
    <w:rsid w:val="00185FBE"/>
    <w:rsid w:val="00197CB4"/>
    <w:rsid w:val="001B0B88"/>
    <w:rsid w:val="001D5DA1"/>
    <w:rsid w:val="002230BE"/>
    <w:rsid w:val="002770C0"/>
    <w:rsid w:val="00293BA3"/>
    <w:rsid w:val="002B54DE"/>
    <w:rsid w:val="002B5911"/>
    <w:rsid w:val="002D1B40"/>
    <w:rsid w:val="002D20AF"/>
    <w:rsid w:val="003364EC"/>
    <w:rsid w:val="0038452C"/>
    <w:rsid w:val="00384D6B"/>
    <w:rsid w:val="003A3907"/>
    <w:rsid w:val="003D5466"/>
    <w:rsid w:val="00407041"/>
    <w:rsid w:val="00420DE2"/>
    <w:rsid w:val="00455940"/>
    <w:rsid w:val="00456AEB"/>
    <w:rsid w:val="004706A9"/>
    <w:rsid w:val="00474E04"/>
    <w:rsid w:val="004A0FB2"/>
    <w:rsid w:val="004B0105"/>
    <w:rsid w:val="004D464F"/>
    <w:rsid w:val="00503D3E"/>
    <w:rsid w:val="00514C0E"/>
    <w:rsid w:val="00523957"/>
    <w:rsid w:val="00567155"/>
    <w:rsid w:val="00573E63"/>
    <w:rsid w:val="005802BE"/>
    <w:rsid w:val="00585D47"/>
    <w:rsid w:val="00595298"/>
    <w:rsid w:val="005A11D8"/>
    <w:rsid w:val="005A20AB"/>
    <w:rsid w:val="005B547C"/>
    <w:rsid w:val="005C64B0"/>
    <w:rsid w:val="00612F30"/>
    <w:rsid w:val="00616EF7"/>
    <w:rsid w:val="00634C9D"/>
    <w:rsid w:val="006443C7"/>
    <w:rsid w:val="00652749"/>
    <w:rsid w:val="00656FEE"/>
    <w:rsid w:val="00661230"/>
    <w:rsid w:val="00664FFF"/>
    <w:rsid w:val="00676AA7"/>
    <w:rsid w:val="00694525"/>
    <w:rsid w:val="0069714C"/>
    <w:rsid w:val="006A244C"/>
    <w:rsid w:val="006A5391"/>
    <w:rsid w:val="006A6A3A"/>
    <w:rsid w:val="006B32F0"/>
    <w:rsid w:val="006E0EC0"/>
    <w:rsid w:val="00716FE0"/>
    <w:rsid w:val="00761126"/>
    <w:rsid w:val="00773AC1"/>
    <w:rsid w:val="00791EAF"/>
    <w:rsid w:val="007B11E1"/>
    <w:rsid w:val="007C7F33"/>
    <w:rsid w:val="007E22AA"/>
    <w:rsid w:val="007F79C3"/>
    <w:rsid w:val="00802CAF"/>
    <w:rsid w:val="00807E50"/>
    <w:rsid w:val="00815B5F"/>
    <w:rsid w:val="00836D3E"/>
    <w:rsid w:val="00853350"/>
    <w:rsid w:val="00853B07"/>
    <w:rsid w:val="008C00A7"/>
    <w:rsid w:val="008D1D7B"/>
    <w:rsid w:val="008F425E"/>
    <w:rsid w:val="00955356"/>
    <w:rsid w:val="0097518C"/>
    <w:rsid w:val="00994F4E"/>
    <w:rsid w:val="009A1B47"/>
    <w:rsid w:val="00A15A3B"/>
    <w:rsid w:val="00A202AA"/>
    <w:rsid w:val="00A23154"/>
    <w:rsid w:val="00A269EA"/>
    <w:rsid w:val="00A27A2D"/>
    <w:rsid w:val="00A367DA"/>
    <w:rsid w:val="00A432CA"/>
    <w:rsid w:val="00A814E1"/>
    <w:rsid w:val="00AA3CF9"/>
    <w:rsid w:val="00AA5941"/>
    <w:rsid w:val="00AA6E7B"/>
    <w:rsid w:val="00AC090B"/>
    <w:rsid w:val="00AD6A3E"/>
    <w:rsid w:val="00AE282F"/>
    <w:rsid w:val="00B2279E"/>
    <w:rsid w:val="00B40435"/>
    <w:rsid w:val="00B5445F"/>
    <w:rsid w:val="00B77685"/>
    <w:rsid w:val="00BB3FBA"/>
    <w:rsid w:val="00BE15B5"/>
    <w:rsid w:val="00BF6E89"/>
    <w:rsid w:val="00C27815"/>
    <w:rsid w:val="00C30E81"/>
    <w:rsid w:val="00C3229C"/>
    <w:rsid w:val="00C34BFE"/>
    <w:rsid w:val="00C418C8"/>
    <w:rsid w:val="00C5699D"/>
    <w:rsid w:val="00C6709A"/>
    <w:rsid w:val="00C73D09"/>
    <w:rsid w:val="00C80086"/>
    <w:rsid w:val="00CB2C21"/>
    <w:rsid w:val="00CB455F"/>
    <w:rsid w:val="00D35EB5"/>
    <w:rsid w:val="00D53988"/>
    <w:rsid w:val="00D73DAE"/>
    <w:rsid w:val="00D74442"/>
    <w:rsid w:val="00DB6311"/>
    <w:rsid w:val="00DC69B6"/>
    <w:rsid w:val="00DD453D"/>
    <w:rsid w:val="00DD54C7"/>
    <w:rsid w:val="00DF38B7"/>
    <w:rsid w:val="00E16F4C"/>
    <w:rsid w:val="00E176D7"/>
    <w:rsid w:val="00E25218"/>
    <w:rsid w:val="00E47186"/>
    <w:rsid w:val="00E96588"/>
    <w:rsid w:val="00EB1642"/>
    <w:rsid w:val="00ED25D1"/>
    <w:rsid w:val="00F0563F"/>
    <w:rsid w:val="00F15F08"/>
    <w:rsid w:val="00F21F49"/>
    <w:rsid w:val="00F64574"/>
    <w:rsid w:val="00F96DB4"/>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82F"/>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807E50"/>
    <w:pPr>
      <w:keepNext/>
      <w:keepLines/>
      <w:spacing w:before="240"/>
      <w:outlineLvl w:val="0"/>
    </w:pPr>
    <w:rPr>
      <w:rFonts w:ascii="Arial" w:hAnsi="Arial" w:cs="Arial"/>
      <w:b/>
      <w:szCs w:val="24"/>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807E50"/>
    <w:rPr>
      <w:rFonts w:ascii="Arial" w:hAnsi="Arial" w:cs="Arial"/>
      <w:b/>
      <w:sz w:val="24"/>
      <w:szCs w:val="24"/>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853B07"/>
    <w:pPr>
      <w:spacing w:after="100"/>
      <w:ind w:left="240"/>
    </w:pPr>
  </w:style>
  <w:style w:type="character" w:styleId="UnresolvedMention">
    <w:name w:val="Unresolved Mention"/>
    <w:basedOn w:val="DefaultParagraphFont"/>
    <w:uiPriority w:val="99"/>
    <w:semiHidden/>
    <w:unhideWhenUsed/>
    <w:rsid w:val="00807E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ldbank.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technology-4567252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14</Pages>
  <Words>3342</Words>
  <Characters>19890</Characters>
  <Application>Microsoft Office Word</Application>
  <DocSecurity>0</DocSecurity>
  <Lines>326</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BBM FAZLE RABBY NAHI</cp:lastModifiedBy>
  <cp:revision>85</cp:revision>
  <dcterms:created xsi:type="dcterms:W3CDTF">2021-03-05T18:05:00Z</dcterms:created>
  <dcterms:modified xsi:type="dcterms:W3CDTF">2025-10-15T10:16:00Z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16b4fd0638592986ad1e28b3f76941cf874157ed695338ac24294051944d5bd1</vt:lpwstr>
  </property>
</Properties>
</file>