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A2207" w14:textId="77777777" w:rsidR="00BA7DD9" w:rsidRPr="00EA4F4F" w:rsidRDefault="00BA7DD9" w:rsidP="00BA7DD9">
      <w:pPr>
        <w:spacing w:line="480" w:lineRule="auto"/>
        <w:jc w:val="center"/>
        <w:rPr>
          <w:rFonts w:ascii="Times New Roman" w:eastAsia="Times New Roman" w:hAnsi="Times New Roman" w:cs="Times New Roman"/>
          <w:sz w:val="24"/>
          <w:szCs w:val="24"/>
        </w:rPr>
      </w:pPr>
      <w:r>
        <w:rPr>
          <w:noProof/>
        </w:rPr>
        <w:drawing>
          <wp:inline distT="0" distB="0" distL="0" distR="0" wp14:anchorId="74F9CB50" wp14:editId="2DF9BA05">
            <wp:extent cx="4560983" cy="1511547"/>
            <wp:effectExtent l="0" t="0" r="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8069" cy="1513895"/>
                    </a:xfrm>
                    <a:prstGeom prst="rect">
                      <a:avLst/>
                    </a:prstGeom>
                    <a:noFill/>
                    <a:ln>
                      <a:noFill/>
                    </a:ln>
                  </pic:spPr>
                </pic:pic>
              </a:graphicData>
            </a:graphic>
          </wp:inline>
        </w:drawing>
      </w:r>
    </w:p>
    <w:p w14:paraId="21885F41" w14:textId="77777777" w:rsidR="00BA7DD9" w:rsidRDefault="00BA7DD9" w:rsidP="00BA7DD9">
      <w:pPr>
        <w:spacing w:line="480" w:lineRule="auto"/>
        <w:jc w:val="center"/>
        <w:rPr>
          <w:rFonts w:ascii="Times New Roman" w:eastAsia="Times New Roman" w:hAnsi="Times New Roman" w:cs="Times New Roman"/>
          <w:b/>
          <w:bCs/>
          <w:color w:val="000000"/>
          <w:sz w:val="24"/>
          <w:szCs w:val="24"/>
        </w:rPr>
      </w:pPr>
    </w:p>
    <w:p w14:paraId="07BB0C12" w14:textId="77777777" w:rsidR="00BA7DD9" w:rsidRDefault="00BA7DD9" w:rsidP="00BA7DD9">
      <w:pPr>
        <w:spacing w:line="480" w:lineRule="auto"/>
        <w:jc w:val="center"/>
        <w:rPr>
          <w:rFonts w:ascii="Times New Roman" w:eastAsia="Times New Roman" w:hAnsi="Times New Roman" w:cs="Times New Roman"/>
          <w:b/>
          <w:bCs/>
          <w:color w:val="000000"/>
          <w:sz w:val="24"/>
          <w:szCs w:val="24"/>
        </w:rPr>
      </w:pPr>
      <w:r w:rsidRPr="00EA4F4F">
        <w:rPr>
          <w:rFonts w:ascii="Times New Roman" w:eastAsia="Times New Roman" w:hAnsi="Times New Roman" w:cs="Times New Roman"/>
          <w:b/>
          <w:bCs/>
          <w:color w:val="000000"/>
          <w:sz w:val="24"/>
          <w:szCs w:val="24"/>
        </w:rPr>
        <w:t>MODULE CODE: BMBM6012</w:t>
      </w:r>
    </w:p>
    <w:p w14:paraId="2DCABEA5" w14:textId="77777777" w:rsidR="00BA7DD9" w:rsidRDefault="00BA7DD9" w:rsidP="00BA7DD9">
      <w:pPr>
        <w:spacing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LEADING AND DEVELOPING PEOPLE</w:t>
      </w:r>
    </w:p>
    <w:p w14:paraId="56008AF2" w14:textId="77777777" w:rsidR="00BA7DD9" w:rsidRPr="00EA4F4F" w:rsidRDefault="00BA7DD9" w:rsidP="00BA7DD9">
      <w:pPr>
        <w:spacing w:line="480" w:lineRule="auto"/>
        <w:jc w:val="center"/>
        <w:rPr>
          <w:rFonts w:ascii="Times New Roman" w:eastAsia="Times New Roman" w:hAnsi="Times New Roman" w:cs="Times New Roman"/>
          <w:sz w:val="24"/>
          <w:szCs w:val="24"/>
        </w:rPr>
      </w:pPr>
    </w:p>
    <w:p w14:paraId="6DDF38EF" w14:textId="77777777" w:rsidR="00BA7DD9" w:rsidRDefault="00BA7DD9" w:rsidP="00BA7DD9">
      <w:pPr>
        <w:spacing w:line="240" w:lineRule="auto"/>
        <w:rPr>
          <w:rFonts w:ascii="Times New Roman" w:eastAsia="Times New Roman" w:hAnsi="Times New Roman" w:cs="Times New Roman"/>
          <w:sz w:val="24"/>
          <w:szCs w:val="24"/>
        </w:rPr>
      </w:pPr>
    </w:p>
    <w:p w14:paraId="248BC042" w14:textId="77777777" w:rsidR="00041B61" w:rsidRPr="00EA4F4F" w:rsidRDefault="00041B61" w:rsidP="00BA7DD9">
      <w:pPr>
        <w:spacing w:line="240" w:lineRule="auto"/>
        <w:rPr>
          <w:rFonts w:ascii="Times New Roman" w:eastAsia="Times New Roman" w:hAnsi="Times New Roman" w:cs="Times New Roman"/>
          <w:sz w:val="24"/>
          <w:szCs w:val="24"/>
        </w:rPr>
      </w:pPr>
    </w:p>
    <w:p w14:paraId="70C6463A" w14:textId="602241F6" w:rsidR="00041B61" w:rsidRDefault="00041B61" w:rsidP="00041B61">
      <w:pPr>
        <w:spacing w:before="240" w:line="60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CASE STUDY ON</w:t>
      </w:r>
      <w:r>
        <w:rPr>
          <w:rFonts w:ascii="Times New Roman" w:eastAsia="Times New Roman" w:hAnsi="Times New Roman" w:cs="Times New Roman"/>
          <w:b/>
          <w:bCs/>
          <w:color w:val="000000"/>
          <w:sz w:val="24"/>
          <w:szCs w:val="24"/>
        </w:rPr>
        <w:br/>
        <w:t>THE LEARNING AND DEVELOPMENT FRAMEWORK OF</w:t>
      </w:r>
      <w:r>
        <w:rPr>
          <w:rFonts w:ascii="Times New Roman" w:eastAsia="Times New Roman" w:hAnsi="Times New Roman" w:cs="Times New Roman"/>
          <w:b/>
          <w:bCs/>
          <w:color w:val="000000"/>
          <w:sz w:val="24"/>
          <w:szCs w:val="24"/>
        </w:rPr>
        <w:br/>
        <w:t>CROWN OFFICE AND PROCURATOR FISCAL SERVICE (COPFS)</w:t>
      </w:r>
    </w:p>
    <w:p w14:paraId="514D9FCA" w14:textId="5AC7FA28" w:rsidR="00BA7DD9" w:rsidRPr="00EA4F4F" w:rsidRDefault="00BA7DD9" w:rsidP="00BA7DD9">
      <w:pPr>
        <w:spacing w:line="480" w:lineRule="auto"/>
        <w:rPr>
          <w:rFonts w:ascii="Times New Roman" w:eastAsia="Times New Roman" w:hAnsi="Times New Roman" w:cs="Times New Roman"/>
          <w:sz w:val="24"/>
          <w:szCs w:val="24"/>
        </w:rPr>
      </w:pPr>
    </w:p>
    <w:p w14:paraId="29F7DD94" w14:textId="77777777" w:rsidR="00BA7DD9" w:rsidRPr="00EA4F4F" w:rsidRDefault="00BA7DD9" w:rsidP="00BA7DD9">
      <w:pPr>
        <w:spacing w:line="240" w:lineRule="auto"/>
        <w:rPr>
          <w:rFonts w:ascii="Times New Roman" w:eastAsia="Times New Roman" w:hAnsi="Times New Roman" w:cs="Times New Roman"/>
          <w:sz w:val="24"/>
          <w:szCs w:val="24"/>
        </w:rPr>
      </w:pPr>
    </w:p>
    <w:p w14:paraId="24FC3E66" w14:textId="77777777" w:rsidR="00BA7DD9" w:rsidRPr="00EA4F4F" w:rsidRDefault="00BA7DD9" w:rsidP="00BA7DD9">
      <w:pPr>
        <w:spacing w:line="480" w:lineRule="auto"/>
        <w:rPr>
          <w:rFonts w:ascii="Times New Roman" w:eastAsia="Times New Roman" w:hAnsi="Times New Roman" w:cs="Times New Roman"/>
          <w:sz w:val="24"/>
          <w:szCs w:val="24"/>
        </w:rPr>
      </w:pPr>
      <w:r w:rsidRPr="00EA4F4F">
        <w:rPr>
          <w:rFonts w:ascii="Times New Roman" w:eastAsia="Times New Roman" w:hAnsi="Times New Roman" w:cs="Times New Roman"/>
          <w:b/>
          <w:bCs/>
          <w:color w:val="000000"/>
          <w:sz w:val="24"/>
          <w:szCs w:val="24"/>
        </w:rPr>
        <w:t> </w:t>
      </w:r>
    </w:p>
    <w:p w14:paraId="7BF29B67" w14:textId="77777777" w:rsidR="00BA7DD9" w:rsidRPr="00EA4F4F" w:rsidRDefault="00BA7DD9" w:rsidP="00BA7DD9">
      <w:pPr>
        <w:spacing w:line="480" w:lineRule="auto"/>
        <w:jc w:val="center"/>
        <w:rPr>
          <w:rFonts w:ascii="Times New Roman" w:eastAsia="Times New Roman" w:hAnsi="Times New Roman" w:cs="Times New Roman"/>
          <w:sz w:val="24"/>
          <w:szCs w:val="24"/>
        </w:rPr>
      </w:pPr>
      <w:r w:rsidRPr="00EA4F4F">
        <w:rPr>
          <w:rFonts w:ascii="Times New Roman" w:eastAsia="Times New Roman" w:hAnsi="Times New Roman" w:cs="Times New Roman"/>
          <w:b/>
          <w:bCs/>
          <w:color w:val="000000"/>
          <w:sz w:val="24"/>
          <w:szCs w:val="24"/>
        </w:rPr>
        <w:t>PREPARED BY</w:t>
      </w:r>
    </w:p>
    <w:p w14:paraId="2540C225" w14:textId="77777777" w:rsidR="00BA7DD9" w:rsidRPr="00EA4F4F" w:rsidRDefault="00BA7DD9" w:rsidP="00BA7DD9">
      <w:pPr>
        <w:spacing w:line="480" w:lineRule="auto"/>
        <w:jc w:val="center"/>
        <w:rPr>
          <w:rFonts w:ascii="Times New Roman" w:eastAsia="Times New Roman" w:hAnsi="Times New Roman" w:cs="Times New Roman"/>
          <w:sz w:val="24"/>
          <w:szCs w:val="24"/>
        </w:rPr>
      </w:pPr>
      <w:r w:rsidRPr="00EA4F4F">
        <w:rPr>
          <w:rFonts w:ascii="Times New Roman" w:eastAsia="Times New Roman" w:hAnsi="Times New Roman" w:cs="Times New Roman"/>
          <w:b/>
          <w:bCs/>
          <w:color w:val="000000"/>
          <w:sz w:val="24"/>
          <w:szCs w:val="24"/>
        </w:rPr>
        <w:t>AIMAN HANA YUNUS</w:t>
      </w:r>
    </w:p>
    <w:p w14:paraId="4064C581" w14:textId="77777777" w:rsidR="00BA7DD9" w:rsidRPr="00EA4F4F" w:rsidRDefault="00BA7DD9" w:rsidP="00BA7DD9">
      <w:pPr>
        <w:spacing w:line="480" w:lineRule="auto"/>
        <w:jc w:val="center"/>
        <w:rPr>
          <w:rFonts w:ascii="Times New Roman" w:eastAsia="Times New Roman" w:hAnsi="Times New Roman" w:cs="Times New Roman"/>
          <w:sz w:val="24"/>
          <w:szCs w:val="24"/>
        </w:rPr>
      </w:pPr>
      <w:r w:rsidRPr="00EA4F4F">
        <w:rPr>
          <w:rFonts w:ascii="Times New Roman" w:eastAsia="Times New Roman" w:hAnsi="Times New Roman" w:cs="Times New Roman"/>
          <w:b/>
          <w:bCs/>
          <w:color w:val="000000"/>
          <w:sz w:val="24"/>
          <w:szCs w:val="24"/>
        </w:rPr>
        <w:t>(2</w:t>
      </w:r>
      <w:r>
        <w:rPr>
          <w:rFonts w:ascii="Times New Roman" w:eastAsia="Times New Roman" w:hAnsi="Times New Roman" w:cs="Times New Roman"/>
          <w:b/>
          <w:bCs/>
          <w:color w:val="000000"/>
          <w:sz w:val="24"/>
          <w:szCs w:val="24"/>
        </w:rPr>
        <w:t>226650</w:t>
      </w:r>
      <w:r w:rsidRPr="00EA4F4F">
        <w:rPr>
          <w:rFonts w:ascii="Times New Roman" w:eastAsia="Times New Roman" w:hAnsi="Times New Roman" w:cs="Times New Roman"/>
          <w:b/>
          <w:bCs/>
          <w:color w:val="000000"/>
          <w:sz w:val="24"/>
          <w:szCs w:val="24"/>
        </w:rPr>
        <w:t>)</w:t>
      </w:r>
    </w:p>
    <w:p w14:paraId="6AE97158" w14:textId="77777777" w:rsidR="00BA7DD9" w:rsidRDefault="00BA7DD9" w:rsidP="006A2D77">
      <w:pPr>
        <w:spacing w:before="240" w:line="600" w:lineRule="auto"/>
        <w:jc w:val="both"/>
        <w:rPr>
          <w:rFonts w:ascii="Times New Roman" w:eastAsia="Times" w:hAnsi="Times New Roman" w:cs="Times New Roman"/>
          <w:sz w:val="24"/>
          <w:szCs w:val="24"/>
        </w:rPr>
      </w:pPr>
    </w:p>
    <w:p w14:paraId="5C6871F9" w14:textId="77777777" w:rsidR="002B0E9C" w:rsidRDefault="002B0E9C" w:rsidP="006A2D77">
      <w:pPr>
        <w:spacing w:before="240" w:line="600" w:lineRule="auto"/>
        <w:jc w:val="both"/>
        <w:rPr>
          <w:rFonts w:ascii="Times New Roman" w:eastAsia="Times" w:hAnsi="Times New Roman" w:cs="Times New Roman"/>
          <w:sz w:val="24"/>
          <w:szCs w:val="24"/>
        </w:rPr>
      </w:pPr>
    </w:p>
    <w:p w14:paraId="6F607501" w14:textId="77777777" w:rsidR="002B0E9C" w:rsidRDefault="002B0E9C" w:rsidP="002B0E9C">
      <w:pPr>
        <w:spacing w:line="600" w:lineRule="auto"/>
        <w:jc w:val="both"/>
        <w:rPr>
          <w:rFonts w:ascii="Times New Roman" w:eastAsia="Times" w:hAnsi="Times New Roman" w:cs="Times New Roman"/>
          <w:sz w:val="24"/>
          <w:szCs w:val="24"/>
        </w:rPr>
      </w:pPr>
    </w:p>
    <w:tbl>
      <w:tblPr>
        <w:tblStyle w:val="TableGrid"/>
        <w:tblW w:w="0" w:type="auto"/>
        <w:tblLook w:val="04A0" w:firstRow="1" w:lastRow="0" w:firstColumn="1" w:lastColumn="0" w:noHBand="0" w:noVBand="1"/>
      </w:tblPr>
      <w:tblGrid>
        <w:gridCol w:w="9350"/>
      </w:tblGrid>
      <w:tr w:rsidR="00741DE0" w14:paraId="6EDF5DBB" w14:textId="77777777" w:rsidTr="00741DE0">
        <w:trPr>
          <w:trHeight w:val="557"/>
        </w:trPr>
        <w:tc>
          <w:tcPr>
            <w:tcW w:w="9350" w:type="dxa"/>
          </w:tcPr>
          <w:p w14:paraId="23D9A017" w14:textId="18E99CA8" w:rsidR="00741DE0" w:rsidRDefault="00741DE0" w:rsidP="00741DE0">
            <w:pPr>
              <w:spacing w:before="240" w:line="600" w:lineRule="auto"/>
              <w:jc w:val="center"/>
              <w:rPr>
                <w:rFonts w:ascii="Times New Roman" w:eastAsia="Times" w:hAnsi="Times New Roman" w:cs="Times New Roman"/>
                <w:sz w:val="24"/>
                <w:szCs w:val="24"/>
              </w:rPr>
            </w:pPr>
            <w:r>
              <w:rPr>
                <w:rFonts w:ascii="Times New Roman" w:eastAsia="Times" w:hAnsi="Times New Roman" w:cs="Times New Roman"/>
                <w:sz w:val="24"/>
                <w:szCs w:val="24"/>
              </w:rPr>
              <w:lastRenderedPageBreak/>
              <w:t>Link for Presentation</w:t>
            </w:r>
          </w:p>
        </w:tc>
      </w:tr>
      <w:tr w:rsidR="00741DE0" w14:paraId="23EBC972" w14:textId="77777777" w:rsidTr="00741DE0">
        <w:tc>
          <w:tcPr>
            <w:tcW w:w="9350" w:type="dxa"/>
          </w:tcPr>
          <w:p w14:paraId="2A1287AD" w14:textId="34CD606E" w:rsidR="00741DE0" w:rsidRPr="00741DE0" w:rsidRDefault="00741DE0" w:rsidP="00741DE0">
            <w:pPr>
              <w:spacing w:before="240" w:line="600" w:lineRule="auto"/>
              <w:jc w:val="center"/>
              <w:rPr>
                <w:rFonts w:ascii="Times New Roman" w:eastAsia="Times" w:hAnsi="Times New Roman" w:cs="Times New Roman"/>
                <w:b/>
                <w:bCs/>
                <w:sz w:val="24"/>
                <w:szCs w:val="24"/>
              </w:rPr>
            </w:pPr>
            <w:hyperlink r:id="rId8" w:history="1">
              <w:r>
                <w:rPr>
                  <w:rStyle w:val="Hyperlink"/>
                </w:rPr>
                <w:t>Call with AIMAN and 1 other-20230502_231245-Meeting Recording.mp4</w:t>
              </w:r>
            </w:hyperlink>
          </w:p>
        </w:tc>
      </w:tr>
    </w:tbl>
    <w:p w14:paraId="458749B3" w14:textId="77777777" w:rsidR="00741DE0" w:rsidRDefault="00741DE0" w:rsidP="00212849">
      <w:pPr>
        <w:spacing w:line="600" w:lineRule="auto"/>
        <w:jc w:val="center"/>
        <w:rPr>
          <w:rFonts w:ascii="Times New Roman" w:eastAsia="Times" w:hAnsi="Times New Roman" w:cs="Times New Roman"/>
          <w:sz w:val="24"/>
          <w:szCs w:val="24"/>
        </w:rPr>
      </w:pPr>
    </w:p>
    <w:p w14:paraId="0530C301" w14:textId="76F58F4C" w:rsidR="002B0E9C" w:rsidRDefault="00000000" w:rsidP="00212849">
      <w:pPr>
        <w:spacing w:line="600" w:lineRule="auto"/>
        <w:jc w:val="center"/>
        <w:rPr>
          <w:rFonts w:ascii="Times New Roman" w:eastAsia="Times" w:hAnsi="Times New Roman" w:cs="Times New Roman"/>
          <w:sz w:val="24"/>
          <w:szCs w:val="24"/>
        </w:rPr>
      </w:pPr>
      <w:r w:rsidRPr="006A2D77">
        <w:rPr>
          <w:rFonts w:ascii="Times New Roman" w:eastAsia="Times" w:hAnsi="Times New Roman" w:cs="Times New Roman"/>
          <w:sz w:val="24"/>
          <w:szCs w:val="24"/>
        </w:rPr>
        <w:t>Crown Office and Procurator Fiscal Service</w:t>
      </w:r>
      <w:r w:rsidR="002B0E9C">
        <w:rPr>
          <w:rFonts w:ascii="Times New Roman" w:eastAsia="Times" w:hAnsi="Times New Roman" w:cs="Times New Roman"/>
          <w:sz w:val="24"/>
          <w:szCs w:val="24"/>
        </w:rPr>
        <w:t xml:space="preserve"> (COPFS)</w:t>
      </w:r>
    </w:p>
    <w:p w14:paraId="042F0E49" w14:textId="38BC29F6" w:rsidR="006A2D77" w:rsidRPr="006A2D77" w:rsidRDefault="00000000" w:rsidP="00212849">
      <w:pPr>
        <w:spacing w:line="600" w:lineRule="auto"/>
        <w:jc w:val="center"/>
        <w:rPr>
          <w:rFonts w:ascii="Times New Roman" w:eastAsia="Times" w:hAnsi="Times New Roman" w:cs="Times New Roman"/>
          <w:sz w:val="24"/>
          <w:szCs w:val="24"/>
        </w:rPr>
      </w:pPr>
      <w:r w:rsidRPr="006A2D77">
        <w:rPr>
          <w:rFonts w:ascii="Times New Roman" w:eastAsia="Times" w:hAnsi="Times New Roman" w:cs="Times New Roman"/>
          <w:sz w:val="24"/>
          <w:szCs w:val="24"/>
        </w:rPr>
        <w:t>The Design of the Learning and Development Framework</w:t>
      </w:r>
    </w:p>
    <w:p w14:paraId="00000005" w14:textId="1C43C59D" w:rsidR="006049E5" w:rsidRPr="006A2D77" w:rsidRDefault="00000000" w:rsidP="006A2D77">
      <w:pPr>
        <w:spacing w:before="240" w:line="600" w:lineRule="auto"/>
        <w:jc w:val="both"/>
        <w:rPr>
          <w:rFonts w:ascii="Times New Roman" w:eastAsia="Times" w:hAnsi="Times New Roman" w:cs="Times New Roman"/>
          <w:sz w:val="24"/>
          <w:szCs w:val="24"/>
        </w:rPr>
      </w:pPr>
      <w:r w:rsidRPr="006A2D77">
        <w:rPr>
          <w:rFonts w:ascii="Times New Roman" w:eastAsia="Times" w:hAnsi="Times New Roman" w:cs="Times New Roman"/>
          <w:sz w:val="24"/>
          <w:szCs w:val="24"/>
        </w:rPr>
        <w:t xml:space="preserve">In a general prospectus, the design of a learning and development (L&amp;D) framework can be regarded as a crucial component pertaining to the essence of an organisation. In essence, it can be regarded as a roadmap of some sorts, particularly on how the L&amp;D framework opts to utilises initiatives that are of utmost relevancy, mainly through the prospect of developing important key competences (Nobels &amp; </w:t>
      </w:r>
      <w:proofErr w:type="spellStart"/>
      <w:r w:rsidRPr="006A2D77">
        <w:rPr>
          <w:rFonts w:ascii="Times New Roman" w:eastAsia="Times" w:hAnsi="Times New Roman" w:cs="Times New Roman"/>
          <w:sz w:val="24"/>
          <w:szCs w:val="24"/>
        </w:rPr>
        <w:t>Baele</w:t>
      </w:r>
      <w:proofErr w:type="spellEnd"/>
      <w:r w:rsidRPr="006A2D77">
        <w:rPr>
          <w:rFonts w:ascii="Times New Roman" w:eastAsia="Times" w:hAnsi="Times New Roman" w:cs="Times New Roman"/>
          <w:sz w:val="24"/>
          <w:szCs w:val="24"/>
        </w:rPr>
        <w:t xml:space="preserve">, 2022). </w:t>
      </w:r>
    </w:p>
    <w:p w14:paraId="00000007" w14:textId="0D30A503" w:rsidR="006049E5" w:rsidRPr="006A2D77" w:rsidRDefault="00000000" w:rsidP="006A2D77">
      <w:pPr>
        <w:spacing w:before="240" w:line="600" w:lineRule="auto"/>
        <w:jc w:val="both"/>
        <w:rPr>
          <w:rFonts w:ascii="Times New Roman" w:eastAsia="Times" w:hAnsi="Times New Roman" w:cs="Times New Roman"/>
          <w:sz w:val="24"/>
          <w:szCs w:val="24"/>
        </w:rPr>
      </w:pPr>
      <w:r w:rsidRPr="006A2D77">
        <w:rPr>
          <w:rFonts w:ascii="Times New Roman" w:eastAsia="Times" w:hAnsi="Times New Roman" w:cs="Times New Roman"/>
          <w:sz w:val="24"/>
          <w:szCs w:val="24"/>
        </w:rPr>
        <w:t xml:space="preserve">As for the Crown Office and Procurator Fiscal Service (COPFS) L&amp;D framework of 2021-2023, the organisation plans to develop a partnership- based working environment, of which promotes a broad delivery of “solution- based development” in the span of three years. From a closer look, the L&amp;D framework for COPFS comprises of two important aspects; development and delivery. To put in better terms, the development can best be regarded as an aspect of which focuses on the maintenance and consistency on the prospect of developing the knowledges, skills, and behaviours. On the other hand, delivery focuses on how COPFS, as a whole organization delivers its services in prosecution, as well as death investigation with a high magnitude of excellence. In simpler </w:t>
      </w:r>
      <w:r w:rsidRPr="006A2D77">
        <w:rPr>
          <w:rFonts w:ascii="Times New Roman" w:eastAsia="Times" w:hAnsi="Times New Roman" w:cs="Times New Roman"/>
          <w:sz w:val="24"/>
          <w:szCs w:val="24"/>
        </w:rPr>
        <w:lastRenderedPageBreak/>
        <w:t xml:space="preserve">terms, the development aspects </w:t>
      </w:r>
      <w:r w:rsidR="006A2D77" w:rsidRPr="006A2D77">
        <w:rPr>
          <w:rFonts w:ascii="Times New Roman" w:eastAsia="Times" w:hAnsi="Times New Roman" w:cs="Times New Roman"/>
          <w:sz w:val="24"/>
          <w:szCs w:val="24"/>
        </w:rPr>
        <w:t>revolve</w:t>
      </w:r>
      <w:r w:rsidRPr="006A2D77">
        <w:rPr>
          <w:rFonts w:ascii="Times New Roman" w:eastAsia="Times" w:hAnsi="Times New Roman" w:cs="Times New Roman"/>
          <w:sz w:val="24"/>
          <w:szCs w:val="24"/>
        </w:rPr>
        <w:t xml:space="preserve"> on matters that can be further enhanced to ensure the efficacy of the goals, while the delivery aspect concentrates on the implementation of said matter. To put it through a better perspective, the development aspect consists learning pathways, leadership and management, legal training, accreditation, and development areas. Aside from that, as for the delivery aspect, COPFS focuses on the management of L&amp;D, blended learning, and evaluation. In essence, the components for COPFS’s L&amp;D framework are to resume continuation in the prospect of issuing support for operational L&amp;D needs, and to develop and implement an approach for L&amp;D that can be regarded as feasible and systematically- functional as a whole. From a generic viewpoint, the components within the framework prioritises in further enhancement on the organization through effective management that puts the entirety of its employees into consideration (COPFS, 2021; </w:t>
      </w:r>
      <w:proofErr w:type="spellStart"/>
      <w:r w:rsidRPr="006A2D77">
        <w:rPr>
          <w:rFonts w:ascii="Times New Roman" w:eastAsia="Times" w:hAnsi="Times New Roman" w:cs="Times New Roman"/>
          <w:sz w:val="24"/>
          <w:szCs w:val="24"/>
        </w:rPr>
        <w:t>McPheat</w:t>
      </w:r>
      <w:proofErr w:type="spellEnd"/>
      <w:r w:rsidRPr="006A2D77">
        <w:rPr>
          <w:rFonts w:ascii="Times New Roman" w:eastAsia="Times" w:hAnsi="Times New Roman" w:cs="Times New Roman"/>
          <w:sz w:val="24"/>
          <w:szCs w:val="24"/>
        </w:rPr>
        <w:t xml:space="preserve">, 2017; Seufert &amp; Meier, 2016). </w:t>
      </w:r>
    </w:p>
    <w:p w14:paraId="60716191" w14:textId="77777777" w:rsidR="00117131" w:rsidRDefault="00000000" w:rsidP="006A2D77">
      <w:pPr>
        <w:spacing w:before="240" w:line="600" w:lineRule="auto"/>
        <w:jc w:val="both"/>
        <w:rPr>
          <w:rFonts w:ascii="Times New Roman" w:eastAsia="Times" w:hAnsi="Times New Roman" w:cs="Times New Roman"/>
          <w:sz w:val="24"/>
          <w:szCs w:val="24"/>
        </w:rPr>
      </w:pPr>
      <w:r w:rsidRPr="006A2D77">
        <w:rPr>
          <w:rFonts w:ascii="Times New Roman" w:eastAsia="Times" w:hAnsi="Times New Roman" w:cs="Times New Roman"/>
          <w:sz w:val="24"/>
          <w:szCs w:val="24"/>
        </w:rPr>
        <w:t xml:space="preserve">It can be said that their L&amp;D framework is to be made in alignment of the strategic goals that has been identified by COPFS’s strategic goals. These goals are; to deliver case works that can be considered as of high quality, to provide support for the people of Scotland, as well as to enhance their services through thorough improvement. Through the framework provided by COPFS, it can be said that their approaches </w:t>
      </w:r>
      <w:r w:rsidR="006A2D77" w:rsidRPr="006A2D77">
        <w:rPr>
          <w:rFonts w:ascii="Times New Roman" w:eastAsia="Times" w:hAnsi="Times New Roman" w:cs="Times New Roman"/>
          <w:sz w:val="24"/>
          <w:szCs w:val="24"/>
        </w:rPr>
        <w:t>are</w:t>
      </w:r>
      <w:r w:rsidRPr="006A2D77">
        <w:rPr>
          <w:rFonts w:ascii="Times New Roman" w:eastAsia="Times" w:hAnsi="Times New Roman" w:cs="Times New Roman"/>
          <w:sz w:val="24"/>
          <w:szCs w:val="24"/>
        </w:rPr>
        <w:t xml:space="preserve"> of utmost importance, particularly in consideration of the trends of current times, as well as what is expected in the near future. In a broad sense, from a traditional standpoint, the purpose of L&amp;D was to focus on upskilling the employees, but as of current, the prospect of acceleration can be said to be more in- demand (Brassey, Christensen, &amp; van Dam, </w:t>
      </w:r>
      <w:r w:rsidRPr="006A2D77">
        <w:rPr>
          <w:rFonts w:ascii="Times New Roman" w:eastAsia="Times" w:hAnsi="Times New Roman" w:cs="Times New Roman"/>
          <w:sz w:val="24"/>
          <w:szCs w:val="24"/>
        </w:rPr>
        <w:lastRenderedPageBreak/>
        <w:t xml:space="preserve">2019). To put this into perspective, organisations are now focusing on the prospect of transitioning to a more digital approaches, of which can best be described as the current and future trends. As of such, to attain the goals and focuses, it is of utmost importance that COPFS adapts to such matters, mainly to ensure the effectiveness and efficiency of the framework. In simpler terms, COPFS can best be said to undergo a digital transformation, whilst also managing in the development of people’s capabilities and skills. </w:t>
      </w:r>
    </w:p>
    <w:p w14:paraId="00000009" w14:textId="7388C16D" w:rsidR="006049E5" w:rsidRPr="006A2D77" w:rsidRDefault="00000000" w:rsidP="006A2D77">
      <w:pPr>
        <w:spacing w:before="240" w:line="600" w:lineRule="auto"/>
        <w:jc w:val="both"/>
        <w:rPr>
          <w:rFonts w:ascii="Times New Roman" w:eastAsia="Times" w:hAnsi="Times New Roman" w:cs="Times New Roman"/>
          <w:sz w:val="24"/>
          <w:szCs w:val="24"/>
        </w:rPr>
      </w:pPr>
      <w:r w:rsidRPr="006A2D77">
        <w:rPr>
          <w:rFonts w:ascii="Times New Roman" w:eastAsia="Times" w:hAnsi="Times New Roman" w:cs="Times New Roman"/>
          <w:sz w:val="24"/>
          <w:szCs w:val="24"/>
        </w:rPr>
        <w:t>Under the development aspect, COPFS aims to implement a blended learning approach, of which can best be described as a hybrid approach to learning, particularly through the prospect of combining both digital and traditional education (Quigley, 2023). The changes in the business environment, particularly on the transitioning to a more digital approach is best regarded as significant, as it promotes revolutionary innovation (Engelbrecht, 2003). Through this, COPFS aims to have a “Learning Management System”, by enhancing its e- learning options. While this can be said to be a process of transition for COPFS, it is important that the organisation focuses on implementation an approach that is befitting to the architecture of the system, generally on its efficiency and functionality. Through a generic overview, it can be said that the broad objectives of COPFS is to attain a perfect environment that serves as encouragement to the matter of growth and enhancement, particularly through the comprehensive approach in the current and future needs (COPFS, 2021; Seufert &amp; Meier, 2016; Fee, 2013).</w:t>
      </w:r>
    </w:p>
    <w:p w14:paraId="0000000B" w14:textId="7400948D" w:rsidR="006049E5" w:rsidRPr="006A2D77" w:rsidRDefault="00000000" w:rsidP="006A2D77">
      <w:pPr>
        <w:spacing w:before="240" w:line="600" w:lineRule="auto"/>
        <w:jc w:val="both"/>
        <w:rPr>
          <w:rFonts w:ascii="Times New Roman" w:eastAsia="Times" w:hAnsi="Times New Roman" w:cs="Times New Roman"/>
          <w:sz w:val="24"/>
          <w:szCs w:val="24"/>
        </w:rPr>
      </w:pPr>
      <w:r w:rsidRPr="006A2D77">
        <w:rPr>
          <w:rFonts w:ascii="Times New Roman" w:eastAsia="Times" w:hAnsi="Times New Roman" w:cs="Times New Roman"/>
          <w:sz w:val="24"/>
          <w:szCs w:val="24"/>
        </w:rPr>
        <w:lastRenderedPageBreak/>
        <w:t xml:space="preserve">It is important to note that the design of the framework is shaped through several components which acts as </w:t>
      </w:r>
      <w:r w:rsidR="003674C1">
        <w:rPr>
          <w:rFonts w:ascii="Times New Roman" w:eastAsia="Times" w:hAnsi="Times New Roman" w:cs="Times New Roman"/>
          <w:sz w:val="24"/>
          <w:szCs w:val="24"/>
        </w:rPr>
        <w:t>the main drives</w:t>
      </w:r>
      <w:r w:rsidRPr="006A2D77">
        <w:rPr>
          <w:rFonts w:ascii="Times New Roman" w:eastAsia="Times" w:hAnsi="Times New Roman" w:cs="Times New Roman"/>
          <w:sz w:val="24"/>
          <w:szCs w:val="24"/>
        </w:rPr>
        <w:t xml:space="preserve"> to the framework. For instance, in the L&amp;D framework, the employees within the COPFS are to be granted the opportunity to a plethora of learning offers, specifically of the highest quality. From this, it can be said that what drives COPFS is generically not just on the traditional need to improve productivity, but also to construct a </w:t>
      </w:r>
      <w:proofErr w:type="gramStart"/>
      <w:r w:rsidRPr="006A2D77">
        <w:rPr>
          <w:rFonts w:ascii="Times New Roman" w:eastAsia="Times" w:hAnsi="Times New Roman" w:cs="Times New Roman"/>
          <w:sz w:val="24"/>
          <w:szCs w:val="24"/>
        </w:rPr>
        <w:t>values</w:t>
      </w:r>
      <w:proofErr w:type="gramEnd"/>
      <w:r w:rsidRPr="006A2D77">
        <w:rPr>
          <w:rFonts w:ascii="Times New Roman" w:eastAsia="Times" w:hAnsi="Times New Roman" w:cs="Times New Roman"/>
          <w:sz w:val="24"/>
          <w:szCs w:val="24"/>
        </w:rPr>
        <w:t>- based culture within the organisation, of which would contribute to creating a sense of community, thus further serve as a component of empowerment for the employees as a whole (</w:t>
      </w:r>
      <w:proofErr w:type="spellStart"/>
      <w:r w:rsidRPr="006A2D77">
        <w:rPr>
          <w:rFonts w:ascii="Times New Roman" w:eastAsia="Times" w:hAnsi="Times New Roman" w:cs="Times New Roman"/>
          <w:sz w:val="24"/>
          <w:szCs w:val="24"/>
        </w:rPr>
        <w:t>Garavan</w:t>
      </w:r>
      <w:proofErr w:type="spellEnd"/>
      <w:r w:rsidRPr="006A2D77">
        <w:rPr>
          <w:rFonts w:ascii="Times New Roman" w:eastAsia="Times" w:hAnsi="Times New Roman" w:cs="Times New Roman"/>
          <w:sz w:val="24"/>
          <w:szCs w:val="24"/>
        </w:rPr>
        <w:t xml:space="preserve"> et al., 2020). Henceforth, this would further assist COPFS in attaining its goal to provide the best possible prosecution service in Scotland. In simpler terms, the main drive is to enhance further betterment of the organisation’s services, through its employees (COPFS, 2021;</w:t>
      </w:r>
      <w:r w:rsidR="003674C1">
        <w:rPr>
          <w:rFonts w:ascii="Times New Roman" w:eastAsia="Times" w:hAnsi="Times New Roman" w:cs="Times New Roman"/>
          <w:sz w:val="24"/>
          <w:szCs w:val="24"/>
        </w:rPr>
        <w:t xml:space="preserve"> </w:t>
      </w:r>
      <w:r w:rsidRPr="006A2D77">
        <w:rPr>
          <w:rFonts w:ascii="Times New Roman" w:eastAsia="Times" w:hAnsi="Times New Roman" w:cs="Times New Roman"/>
          <w:sz w:val="24"/>
          <w:szCs w:val="24"/>
        </w:rPr>
        <w:t>Edwards et al., 2013; Seufert &amp; Meier, 2016).</w:t>
      </w:r>
    </w:p>
    <w:p w14:paraId="0000000E" w14:textId="25B3AA0E" w:rsidR="006049E5" w:rsidRDefault="00000000" w:rsidP="006A2D77">
      <w:pPr>
        <w:spacing w:before="240" w:line="600" w:lineRule="auto"/>
        <w:jc w:val="both"/>
        <w:rPr>
          <w:rFonts w:ascii="Times New Roman" w:eastAsia="Times" w:hAnsi="Times New Roman" w:cs="Times New Roman"/>
          <w:sz w:val="24"/>
          <w:szCs w:val="24"/>
        </w:rPr>
      </w:pPr>
      <w:r w:rsidRPr="006A2D77">
        <w:rPr>
          <w:rFonts w:ascii="Times New Roman" w:eastAsia="Times" w:hAnsi="Times New Roman" w:cs="Times New Roman"/>
          <w:sz w:val="24"/>
          <w:szCs w:val="24"/>
        </w:rPr>
        <w:t xml:space="preserve">Another matter that should be taken into consideration is that COPFS’s L&amp;D framework is also aligned to the vision and mission of COPFS as an organisation. In details, COPFS’s mission is to “deliver a vital service to ensure that Scotland is safe from crime, disorder, and danger”, and their vision is to “work in partnership across an effective justice system” (COPFS, 2023). From a general perspective, the L&amp;D framework entails on matters on improving its corporate development, particularly in regards to areas such as the development in learning materials. To quote of the L&amp;D framework directly, COPFS aims to “invest in their people to give them the skills and knowledge they will need to meet public expectations of their service”. Henceforth, it </w:t>
      </w:r>
      <w:r w:rsidRPr="006A2D77">
        <w:rPr>
          <w:rFonts w:ascii="Times New Roman" w:eastAsia="Times" w:hAnsi="Times New Roman" w:cs="Times New Roman"/>
          <w:sz w:val="24"/>
          <w:szCs w:val="24"/>
        </w:rPr>
        <w:lastRenderedPageBreak/>
        <w:t xml:space="preserve">can best be said that the L&amp;D framework provided by COPFS is thoroughly in the range with such (COPFS, 2021, </w:t>
      </w:r>
      <w:proofErr w:type="spellStart"/>
      <w:r w:rsidRPr="006A2D77">
        <w:rPr>
          <w:rFonts w:ascii="Times New Roman" w:eastAsia="Times" w:hAnsi="Times New Roman" w:cs="Times New Roman"/>
          <w:sz w:val="24"/>
          <w:szCs w:val="24"/>
        </w:rPr>
        <w:t>Renninger</w:t>
      </w:r>
      <w:proofErr w:type="spellEnd"/>
      <w:r w:rsidRPr="006A2D77">
        <w:rPr>
          <w:rFonts w:ascii="Times New Roman" w:eastAsia="Times" w:hAnsi="Times New Roman" w:cs="Times New Roman"/>
          <w:sz w:val="24"/>
          <w:szCs w:val="24"/>
        </w:rPr>
        <w:t xml:space="preserve"> et al</w:t>
      </w:r>
      <w:r w:rsidR="00E36AF8">
        <w:rPr>
          <w:rFonts w:ascii="Times New Roman" w:eastAsia="Times" w:hAnsi="Times New Roman" w:cs="Times New Roman"/>
          <w:sz w:val="24"/>
          <w:szCs w:val="24"/>
        </w:rPr>
        <w:t>.</w:t>
      </w:r>
      <w:r w:rsidRPr="006A2D77">
        <w:rPr>
          <w:rFonts w:ascii="Times New Roman" w:eastAsia="Times" w:hAnsi="Times New Roman" w:cs="Times New Roman"/>
          <w:sz w:val="24"/>
          <w:szCs w:val="24"/>
        </w:rPr>
        <w:t>, 2014).</w:t>
      </w:r>
    </w:p>
    <w:p w14:paraId="76346C55" w14:textId="77777777" w:rsidR="00BA7DD9" w:rsidRDefault="00BA7DD9" w:rsidP="006A2D77">
      <w:pPr>
        <w:spacing w:before="240" w:line="600" w:lineRule="auto"/>
        <w:jc w:val="both"/>
        <w:rPr>
          <w:rFonts w:ascii="Times New Roman" w:eastAsia="Times" w:hAnsi="Times New Roman" w:cs="Times New Roman"/>
          <w:sz w:val="24"/>
          <w:szCs w:val="24"/>
        </w:rPr>
      </w:pPr>
    </w:p>
    <w:p w14:paraId="5C5C6C60" w14:textId="77777777" w:rsidR="00BA7DD9" w:rsidRPr="006A2D77" w:rsidRDefault="00BA7DD9" w:rsidP="006A2D77">
      <w:pPr>
        <w:spacing w:before="240" w:line="600" w:lineRule="auto"/>
        <w:jc w:val="both"/>
        <w:rPr>
          <w:rFonts w:ascii="Times New Roman" w:eastAsia="Times" w:hAnsi="Times New Roman" w:cs="Times New Roman"/>
          <w:sz w:val="24"/>
          <w:szCs w:val="24"/>
        </w:rPr>
      </w:pPr>
    </w:p>
    <w:p w14:paraId="6E68701A" w14:textId="6C8B092E" w:rsidR="006A2D77" w:rsidRPr="006A2D77" w:rsidRDefault="00000000">
      <w:pPr>
        <w:spacing w:before="240" w:line="600" w:lineRule="auto"/>
        <w:jc w:val="both"/>
        <w:rPr>
          <w:rFonts w:ascii="Times New Roman" w:eastAsia="Times" w:hAnsi="Times New Roman" w:cs="Times New Roman"/>
          <w:sz w:val="24"/>
          <w:szCs w:val="24"/>
        </w:rPr>
      </w:pPr>
      <w:r w:rsidRPr="006A2D77">
        <w:rPr>
          <w:rFonts w:ascii="Times New Roman" w:eastAsia="Times" w:hAnsi="Times New Roman" w:cs="Times New Roman"/>
          <w:sz w:val="24"/>
          <w:szCs w:val="24"/>
        </w:rPr>
        <w:t>References</w:t>
      </w:r>
    </w:p>
    <w:p w14:paraId="60631A33" w14:textId="626A4ABE" w:rsidR="006A2D77" w:rsidRDefault="006A2D77" w:rsidP="006A2D77">
      <w:pPr>
        <w:pStyle w:val="NormalWeb"/>
        <w:spacing w:before="0" w:beforeAutospacing="0" w:after="0" w:afterAutospacing="0" w:line="480" w:lineRule="auto"/>
        <w:ind w:left="720" w:hanging="720"/>
        <w:jc w:val="both"/>
        <w:rPr>
          <w:rFonts w:eastAsia="Times"/>
        </w:rPr>
      </w:pPr>
      <w:r w:rsidRPr="006A2D77">
        <w:rPr>
          <w:rFonts w:eastAsia="Times"/>
        </w:rPr>
        <w:t xml:space="preserve">Brassey, J., Christensen, L. and van Dam, N. </w:t>
      </w:r>
      <w:r w:rsidR="00026376">
        <w:rPr>
          <w:rFonts w:eastAsia="Times"/>
        </w:rPr>
        <w:t>(</w:t>
      </w:r>
      <w:r w:rsidRPr="006A2D77">
        <w:rPr>
          <w:rFonts w:eastAsia="Times"/>
        </w:rPr>
        <w:t>2019</w:t>
      </w:r>
      <w:r w:rsidR="00026376">
        <w:rPr>
          <w:rFonts w:eastAsia="Times"/>
        </w:rPr>
        <w:t>)</w:t>
      </w:r>
      <w:r w:rsidRPr="006A2D77">
        <w:rPr>
          <w:rFonts w:eastAsia="Times"/>
        </w:rPr>
        <w:t xml:space="preserve"> The essential components of a successful L&amp;D strategy. </w:t>
      </w:r>
      <w:r w:rsidRPr="006A2D77">
        <w:rPr>
          <w:rFonts w:eastAsia="Times"/>
          <w:i/>
        </w:rPr>
        <w:t xml:space="preserve">Mode of access: https://www. </w:t>
      </w:r>
      <w:proofErr w:type="spellStart"/>
      <w:r w:rsidRPr="006A2D77">
        <w:rPr>
          <w:rFonts w:eastAsia="Times"/>
          <w:i/>
        </w:rPr>
        <w:t>Mckinsey</w:t>
      </w:r>
      <w:proofErr w:type="spellEnd"/>
      <w:r w:rsidRPr="006A2D77">
        <w:rPr>
          <w:rFonts w:eastAsia="Times"/>
          <w:i/>
        </w:rPr>
        <w:t>. com/business-functions/organization/our-insights/the-essential-components-of-a-successful-l-and-d-strat</w:t>
      </w:r>
      <w:r w:rsidR="00026376">
        <w:rPr>
          <w:rFonts w:eastAsia="Times"/>
          <w:i/>
        </w:rPr>
        <w:t>e</w:t>
      </w:r>
      <w:r w:rsidRPr="006A2D77">
        <w:rPr>
          <w:rFonts w:eastAsia="Times"/>
          <w:i/>
        </w:rPr>
        <w:t>gy</w:t>
      </w:r>
      <w:r w:rsidRPr="006A2D77">
        <w:rPr>
          <w:rFonts w:eastAsia="Times"/>
        </w:rPr>
        <w:t>.</w:t>
      </w:r>
    </w:p>
    <w:p w14:paraId="3B13A772" w14:textId="13396A6B" w:rsidR="006A2D77" w:rsidRDefault="006A2D77" w:rsidP="006A2D77">
      <w:pPr>
        <w:pStyle w:val="NormalWeb"/>
        <w:spacing w:before="0" w:beforeAutospacing="0" w:after="0" w:afterAutospacing="0" w:line="480" w:lineRule="auto"/>
        <w:ind w:left="720" w:hanging="720"/>
        <w:jc w:val="both"/>
      </w:pPr>
      <w:r>
        <w:rPr>
          <w:i/>
          <w:iCs/>
        </w:rPr>
        <w:t>COPFS</w:t>
      </w:r>
      <w:r>
        <w:t xml:space="preserve"> (2023) “COPFS outlines ambitious vision for Scotland’s prosecution service,” 19 April. Available at: </w:t>
      </w:r>
      <w:r w:rsidRPr="006A2D77">
        <w:t>https://www.copfs.gov.uk/about-copfs/news/copfs-outlines-ambitious-vision-for-scotland-s-prosecution-service/</w:t>
      </w:r>
      <w:r>
        <w:t>.</w:t>
      </w:r>
    </w:p>
    <w:p w14:paraId="2E48B29B" w14:textId="4177A827" w:rsidR="006A2D77" w:rsidRPr="006A2D77" w:rsidRDefault="006A2D77" w:rsidP="006A2D77">
      <w:pPr>
        <w:pStyle w:val="NormalWeb"/>
        <w:spacing w:before="0" w:beforeAutospacing="0" w:after="0" w:afterAutospacing="0" w:line="480" w:lineRule="auto"/>
        <w:ind w:left="720" w:hanging="720"/>
        <w:jc w:val="both"/>
      </w:pPr>
      <w:r>
        <w:rPr>
          <w:i/>
          <w:iCs/>
        </w:rPr>
        <w:t xml:space="preserve">COPFS </w:t>
      </w:r>
      <w:r>
        <w:t xml:space="preserve">(2021) “Learning and Development Strategy” 25 January. Available at: </w:t>
      </w:r>
      <w:r w:rsidRPr="006A2D77">
        <w:t>https://www.copfs.gov.uk/publications/learning-and-development-strategy/</w:t>
      </w:r>
    </w:p>
    <w:p w14:paraId="3CE66505" w14:textId="31B16CED" w:rsidR="006A2D77" w:rsidRDefault="006A2D77" w:rsidP="006A2D77">
      <w:pPr>
        <w:pStyle w:val="NormalWeb"/>
        <w:spacing w:before="0" w:beforeAutospacing="0" w:after="0" w:afterAutospacing="0" w:line="480" w:lineRule="auto"/>
        <w:ind w:left="720" w:hanging="720"/>
        <w:jc w:val="both"/>
        <w:rPr>
          <w:rFonts w:eastAsia="Times"/>
        </w:rPr>
      </w:pPr>
      <w:r w:rsidRPr="006A2D77">
        <w:rPr>
          <w:rFonts w:eastAsia="Times"/>
        </w:rPr>
        <w:t xml:space="preserve">Edwards, G., Elliott, C., </w:t>
      </w:r>
      <w:proofErr w:type="spellStart"/>
      <w:r w:rsidRPr="006A2D77">
        <w:rPr>
          <w:rFonts w:eastAsia="Times"/>
        </w:rPr>
        <w:t>Iszatt</w:t>
      </w:r>
      <w:proofErr w:type="spellEnd"/>
      <w:r w:rsidRPr="006A2D77">
        <w:rPr>
          <w:rFonts w:eastAsia="Times"/>
        </w:rPr>
        <w:t xml:space="preserve">-White, M. and </w:t>
      </w:r>
      <w:proofErr w:type="spellStart"/>
      <w:r w:rsidRPr="006A2D77">
        <w:rPr>
          <w:rFonts w:eastAsia="Times"/>
        </w:rPr>
        <w:t>Schedlitzki</w:t>
      </w:r>
      <w:proofErr w:type="spellEnd"/>
      <w:r w:rsidRPr="006A2D77">
        <w:rPr>
          <w:rFonts w:eastAsia="Times"/>
        </w:rPr>
        <w:t xml:space="preserve">, D., </w:t>
      </w:r>
      <w:r w:rsidR="00026376">
        <w:rPr>
          <w:rFonts w:eastAsia="Times"/>
        </w:rPr>
        <w:t>(</w:t>
      </w:r>
      <w:r w:rsidRPr="006A2D77">
        <w:rPr>
          <w:rFonts w:eastAsia="Times"/>
        </w:rPr>
        <w:t>2013</w:t>
      </w:r>
      <w:r w:rsidR="00026376">
        <w:rPr>
          <w:rFonts w:eastAsia="Times"/>
        </w:rPr>
        <w:t>)</w:t>
      </w:r>
      <w:r w:rsidRPr="006A2D77">
        <w:rPr>
          <w:rFonts w:eastAsia="Times"/>
        </w:rPr>
        <w:t xml:space="preserve"> Critical and alternative approaches to leadership learning and development. </w:t>
      </w:r>
      <w:r w:rsidRPr="006A2D77">
        <w:rPr>
          <w:rFonts w:eastAsia="Times"/>
          <w:i/>
        </w:rPr>
        <w:t>Management Learning</w:t>
      </w:r>
      <w:r w:rsidRPr="006A2D77">
        <w:rPr>
          <w:rFonts w:eastAsia="Times"/>
        </w:rPr>
        <w:t xml:space="preserve">, </w:t>
      </w:r>
      <w:r w:rsidRPr="006A2D77">
        <w:rPr>
          <w:rFonts w:eastAsia="Times"/>
          <w:i/>
        </w:rPr>
        <w:t>44</w:t>
      </w:r>
      <w:r w:rsidRPr="006A2D77">
        <w:rPr>
          <w:rFonts w:eastAsia="Times"/>
        </w:rPr>
        <w:t>(1), pp.3-10.</w:t>
      </w:r>
    </w:p>
    <w:p w14:paraId="7136BFB4" w14:textId="1DC188B9" w:rsidR="006A2D77" w:rsidRDefault="006A2D77" w:rsidP="006A2D77">
      <w:pPr>
        <w:pStyle w:val="NormalWeb"/>
        <w:spacing w:before="0" w:beforeAutospacing="0" w:after="0" w:afterAutospacing="0" w:line="480" w:lineRule="auto"/>
        <w:ind w:left="720" w:hanging="720"/>
        <w:jc w:val="both"/>
        <w:rPr>
          <w:rFonts w:eastAsia="Times"/>
        </w:rPr>
      </w:pPr>
      <w:r w:rsidRPr="006A2D77">
        <w:rPr>
          <w:rFonts w:eastAsia="Times"/>
        </w:rPr>
        <w:t xml:space="preserve">Engelbrecht, E. </w:t>
      </w:r>
      <w:r w:rsidR="00026376">
        <w:rPr>
          <w:rFonts w:eastAsia="Times"/>
        </w:rPr>
        <w:t>(</w:t>
      </w:r>
      <w:r w:rsidRPr="006A2D77">
        <w:rPr>
          <w:rFonts w:eastAsia="Times"/>
        </w:rPr>
        <w:t>2003</w:t>
      </w:r>
      <w:r w:rsidR="00026376">
        <w:rPr>
          <w:rFonts w:eastAsia="Times"/>
        </w:rPr>
        <w:t>)</w:t>
      </w:r>
      <w:r w:rsidRPr="006A2D77">
        <w:rPr>
          <w:rFonts w:eastAsia="Times"/>
        </w:rPr>
        <w:t xml:space="preserve"> A look at e-learning models: investigating their value for developing an e-learning strategy. </w:t>
      </w:r>
      <w:proofErr w:type="spellStart"/>
      <w:r w:rsidRPr="006A2D77">
        <w:rPr>
          <w:rFonts w:eastAsia="Times"/>
          <w:i/>
        </w:rPr>
        <w:t>Progressio</w:t>
      </w:r>
      <w:proofErr w:type="spellEnd"/>
      <w:r w:rsidRPr="006A2D77">
        <w:rPr>
          <w:rFonts w:eastAsia="Times"/>
        </w:rPr>
        <w:t xml:space="preserve">, </w:t>
      </w:r>
      <w:r w:rsidRPr="006A2D77">
        <w:rPr>
          <w:rFonts w:eastAsia="Times"/>
          <w:i/>
        </w:rPr>
        <w:t>25</w:t>
      </w:r>
      <w:r w:rsidRPr="006A2D77">
        <w:rPr>
          <w:rFonts w:eastAsia="Times"/>
        </w:rPr>
        <w:t>(2), pp.38-47.</w:t>
      </w:r>
    </w:p>
    <w:p w14:paraId="035A234C" w14:textId="522A7282" w:rsidR="006A2D77" w:rsidRDefault="006A2D77" w:rsidP="006A2D77">
      <w:pPr>
        <w:pStyle w:val="NormalWeb"/>
        <w:spacing w:before="0" w:beforeAutospacing="0" w:after="0" w:afterAutospacing="0" w:line="480" w:lineRule="auto"/>
        <w:ind w:left="720" w:hanging="720"/>
        <w:jc w:val="both"/>
        <w:rPr>
          <w:rFonts w:eastAsia="Times"/>
        </w:rPr>
      </w:pPr>
      <w:r w:rsidRPr="006A2D77">
        <w:rPr>
          <w:rFonts w:eastAsia="Times"/>
        </w:rPr>
        <w:t xml:space="preserve">Fee, K. </w:t>
      </w:r>
      <w:r w:rsidR="00026376">
        <w:rPr>
          <w:rFonts w:eastAsia="Times"/>
        </w:rPr>
        <w:t>(</w:t>
      </w:r>
      <w:r w:rsidRPr="006A2D77">
        <w:rPr>
          <w:rFonts w:eastAsia="Times"/>
        </w:rPr>
        <w:t>2013</w:t>
      </w:r>
      <w:r w:rsidR="00026376">
        <w:rPr>
          <w:rFonts w:eastAsia="Times"/>
        </w:rPr>
        <w:t>)</w:t>
      </w:r>
      <w:r w:rsidRPr="006A2D77">
        <w:rPr>
          <w:rFonts w:eastAsia="Times"/>
        </w:rPr>
        <w:t xml:space="preserve"> Delivering e-learning. A complete strategy for design, application and assessment. </w:t>
      </w:r>
      <w:r w:rsidRPr="006A2D77">
        <w:rPr>
          <w:rFonts w:eastAsia="Times"/>
          <w:i/>
        </w:rPr>
        <w:t>Development and Learning in Organizations: An International Journal</w:t>
      </w:r>
      <w:r w:rsidRPr="006A2D77">
        <w:rPr>
          <w:rFonts w:eastAsia="Times"/>
        </w:rPr>
        <w:t xml:space="preserve">, </w:t>
      </w:r>
      <w:r w:rsidRPr="006A2D77">
        <w:rPr>
          <w:rFonts w:eastAsia="Times"/>
          <w:i/>
        </w:rPr>
        <w:t>27</w:t>
      </w:r>
      <w:r w:rsidRPr="006A2D77">
        <w:rPr>
          <w:rFonts w:eastAsia="Times"/>
        </w:rPr>
        <w:t>(1).</w:t>
      </w:r>
    </w:p>
    <w:p w14:paraId="655A9C7D" w14:textId="4EF5BC8D" w:rsidR="006A2D77" w:rsidRDefault="006A2D77" w:rsidP="006A2D77">
      <w:pPr>
        <w:pStyle w:val="NormalWeb"/>
        <w:spacing w:before="0" w:beforeAutospacing="0" w:after="0" w:afterAutospacing="0" w:line="480" w:lineRule="auto"/>
        <w:ind w:left="720" w:hanging="720"/>
        <w:jc w:val="both"/>
        <w:rPr>
          <w:rFonts w:eastAsia="Times"/>
        </w:rPr>
      </w:pPr>
      <w:proofErr w:type="spellStart"/>
      <w:r w:rsidRPr="006A2D77">
        <w:rPr>
          <w:rFonts w:eastAsia="Times"/>
        </w:rPr>
        <w:lastRenderedPageBreak/>
        <w:t>Garavan</w:t>
      </w:r>
      <w:proofErr w:type="spellEnd"/>
      <w:r w:rsidRPr="006A2D77">
        <w:rPr>
          <w:rFonts w:eastAsia="Times"/>
        </w:rPr>
        <w:t xml:space="preserve">, T.N., Heneghan, S., O’Brien, F., Gubbins, C., Lai, Y., </w:t>
      </w:r>
      <w:proofErr w:type="spellStart"/>
      <w:r w:rsidRPr="006A2D77">
        <w:rPr>
          <w:rFonts w:eastAsia="Times"/>
        </w:rPr>
        <w:t>Carbery</w:t>
      </w:r>
      <w:proofErr w:type="spellEnd"/>
      <w:r w:rsidRPr="006A2D77">
        <w:rPr>
          <w:rFonts w:eastAsia="Times"/>
        </w:rPr>
        <w:t xml:space="preserve">, R., Duggan, J., </w:t>
      </w:r>
      <w:proofErr w:type="spellStart"/>
      <w:r w:rsidRPr="006A2D77">
        <w:rPr>
          <w:rFonts w:eastAsia="Times"/>
        </w:rPr>
        <w:t>Lannon</w:t>
      </w:r>
      <w:proofErr w:type="spellEnd"/>
      <w:r w:rsidRPr="006A2D77">
        <w:rPr>
          <w:rFonts w:eastAsia="Times"/>
        </w:rPr>
        <w:t xml:space="preserve">, R., Sheehan, M. and Grant, K. </w:t>
      </w:r>
      <w:r w:rsidR="00026376">
        <w:rPr>
          <w:rFonts w:eastAsia="Times"/>
        </w:rPr>
        <w:t>(</w:t>
      </w:r>
      <w:r w:rsidRPr="006A2D77">
        <w:rPr>
          <w:rFonts w:eastAsia="Times"/>
        </w:rPr>
        <w:t>2020</w:t>
      </w:r>
      <w:r w:rsidR="00BA7DD9">
        <w:rPr>
          <w:rFonts w:eastAsia="Times"/>
        </w:rPr>
        <w:t>)</w:t>
      </w:r>
      <w:r w:rsidRPr="006A2D77">
        <w:rPr>
          <w:rFonts w:eastAsia="Times"/>
        </w:rPr>
        <w:t xml:space="preserve"> L&amp;D professionals in organisations: much ambition, unfilled promise. </w:t>
      </w:r>
      <w:r w:rsidRPr="006A2D77">
        <w:rPr>
          <w:rFonts w:eastAsia="Times"/>
          <w:i/>
        </w:rPr>
        <w:t>European Journal of Training and Development</w:t>
      </w:r>
      <w:r w:rsidRPr="006A2D77">
        <w:rPr>
          <w:rFonts w:eastAsia="Times"/>
        </w:rPr>
        <w:t xml:space="preserve">, </w:t>
      </w:r>
      <w:r w:rsidRPr="006A2D77">
        <w:rPr>
          <w:rFonts w:eastAsia="Times"/>
          <w:i/>
        </w:rPr>
        <w:t>44</w:t>
      </w:r>
      <w:r w:rsidRPr="006A2D77">
        <w:rPr>
          <w:rFonts w:eastAsia="Times"/>
        </w:rPr>
        <w:t>(1), pp.1-86.</w:t>
      </w:r>
    </w:p>
    <w:p w14:paraId="42A3BECC" w14:textId="4E81C5B4" w:rsidR="006A2D77" w:rsidRDefault="006A2D77" w:rsidP="006A2D77">
      <w:pPr>
        <w:pStyle w:val="NormalWeb"/>
        <w:spacing w:before="0" w:beforeAutospacing="0" w:after="0" w:afterAutospacing="0" w:line="480" w:lineRule="auto"/>
        <w:ind w:left="720" w:hanging="720"/>
        <w:jc w:val="both"/>
        <w:rPr>
          <w:rFonts w:eastAsia="Times"/>
        </w:rPr>
      </w:pPr>
      <w:proofErr w:type="spellStart"/>
      <w:r w:rsidRPr="006A2D77">
        <w:rPr>
          <w:rFonts w:eastAsia="Times"/>
        </w:rPr>
        <w:t>McPheat</w:t>
      </w:r>
      <w:proofErr w:type="spellEnd"/>
      <w:r w:rsidRPr="006A2D77">
        <w:rPr>
          <w:rFonts w:eastAsia="Times"/>
        </w:rPr>
        <w:t xml:space="preserve">, S. and Admin (2022) “5 Learning and Development Strategy Framework Examples,” </w:t>
      </w:r>
      <w:r w:rsidRPr="006A2D77">
        <w:rPr>
          <w:rFonts w:eastAsia="Times"/>
          <w:i/>
        </w:rPr>
        <w:t>Skillshub.com</w:t>
      </w:r>
      <w:r w:rsidRPr="006A2D77">
        <w:rPr>
          <w:rFonts w:eastAsia="Times"/>
        </w:rPr>
        <w:t xml:space="preserve"> [Preprint]. Available at: https://www.skillshub.com/5-learning-development-strategy-examples/.</w:t>
      </w:r>
    </w:p>
    <w:p w14:paraId="41DE3927" w14:textId="51814298" w:rsidR="006A2D77" w:rsidRDefault="006A2D77" w:rsidP="006A2D77">
      <w:pPr>
        <w:pStyle w:val="NormalWeb"/>
        <w:spacing w:before="0" w:beforeAutospacing="0" w:after="0" w:afterAutospacing="0" w:line="480" w:lineRule="auto"/>
        <w:ind w:left="720" w:hanging="720"/>
        <w:jc w:val="both"/>
        <w:rPr>
          <w:rFonts w:eastAsia="Times"/>
        </w:rPr>
      </w:pPr>
      <w:r w:rsidRPr="006A2D77">
        <w:rPr>
          <w:rFonts w:eastAsia="Times"/>
        </w:rPr>
        <w:t xml:space="preserve">Nobels, P. and </w:t>
      </w:r>
      <w:proofErr w:type="spellStart"/>
      <w:r w:rsidRPr="006A2D77">
        <w:rPr>
          <w:rFonts w:eastAsia="Times"/>
        </w:rPr>
        <w:t>Baele</w:t>
      </w:r>
      <w:proofErr w:type="spellEnd"/>
      <w:r w:rsidRPr="006A2D77">
        <w:rPr>
          <w:rFonts w:eastAsia="Times"/>
        </w:rPr>
        <w:t xml:space="preserve">, S. (2022) “The ever-growing importance of L&amp;D in the future of work,” </w:t>
      </w:r>
      <w:r w:rsidRPr="006A2D77">
        <w:rPr>
          <w:rFonts w:eastAsia="Times"/>
          <w:i/>
        </w:rPr>
        <w:t>www.ey.com</w:t>
      </w:r>
      <w:r w:rsidRPr="006A2D77">
        <w:rPr>
          <w:rFonts w:eastAsia="Times"/>
        </w:rPr>
        <w:t xml:space="preserve"> [Preprint]. Available at: https://www.ey.com/en_be/workforce/the-ever-growing-importance-of-l-d-in-the-future-of-work.</w:t>
      </w:r>
    </w:p>
    <w:p w14:paraId="222B1DD1" w14:textId="48ACEB4F" w:rsidR="006A2D77" w:rsidRDefault="006A2D77" w:rsidP="006A2D77">
      <w:pPr>
        <w:pStyle w:val="NormalWeb"/>
        <w:spacing w:before="0" w:beforeAutospacing="0" w:after="0" w:afterAutospacing="0" w:line="480" w:lineRule="auto"/>
        <w:ind w:left="720" w:hanging="720"/>
        <w:jc w:val="both"/>
        <w:rPr>
          <w:rFonts w:eastAsia="Times"/>
        </w:rPr>
      </w:pPr>
      <w:r w:rsidRPr="006A2D77">
        <w:rPr>
          <w:rFonts w:eastAsia="Times"/>
        </w:rPr>
        <w:t xml:space="preserve">Quigley, E. (2022) “What is Blended </w:t>
      </w:r>
      <w:proofErr w:type="gramStart"/>
      <w:r w:rsidRPr="006A2D77">
        <w:rPr>
          <w:rFonts w:eastAsia="Times"/>
        </w:rPr>
        <w:t>Learning?,</w:t>
      </w:r>
      <w:proofErr w:type="gramEnd"/>
      <w:r w:rsidRPr="006A2D77">
        <w:rPr>
          <w:rFonts w:eastAsia="Times"/>
        </w:rPr>
        <w:t xml:space="preserve">” </w:t>
      </w:r>
      <w:proofErr w:type="spellStart"/>
      <w:r w:rsidRPr="006A2D77">
        <w:rPr>
          <w:rFonts w:eastAsia="Times"/>
          <w:i/>
        </w:rPr>
        <w:t>LearnUpon</w:t>
      </w:r>
      <w:proofErr w:type="spellEnd"/>
      <w:r w:rsidRPr="006A2D77">
        <w:rPr>
          <w:rFonts w:eastAsia="Times"/>
        </w:rPr>
        <w:t xml:space="preserve"> [Preprint]. Available at: https://www.learnupon.com/blog/what-is-blended-learning/.</w:t>
      </w:r>
    </w:p>
    <w:p w14:paraId="17CA3A7A" w14:textId="1E5FE290" w:rsidR="006A2D77" w:rsidRDefault="006A2D77" w:rsidP="006A2D77">
      <w:pPr>
        <w:pStyle w:val="NormalWeb"/>
        <w:spacing w:before="0" w:beforeAutospacing="0" w:after="0" w:afterAutospacing="0" w:line="480" w:lineRule="auto"/>
        <w:ind w:left="720" w:hanging="720"/>
        <w:jc w:val="both"/>
        <w:rPr>
          <w:rFonts w:eastAsia="Times"/>
        </w:rPr>
      </w:pPr>
      <w:proofErr w:type="spellStart"/>
      <w:r w:rsidRPr="006A2D77">
        <w:rPr>
          <w:rFonts w:eastAsia="Times"/>
        </w:rPr>
        <w:t>Renninger</w:t>
      </w:r>
      <w:proofErr w:type="spellEnd"/>
      <w:r w:rsidRPr="006A2D77">
        <w:rPr>
          <w:rFonts w:eastAsia="Times"/>
        </w:rPr>
        <w:t xml:space="preserve">, K.A., </w:t>
      </w:r>
      <w:proofErr w:type="spellStart"/>
      <w:r w:rsidRPr="006A2D77">
        <w:rPr>
          <w:rFonts w:eastAsia="Times"/>
        </w:rPr>
        <w:t>Hidi</w:t>
      </w:r>
      <w:proofErr w:type="spellEnd"/>
      <w:r w:rsidRPr="006A2D77">
        <w:rPr>
          <w:rFonts w:eastAsia="Times"/>
        </w:rPr>
        <w:t xml:space="preserve">, S., </w:t>
      </w:r>
      <w:proofErr w:type="spellStart"/>
      <w:r w:rsidRPr="006A2D77">
        <w:rPr>
          <w:rFonts w:eastAsia="Times"/>
        </w:rPr>
        <w:t>Krapp</w:t>
      </w:r>
      <w:proofErr w:type="spellEnd"/>
      <w:r w:rsidRPr="006A2D77">
        <w:rPr>
          <w:rFonts w:eastAsia="Times"/>
        </w:rPr>
        <w:t xml:space="preserve">, A. and </w:t>
      </w:r>
      <w:proofErr w:type="spellStart"/>
      <w:r w:rsidRPr="006A2D77">
        <w:rPr>
          <w:rFonts w:eastAsia="Times"/>
        </w:rPr>
        <w:t>Renninger</w:t>
      </w:r>
      <w:proofErr w:type="spellEnd"/>
      <w:r w:rsidRPr="006A2D77">
        <w:rPr>
          <w:rFonts w:eastAsia="Times"/>
        </w:rPr>
        <w:t xml:space="preserve">, A. </w:t>
      </w:r>
      <w:r w:rsidR="00026376">
        <w:rPr>
          <w:rFonts w:eastAsia="Times"/>
        </w:rPr>
        <w:t>(</w:t>
      </w:r>
      <w:r w:rsidRPr="006A2D77">
        <w:rPr>
          <w:rFonts w:eastAsia="Times"/>
        </w:rPr>
        <w:t>2014</w:t>
      </w:r>
      <w:r w:rsidR="00026376">
        <w:rPr>
          <w:rFonts w:eastAsia="Times"/>
        </w:rPr>
        <w:t>)</w:t>
      </w:r>
      <w:r w:rsidRPr="006A2D77">
        <w:rPr>
          <w:rFonts w:eastAsia="Times"/>
        </w:rPr>
        <w:t xml:space="preserve"> </w:t>
      </w:r>
      <w:r w:rsidRPr="006A2D77">
        <w:rPr>
          <w:rFonts w:eastAsia="Times"/>
          <w:i/>
        </w:rPr>
        <w:t>The role of interest in learning and development</w:t>
      </w:r>
      <w:r w:rsidRPr="006A2D77">
        <w:rPr>
          <w:rFonts w:eastAsia="Times"/>
        </w:rPr>
        <w:t>. Psychology Press.</w:t>
      </w:r>
    </w:p>
    <w:p w14:paraId="428467B3" w14:textId="0FCA0E81" w:rsidR="006A2D77" w:rsidRPr="006A2D77" w:rsidRDefault="006A2D77" w:rsidP="006A2D77">
      <w:pPr>
        <w:pStyle w:val="NormalWeb"/>
        <w:spacing w:before="0" w:beforeAutospacing="0" w:after="0" w:afterAutospacing="0" w:line="480" w:lineRule="auto"/>
        <w:ind w:left="720" w:hanging="720"/>
        <w:jc w:val="both"/>
      </w:pPr>
      <w:r w:rsidRPr="006A2D77">
        <w:rPr>
          <w:rFonts w:eastAsia="Times"/>
        </w:rPr>
        <w:t xml:space="preserve">Seufert, S. and Meier, C. </w:t>
      </w:r>
      <w:r w:rsidR="00026376">
        <w:rPr>
          <w:rFonts w:eastAsia="Times"/>
        </w:rPr>
        <w:t>(</w:t>
      </w:r>
      <w:r w:rsidRPr="006A2D77">
        <w:rPr>
          <w:rFonts w:eastAsia="Times"/>
        </w:rPr>
        <w:t>2016</w:t>
      </w:r>
      <w:r w:rsidR="00026376">
        <w:rPr>
          <w:rFonts w:eastAsia="Times"/>
        </w:rPr>
        <w:t>)</w:t>
      </w:r>
      <w:r w:rsidRPr="006A2D77">
        <w:rPr>
          <w:rFonts w:eastAsia="Times"/>
        </w:rPr>
        <w:t xml:space="preserve"> From eLearning to digital transformation: A framework and implications for L&amp;D. </w:t>
      </w:r>
      <w:r w:rsidRPr="006A2D77">
        <w:rPr>
          <w:rFonts w:eastAsia="Times"/>
          <w:i/>
        </w:rPr>
        <w:t>International Journal of Corporate Learning (</w:t>
      </w:r>
      <w:proofErr w:type="spellStart"/>
      <w:r w:rsidRPr="006A2D77">
        <w:rPr>
          <w:rFonts w:eastAsia="Times"/>
          <w:i/>
        </w:rPr>
        <w:t>iJAC</w:t>
      </w:r>
      <w:proofErr w:type="spellEnd"/>
      <w:r w:rsidRPr="006A2D77">
        <w:rPr>
          <w:rFonts w:eastAsia="Times"/>
          <w:i/>
        </w:rPr>
        <w:t>)</w:t>
      </w:r>
      <w:r w:rsidRPr="006A2D77">
        <w:rPr>
          <w:rFonts w:eastAsia="Times"/>
        </w:rPr>
        <w:t xml:space="preserve">, </w:t>
      </w:r>
      <w:r w:rsidRPr="006A2D77">
        <w:rPr>
          <w:rFonts w:eastAsia="Times"/>
          <w:i/>
        </w:rPr>
        <w:t>9</w:t>
      </w:r>
      <w:r w:rsidRPr="006A2D77">
        <w:rPr>
          <w:rFonts w:eastAsia="Times"/>
        </w:rPr>
        <w:t>(2), pp.27-33.</w:t>
      </w:r>
    </w:p>
    <w:sectPr w:rsidR="006A2D77" w:rsidRPr="006A2D77">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E8052" w14:textId="77777777" w:rsidR="009A0E89" w:rsidRDefault="009A0E89" w:rsidP="00BA7DD9">
      <w:pPr>
        <w:spacing w:line="240" w:lineRule="auto"/>
      </w:pPr>
      <w:r>
        <w:separator/>
      </w:r>
    </w:p>
  </w:endnote>
  <w:endnote w:type="continuationSeparator" w:id="0">
    <w:p w14:paraId="5514C36E" w14:textId="77777777" w:rsidR="009A0E89" w:rsidRDefault="009A0E89" w:rsidP="00BA7D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9407174"/>
      <w:docPartObj>
        <w:docPartGallery w:val="Page Numbers (Bottom of Page)"/>
        <w:docPartUnique/>
      </w:docPartObj>
    </w:sdtPr>
    <w:sdtEndPr>
      <w:rPr>
        <w:noProof/>
      </w:rPr>
    </w:sdtEndPr>
    <w:sdtContent>
      <w:p w14:paraId="3575BF55" w14:textId="242BA7B0" w:rsidR="00BA7DD9" w:rsidRDefault="00BA7D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40C180" w14:textId="77777777" w:rsidR="00BA7DD9" w:rsidRDefault="00BA7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C6E1F" w14:textId="77777777" w:rsidR="009A0E89" w:rsidRDefault="009A0E89" w:rsidP="00BA7DD9">
      <w:pPr>
        <w:spacing w:line="240" w:lineRule="auto"/>
      </w:pPr>
      <w:r>
        <w:separator/>
      </w:r>
    </w:p>
  </w:footnote>
  <w:footnote w:type="continuationSeparator" w:id="0">
    <w:p w14:paraId="37CC1B18" w14:textId="77777777" w:rsidR="009A0E89" w:rsidRDefault="009A0E89" w:rsidP="00BA7D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9E5"/>
    <w:rsid w:val="00026376"/>
    <w:rsid w:val="00041B61"/>
    <w:rsid w:val="00117131"/>
    <w:rsid w:val="00212849"/>
    <w:rsid w:val="002B0E9C"/>
    <w:rsid w:val="003674C1"/>
    <w:rsid w:val="00487F14"/>
    <w:rsid w:val="006049E5"/>
    <w:rsid w:val="006A2D77"/>
    <w:rsid w:val="00741DE0"/>
    <w:rsid w:val="009A0E89"/>
    <w:rsid w:val="00BA7DD9"/>
    <w:rsid w:val="00E36AF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505E"/>
  <w15:docId w15:val="{C2955F91-26EB-4338-9A47-DDC35A1EE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6A2D77"/>
    <w:pPr>
      <w:spacing w:before="100" w:beforeAutospacing="1" w:after="100" w:afterAutospacing="1" w:line="240" w:lineRule="auto"/>
    </w:pPr>
    <w:rPr>
      <w:rFonts w:ascii="Times New Roman" w:eastAsia="Times New Roman" w:hAnsi="Times New Roman" w:cs="Times New Roman"/>
      <w:sz w:val="24"/>
      <w:szCs w:val="24"/>
      <w:lang w:val="en-MY"/>
    </w:rPr>
  </w:style>
  <w:style w:type="character" w:styleId="Hyperlink">
    <w:name w:val="Hyperlink"/>
    <w:basedOn w:val="DefaultParagraphFont"/>
    <w:uiPriority w:val="99"/>
    <w:unhideWhenUsed/>
    <w:rsid w:val="006A2D77"/>
    <w:rPr>
      <w:color w:val="0000FF" w:themeColor="hyperlink"/>
      <w:u w:val="single"/>
    </w:rPr>
  </w:style>
  <w:style w:type="character" w:styleId="UnresolvedMention">
    <w:name w:val="Unresolved Mention"/>
    <w:basedOn w:val="DefaultParagraphFont"/>
    <w:uiPriority w:val="99"/>
    <w:semiHidden/>
    <w:unhideWhenUsed/>
    <w:rsid w:val="006A2D77"/>
    <w:rPr>
      <w:color w:val="605E5C"/>
      <w:shd w:val="clear" w:color="auto" w:fill="E1DFDD"/>
    </w:rPr>
  </w:style>
  <w:style w:type="paragraph" w:styleId="Header">
    <w:name w:val="header"/>
    <w:basedOn w:val="Normal"/>
    <w:link w:val="HeaderChar"/>
    <w:uiPriority w:val="99"/>
    <w:unhideWhenUsed/>
    <w:rsid w:val="00BA7DD9"/>
    <w:pPr>
      <w:tabs>
        <w:tab w:val="center" w:pos="4513"/>
        <w:tab w:val="right" w:pos="9026"/>
      </w:tabs>
      <w:spacing w:line="240" w:lineRule="auto"/>
    </w:pPr>
  </w:style>
  <w:style w:type="character" w:customStyle="1" w:styleId="HeaderChar">
    <w:name w:val="Header Char"/>
    <w:basedOn w:val="DefaultParagraphFont"/>
    <w:link w:val="Header"/>
    <w:uiPriority w:val="99"/>
    <w:rsid w:val="00BA7DD9"/>
  </w:style>
  <w:style w:type="paragraph" w:styleId="Footer">
    <w:name w:val="footer"/>
    <w:basedOn w:val="Normal"/>
    <w:link w:val="FooterChar"/>
    <w:uiPriority w:val="99"/>
    <w:unhideWhenUsed/>
    <w:rsid w:val="00BA7DD9"/>
    <w:pPr>
      <w:tabs>
        <w:tab w:val="center" w:pos="4513"/>
        <w:tab w:val="right" w:pos="9026"/>
      </w:tabs>
      <w:spacing w:line="240" w:lineRule="auto"/>
    </w:pPr>
  </w:style>
  <w:style w:type="character" w:customStyle="1" w:styleId="FooterChar">
    <w:name w:val="Footer Char"/>
    <w:basedOn w:val="DefaultParagraphFont"/>
    <w:link w:val="Footer"/>
    <w:uiPriority w:val="99"/>
    <w:rsid w:val="00BA7DD9"/>
  </w:style>
  <w:style w:type="character" w:customStyle="1" w:styleId="Heading1Char">
    <w:name w:val="Heading 1 Char"/>
    <w:basedOn w:val="DefaultParagraphFont"/>
    <w:link w:val="Heading1"/>
    <w:uiPriority w:val="9"/>
    <w:rsid w:val="00BA7DD9"/>
    <w:rPr>
      <w:sz w:val="40"/>
      <w:szCs w:val="40"/>
    </w:rPr>
  </w:style>
  <w:style w:type="paragraph" w:styleId="Bibliography">
    <w:name w:val="Bibliography"/>
    <w:basedOn w:val="Normal"/>
    <w:next w:val="Normal"/>
    <w:uiPriority w:val="37"/>
    <w:unhideWhenUsed/>
    <w:rsid w:val="00BA7DD9"/>
  </w:style>
  <w:style w:type="table" w:styleId="TableGrid">
    <w:name w:val="Table Grid"/>
    <w:basedOn w:val="TableNormal"/>
    <w:uiPriority w:val="39"/>
    <w:rsid w:val="00741DE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884943">
      <w:bodyDiv w:val="1"/>
      <w:marLeft w:val="0"/>
      <w:marRight w:val="0"/>
      <w:marTop w:val="0"/>
      <w:marBottom w:val="0"/>
      <w:divBdr>
        <w:top w:val="none" w:sz="0" w:space="0" w:color="auto"/>
        <w:left w:val="none" w:sz="0" w:space="0" w:color="auto"/>
        <w:bottom w:val="none" w:sz="0" w:space="0" w:color="auto"/>
        <w:right w:val="none" w:sz="0" w:space="0" w:color="auto"/>
      </w:divBdr>
    </w:div>
    <w:div w:id="412551527">
      <w:bodyDiv w:val="1"/>
      <w:marLeft w:val="0"/>
      <w:marRight w:val="0"/>
      <w:marTop w:val="0"/>
      <w:marBottom w:val="0"/>
      <w:divBdr>
        <w:top w:val="none" w:sz="0" w:space="0" w:color="auto"/>
        <w:left w:val="none" w:sz="0" w:space="0" w:color="auto"/>
        <w:bottom w:val="none" w:sz="0" w:space="0" w:color="auto"/>
        <w:right w:val="none" w:sz="0" w:space="0" w:color="auto"/>
      </w:divBdr>
    </w:div>
    <w:div w:id="1243224098">
      <w:bodyDiv w:val="1"/>
      <w:marLeft w:val="0"/>
      <w:marRight w:val="0"/>
      <w:marTop w:val="0"/>
      <w:marBottom w:val="0"/>
      <w:divBdr>
        <w:top w:val="none" w:sz="0" w:space="0" w:color="auto"/>
        <w:left w:val="none" w:sz="0" w:space="0" w:color="auto"/>
        <w:bottom w:val="none" w:sz="0" w:space="0" w:color="auto"/>
        <w:right w:val="none" w:sz="0" w:space="0" w:color="auto"/>
      </w:divBdr>
    </w:div>
    <w:div w:id="1783453391">
      <w:bodyDiv w:val="1"/>
      <w:marLeft w:val="0"/>
      <w:marRight w:val="0"/>
      <w:marTop w:val="0"/>
      <w:marBottom w:val="0"/>
      <w:divBdr>
        <w:top w:val="none" w:sz="0" w:space="0" w:color="auto"/>
        <w:left w:val="none" w:sz="0" w:space="0" w:color="auto"/>
        <w:bottom w:val="none" w:sz="0" w:space="0" w:color="auto"/>
        <w:right w:val="none" w:sz="0" w:space="0" w:color="auto"/>
      </w:divBdr>
    </w:div>
    <w:div w:id="2119446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226650_student_uwtsd_ac_uk/Ecnxv97qSxJKoZYSvy1CwioBa7ojR_W6t4Tos2RK-kHlYQ?e=pH3ASP"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BC26FE-05F8-4E27-A507-6241785299E0}">
  <we:reference id="f78a3046-9e99-4300-aa2b-5814002b01a2" version="1.55.1.0" store="EXCatalog" storeType="EXCatalog"/>
  <we:alternateReferences>
    <we:reference id="WA104382081" version="1.55.1.0" store="en-MY"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b:Tag>
    <b:SourceType>InternetSite</b:SourceType>
    <b:Guid>{0B09E4A8-5645-4DF6-9B21-C9021D6A32DF}</b:Guid>
    <b:URL>https://www.emerald.com/insight/content/doi/10.1108/dlo.2013.08127aaa.013/full/html?journalCode=dlo</b:URL>
    <b:RefOrder>1</b:RefOrder>
  </b:Source>
  <b:Source>
    <b:Tag>Yun20</b:Tag>
    <b:SourceType>InternetSite</b:SourceType>
    <b:Guid>{80E48310-28C4-43F7-9251-E3D9263EAEE2}</b:Guid>
    <b:Title>Emerald</b:Title>
    <b:Year>2020</b:Year>
    <b:YearAccessed>2023</b:YearAccessed>
    <b:MonthAccessed>April</b:MonthAccessed>
    <b:DayAccessed>7</b:DayAccessed>
    <b:URL>https://www.emerald.com/insight/content/doi/10.1108/dlo.2013.08127aaa.013/full/html?journalCode=dlo</b:URL>
    <b:Author>
      <b:Author>
        <b:NameList>
          <b:Person>
            <b:Last>Yunus</b:Last>
            <b:First>Aiman</b:First>
          </b:Person>
        </b:NameList>
      </b:Author>
    </b:Author>
    <b:RefOrder>2</b:RefOrder>
  </b:Source>
</b:Sources>
</file>

<file path=customXml/itemProps1.xml><?xml version="1.0" encoding="utf-8"?>
<ds:datastoreItem xmlns:ds="http://schemas.openxmlformats.org/officeDocument/2006/customXml" ds:itemID="{A654B05A-C414-4F3E-AA98-07E7766CD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7</Pages>
  <Words>1385</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AIMAN HANA BINTI YUNUS</cp:lastModifiedBy>
  <cp:revision>6</cp:revision>
  <dcterms:created xsi:type="dcterms:W3CDTF">2023-05-02T11:13:00Z</dcterms:created>
  <dcterms:modified xsi:type="dcterms:W3CDTF">2023-05-02T22:32:00Z</dcterms:modified>
</cp:coreProperties>
</file>