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DD32FF" w14:textId="77777777" w:rsidR="00E45AB4" w:rsidRDefault="005F5178">
      <w:pPr>
        <w:jc w:val="center"/>
      </w:pPr>
      <w:bookmarkStart w:id="0" w:name="_GoBack"/>
      <w:bookmarkEnd w:id="0"/>
      <w:r>
        <w:rPr>
          <w:b/>
          <w:sz w:val="36"/>
        </w:rPr>
        <w:t>Detailed Summary: Investment Appraisal and Capital Rationing</w:t>
      </w:r>
    </w:p>
    <w:p w14:paraId="48FA3C59" w14:textId="77777777" w:rsidR="00E45AB4" w:rsidRDefault="005F5178">
      <w:pPr>
        <w:jc w:val="center"/>
      </w:pPr>
      <w:r>
        <w:rPr>
          <w:i/>
          <w:sz w:val="20"/>
        </w:rPr>
        <w:t>Based on the uploaded Capital_Rationing.xlsx workbook</w:t>
      </w:r>
    </w:p>
    <w:p w14:paraId="42EA08C2" w14:textId="77777777" w:rsidR="00E45AB4" w:rsidRDefault="005F5178">
      <w:pPr>
        <w:pStyle w:val="Heading1"/>
      </w:pPr>
      <w:r>
        <w:t>Executive Summary</w:t>
      </w:r>
    </w:p>
    <w:p w14:paraId="275EDFEE" w14:textId="77777777" w:rsidR="00E45AB4" w:rsidRDefault="005F5178">
      <w:r>
        <w:t xml:space="preserve">The workbook compares three investment projects (A, B and C) using Payback Period (PBP), Accounting Rate of Return (ARR), </w:t>
      </w:r>
      <w:r>
        <w:t>Net Present Value (NPV), Profitability Index (PI), and Internal Rate of Return (IRR). All projects require the same initial investment of £50 million. The results consistently identify Project C as the strongest individual investment because it has the sho</w:t>
      </w:r>
      <w:r>
        <w:t>rtest payback period, highest ARR, positive NPV, PI above 1, and the highest IRR.</w:t>
      </w:r>
    </w:p>
    <w:p w14:paraId="7DC1850C" w14:textId="77777777" w:rsidR="00E45AB4" w:rsidRDefault="005F5178">
      <w:pPr>
        <w:pStyle w:val="Heading1"/>
      </w:pPr>
      <w:r>
        <w:t>Results at a Glance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656"/>
        <w:gridCol w:w="1656"/>
        <w:gridCol w:w="1656"/>
        <w:gridCol w:w="1656"/>
        <w:gridCol w:w="1656"/>
        <w:gridCol w:w="1656"/>
      </w:tblGrid>
      <w:tr w:rsidR="00E45AB4" w14:paraId="19D36683" w14:textId="77777777">
        <w:trPr>
          <w:jc w:val="center"/>
        </w:trPr>
        <w:tc>
          <w:tcPr>
            <w:tcW w:w="1656" w:type="dxa"/>
            <w:vAlign w:val="center"/>
          </w:tcPr>
          <w:p w14:paraId="041A2A87" w14:textId="77777777" w:rsidR="00E45AB4" w:rsidRDefault="005F5178">
            <w:r>
              <w:t>Metric</w:t>
            </w:r>
          </w:p>
        </w:tc>
        <w:tc>
          <w:tcPr>
            <w:tcW w:w="1656" w:type="dxa"/>
            <w:vAlign w:val="center"/>
          </w:tcPr>
          <w:p w14:paraId="7ADE389C" w14:textId="77777777" w:rsidR="00E45AB4" w:rsidRDefault="005F5178">
            <w:r>
              <w:t>Project A</w:t>
            </w:r>
          </w:p>
        </w:tc>
        <w:tc>
          <w:tcPr>
            <w:tcW w:w="1656" w:type="dxa"/>
            <w:vAlign w:val="center"/>
          </w:tcPr>
          <w:p w14:paraId="3A2EA206" w14:textId="77777777" w:rsidR="00E45AB4" w:rsidRDefault="005F5178">
            <w:r>
              <w:t>Project B</w:t>
            </w:r>
          </w:p>
        </w:tc>
        <w:tc>
          <w:tcPr>
            <w:tcW w:w="1656" w:type="dxa"/>
            <w:vAlign w:val="center"/>
          </w:tcPr>
          <w:p w14:paraId="2A0A82A5" w14:textId="77777777" w:rsidR="00E45AB4" w:rsidRDefault="005F5178">
            <w:r>
              <w:t>Project C</w:t>
            </w:r>
          </w:p>
        </w:tc>
        <w:tc>
          <w:tcPr>
            <w:tcW w:w="1656" w:type="dxa"/>
            <w:vAlign w:val="center"/>
          </w:tcPr>
          <w:p w14:paraId="7042ABD6" w14:textId="77777777" w:rsidR="00E45AB4" w:rsidRDefault="005F5178">
            <w:r>
              <w:t>Preferred</w:t>
            </w:r>
          </w:p>
        </w:tc>
        <w:tc>
          <w:tcPr>
            <w:tcW w:w="1656" w:type="dxa"/>
            <w:vAlign w:val="center"/>
          </w:tcPr>
          <w:p w14:paraId="48C71DEA" w14:textId="77777777" w:rsidR="00E45AB4" w:rsidRDefault="005F5178">
            <w:r>
              <w:t>Reason</w:t>
            </w:r>
          </w:p>
        </w:tc>
      </w:tr>
      <w:tr w:rsidR="00E45AB4" w14:paraId="35A268E5" w14:textId="77777777">
        <w:trPr>
          <w:jc w:val="center"/>
        </w:trPr>
        <w:tc>
          <w:tcPr>
            <w:tcW w:w="1656" w:type="dxa"/>
            <w:vAlign w:val="center"/>
          </w:tcPr>
          <w:p w14:paraId="5E107486" w14:textId="77777777" w:rsidR="00E45AB4" w:rsidRDefault="005F5178">
            <w:r>
              <w:t>Initial Investment</w:t>
            </w:r>
          </w:p>
        </w:tc>
        <w:tc>
          <w:tcPr>
            <w:tcW w:w="1656" w:type="dxa"/>
            <w:vAlign w:val="center"/>
          </w:tcPr>
          <w:p w14:paraId="385316B7" w14:textId="77777777" w:rsidR="00E45AB4" w:rsidRDefault="005F5178">
            <w:r>
              <w:t>£50m</w:t>
            </w:r>
          </w:p>
        </w:tc>
        <w:tc>
          <w:tcPr>
            <w:tcW w:w="1656" w:type="dxa"/>
            <w:vAlign w:val="center"/>
          </w:tcPr>
          <w:p w14:paraId="669B42BE" w14:textId="77777777" w:rsidR="00E45AB4" w:rsidRDefault="005F5178">
            <w:r>
              <w:t>£50m</w:t>
            </w:r>
          </w:p>
        </w:tc>
        <w:tc>
          <w:tcPr>
            <w:tcW w:w="1656" w:type="dxa"/>
            <w:vAlign w:val="center"/>
          </w:tcPr>
          <w:p w14:paraId="6D5C722D" w14:textId="77777777" w:rsidR="00E45AB4" w:rsidRDefault="005F5178">
            <w:r>
              <w:t>£50m</w:t>
            </w:r>
          </w:p>
        </w:tc>
        <w:tc>
          <w:tcPr>
            <w:tcW w:w="1656" w:type="dxa"/>
            <w:vAlign w:val="center"/>
          </w:tcPr>
          <w:p w14:paraId="0E950B8E" w14:textId="77777777" w:rsidR="00E45AB4" w:rsidRDefault="005F5178">
            <w:r>
              <w:t>Equal</w:t>
            </w:r>
          </w:p>
        </w:tc>
        <w:tc>
          <w:tcPr>
            <w:tcW w:w="1656" w:type="dxa"/>
            <w:vAlign w:val="center"/>
          </w:tcPr>
          <w:p w14:paraId="06E90CF3" w14:textId="77777777" w:rsidR="00E45AB4" w:rsidRDefault="005F5178">
            <w:r>
              <w:t>Same investment</w:t>
            </w:r>
          </w:p>
        </w:tc>
      </w:tr>
      <w:tr w:rsidR="00E45AB4" w14:paraId="348FBD8A" w14:textId="77777777">
        <w:trPr>
          <w:jc w:val="center"/>
        </w:trPr>
        <w:tc>
          <w:tcPr>
            <w:tcW w:w="1656" w:type="dxa"/>
            <w:vAlign w:val="center"/>
          </w:tcPr>
          <w:p w14:paraId="329EEFE2" w14:textId="77777777" w:rsidR="00E45AB4" w:rsidRDefault="005F5178">
            <w:r>
              <w:t>PBP</w:t>
            </w:r>
          </w:p>
        </w:tc>
        <w:tc>
          <w:tcPr>
            <w:tcW w:w="1656" w:type="dxa"/>
            <w:vAlign w:val="center"/>
          </w:tcPr>
          <w:p w14:paraId="16659103" w14:textId="77777777" w:rsidR="00E45AB4" w:rsidRDefault="005F5178">
            <w:r>
              <w:t>4.5 years</w:t>
            </w:r>
          </w:p>
        </w:tc>
        <w:tc>
          <w:tcPr>
            <w:tcW w:w="1656" w:type="dxa"/>
            <w:vAlign w:val="center"/>
          </w:tcPr>
          <w:p w14:paraId="5178E6BF" w14:textId="77777777" w:rsidR="00E45AB4" w:rsidRDefault="005F5178">
            <w:r>
              <w:t>4.55 years</w:t>
            </w:r>
          </w:p>
        </w:tc>
        <w:tc>
          <w:tcPr>
            <w:tcW w:w="1656" w:type="dxa"/>
            <w:vAlign w:val="center"/>
          </w:tcPr>
          <w:p w14:paraId="2639123E" w14:textId="77777777" w:rsidR="00E45AB4" w:rsidRDefault="005F5178">
            <w:r>
              <w:t>3.6 years</w:t>
            </w:r>
          </w:p>
        </w:tc>
        <w:tc>
          <w:tcPr>
            <w:tcW w:w="1656" w:type="dxa"/>
            <w:vAlign w:val="center"/>
          </w:tcPr>
          <w:p w14:paraId="767D9ABA" w14:textId="77777777" w:rsidR="00E45AB4" w:rsidRDefault="005F5178">
            <w:r>
              <w:t>C</w:t>
            </w:r>
          </w:p>
        </w:tc>
        <w:tc>
          <w:tcPr>
            <w:tcW w:w="1656" w:type="dxa"/>
            <w:vAlign w:val="center"/>
          </w:tcPr>
          <w:p w14:paraId="4BA5D957" w14:textId="77777777" w:rsidR="00E45AB4" w:rsidRDefault="005F5178">
            <w:r>
              <w:t>Shortest</w:t>
            </w:r>
          </w:p>
        </w:tc>
      </w:tr>
      <w:tr w:rsidR="00E45AB4" w14:paraId="6ECF6B87" w14:textId="77777777">
        <w:trPr>
          <w:jc w:val="center"/>
        </w:trPr>
        <w:tc>
          <w:tcPr>
            <w:tcW w:w="1656" w:type="dxa"/>
            <w:vAlign w:val="center"/>
          </w:tcPr>
          <w:p w14:paraId="0967364C" w14:textId="77777777" w:rsidR="00E45AB4" w:rsidRDefault="005F5178">
            <w:r>
              <w:t>ARR</w:t>
            </w:r>
          </w:p>
        </w:tc>
        <w:tc>
          <w:tcPr>
            <w:tcW w:w="1656" w:type="dxa"/>
            <w:vAlign w:val="center"/>
          </w:tcPr>
          <w:p w14:paraId="579AA8F2" w14:textId="77777777" w:rsidR="00E45AB4" w:rsidRDefault="005F5178">
            <w:r>
              <w:t>3.2%</w:t>
            </w:r>
          </w:p>
        </w:tc>
        <w:tc>
          <w:tcPr>
            <w:tcW w:w="1656" w:type="dxa"/>
            <w:vAlign w:val="center"/>
          </w:tcPr>
          <w:p w14:paraId="6350339D" w14:textId="77777777" w:rsidR="00E45AB4" w:rsidRDefault="005F5178">
            <w:r>
              <w:t>4.0%</w:t>
            </w:r>
          </w:p>
        </w:tc>
        <w:tc>
          <w:tcPr>
            <w:tcW w:w="1656" w:type="dxa"/>
            <w:vAlign w:val="center"/>
          </w:tcPr>
          <w:p w14:paraId="16D8F6DD" w14:textId="77777777" w:rsidR="00E45AB4" w:rsidRDefault="005F5178">
            <w:r>
              <w:t>12%</w:t>
            </w:r>
          </w:p>
        </w:tc>
        <w:tc>
          <w:tcPr>
            <w:tcW w:w="1656" w:type="dxa"/>
            <w:vAlign w:val="center"/>
          </w:tcPr>
          <w:p w14:paraId="1C83342F" w14:textId="77777777" w:rsidR="00E45AB4" w:rsidRDefault="005F5178">
            <w:r>
              <w:t>C</w:t>
            </w:r>
          </w:p>
        </w:tc>
        <w:tc>
          <w:tcPr>
            <w:tcW w:w="1656" w:type="dxa"/>
            <w:vAlign w:val="center"/>
          </w:tcPr>
          <w:p w14:paraId="7075B5E1" w14:textId="77777777" w:rsidR="00E45AB4" w:rsidRDefault="005F5178">
            <w:r>
              <w:t>Highest</w:t>
            </w:r>
          </w:p>
        </w:tc>
      </w:tr>
      <w:tr w:rsidR="00E45AB4" w14:paraId="5537D1D8" w14:textId="77777777">
        <w:trPr>
          <w:jc w:val="center"/>
        </w:trPr>
        <w:tc>
          <w:tcPr>
            <w:tcW w:w="1656" w:type="dxa"/>
            <w:vAlign w:val="center"/>
          </w:tcPr>
          <w:p w14:paraId="265CFE60" w14:textId="77777777" w:rsidR="00E45AB4" w:rsidRDefault="005F5178">
            <w:r>
              <w:t>NPV</w:t>
            </w:r>
          </w:p>
        </w:tc>
        <w:tc>
          <w:tcPr>
            <w:tcW w:w="1656" w:type="dxa"/>
            <w:vAlign w:val="center"/>
          </w:tcPr>
          <w:p w14:paraId="589764BE" w14:textId="77777777" w:rsidR="00E45AB4" w:rsidRDefault="005F5178">
            <w:r>
              <w:t>-£6.55m</w:t>
            </w:r>
          </w:p>
        </w:tc>
        <w:tc>
          <w:tcPr>
            <w:tcW w:w="1656" w:type="dxa"/>
            <w:vAlign w:val="center"/>
          </w:tcPr>
          <w:p w14:paraId="4300ABE2" w14:textId="77777777" w:rsidR="00E45AB4" w:rsidRDefault="005F5178">
            <w:r>
              <w:t>-£6.08m</w:t>
            </w:r>
          </w:p>
        </w:tc>
        <w:tc>
          <w:tcPr>
            <w:tcW w:w="1656" w:type="dxa"/>
            <w:vAlign w:val="center"/>
          </w:tcPr>
          <w:p w14:paraId="0BCED54C" w14:textId="77777777" w:rsidR="00E45AB4" w:rsidRDefault="005F5178">
            <w:r>
              <w:t>+£0.86m</w:t>
            </w:r>
          </w:p>
        </w:tc>
        <w:tc>
          <w:tcPr>
            <w:tcW w:w="1656" w:type="dxa"/>
            <w:vAlign w:val="center"/>
          </w:tcPr>
          <w:p w14:paraId="18D97012" w14:textId="77777777" w:rsidR="00E45AB4" w:rsidRDefault="005F5178">
            <w:r>
              <w:t>C</w:t>
            </w:r>
          </w:p>
        </w:tc>
        <w:tc>
          <w:tcPr>
            <w:tcW w:w="1656" w:type="dxa"/>
            <w:vAlign w:val="center"/>
          </w:tcPr>
          <w:p w14:paraId="68AD2380" w14:textId="77777777" w:rsidR="00E45AB4" w:rsidRDefault="005F5178">
            <w:r>
              <w:t>Only positive NPV</w:t>
            </w:r>
          </w:p>
        </w:tc>
      </w:tr>
      <w:tr w:rsidR="00E45AB4" w14:paraId="122E908D" w14:textId="77777777">
        <w:trPr>
          <w:jc w:val="center"/>
        </w:trPr>
        <w:tc>
          <w:tcPr>
            <w:tcW w:w="1656" w:type="dxa"/>
            <w:vAlign w:val="center"/>
          </w:tcPr>
          <w:p w14:paraId="597A3E55" w14:textId="77777777" w:rsidR="00E45AB4" w:rsidRDefault="005F5178">
            <w:r>
              <w:t>PI</w:t>
            </w:r>
          </w:p>
        </w:tc>
        <w:tc>
          <w:tcPr>
            <w:tcW w:w="1656" w:type="dxa"/>
            <w:vAlign w:val="center"/>
          </w:tcPr>
          <w:p w14:paraId="41B62E2D" w14:textId="77777777" w:rsidR="00E45AB4" w:rsidRDefault="005F5178">
            <w:r>
              <w:t>0.87</w:t>
            </w:r>
          </w:p>
        </w:tc>
        <w:tc>
          <w:tcPr>
            <w:tcW w:w="1656" w:type="dxa"/>
            <w:vAlign w:val="center"/>
          </w:tcPr>
          <w:p w14:paraId="05165263" w14:textId="77777777" w:rsidR="00E45AB4" w:rsidRDefault="005F5178">
            <w:r>
              <w:t>0.88</w:t>
            </w:r>
          </w:p>
        </w:tc>
        <w:tc>
          <w:tcPr>
            <w:tcW w:w="1656" w:type="dxa"/>
            <w:vAlign w:val="center"/>
          </w:tcPr>
          <w:p w14:paraId="446351DE" w14:textId="77777777" w:rsidR="00E45AB4" w:rsidRDefault="005F5178">
            <w:r>
              <w:t>1.02</w:t>
            </w:r>
          </w:p>
        </w:tc>
        <w:tc>
          <w:tcPr>
            <w:tcW w:w="1656" w:type="dxa"/>
            <w:vAlign w:val="center"/>
          </w:tcPr>
          <w:p w14:paraId="31488A71" w14:textId="77777777" w:rsidR="00E45AB4" w:rsidRDefault="005F5178">
            <w:r>
              <w:t>C</w:t>
            </w:r>
          </w:p>
        </w:tc>
        <w:tc>
          <w:tcPr>
            <w:tcW w:w="1656" w:type="dxa"/>
            <w:vAlign w:val="center"/>
          </w:tcPr>
          <w:p w14:paraId="46F3CDE4" w14:textId="77777777" w:rsidR="00E45AB4" w:rsidRDefault="005F5178">
            <w:r>
              <w:t>Only above 1</w:t>
            </w:r>
          </w:p>
        </w:tc>
      </w:tr>
      <w:tr w:rsidR="00E45AB4" w14:paraId="4C767A21" w14:textId="77777777">
        <w:trPr>
          <w:jc w:val="center"/>
        </w:trPr>
        <w:tc>
          <w:tcPr>
            <w:tcW w:w="1656" w:type="dxa"/>
            <w:vAlign w:val="center"/>
          </w:tcPr>
          <w:p w14:paraId="1F6C3A35" w14:textId="77777777" w:rsidR="00E45AB4" w:rsidRDefault="005F5178">
            <w:r>
              <w:t>IRR</w:t>
            </w:r>
          </w:p>
        </w:tc>
        <w:tc>
          <w:tcPr>
            <w:tcW w:w="1656" w:type="dxa"/>
            <w:vAlign w:val="center"/>
          </w:tcPr>
          <w:p w14:paraId="1601B396" w14:textId="77777777" w:rsidR="00E45AB4" w:rsidRDefault="005F5178">
            <w:r>
              <w:t>~5.27%</w:t>
            </w:r>
          </w:p>
        </w:tc>
        <w:tc>
          <w:tcPr>
            <w:tcW w:w="1656" w:type="dxa"/>
            <w:vAlign w:val="center"/>
          </w:tcPr>
          <w:p w14:paraId="5A533B09" w14:textId="77777777" w:rsidR="00E45AB4" w:rsidRDefault="005F5178">
            <w:r>
              <w:t>~6.00%</w:t>
            </w:r>
          </w:p>
        </w:tc>
        <w:tc>
          <w:tcPr>
            <w:tcW w:w="1656" w:type="dxa"/>
            <w:vAlign w:val="center"/>
          </w:tcPr>
          <w:p w14:paraId="460CB54A" w14:textId="77777777" w:rsidR="00E45AB4" w:rsidRDefault="005F5178">
            <w:r>
              <w:t>~8.61%</w:t>
            </w:r>
          </w:p>
        </w:tc>
        <w:tc>
          <w:tcPr>
            <w:tcW w:w="1656" w:type="dxa"/>
            <w:vAlign w:val="center"/>
          </w:tcPr>
          <w:p w14:paraId="7093BCBC" w14:textId="77777777" w:rsidR="00E45AB4" w:rsidRDefault="005F5178">
            <w:r>
              <w:t>C</w:t>
            </w:r>
          </w:p>
        </w:tc>
        <w:tc>
          <w:tcPr>
            <w:tcW w:w="1656" w:type="dxa"/>
            <w:vAlign w:val="center"/>
          </w:tcPr>
          <w:p w14:paraId="6EBC64DE" w14:textId="77777777" w:rsidR="00E45AB4" w:rsidRDefault="005F5178">
            <w:r>
              <w:t>Only above 8% hurdle</w:t>
            </w:r>
          </w:p>
        </w:tc>
      </w:tr>
    </w:tbl>
    <w:p w14:paraId="783829F6" w14:textId="77777777" w:rsidR="00E45AB4" w:rsidRDefault="005F5178">
      <w:pPr>
        <w:pStyle w:val="Heading1"/>
      </w:pPr>
      <w:r>
        <w:t>1. Purpose of the analysis</w:t>
      </w:r>
    </w:p>
    <w:p w14:paraId="1DAECABD" w14:textId="77777777" w:rsidR="00E45AB4" w:rsidRDefault="005F5178">
      <w:r>
        <w:t xml:space="preserve">Investment appraisal helps management decide whether a </w:t>
      </w:r>
      <w:r>
        <w:t>project is financially worthwhile. The workbook uses several techniques because each method measures a different aspect of performance. PBP focuses on how quickly the initial investment is recovered; ARR focuses on accounting profitability; NPV measures th</w:t>
      </w:r>
      <w:r>
        <w:t>e amount of value created after considering the time value of money; PI compares value generated with the amount invested; and IRR estimates the project's percentage return.</w:t>
      </w:r>
    </w:p>
    <w:p w14:paraId="55A47E9D" w14:textId="77777777" w:rsidR="00E45AB4" w:rsidRDefault="005F5178">
      <w:pPr>
        <w:pStyle w:val="Heading1"/>
      </w:pPr>
      <w:r>
        <w:t>2. Project comparison</w:t>
      </w:r>
    </w:p>
    <w:p w14:paraId="229A3197" w14:textId="77777777" w:rsidR="00E45AB4" w:rsidRDefault="005F5178">
      <w:r>
        <w:t>Project A requires £50m, has a 4.5-year payback period, an A</w:t>
      </w:r>
      <w:r>
        <w:t>RR of 3.2%, an NPV of -£6.55m, a PI of 0.87 and an IRR of approximately 5.27%. These results indicate a relatively weak investment. Its NPV is negative and its PI is below 1, meaning the project does not create sufficient present value to cover its investm</w:t>
      </w:r>
      <w:r>
        <w:t>ent cost. Its IRR is also below the stated 8% hurdle rate.</w:t>
      </w:r>
    </w:p>
    <w:p w14:paraId="106D3E8E" w14:textId="77777777" w:rsidR="00E45AB4" w:rsidRDefault="005F5178">
      <w:pPr>
        <w:pStyle w:val="Heading1"/>
      </w:pPr>
      <w:r>
        <w:t>3. Project B</w:t>
      </w:r>
    </w:p>
    <w:p w14:paraId="4A05991D" w14:textId="77777777" w:rsidR="00E45AB4" w:rsidRDefault="005F5178">
      <w:r>
        <w:t>Project B also requires £50m. Its payback period is 4.55 years, slightly longer than Project A, while its ARR is 4.0%. Its NPV is -£6.08m, PI is 0.88 and IRR is approximately 6.00%. Al</w:t>
      </w:r>
      <w:r>
        <w:t xml:space="preserve">though B performs slightly better than A on ARR, NPV, PI and IRR, it still fails the key value-creation tests: NPV is negative, PI is </w:t>
      </w:r>
      <w:r>
        <w:lastRenderedPageBreak/>
        <w:t>below 1 and IRR is below the 8% hurdle rate. Therefore, B should not be selected when the objective is to maximise shareho</w:t>
      </w:r>
      <w:r>
        <w:t>lder value.</w:t>
      </w:r>
    </w:p>
    <w:p w14:paraId="53CFCAF8" w14:textId="77777777" w:rsidR="00E45AB4" w:rsidRDefault="005F5178">
      <w:pPr>
        <w:pStyle w:val="Heading1"/>
      </w:pPr>
      <w:r>
        <w:t>4. Project C</w:t>
      </w:r>
    </w:p>
    <w:p w14:paraId="65AA7956" w14:textId="77777777" w:rsidR="00E45AB4" w:rsidRDefault="005F5178">
      <w:r>
        <w:t>Project C requires the same £50m investment but produces substantially stronger results. Its payback period is 3.6 years, the shortest of the three projects. Its ARR is 12%, the highest. Most importantly, its NPV is +£0.86m, showin</w:t>
      </w:r>
      <w:r>
        <w:t>g positive value creation. Its PI is 1.02, meaning the present value of benefits is slightly greater than the investment, and its IRR is approximately 8.61%, which is above the stated 8% hurdle rate. Project C therefore passes the main acceptance criteria.</w:t>
      </w:r>
    </w:p>
    <w:p w14:paraId="57FDD200" w14:textId="77777777" w:rsidR="00E45AB4" w:rsidRDefault="005F5178">
      <w:pPr>
        <w:pStyle w:val="Heading1"/>
      </w:pPr>
      <w:r>
        <w:t>5. Meaning of each appraisal method</w:t>
      </w:r>
    </w:p>
    <w:p w14:paraId="3F6E2A35" w14:textId="77777777" w:rsidR="00E45AB4" w:rsidRDefault="005F5178">
      <w:r>
        <w:t>Payback Period (PBP): The shortest period is preferred because the investment is recovered sooner and exposure to uncertainty is reduced. C is best at 3.6 years.</w:t>
      </w:r>
    </w:p>
    <w:p w14:paraId="005615CA" w14:textId="77777777" w:rsidR="00E45AB4" w:rsidRDefault="005F5178">
      <w:r>
        <w:t xml:space="preserve">Accounting Rate of Return (ARR): ARR measures accounting </w:t>
      </w:r>
      <w:r>
        <w:t>profit relative to investment. A higher percentage is preferred. C leads at 12%, compared with 4% for B and 3.2% for A.</w:t>
      </w:r>
    </w:p>
    <w:p w14:paraId="018E9465" w14:textId="77777777" w:rsidR="00E45AB4" w:rsidRDefault="005F5178">
      <w:r>
        <w:t xml:space="preserve">Net Present Value (NPV): NPV discounts future cash flows to today's value. A positive NPV means the project is expected to create value </w:t>
      </w:r>
      <w:r>
        <w:t>after the required return is considered. C is the only project with positive NPV (+£0.86m).</w:t>
      </w:r>
    </w:p>
    <w:p w14:paraId="55DF8809" w14:textId="77777777" w:rsidR="00E45AB4" w:rsidRDefault="005F5178">
      <w:r>
        <w:t>Profitability Index (PI): PI indicates present value generated per £1 invested. A PI above 1 is generally acceptable. C has 1.02, while A and B are below 1.</w:t>
      </w:r>
    </w:p>
    <w:p w14:paraId="7B72A2F6" w14:textId="77777777" w:rsidR="00E45AB4" w:rsidRDefault="005F5178">
      <w:r>
        <w:t>Interna</w:t>
      </w:r>
      <w:r>
        <w:t>l Rate of Return (IRR): IRR is the discount rate at which NPV becomes zero. When compared with the 8% hurdle rate, C at approximately 8.61% is acceptable; A and B are below the hurdle.</w:t>
      </w:r>
    </w:p>
    <w:p w14:paraId="77E2A6C8" w14:textId="77777777" w:rsidR="00E45AB4" w:rsidRDefault="005F5178">
      <w:pPr>
        <w:pStyle w:val="Heading1"/>
      </w:pPr>
      <w:r>
        <w:t>6. Capital rationing and project combinations</w:t>
      </w:r>
    </w:p>
    <w:p w14:paraId="4D254AC1" w14:textId="77777777" w:rsidR="00E45AB4" w:rsidRDefault="005F5178">
      <w:r>
        <w:t xml:space="preserve">Capital rationing occurs </w:t>
      </w:r>
      <w:r>
        <w:t>when an organisation has limited funds and must choose the most valuable investment opportunities. The workbook evaluates combinations as well as individual projects. C alone requires £50m and generates +£0.86m NPV, so it is identified as the best option a</w:t>
      </w:r>
      <w:r>
        <w:t>nd the only value-creating individual choice.</w:t>
      </w:r>
    </w:p>
    <w:p w14:paraId="2AB1B0F2" w14:textId="77777777" w:rsidR="00E45AB4" w:rsidRDefault="005F5178">
      <w:r>
        <w:t xml:space="preserve">The combination of B + C requires £100m but has a total NPV of -£5.22m. A + C requires £100m and has a total NPV of -£5.69m. A + B also requires £100m and produces the weakest total NPV of -£12.63m. The </w:t>
      </w:r>
      <w:r>
        <w:t>workbook therefore concludes that adding A or B to C would reduce overall value under the stated figures.</w:t>
      </w:r>
    </w:p>
    <w:p w14:paraId="7DDDFDCA" w14:textId="77777777" w:rsidR="00E45AB4" w:rsidRDefault="005F5178">
      <w:pPr>
        <w:pStyle w:val="Heading1"/>
      </w:pPr>
      <w:r>
        <w:t>7. Overall decision</w:t>
      </w:r>
    </w:p>
    <w:p w14:paraId="485E3255" w14:textId="77777777" w:rsidR="00E45AB4" w:rsidRDefault="005F5178">
      <w:r>
        <w:t>Project C should be selected. It is the only project with a positive NPV, a PI above 1 and an IRR above the stated 8% hurdle rate.</w:t>
      </w:r>
      <w:r>
        <w:t xml:space="preserve"> It also has the shortest payback period and the highest ARR. Projects A and B should be rejected on the basis of the supplied figures because they have negative NPVs and PIs below 1. From a value-creation perspective, NPV is particularly important because</w:t>
      </w:r>
      <w:r>
        <w:t xml:space="preserve"> it directly measures the expected increase in wealth in present-value terms.</w:t>
      </w:r>
    </w:p>
    <w:p w14:paraId="60BDBBC5" w14:textId="77777777" w:rsidR="00E45AB4" w:rsidRDefault="005F5178">
      <w:pPr>
        <w:pStyle w:val="Heading1"/>
      </w:pPr>
      <w:r>
        <w:lastRenderedPageBreak/>
        <w:t>8. Key conclusion</w:t>
      </w:r>
    </w:p>
    <w:p w14:paraId="69D96D0D" w14:textId="77777777" w:rsidR="00E45AB4" w:rsidRDefault="005F5178">
      <w:r>
        <w:t>The analysis demonstrates why managers should not rely on one appraisal measure alone. Project A and Project B may appear acceptable under some accounting or re</w:t>
      </w:r>
      <w:r>
        <w:t xml:space="preserve">turn measures, but their negative NPVs show that they do not create value at the assumed required return. Project C performs well across every measure used in the workbook. Under the stated assumptions and capital constraints, selecting Project C provides </w:t>
      </w:r>
      <w:r>
        <w:t>the strongest financial outcome.</w:t>
      </w:r>
    </w:p>
    <w:p w14:paraId="5539688F" w14:textId="77777777" w:rsidR="00E45AB4" w:rsidRDefault="005F5178">
      <w:pPr>
        <w:pStyle w:val="Heading1"/>
      </w:pPr>
      <w:r>
        <w:t>Capital Rationing Outcomes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84"/>
        <w:gridCol w:w="2484"/>
        <w:gridCol w:w="2484"/>
        <w:gridCol w:w="2484"/>
      </w:tblGrid>
      <w:tr w:rsidR="00E45AB4" w14:paraId="51EF2F93" w14:textId="77777777">
        <w:tc>
          <w:tcPr>
            <w:tcW w:w="2484" w:type="dxa"/>
          </w:tcPr>
          <w:p w14:paraId="166D11D0" w14:textId="77777777" w:rsidR="00E45AB4" w:rsidRDefault="005F5178">
            <w:r>
              <w:t>Combination</w:t>
            </w:r>
          </w:p>
        </w:tc>
        <w:tc>
          <w:tcPr>
            <w:tcW w:w="2484" w:type="dxa"/>
          </w:tcPr>
          <w:p w14:paraId="7151268F" w14:textId="77777777" w:rsidR="00E45AB4" w:rsidRDefault="005F5178">
            <w:r>
              <w:t>Total Investment</w:t>
            </w:r>
          </w:p>
        </w:tc>
        <w:tc>
          <w:tcPr>
            <w:tcW w:w="2484" w:type="dxa"/>
          </w:tcPr>
          <w:p w14:paraId="51413F86" w14:textId="77777777" w:rsidR="00E45AB4" w:rsidRDefault="005F5178">
            <w:r>
              <w:t>Total NPV</w:t>
            </w:r>
          </w:p>
        </w:tc>
        <w:tc>
          <w:tcPr>
            <w:tcW w:w="2484" w:type="dxa"/>
          </w:tcPr>
          <w:p w14:paraId="4F2ED005" w14:textId="77777777" w:rsidR="00E45AB4" w:rsidRDefault="005F5178">
            <w:r>
              <w:t>Outcome</w:t>
            </w:r>
          </w:p>
        </w:tc>
      </w:tr>
      <w:tr w:rsidR="00E45AB4" w14:paraId="2A1B8B26" w14:textId="77777777">
        <w:tc>
          <w:tcPr>
            <w:tcW w:w="2484" w:type="dxa"/>
          </w:tcPr>
          <w:p w14:paraId="6000F97C" w14:textId="77777777" w:rsidR="00E45AB4" w:rsidRDefault="005F5178">
            <w:r>
              <w:t>Project C only</w:t>
            </w:r>
          </w:p>
        </w:tc>
        <w:tc>
          <w:tcPr>
            <w:tcW w:w="2484" w:type="dxa"/>
          </w:tcPr>
          <w:p w14:paraId="206FF725" w14:textId="77777777" w:rsidR="00E45AB4" w:rsidRDefault="005F5178">
            <w:r>
              <w:t>£50m</w:t>
            </w:r>
          </w:p>
        </w:tc>
        <w:tc>
          <w:tcPr>
            <w:tcW w:w="2484" w:type="dxa"/>
          </w:tcPr>
          <w:p w14:paraId="02690BE7" w14:textId="77777777" w:rsidR="00E45AB4" w:rsidRDefault="005F5178">
            <w:r>
              <w:t>+£0.86m</w:t>
            </w:r>
          </w:p>
        </w:tc>
        <w:tc>
          <w:tcPr>
            <w:tcW w:w="2484" w:type="dxa"/>
          </w:tcPr>
          <w:p w14:paraId="12FA5F02" w14:textId="77777777" w:rsidR="00E45AB4" w:rsidRDefault="005F5178">
            <w:r>
              <w:t>Best option</w:t>
            </w:r>
          </w:p>
        </w:tc>
      </w:tr>
      <w:tr w:rsidR="00E45AB4" w14:paraId="384D6A4B" w14:textId="77777777">
        <w:tc>
          <w:tcPr>
            <w:tcW w:w="2484" w:type="dxa"/>
          </w:tcPr>
          <w:p w14:paraId="7DB5FCDA" w14:textId="77777777" w:rsidR="00E45AB4" w:rsidRDefault="005F5178">
            <w:r>
              <w:t>Project B + Project C</w:t>
            </w:r>
          </w:p>
        </w:tc>
        <w:tc>
          <w:tcPr>
            <w:tcW w:w="2484" w:type="dxa"/>
          </w:tcPr>
          <w:p w14:paraId="49B24569" w14:textId="77777777" w:rsidR="00E45AB4" w:rsidRDefault="005F5178">
            <w:r>
              <w:t>£100m</w:t>
            </w:r>
          </w:p>
        </w:tc>
        <w:tc>
          <w:tcPr>
            <w:tcW w:w="2484" w:type="dxa"/>
          </w:tcPr>
          <w:p w14:paraId="571D9DB1" w14:textId="77777777" w:rsidR="00E45AB4" w:rsidRDefault="005F5178">
            <w:r>
              <w:t>-£5.22m</w:t>
            </w:r>
          </w:p>
        </w:tc>
        <w:tc>
          <w:tcPr>
            <w:tcW w:w="2484" w:type="dxa"/>
          </w:tcPr>
          <w:p w14:paraId="26377342" w14:textId="77777777" w:rsidR="00E45AB4" w:rsidRDefault="005F5178">
            <w:r>
              <w:t>Reject</w:t>
            </w:r>
          </w:p>
        </w:tc>
      </w:tr>
      <w:tr w:rsidR="00E45AB4" w14:paraId="2454A15B" w14:textId="77777777">
        <w:tc>
          <w:tcPr>
            <w:tcW w:w="2484" w:type="dxa"/>
          </w:tcPr>
          <w:p w14:paraId="0CF38562" w14:textId="77777777" w:rsidR="00E45AB4" w:rsidRDefault="005F5178">
            <w:r>
              <w:t>Project A + Project C</w:t>
            </w:r>
          </w:p>
        </w:tc>
        <w:tc>
          <w:tcPr>
            <w:tcW w:w="2484" w:type="dxa"/>
          </w:tcPr>
          <w:p w14:paraId="7550B4AC" w14:textId="77777777" w:rsidR="00E45AB4" w:rsidRDefault="005F5178">
            <w:r>
              <w:t>£100m</w:t>
            </w:r>
          </w:p>
        </w:tc>
        <w:tc>
          <w:tcPr>
            <w:tcW w:w="2484" w:type="dxa"/>
          </w:tcPr>
          <w:p w14:paraId="343033E7" w14:textId="77777777" w:rsidR="00E45AB4" w:rsidRDefault="005F5178">
            <w:r>
              <w:t>-£5.69m</w:t>
            </w:r>
          </w:p>
        </w:tc>
        <w:tc>
          <w:tcPr>
            <w:tcW w:w="2484" w:type="dxa"/>
          </w:tcPr>
          <w:p w14:paraId="384403DA" w14:textId="77777777" w:rsidR="00E45AB4" w:rsidRDefault="005F5178">
            <w:r>
              <w:t>Reject</w:t>
            </w:r>
          </w:p>
        </w:tc>
      </w:tr>
      <w:tr w:rsidR="00E45AB4" w14:paraId="0DC19F33" w14:textId="77777777">
        <w:tc>
          <w:tcPr>
            <w:tcW w:w="2484" w:type="dxa"/>
          </w:tcPr>
          <w:p w14:paraId="5DBEEDC2" w14:textId="77777777" w:rsidR="00E45AB4" w:rsidRDefault="005F5178">
            <w:r>
              <w:t>Project A + Project</w:t>
            </w:r>
            <w:r>
              <w:t xml:space="preserve"> B</w:t>
            </w:r>
          </w:p>
        </w:tc>
        <w:tc>
          <w:tcPr>
            <w:tcW w:w="2484" w:type="dxa"/>
          </w:tcPr>
          <w:p w14:paraId="00B4132E" w14:textId="77777777" w:rsidR="00E45AB4" w:rsidRDefault="005F5178">
            <w:r>
              <w:t>£100m</w:t>
            </w:r>
          </w:p>
        </w:tc>
        <w:tc>
          <w:tcPr>
            <w:tcW w:w="2484" w:type="dxa"/>
          </w:tcPr>
          <w:p w14:paraId="17508E2D" w14:textId="77777777" w:rsidR="00E45AB4" w:rsidRDefault="005F5178">
            <w:r>
              <w:t>-£12.63m</w:t>
            </w:r>
          </w:p>
        </w:tc>
        <w:tc>
          <w:tcPr>
            <w:tcW w:w="2484" w:type="dxa"/>
          </w:tcPr>
          <w:p w14:paraId="086B0C40" w14:textId="77777777" w:rsidR="00E45AB4" w:rsidRDefault="005F5178">
            <w:r>
              <w:t>Reject</w:t>
            </w:r>
          </w:p>
        </w:tc>
      </w:tr>
    </w:tbl>
    <w:p w14:paraId="58051C3D" w14:textId="77777777" w:rsidR="00E45AB4" w:rsidRDefault="005F5178">
      <w:pPr>
        <w:pStyle w:val="Heading1"/>
      </w:pPr>
      <w:r>
        <w:t>Important Academic Note</w:t>
      </w:r>
    </w:p>
    <w:p w14:paraId="571934E6" w14:textId="77777777" w:rsidR="00E45AB4" w:rsidRDefault="005F5178">
      <w:r>
        <w:t xml:space="preserve">The conclusion is based strictly on the figures supplied in the workbook. In a full investment appraisal, management would also consider strategic fit, risk, project interdependence, financing constraints, </w:t>
      </w:r>
      <w:r>
        <w:t>tax, inflation, sensitivity analysis and the reliability of the cash-flow forecasts.</w:t>
      </w:r>
    </w:p>
    <w:sectPr w:rsidR="00E45AB4" w:rsidSect="00034616">
      <w:pgSz w:w="12240" w:h="15840"/>
      <w:pgMar w:top="1008" w:right="1152" w:bottom="1008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5F5178"/>
    <w:rsid w:val="00AA1D8D"/>
    <w:rsid w:val="00B47730"/>
    <w:rsid w:val="00CB0664"/>
    <w:rsid w:val="00E45AB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9F25E6"/>
  <w14:defaultImageDpi w14:val="300"/>
  <w15:docId w15:val="{D9E79935-D088-4032-A331-2EC5543415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D24B161-5AA1-44AB-9CD6-573151207C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889</Words>
  <Characters>5068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5946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Charchil Patel</cp:lastModifiedBy>
  <cp:revision>2</cp:revision>
  <dcterms:created xsi:type="dcterms:W3CDTF">2026-08-12T14:25:00Z</dcterms:created>
  <dcterms:modified xsi:type="dcterms:W3CDTF">2026-08-12T14:25:00Z</dcterms:modified>
  <cp:category/>
</cp:coreProperties>
</file>