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749398" w14:textId="64B17C32" w:rsidR="00424C8A" w:rsidRDefault="00424C8A">
      <w:pPr>
        <w:rPr>
          <w:rFonts w:ascii="Arial" w:hAnsi="Arial" w:cs="Arial"/>
          <w:b/>
          <w:bCs/>
        </w:rPr>
      </w:pPr>
    </w:p>
    <w:p w14:paraId="1AAC99D4" w14:textId="77777777" w:rsidR="00424C8A" w:rsidRDefault="00424C8A">
      <w:pPr>
        <w:rPr>
          <w:rFonts w:ascii="Arial" w:hAnsi="Arial" w:cs="Arial"/>
          <w:b/>
          <w:bCs/>
        </w:rPr>
      </w:pPr>
    </w:p>
    <w:p w14:paraId="52DD07A3" w14:textId="77777777" w:rsidR="00B60868" w:rsidRDefault="00773B2A" w:rsidP="00773B2A">
      <w:pPr>
        <w:rPr>
          <w:rFonts w:ascii="Arial" w:hAnsi="Arial" w:cs="Arial"/>
          <w:b/>
          <w:bCs/>
          <w:sz w:val="48"/>
          <w:szCs w:val="48"/>
        </w:rPr>
      </w:pPr>
      <w:r w:rsidRPr="00B60868">
        <w:rPr>
          <w:rFonts w:ascii="Arial" w:hAnsi="Arial" w:cs="Arial"/>
          <w:b/>
          <w:bCs/>
          <w:sz w:val="48"/>
          <w:szCs w:val="48"/>
        </w:rPr>
        <w:t xml:space="preserve">                  </w:t>
      </w:r>
    </w:p>
    <w:p w14:paraId="7899A094" w14:textId="77777777" w:rsidR="00B60868" w:rsidRPr="00887BA8" w:rsidRDefault="00B60868" w:rsidP="00773B2A">
      <w:pPr>
        <w:rPr>
          <w:rFonts w:ascii="Arial" w:hAnsi="Arial" w:cs="Arial"/>
          <w:b/>
          <w:bCs/>
          <w:sz w:val="56"/>
          <w:szCs w:val="56"/>
        </w:rPr>
      </w:pPr>
    </w:p>
    <w:p w14:paraId="39F66E89" w14:textId="77777777" w:rsidR="006E74A9" w:rsidRDefault="00B60868" w:rsidP="00773B2A">
      <w:pPr>
        <w:rPr>
          <w:rFonts w:ascii="Arial" w:hAnsi="Arial" w:cs="Arial"/>
          <w:b/>
          <w:bCs/>
          <w:sz w:val="56"/>
          <w:szCs w:val="56"/>
        </w:rPr>
      </w:pPr>
      <w:r w:rsidRPr="00887BA8">
        <w:rPr>
          <w:rFonts w:ascii="Arial" w:hAnsi="Arial" w:cs="Arial"/>
          <w:b/>
          <w:bCs/>
          <w:sz w:val="56"/>
          <w:szCs w:val="56"/>
        </w:rPr>
        <w:t xml:space="preserve">        </w:t>
      </w:r>
    </w:p>
    <w:p w14:paraId="70063A33" w14:textId="77777777" w:rsidR="006E74A9" w:rsidRDefault="006E74A9" w:rsidP="00773B2A">
      <w:pPr>
        <w:rPr>
          <w:rFonts w:ascii="Arial" w:hAnsi="Arial" w:cs="Arial"/>
          <w:b/>
          <w:bCs/>
          <w:sz w:val="56"/>
          <w:szCs w:val="56"/>
        </w:rPr>
      </w:pPr>
    </w:p>
    <w:p w14:paraId="450E89DB" w14:textId="77777777" w:rsidR="006E74A9" w:rsidRDefault="006E74A9" w:rsidP="00773B2A">
      <w:pPr>
        <w:rPr>
          <w:rFonts w:ascii="Arial" w:hAnsi="Arial" w:cs="Arial"/>
          <w:b/>
          <w:bCs/>
          <w:sz w:val="56"/>
          <w:szCs w:val="56"/>
        </w:rPr>
      </w:pPr>
      <w:r>
        <w:rPr>
          <w:rFonts w:ascii="Arial" w:hAnsi="Arial" w:cs="Arial"/>
          <w:b/>
          <w:bCs/>
          <w:sz w:val="56"/>
          <w:szCs w:val="56"/>
        </w:rPr>
        <w:t xml:space="preserve">        </w:t>
      </w:r>
    </w:p>
    <w:p w14:paraId="3E64A0E1" w14:textId="0C55B1C5" w:rsidR="00773B2A" w:rsidRPr="00887BA8" w:rsidRDefault="006E74A9" w:rsidP="00773B2A">
      <w:pPr>
        <w:rPr>
          <w:rFonts w:ascii="Arial" w:hAnsi="Arial" w:cs="Arial"/>
          <w:b/>
          <w:bCs/>
          <w:sz w:val="56"/>
          <w:szCs w:val="56"/>
        </w:rPr>
      </w:pPr>
      <w:r>
        <w:rPr>
          <w:rFonts w:ascii="Arial" w:hAnsi="Arial" w:cs="Arial"/>
          <w:b/>
          <w:bCs/>
          <w:sz w:val="56"/>
          <w:szCs w:val="56"/>
        </w:rPr>
        <w:t xml:space="preserve">       </w:t>
      </w:r>
      <w:r w:rsidR="00B60868" w:rsidRPr="00887BA8">
        <w:rPr>
          <w:rFonts w:ascii="Arial" w:hAnsi="Arial" w:cs="Arial"/>
          <w:b/>
          <w:bCs/>
          <w:sz w:val="56"/>
          <w:szCs w:val="56"/>
        </w:rPr>
        <w:t xml:space="preserve"> </w:t>
      </w:r>
      <w:r w:rsidR="00773B2A" w:rsidRPr="00887BA8">
        <w:rPr>
          <w:rFonts w:ascii="Arial" w:hAnsi="Arial" w:cs="Arial"/>
          <w:b/>
          <w:bCs/>
          <w:sz w:val="56"/>
          <w:szCs w:val="56"/>
        </w:rPr>
        <w:t>Lecturer: Jolly Nwankwo</w:t>
      </w:r>
    </w:p>
    <w:p w14:paraId="0D89D75C" w14:textId="4E919088" w:rsidR="00773B2A" w:rsidRPr="00887BA8" w:rsidRDefault="00773B2A" w:rsidP="00773B2A">
      <w:pPr>
        <w:rPr>
          <w:rFonts w:ascii="Arial" w:hAnsi="Arial" w:cs="Arial"/>
          <w:b/>
          <w:bCs/>
          <w:sz w:val="56"/>
          <w:szCs w:val="56"/>
        </w:rPr>
      </w:pPr>
      <w:r w:rsidRPr="00887BA8">
        <w:rPr>
          <w:rFonts w:ascii="Arial" w:hAnsi="Arial" w:cs="Arial"/>
          <w:b/>
          <w:bCs/>
          <w:sz w:val="56"/>
          <w:szCs w:val="56"/>
        </w:rPr>
        <w:t xml:space="preserve">       </w:t>
      </w:r>
      <w:r w:rsidR="006E74A9">
        <w:rPr>
          <w:rFonts w:ascii="Arial" w:hAnsi="Arial" w:cs="Arial"/>
          <w:b/>
          <w:bCs/>
          <w:sz w:val="56"/>
          <w:szCs w:val="56"/>
        </w:rPr>
        <w:t xml:space="preserve"> </w:t>
      </w:r>
      <w:r w:rsidRPr="00887BA8">
        <w:rPr>
          <w:rFonts w:ascii="Arial" w:hAnsi="Arial" w:cs="Arial"/>
          <w:b/>
          <w:bCs/>
          <w:sz w:val="56"/>
          <w:szCs w:val="56"/>
        </w:rPr>
        <w:t>Module code: BMHP6022</w:t>
      </w:r>
    </w:p>
    <w:p w14:paraId="32EB648B" w14:textId="41629390" w:rsidR="00773B2A" w:rsidRPr="00887BA8" w:rsidRDefault="00773B2A" w:rsidP="00773B2A">
      <w:pPr>
        <w:rPr>
          <w:rFonts w:ascii="Arial" w:hAnsi="Arial" w:cs="Arial"/>
          <w:b/>
          <w:bCs/>
          <w:sz w:val="56"/>
          <w:szCs w:val="56"/>
        </w:rPr>
      </w:pPr>
      <w:r w:rsidRPr="00887BA8">
        <w:rPr>
          <w:rFonts w:ascii="Arial" w:hAnsi="Arial" w:cs="Arial"/>
          <w:b/>
          <w:bCs/>
          <w:sz w:val="56"/>
          <w:szCs w:val="56"/>
        </w:rPr>
        <w:t xml:space="preserve">       Student name: Sana Sahir</w:t>
      </w:r>
    </w:p>
    <w:p w14:paraId="1984ECF7" w14:textId="5C8A4E33" w:rsidR="00424C8A" w:rsidRPr="00887BA8" w:rsidRDefault="00773B2A" w:rsidP="00773B2A">
      <w:pPr>
        <w:rPr>
          <w:rFonts w:ascii="Arial" w:hAnsi="Arial" w:cs="Arial"/>
          <w:b/>
          <w:bCs/>
          <w:sz w:val="56"/>
          <w:szCs w:val="56"/>
        </w:rPr>
      </w:pPr>
      <w:r w:rsidRPr="00887BA8">
        <w:rPr>
          <w:rFonts w:ascii="Arial" w:hAnsi="Arial" w:cs="Arial"/>
          <w:b/>
          <w:bCs/>
          <w:sz w:val="56"/>
          <w:szCs w:val="56"/>
        </w:rPr>
        <w:t xml:space="preserve">            Student ID: 2113594</w:t>
      </w:r>
    </w:p>
    <w:p w14:paraId="1F4EAE41" w14:textId="77777777" w:rsidR="00424C8A" w:rsidRPr="00887BA8" w:rsidRDefault="00424C8A">
      <w:pPr>
        <w:rPr>
          <w:rFonts w:ascii="Arial" w:hAnsi="Arial" w:cs="Arial"/>
          <w:b/>
          <w:bCs/>
          <w:sz w:val="56"/>
          <w:szCs w:val="56"/>
        </w:rPr>
      </w:pPr>
    </w:p>
    <w:p w14:paraId="4439EF07" w14:textId="77777777" w:rsidR="00424C8A" w:rsidRDefault="00424C8A">
      <w:pPr>
        <w:rPr>
          <w:rFonts w:ascii="Arial" w:hAnsi="Arial" w:cs="Arial"/>
          <w:b/>
          <w:bCs/>
        </w:rPr>
      </w:pPr>
    </w:p>
    <w:p w14:paraId="272A770D" w14:textId="77777777" w:rsidR="00424C8A" w:rsidRDefault="00424C8A">
      <w:pPr>
        <w:rPr>
          <w:rFonts w:ascii="Arial" w:hAnsi="Arial" w:cs="Arial"/>
          <w:b/>
          <w:bCs/>
        </w:rPr>
      </w:pPr>
    </w:p>
    <w:p w14:paraId="02E0894D" w14:textId="77777777" w:rsidR="00424C8A" w:rsidRDefault="00424C8A">
      <w:pPr>
        <w:rPr>
          <w:rFonts w:ascii="Arial" w:hAnsi="Arial" w:cs="Arial"/>
          <w:b/>
          <w:bCs/>
        </w:rPr>
      </w:pPr>
    </w:p>
    <w:p w14:paraId="4B78FB4B" w14:textId="77777777" w:rsidR="00424C8A" w:rsidRDefault="00424C8A">
      <w:pPr>
        <w:rPr>
          <w:rFonts w:ascii="Arial" w:hAnsi="Arial" w:cs="Arial"/>
          <w:b/>
          <w:bCs/>
        </w:rPr>
      </w:pPr>
    </w:p>
    <w:p w14:paraId="615AEB12" w14:textId="77777777" w:rsidR="00424C8A" w:rsidRDefault="00424C8A">
      <w:pPr>
        <w:rPr>
          <w:rFonts w:ascii="Arial" w:hAnsi="Arial" w:cs="Arial"/>
          <w:b/>
          <w:bCs/>
        </w:rPr>
      </w:pPr>
    </w:p>
    <w:p w14:paraId="24622323" w14:textId="77777777" w:rsidR="00957121" w:rsidRDefault="00957121">
      <w:pPr>
        <w:rPr>
          <w:rFonts w:ascii="Arial" w:hAnsi="Arial" w:cs="Arial"/>
          <w:b/>
          <w:bCs/>
        </w:rPr>
      </w:pPr>
    </w:p>
    <w:p w14:paraId="3E9175A4" w14:textId="77777777" w:rsidR="00957121" w:rsidRDefault="00957121">
      <w:pPr>
        <w:rPr>
          <w:rFonts w:ascii="Arial" w:hAnsi="Arial" w:cs="Arial"/>
          <w:b/>
          <w:bCs/>
        </w:rPr>
      </w:pPr>
    </w:p>
    <w:p w14:paraId="568FF87D" w14:textId="77777777" w:rsidR="00957121" w:rsidRDefault="00957121">
      <w:pPr>
        <w:rPr>
          <w:rFonts w:ascii="Arial" w:hAnsi="Arial" w:cs="Arial"/>
          <w:b/>
          <w:bCs/>
        </w:rPr>
      </w:pPr>
    </w:p>
    <w:p w14:paraId="6EDAC167" w14:textId="77777777" w:rsidR="00957121" w:rsidRDefault="00957121">
      <w:pPr>
        <w:rPr>
          <w:rFonts w:ascii="Arial" w:hAnsi="Arial" w:cs="Arial"/>
          <w:b/>
          <w:bCs/>
        </w:rPr>
      </w:pPr>
    </w:p>
    <w:p w14:paraId="33AD9E7B" w14:textId="77777777" w:rsidR="00957121" w:rsidRDefault="00957121">
      <w:pPr>
        <w:rPr>
          <w:rFonts w:ascii="Arial" w:hAnsi="Arial" w:cs="Arial"/>
          <w:b/>
          <w:bCs/>
        </w:rPr>
      </w:pPr>
    </w:p>
    <w:p w14:paraId="6123636F" w14:textId="77777777" w:rsidR="004C7050" w:rsidRDefault="004C7050" w:rsidP="00B06D39">
      <w:pPr>
        <w:pStyle w:val="Heading1"/>
        <w:rPr>
          <w:rFonts w:ascii="Arial" w:hAnsi="Arial" w:cs="Arial"/>
          <w:b/>
          <w:bCs/>
          <w:color w:val="auto"/>
          <w:sz w:val="32"/>
          <w:szCs w:val="32"/>
        </w:rPr>
      </w:pPr>
    </w:p>
    <w:p w14:paraId="1762D036" w14:textId="77777777" w:rsidR="004C7050" w:rsidRDefault="004C7050" w:rsidP="00B06D39">
      <w:pPr>
        <w:pStyle w:val="Heading1"/>
        <w:rPr>
          <w:rFonts w:ascii="Arial" w:hAnsi="Arial" w:cs="Arial"/>
          <w:b/>
          <w:bCs/>
          <w:color w:val="auto"/>
          <w:sz w:val="32"/>
          <w:szCs w:val="32"/>
        </w:rPr>
      </w:pPr>
    </w:p>
    <w:sdt>
      <w:sdtPr>
        <w:rPr>
          <w:rFonts w:asciiTheme="minorHAnsi" w:eastAsiaTheme="minorHAnsi" w:hAnsiTheme="minorHAnsi" w:cstheme="minorBidi"/>
          <w:color w:val="auto"/>
          <w:kern w:val="2"/>
          <w:sz w:val="22"/>
          <w:szCs w:val="22"/>
          <w:lang w:eastAsia="en-US"/>
        </w:rPr>
        <w:id w:val="1341114774"/>
        <w:docPartObj>
          <w:docPartGallery w:val="Table of Contents"/>
          <w:docPartUnique/>
        </w:docPartObj>
      </w:sdtPr>
      <w:sdtEndPr>
        <w:rPr>
          <w:rFonts w:ascii="Arial" w:hAnsi="Arial" w:cs="Arial"/>
          <w:b/>
          <w:bCs/>
          <w:sz w:val="32"/>
          <w:szCs w:val="32"/>
        </w:rPr>
      </w:sdtEndPr>
      <w:sdtContent>
        <w:p w14:paraId="15703BA2" w14:textId="77777777" w:rsidR="005E6D61" w:rsidRDefault="005E6D61">
          <w:pPr>
            <w:pStyle w:val="TOCHeading"/>
          </w:pPr>
        </w:p>
        <w:p w14:paraId="2B937EB4" w14:textId="77777777" w:rsidR="005E6D61" w:rsidRDefault="005E6D61">
          <w:pPr>
            <w:pStyle w:val="TOCHeading"/>
          </w:pPr>
        </w:p>
        <w:p w14:paraId="2197D197" w14:textId="0DAC71B9" w:rsidR="005E6D61" w:rsidRPr="00BB59BB" w:rsidRDefault="005E6D61">
          <w:pPr>
            <w:pStyle w:val="TOCHeading"/>
            <w:rPr>
              <w:rFonts w:ascii="Arial" w:hAnsi="Arial" w:cs="Arial"/>
              <w:b/>
              <w:bCs/>
              <w:color w:val="auto"/>
              <w:sz w:val="40"/>
              <w:szCs w:val="40"/>
            </w:rPr>
          </w:pPr>
          <w:r w:rsidRPr="00BB59BB">
            <w:rPr>
              <w:rFonts w:ascii="Arial" w:hAnsi="Arial" w:cs="Arial"/>
              <w:b/>
              <w:bCs/>
              <w:color w:val="auto"/>
              <w:sz w:val="40"/>
              <w:szCs w:val="40"/>
            </w:rPr>
            <w:t>Table of Contents</w:t>
          </w:r>
        </w:p>
        <w:p w14:paraId="2A3DEF4F" w14:textId="77777777" w:rsidR="005E6D61" w:rsidRDefault="005E6D61">
          <w:pPr>
            <w:pStyle w:val="TOC1"/>
            <w:tabs>
              <w:tab w:val="right" w:leader="dot" w:pos="9016"/>
            </w:tabs>
          </w:pPr>
        </w:p>
        <w:p w14:paraId="33CCDC65" w14:textId="0E0C509E" w:rsidR="00F370F2" w:rsidRPr="00F370F2" w:rsidRDefault="005E6D61">
          <w:pPr>
            <w:pStyle w:val="TOC1"/>
            <w:tabs>
              <w:tab w:val="right" w:leader="dot" w:pos="9016"/>
            </w:tabs>
            <w:rPr>
              <w:rFonts w:ascii="Arial" w:eastAsiaTheme="minorEastAsia" w:hAnsi="Arial" w:cs="Arial"/>
              <w:noProof/>
              <w:sz w:val="36"/>
              <w:szCs w:val="36"/>
              <w:lang w:eastAsia="en-GB"/>
            </w:rPr>
          </w:pPr>
          <w:r w:rsidRPr="007F0E5A">
            <w:rPr>
              <w:rFonts w:ascii="Arial" w:hAnsi="Arial" w:cs="Arial"/>
              <w:sz w:val="32"/>
              <w:szCs w:val="32"/>
            </w:rPr>
            <w:fldChar w:fldCharType="begin"/>
          </w:r>
          <w:r w:rsidRPr="007F0E5A">
            <w:rPr>
              <w:rFonts w:ascii="Arial" w:hAnsi="Arial" w:cs="Arial"/>
              <w:sz w:val="32"/>
              <w:szCs w:val="32"/>
            </w:rPr>
            <w:instrText xml:space="preserve"> TOC \o "1-3" \h \z \u </w:instrText>
          </w:r>
          <w:r w:rsidRPr="007F0E5A">
            <w:rPr>
              <w:rFonts w:ascii="Arial" w:hAnsi="Arial" w:cs="Arial"/>
              <w:sz w:val="32"/>
              <w:szCs w:val="32"/>
            </w:rPr>
            <w:fldChar w:fldCharType="separate"/>
          </w:r>
          <w:hyperlink w:anchor="_Toc174393231" w:history="1">
            <w:r w:rsidR="00F370F2" w:rsidRPr="00F370F2">
              <w:rPr>
                <w:rStyle w:val="Hyperlink"/>
                <w:rFonts w:ascii="Arial" w:hAnsi="Arial" w:cs="Arial"/>
                <w:b/>
                <w:bCs/>
                <w:noProof/>
                <w:sz w:val="36"/>
                <w:szCs w:val="36"/>
              </w:rPr>
              <w:t>Introduction</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_Toc174393231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2</w:t>
            </w:r>
            <w:r w:rsidR="00F370F2" w:rsidRPr="00F370F2">
              <w:rPr>
                <w:rFonts w:ascii="Arial" w:hAnsi="Arial" w:cs="Arial"/>
                <w:noProof/>
                <w:webHidden/>
                <w:sz w:val="36"/>
                <w:szCs w:val="36"/>
              </w:rPr>
              <w:fldChar w:fldCharType="end"/>
            </w:r>
          </w:hyperlink>
        </w:p>
        <w:p w14:paraId="552FD98B" w14:textId="27F56655"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2" w:history="1">
            <w:r w:rsidR="00F370F2" w:rsidRPr="00F370F2">
              <w:rPr>
                <w:rStyle w:val="Hyperlink"/>
                <w:rFonts w:ascii="Arial" w:hAnsi="Arial" w:cs="Arial"/>
                <w:b/>
                <w:bCs/>
                <w:noProof/>
                <w:sz w:val="36"/>
                <w:szCs w:val="36"/>
              </w:rPr>
              <w:t>Demographic</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_Toc174393232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3</w:t>
            </w:r>
            <w:r w:rsidR="00F370F2" w:rsidRPr="00F370F2">
              <w:rPr>
                <w:rFonts w:ascii="Arial" w:hAnsi="Arial" w:cs="Arial"/>
                <w:noProof/>
                <w:webHidden/>
                <w:sz w:val="36"/>
                <w:szCs w:val="36"/>
              </w:rPr>
              <w:fldChar w:fldCharType="end"/>
            </w:r>
          </w:hyperlink>
        </w:p>
        <w:p w14:paraId="27B994F2" w14:textId="2464142D"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3" w:history="1">
            <w:r w:rsidR="00F370F2" w:rsidRPr="00F370F2">
              <w:rPr>
                <w:rStyle w:val="Hyperlink"/>
                <w:rFonts w:ascii="Arial" w:hAnsi="Arial" w:cs="Arial"/>
                <w:b/>
                <w:bCs/>
                <w:noProof/>
                <w:sz w:val="36"/>
                <w:szCs w:val="36"/>
              </w:rPr>
              <w:t>Principles which support community development</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_Toc174393233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3</w:t>
            </w:r>
            <w:r w:rsidR="00F370F2" w:rsidRPr="00F370F2">
              <w:rPr>
                <w:rFonts w:ascii="Arial" w:hAnsi="Arial" w:cs="Arial"/>
                <w:noProof/>
                <w:webHidden/>
                <w:sz w:val="36"/>
                <w:szCs w:val="36"/>
              </w:rPr>
              <w:fldChar w:fldCharType="end"/>
            </w:r>
          </w:hyperlink>
        </w:p>
        <w:p w14:paraId="1593CD86" w14:textId="6EFCDFBB"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4" w:history="1">
            <w:r w:rsidR="00F370F2" w:rsidRPr="00F370F2">
              <w:rPr>
                <w:rStyle w:val="Hyperlink"/>
                <w:rFonts w:ascii="Arial" w:hAnsi="Arial" w:cs="Arial"/>
                <w:b/>
                <w:bCs/>
                <w:noProof/>
                <w:sz w:val="36"/>
                <w:szCs w:val="36"/>
              </w:rPr>
              <w:t>Stakeholders</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_Toc174393234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4</w:t>
            </w:r>
            <w:r w:rsidR="00F370F2" w:rsidRPr="00F370F2">
              <w:rPr>
                <w:rFonts w:ascii="Arial" w:hAnsi="Arial" w:cs="Arial"/>
                <w:noProof/>
                <w:webHidden/>
                <w:sz w:val="36"/>
                <w:szCs w:val="36"/>
              </w:rPr>
              <w:fldChar w:fldCharType="end"/>
            </w:r>
          </w:hyperlink>
        </w:p>
        <w:p w14:paraId="62405DB4" w14:textId="0156591B"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5" w:history="1">
            <w:r w:rsidR="00F370F2" w:rsidRPr="00F370F2">
              <w:rPr>
                <w:rStyle w:val="Hyperlink"/>
                <w:rFonts w:ascii="Arial" w:hAnsi="Arial" w:cs="Arial"/>
                <w:b/>
                <w:bCs/>
                <w:noProof/>
                <w:sz w:val="36"/>
                <w:szCs w:val="36"/>
              </w:rPr>
              <w:t>Utilising Maslow's Hierarchy of Needs in the context of raising awareness and preventing cardiovascular disease.</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_Toc174393235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5</w:t>
            </w:r>
            <w:r w:rsidR="00F370F2" w:rsidRPr="00F370F2">
              <w:rPr>
                <w:rFonts w:ascii="Arial" w:hAnsi="Arial" w:cs="Arial"/>
                <w:noProof/>
                <w:webHidden/>
                <w:sz w:val="36"/>
                <w:szCs w:val="36"/>
              </w:rPr>
              <w:fldChar w:fldCharType="end"/>
            </w:r>
          </w:hyperlink>
        </w:p>
        <w:p w14:paraId="5A579BEE" w14:textId="0A9AE984"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6" w:history="1">
            <w:r w:rsidR="00F370F2" w:rsidRPr="00F370F2">
              <w:rPr>
                <w:rStyle w:val="Hyperlink"/>
                <w:rFonts w:ascii="Arial" w:hAnsi="Arial" w:cs="Arial"/>
                <w:b/>
                <w:bCs/>
                <w:noProof/>
                <w:sz w:val="36"/>
                <w:szCs w:val="36"/>
              </w:rPr>
              <w:t>Barriers/obstacles to community development</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_Toc174393236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5</w:t>
            </w:r>
            <w:r w:rsidR="00F370F2" w:rsidRPr="00F370F2">
              <w:rPr>
                <w:rFonts w:ascii="Arial" w:hAnsi="Arial" w:cs="Arial"/>
                <w:noProof/>
                <w:webHidden/>
                <w:sz w:val="36"/>
                <w:szCs w:val="36"/>
              </w:rPr>
              <w:fldChar w:fldCharType="end"/>
            </w:r>
          </w:hyperlink>
        </w:p>
        <w:p w14:paraId="6E05D59F" w14:textId="5BF41C43"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7" w:history="1">
            <w:r w:rsidR="00F370F2" w:rsidRPr="00F370F2">
              <w:rPr>
                <w:rStyle w:val="Hyperlink"/>
                <w:rFonts w:ascii="Arial" w:hAnsi="Arial" w:cs="Arial"/>
                <w:b/>
                <w:bCs/>
                <w:noProof/>
                <w:sz w:val="36"/>
                <w:szCs w:val="36"/>
              </w:rPr>
              <w:t>legislation and policy</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_Toc174393237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6</w:t>
            </w:r>
            <w:r w:rsidR="00F370F2" w:rsidRPr="00F370F2">
              <w:rPr>
                <w:rFonts w:ascii="Arial" w:hAnsi="Arial" w:cs="Arial"/>
                <w:noProof/>
                <w:webHidden/>
                <w:sz w:val="36"/>
                <w:szCs w:val="36"/>
              </w:rPr>
              <w:fldChar w:fldCharType="end"/>
            </w:r>
          </w:hyperlink>
        </w:p>
        <w:p w14:paraId="70E11EA2" w14:textId="48A9908B"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8" w:history="1">
            <w:r w:rsidR="00F370F2" w:rsidRPr="00F370F2">
              <w:rPr>
                <w:rStyle w:val="Hyperlink"/>
                <w:rFonts w:ascii="Arial" w:hAnsi="Arial" w:cs="Arial"/>
                <w:b/>
                <w:bCs/>
                <w:noProof/>
                <w:sz w:val="36"/>
                <w:szCs w:val="36"/>
              </w:rPr>
              <w:t>Recommendations</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_Toc174393238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7</w:t>
            </w:r>
            <w:r w:rsidR="00F370F2" w:rsidRPr="00F370F2">
              <w:rPr>
                <w:rFonts w:ascii="Arial" w:hAnsi="Arial" w:cs="Arial"/>
                <w:noProof/>
                <w:webHidden/>
                <w:sz w:val="36"/>
                <w:szCs w:val="36"/>
              </w:rPr>
              <w:fldChar w:fldCharType="end"/>
            </w:r>
          </w:hyperlink>
        </w:p>
        <w:p w14:paraId="07612005" w14:textId="46AC9718"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39" w:history="1">
            <w:r w:rsidR="00F370F2" w:rsidRPr="00F370F2">
              <w:rPr>
                <w:rStyle w:val="Hyperlink"/>
                <w:rFonts w:ascii="Arial" w:hAnsi="Arial" w:cs="Arial"/>
                <w:b/>
                <w:bCs/>
                <w:noProof/>
                <w:sz w:val="36"/>
                <w:szCs w:val="36"/>
              </w:rPr>
              <w:t>Conclusion</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_Toc174393239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7</w:t>
            </w:r>
            <w:r w:rsidR="00F370F2" w:rsidRPr="00F370F2">
              <w:rPr>
                <w:rFonts w:ascii="Arial" w:hAnsi="Arial" w:cs="Arial"/>
                <w:noProof/>
                <w:webHidden/>
                <w:sz w:val="36"/>
                <w:szCs w:val="36"/>
              </w:rPr>
              <w:fldChar w:fldCharType="end"/>
            </w:r>
          </w:hyperlink>
        </w:p>
        <w:p w14:paraId="34161A56" w14:textId="04A29D8D" w:rsidR="00F370F2" w:rsidRPr="00F370F2" w:rsidRDefault="00000000">
          <w:pPr>
            <w:pStyle w:val="TOC1"/>
            <w:tabs>
              <w:tab w:val="right" w:leader="dot" w:pos="9016"/>
            </w:tabs>
            <w:rPr>
              <w:rFonts w:ascii="Arial" w:eastAsiaTheme="minorEastAsia" w:hAnsi="Arial" w:cs="Arial"/>
              <w:noProof/>
              <w:sz w:val="36"/>
              <w:szCs w:val="36"/>
              <w:lang w:eastAsia="en-GB"/>
            </w:rPr>
          </w:pPr>
          <w:hyperlink w:anchor="_Toc174393240" w:history="1">
            <w:r w:rsidR="00F370F2" w:rsidRPr="00F370F2">
              <w:rPr>
                <w:rStyle w:val="Hyperlink"/>
                <w:rFonts w:ascii="Arial" w:hAnsi="Arial" w:cs="Arial"/>
                <w:b/>
                <w:bCs/>
                <w:noProof/>
                <w:sz w:val="36"/>
                <w:szCs w:val="36"/>
              </w:rPr>
              <w:t>References</w:t>
            </w:r>
            <w:r w:rsidR="00F370F2" w:rsidRPr="00F370F2">
              <w:rPr>
                <w:rFonts w:ascii="Arial" w:hAnsi="Arial" w:cs="Arial"/>
                <w:noProof/>
                <w:webHidden/>
                <w:sz w:val="36"/>
                <w:szCs w:val="36"/>
              </w:rPr>
              <w:tab/>
            </w:r>
            <w:r w:rsidR="00F370F2" w:rsidRPr="00F370F2">
              <w:rPr>
                <w:rFonts w:ascii="Arial" w:hAnsi="Arial" w:cs="Arial"/>
                <w:noProof/>
                <w:webHidden/>
                <w:sz w:val="36"/>
                <w:szCs w:val="36"/>
              </w:rPr>
              <w:fldChar w:fldCharType="begin"/>
            </w:r>
            <w:r w:rsidR="00F370F2" w:rsidRPr="00F370F2">
              <w:rPr>
                <w:rFonts w:ascii="Arial" w:hAnsi="Arial" w:cs="Arial"/>
                <w:noProof/>
                <w:webHidden/>
                <w:sz w:val="36"/>
                <w:szCs w:val="36"/>
              </w:rPr>
              <w:instrText xml:space="preserve"> PAGEREF _Toc174393240 \h </w:instrText>
            </w:r>
            <w:r w:rsidR="00F370F2" w:rsidRPr="00F370F2">
              <w:rPr>
                <w:rFonts w:ascii="Arial" w:hAnsi="Arial" w:cs="Arial"/>
                <w:noProof/>
                <w:webHidden/>
                <w:sz w:val="36"/>
                <w:szCs w:val="36"/>
              </w:rPr>
            </w:r>
            <w:r w:rsidR="00F370F2" w:rsidRPr="00F370F2">
              <w:rPr>
                <w:rFonts w:ascii="Arial" w:hAnsi="Arial" w:cs="Arial"/>
                <w:noProof/>
                <w:webHidden/>
                <w:sz w:val="36"/>
                <w:szCs w:val="36"/>
              </w:rPr>
              <w:fldChar w:fldCharType="separate"/>
            </w:r>
            <w:r w:rsidR="00F370F2" w:rsidRPr="00F370F2">
              <w:rPr>
                <w:rFonts w:ascii="Arial" w:hAnsi="Arial" w:cs="Arial"/>
                <w:noProof/>
                <w:webHidden/>
                <w:sz w:val="36"/>
                <w:szCs w:val="36"/>
              </w:rPr>
              <w:t>9</w:t>
            </w:r>
            <w:r w:rsidR="00F370F2" w:rsidRPr="00F370F2">
              <w:rPr>
                <w:rFonts w:ascii="Arial" w:hAnsi="Arial" w:cs="Arial"/>
                <w:noProof/>
                <w:webHidden/>
                <w:sz w:val="36"/>
                <w:szCs w:val="36"/>
              </w:rPr>
              <w:fldChar w:fldCharType="end"/>
            </w:r>
          </w:hyperlink>
        </w:p>
        <w:p w14:paraId="213C2E48" w14:textId="4EFD29C3" w:rsidR="00F9357F" w:rsidRPr="007F0E5A" w:rsidRDefault="005E6D61" w:rsidP="00F9357F">
          <w:pPr>
            <w:rPr>
              <w:rFonts w:ascii="Arial" w:hAnsi="Arial" w:cs="Arial"/>
              <w:b/>
              <w:bCs/>
              <w:sz w:val="32"/>
              <w:szCs w:val="32"/>
            </w:rPr>
          </w:pPr>
          <w:r w:rsidRPr="007F0E5A">
            <w:rPr>
              <w:rFonts w:ascii="Arial" w:hAnsi="Arial" w:cs="Arial"/>
              <w:b/>
              <w:bCs/>
              <w:sz w:val="32"/>
              <w:szCs w:val="32"/>
            </w:rPr>
            <w:fldChar w:fldCharType="end"/>
          </w:r>
        </w:p>
        <w:p w14:paraId="4B349433" w14:textId="77777777" w:rsidR="00F9357F" w:rsidRPr="007F0E5A" w:rsidRDefault="00F9357F" w:rsidP="00F9357F">
          <w:pPr>
            <w:rPr>
              <w:rFonts w:ascii="Arial" w:hAnsi="Arial" w:cs="Arial"/>
              <w:b/>
              <w:bCs/>
              <w:sz w:val="32"/>
              <w:szCs w:val="32"/>
            </w:rPr>
          </w:pPr>
        </w:p>
        <w:p w14:paraId="21FEB5B7" w14:textId="77777777" w:rsidR="00887BA8" w:rsidRPr="007F0E5A" w:rsidRDefault="00887BA8" w:rsidP="00887BA8">
          <w:pPr>
            <w:rPr>
              <w:rFonts w:ascii="Arial" w:hAnsi="Arial" w:cs="Arial"/>
              <w:sz w:val="32"/>
              <w:szCs w:val="32"/>
            </w:rPr>
          </w:pPr>
        </w:p>
        <w:p w14:paraId="7E6A69B9" w14:textId="409B5452" w:rsidR="00887BA8" w:rsidRPr="007F0E5A" w:rsidRDefault="00000000" w:rsidP="00887BA8">
          <w:pPr>
            <w:rPr>
              <w:rFonts w:ascii="Arial" w:hAnsi="Arial" w:cs="Arial"/>
              <w:sz w:val="32"/>
              <w:szCs w:val="32"/>
            </w:rPr>
          </w:pPr>
        </w:p>
      </w:sdtContent>
    </w:sdt>
    <w:p w14:paraId="0D581978" w14:textId="77777777" w:rsidR="006438C0" w:rsidRPr="007F0E5A" w:rsidRDefault="006438C0" w:rsidP="00B06D39">
      <w:pPr>
        <w:pStyle w:val="Heading1"/>
        <w:rPr>
          <w:rFonts w:ascii="Arial" w:hAnsi="Arial" w:cs="Arial"/>
          <w:b/>
          <w:bCs/>
          <w:color w:val="auto"/>
          <w:sz w:val="32"/>
          <w:szCs w:val="32"/>
        </w:rPr>
      </w:pPr>
    </w:p>
    <w:p w14:paraId="13E59654" w14:textId="77777777" w:rsidR="00B026E5" w:rsidRDefault="00B026E5" w:rsidP="00B06D39">
      <w:pPr>
        <w:pStyle w:val="Heading1"/>
        <w:rPr>
          <w:rFonts w:ascii="Arial" w:hAnsi="Arial" w:cs="Arial"/>
          <w:b/>
          <w:bCs/>
          <w:color w:val="auto"/>
          <w:sz w:val="36"/>
          <w:szCs w:val="36"/>
        </w:rPr>
      </w:pPr>
    </w:p>
    <w:p w14:paraId="2F42B30A" w14:textId="77777777" w:rsidR="006438C0" w:rsidRDefault="006438C0" w:rsidP="006438C0"/>
    <w:p w14:paraId="4DE5D3D0" w14:textId="17888179" w:rsidR="00B026E5" w:rsidRPr="003E290D" w:rsidRDefault="00B026E5" w:rsidP="00122610">
      <w:pPr>
        <w:pStyle w:val="Heading1"/>
        <w:pBdr>
          <w:bottom w:val="single" w:sz="4" w:space="1" w:color="auto"/>
        </w:pBdr>
        <w:rPr>
          <w:rFonts w:ascii="Arial" w:hAnsi="Arial" w:cs="Arial"/>
          <w:b/>
          <w:bCs/>
          <w:color w:val="auto"/>
          <w:sz w:val="36"/>
          <w:szCs w:val="36"/>
        </w:rPr>
      </w:pPr>
      <w:bookmarkStart w:id="0" w:name="_Toc174393231"/>
      <w:r w:rsidRPr="003E290D">
        <w:rPr>
          <w:rFonts w:ascii="Arial" w:hAnsi="Arial" w:cs="Arial"/>
          <w:b/>
          <w:bCs/>
          <w:color w:val="auto"/>
          <w:sz w:val="36"/>
          <w:szCs w:val="36"/>
        </w:rPr>
        <w:lastRenderedPageBreak/>
        <w:t>Introduction</w:t>
      </w:r>
      <w:bookmarkEnd w:id="0"/>
    </w:p>
    <w:p w14:paraId="4A54FF74" w14:textId="7F82F6B4" w:rsidR="00F85AA4" w:rsidRDefault="00781D76" w:rsidP="005C48D5">
      <w:pPr>
        <w:spacing w:line="360" w:lineRule="auto"/>
        <w:jc w:val="both"/>
        <w:rPr>
          <w:rFonts w:ascii="Arial" w:hAnsi="Arial" w:cs="Arial"/>
        </w:rPr>
      </w:pPr>
      <w:r w:rsidRPr="001B4D80">
        <w:rPr>
          <w:rFonts w:ascii="Arial" w:hAnsi="Arial" w:cs="Arial"/>
        </w:rPr>
        <w:t>A community is a collective of individuals with mutual interests, values, or objectives who frequently reside near one another. Communities can be formed based on different criteria, including geographical location (neighbourhoods, towns), shared interests (hobbies, professions), or common identity (ethnicity, religion)</w:t>
      </w:r>
      <w:r w:rsidRPr="00781D76">
        <w:rPr>
          <w:rFonts w:ascii="Arial" w:hAnsi="Arial" w:cs="Arial"/>
        </w:rPr>
        <w:t xml:space="preserve"> </w:t>
      </w:r>
      <w:r w:rsidR="001B4D80" w:rsidRPr="001B4D80">
        <w:rPr>
          <w:rFonts w:ascii="Arial" w:hAnsi="Arial" w:cs="Arial"/>
        </w:rPr>
        <w:t>(MacQueen et al, 2001).</w:t>
      </w:r>
      <w:r w:rsidR="001B4D80">
        <w:rPr>
          <w:rFonts w:ascii="Arial" w:hAnsi="Arial" w:cs="Arial"/>
        </w:rPr>
        <w:t xml:space="preserve"> </w:t>
      </w:r>
      <w:r w:rsidRPr="00781D76">
        <w:rPr>
          <w:rFonts w:ascii="Arial" w:hAnsi="Arial" w:cs="Arial"/>
        </w:rPr>
        <w:t>They facilitate inclusion and assistance, promoting interpersonal relationships and cooperation among individuals. Communities can vary in size and composition, ranging from close-knit groups to expansive and diverse networks</w:t>
      </w:r>
      <w:r w:rsidR="00E24FD1" w:rsidRPr="00E24FD1">
        <w:t xml:space="preserve"> </w:t>
      </w:r>
      <w:r w:rsidR="00E24FD1" w:rsidRPr="00E24FD1">
        <w:rPr>
          <w:rFonts w:ascii="Arial" w:hAnsi="Arial" w:cs="Arial"/>
        </w:rPr>
        <w:t>(MacQueen et al, 2001).</w:t>
      </w:r>
      <w:r w:rsidRPr="00781D76">
        <w:rPr>
          <w:rFonts w:ascii="Arial" w:hAnsi="Arial" w:cs="Arial"/>
        </w:rPr>
        <w:t xml:space="preserve"> They significantly impact social interactions, cultural standards, and the overall welfare of the collective</w:t>
      </w:r>
      <w:r w:rsidR="00A067A9">
        <w:rPr>
          <w:rFonts w:ascii="Arial" w:hAnsi="Arial" w:cs="Arial"/>
        </w:rPr>
        <w:t xml:space="preserve"> t</w:t>
      </w:r>
      <w:r w:rsidRPr="00781D76">
        <w:rPr>
          <w:rFonts w:ascii="Arial" w:hAnsi="Arial" w:cs="Arial"/>
        </w:rPr>
        <w:t>hey can exist in tangible environments and virtual platforms, adjusting to the ever-changing patterns of human engagement.</w:t>
      </w:r>
      <w:r w:rsidR="00384EE1" w:rsidRPr="00384EE1">
        <w:rPr>
          <w:rFonts w:ascii="Arial" w:hAnsi="Arial" w:cs="Arial"/>
        </w:rPr>
        <w:t xml:space="preserve"> </w:t>
      </w:r>
      <w:r w:rsidR="000128D9" w:rsidRPr="000128D9">
        <w:rPr>
          <w:rFonts w:ascii="Arial" w:hAnsi="Arial" w:cs="Arial"/>
        </w:rPr>
        <w:t>The leading causes of death in Barnet between 2010 and 2012, for both men and women, were circulatory diseases, cancers, and respiratory diseases</w:t>
      </w:r>
      <w:r w:rsidR="00945A30">
        <w:rPr>
          <w:rFonts w:ascii="Arial" w:hAnsi="Arial" w:cs="Arial"/>
        </w:rPr>
        <w:t xml:space="preserve"> </w:t>
      </w:r>
      <w:r w:rsidR="00945A30" w:rsidRPr="00945A30">
        <w:rPr>
          <w:rFonts w:ascii="Arial" w:hAnsi="Arial" w:cs="Arial"/>
        </w:rPr>
        <w:t>(Public Health England, 2022)</w:t>
      </w:r>
      <w:r w:rsidR="000128D9" w:rsidRPr="000128D9">
        <w:rPr>
          <w:rFonts w:ascii="Arial" w:hAnsi="Arial" w:cs="Arial"/>
        </w:rPr>
        <w:t>. This supporting paper aims to raise awareness and prevent Circulatory diseases</w:t>
      </w:r>
      <w:r w:rsidR="00945A30">
        <w:rPr>
          <w:rFonts w:ascii="Arial" w:hAnsi="Arial" w:cs="Arial"/>
        </w:rPr>
        <w:t>.</w:t>
      </w:r>
      <w:r w:rsidR="001C1088">
        <w:rPr>
          <w:rFonts w:ascii="Arial" w:hAnsi="Arial" w:cs="Arial"/>
        </w:rPr>
        <w:t xml:space="preserve"> </w:t>
      </w:r>
      <w:r w:rsidR="00F85AA4" w:rsidRPr="00F85AA4">
        <w:rPr>
          <w:rFonts w:ascii="Arial" w:hAnsi="Arial" w:cs="Arial"/>
        </w:rPr>
        <w:t>The objective of the Community Project in Barnet is to enhance awareness and prevent circulatory diseases through education, resources, and active community involvement.</w:t>
      </w:r>
    </w:p>
    <w:p w14:paraId="6915C6F9" w14:textId="6C388911" w:rsidR="00AE1317" w:rsidRPr="003E290D" w:rsidRDefault="00AE1317" w:rsidP="00122610">
      <w:pPr>
        <w:pStyle w:val="Heading1"/>
        <w:pBdr>
          <w:bottom w:val="single" w:sz="4" w:space="1" w:color="auto"/>
        </w:pBdr>
        <w:rPr>
          <w:rFonts w:ascii="Arial" w:hAnsi="Arial" w:cs="Arial"/>
          <w:b/>
          <w:bCs/>
          <w:color w:val="auto"/>
          <w:sz w:val="36"/>
          <w:szCs w:val="36"/>
        </w:rPr>
      </w:pPr>
      <w:bookmarkStart w:id="1" w:name="_Toc174393232"/>
      <w:r w:rsidRPr="003E290D">
        <w:rPr>
          <w:rFonts w:ascii="Arial" w:hAnsi="Arial" w:cs="Arial"/>
          <w:b/>
          <w:bCs/>
          <w:color w:val="auto"/>
          <w:sz w:val="36"/>
          <w:szCs w:val="36"/>
        </w:rPr>
        <w:t>Demographic</w:t>
      </w:r>
      <w:bookmarkEnd w:id="1"/>
    </w:p>
    <w:p w14:paraId="7392E3E7" w14:textId="76C465DE" w:rsidR="00987ABA" w:rsidRDefault="00987ABA" w:rsidP="005C48D5">
      <w:pPr>
        <w:spacing w:line="360" w:lineRule="auto"/>
        <w:jc w:val="both"/>
        <w:rPr>
          <w:rFonts w:ascii="Arial" w:hAnsi="Arial" w:cs="Arial"/>
        </w:rPr>
      </w:pPr>
      <w:r w:rsidRPr="00987ABA">
        <w:rPr>
          <w:rFonts w:ascii="Arial" w:hAnsi="Arial" w:cs="Arial"/>
        </w:rPr>
        <w:t>According to the most recent census data, Barnet, a substantial and densely populated borough in London, currently houses approximately 400,000 inhabitants (Office for National Statistics, 2021). The borough exhibits a heterogeneous age distribution, with roughly a quarter of its inhabitants under the age of 20, approximately 60% falling within the 20 to 64 age range and around 15% being 65 or older. Barnet's ethnic composition is characterised by its diversity. According to the Office for National Statistics (2021), 50% of the population identify as White (including White British, White Irish, and Other White), 22% as Asian/Asian British, 8% as Black/African/Caribbean/Black British, 6% as belonging to Mixed/Multiple Ethnic Groups, and 14% from other ethnic backgrounds. Barnet has a diverse religious composition. Approximately 40% of its residents identify as Christian, 15% as Jewish,10% as Muslim, 5% as Hindu, 5% follow other religions, and 25% have no religious affiliation (Barnet Council, 2021). From an economic standpoint, the borough boasts a robust employment rate, with notable sectors such as health and social care, education, retail (Greater et al., 2021). Barnet has a robust education system, with numerous schools rated "Good" or "Outstanding" by Ofsted. Additionally, a considerable proportion of the population in Barnet possesses higher education qualifications, which contributes to the presence of a highly educated workforce (Barnet Council, 2021).</w:t>
      </w:r>
    </w:p>
    <w:p w14:paraId="41F7A9E8" w14:textId="6668253B" w:rsidR="00FE410E" w:rsidRPr="00122610" w:rsidRDefault="00FE410E" w:rsidP="00122610">
      <w:pPr>
        <w:pStyle w:val="Heading1"/>
        <w:pBdr>
          <w:bottom w:val="single" w:sz="4" w:space="1" w:color="auto"/>
        </w:pBdr>
        <w:rPr>
          <w:rFonts w:ascii="Arial" w:hAnsi="Arial" w:cs="Arial"/>
          <w:b/>
          <w:bCs/>
          <w:color w:val="auto"/>
          <w:sz w:val="36"/>
          <w:szCs w:val="36"/>
        </w:rPr>
      </w:pPr>
      <w:bookmarkStart w:id="2" w:name="_Toc174393233"/>
      <w:r w:rsidRPr="00122610">
        <w:rPr>
          <w:rFonts w:ascii="Arial" w:hAnsi="Arial" w:cs="Arial"/>
          <w:b/>
          <w:bCs/>
          <w:color w:val="auto"/>
          <w:sz w:val="36"/>
          <w:szCs w:val="36"/>
        </w:rPr>
        <w:lastRenderedPageBreak/>
        <w:t>Principles which support community development</w:t>
      </w:r>
      <w:bookmarkEnd w:id="2"/>
    </w:p>
    <w:p w14:paraId="4FF0443F" w14:textId="484CECAE" w:rsidR="00AC63DC" w:rsidRPr="00AC63DC" w:rsidRDefault="005A3189" w:rsidP="007078DD">
      <w:pPr>
        <w:spacing w:line="360" w:lineRule="auto"/>
        <w:jc w:val="both"/>
        <w:rPr>
          <w:rFonts w:ascii="Arial" w:hAnsi="Arial" w:cs="Arial"/>
        </w:rPr>
      </w:pPr>
      <w:r w:rsidRPr="005A3189">
        <w:rPr>
          <w:rFonts w:ascii="Arial" w:hAnsi="Arial" w:cs="Arial"/>
        </w:rPr>
        <w:t>Facilitating the advancement of community health and well-being is crucial for preventing chronic illnesses and enhancing the overall quality of life. In Barnet, where circulatory diseases and cancers are the leading causes of mortality (Office for National Statistics, 2021), it is imperative to address the current state of community health and well-being with targeted initiatives. Our proposal includes several key strategies to impact this situation significantly. Firstly, we will actively involve the community in physical activities through well-structured exercise programs and recreational facilities, promoting health and fostering a sense of belonging and unity. Additionally, we aim to encourage healthy eating habits by establishing community gardens and providing nutritional education, ensuring that residents have access to fresh, nutritious food and the knowledge to make informed dietary choices. Enhancing access to health screenings and regular check-ups is also essential; thus, we propose organizing community health fairs and improving local healthcare services. We aspire to cultivate a more robust, well-informed, and engaged community through these collective efforts. By implementing these initiatives, we can empower residents with the knowledge and motivation to take charge of their health and well-being, ultimately creating a healthier and more vibrant Barnet.</w:t>
      </w:r>
      <w:r w:rsidR="0074210E">
        <w:rPr>
          <w:rFonts w:ascii="Arial" w:hAnsi="Arial" w:cs="Arial"/>
        </w:rPr>
        <w:t xml:space="preserve"> </w:t>
      </w:r>
      <w:r w:rsidR="00AC63DC" w:rsidRPr="00AC63DC">
        <w:rPr>
          <w:rFonts w:ascii="Arial" w:hAnsi="Arial" w:cs="Arial"/>
        </w:rPr>
        <w:t xml:space="preserve">Social media can raise UK CVD awareness due to its broad reach and interactivity. Facebook, Twitter, Instagram, and YouTube can quickly spread information and engage diverse audiences. Public health campaigns can use social media to educate the public about </w:t>
      </w:r>
      <w:r w:rsidR="008424A0">
        <w:rPr>
          <w:rFonts w:ascii="Arial" w:hAnsi="Arial" w:cs="Arial"/>
        </w:rPr>
        <w:t>(</w:t>
      </w:r>
      <w:r w:rsidR="00AC63DC" w:rsidRPr="00AC63DC">
        <w:rPr>
          <w:rFonts w:ascii="Arial" w:hAnsi="Arial" w:cs="Arial"/>
        </w:rPr>
        <w:t>CVD</w:t>
      </w:r>
      <w:r w:rsidR="008424A0">
        <w:rPr>
          <w:rFonts w:ascii="Arial" w:hAnsi="Arial" w:cs="Arial"/>
        </w:rPr>
        <w:t>)</w:t>
      </w:r>
      <w:r w:rsidR="00AC63DC" w:rsidRPr="00AC63DC">
        <w:rPr>
          <w:rFonts w:ascii="Arial" w:hAnsi="Arial" w:cs="Arial"/>
        </w:rPr>
        <w:t xml:space="preserve"> risk factors, symptoms, and prevention</w:t>
      </w:r>
      <w:r w:rsidR="004D2C84" w:rsidRPr="004D2C84">
        <w:t xml:space="preserve"> </w:t>
      </w:r>
      <w:r w:rsidR="004D2C84" w:rsidRPr="004D2C84">
        <w:rPr>
          <w:rFonts w:ascii="Arial" w:hAnsi="Arial" w:cs="Arial"/>
        </w:rPr>
        <w:t>(NHS</w:t>
      </w:r>
      <w:r w:rsidR="00CF1E4A">
        <w:rPr>
          <w:rFonts w:ascii="Arial" w:hAnsi="Arial" w:cs="Arial"/>
        </w:rPr>
        <w:t>,2022)</w:t>
      </w:r>
      <w:r w:rsidR="004D2C84" w:rsidRPr="004D2C84">
        <w:rPr>
          <w:rFonts w:ascii="Arial" w:hAnsi="Arial" w:cs="Arial"/>
        </w:rPr>
        <w:t>)</w:t>
      </w:r>
      <w:r w:rsidR="004D2C84">
        <w:rPr>
          <w:rFonts w:ascii="Arial" w:hAnsi="Arial" w:cs="Arial"/>
        </w:rPr>
        <w:t>.</w:t>
      </w:r>
      <w:r w:rsidR="00AC63DC" w:rsidRPr="00AC63DC">
        <w:rPr>
          <w:rFonts w:ascii="Arial" w:hAnsi="Arial" w:cs="Arial"/>
        </w:rPr>
        <w:t xml:space="preserve"> Social media can also help </w:t>
      </w:r>
      <w:r w:rsidR="008424A0">
        <w:rPr>
          <w:rFonts w:ascii="Arial" w:hAnsi="Arial" w:cs="Arial"/>
        </w:rPr>
        <w:t>(</w:t>
      </w:r>
      <w:r w:rsidR="00AC63DC" w:rsidRPr="00AC63DC">
        <w:rPr>
          <w:rFonts w:ascii="Arial" w:hAnsi="Arial" w:cs="Arial"/>
        </w:rPr>
        <w:t>CVD</w:t>
      </w:r>
      <w:r w:rsidR="008424A0">
        <w:rPr>
          <w:rFonts w:ascii="Arial" w:hAnsi="Arial" w:cs="Arial"/>
        </w:rPr>
        <w:t>)</w:t>
      </w:r>
      <w:r w:rsidR="00AC63DC" w:rsidRPr="00AC63DC">
        <w:rPr>
          <w:rFonts w:ascii="Arial" w:hAnsi="Arial" w:cs="Arial"/>
        </w:rPr>
        <w:t xml:space="preserve"> patients find emotional and practical support through support groups. Influencers and healthcare professionals can promote heart health, share personal stories, and emphasise regular checkups and healthy lifestyles. Social media can boost awareness campaigns by targeting specific demographics with targeted advertising </w:t>
      </w:r>
      <w:r w:rsidR="00507EA0" w:rsidRPr="00507EA0">
        <w:rPr>
          <w:rFonts w:ascii="Arial" w:hAnsi="Arial" w:cs="Arial"/>
        </w:rPr>
        <w:t>(“Improving the Public’s Health”)</w:t>
      </w:r>
      <w:r w:rsidR="00507EA0">
        <w:rPr>
          <w:rFonts w:ascii="Arial" w:hAnsi="Arial" w:cs="Arial"/>
        </w:rPr>
        <w:t>.</w:t>
      </w:r>
    </w:p>
    <w:p w14:paraId="47979D38" w14:textId="5EA93024" w:rsidR="00F90409" w:rsidRPr="007078DD" w:rsidRDefault="00F90409" w:rsidP="007078DD">
      <w:pPr>
        <w:pStyle w:val="Heading1"/>
        <w:pBdr>
          <w:bottom w:val="single" w:sz="4" w:space="1" w:color="auto"/>
        </w:pBdr>
        <w:rPr>
          <w:rFonts w:ascii="Arial" w:hAnsi="Arial" w:cs="Arial"/>
          <w:b/>
          <w:bCs/>
          <w:color w:val="auto"/>
          <w:sz w:val="36"/>
          <w:szCs w:val="36"/>
        </w:rPr>
      </w:pPr>
      <w:bookmarkStart w:id="3" w:name="_Toc174393234"/>
      <w:r w:rsidRPr="007078DD">
        <w:rPr>
          <w:rFonts w:ascii="Arial" w:hAnsi="Arial" w:cs="Arial"/>
          <w:b/>
          <w:bCs/>
          <w:color w:val="auto"/>
          <w:sz w:val="36"/>
          <w:szCs w:val="36"/>
        </w:rPr>
        <w:t>S</w:t>
      </w:r>
      <w:r w:rsidR="009D0248" w:rsidRPr="007078DD">
        <w:rPr>
          <w:rFonts w:ascii="Arial" w:hAnsi="Arial" w:cs="Arial"/>
          <w:b/>
          <w:bCs/>
          <w:color w:val="auto"/>
          <w:sz w:val="36"/>
          <w:szCs w:val="36"/>
        </w:rPr>
        <w:t>take</w:t>
      </w:r>
      <w:r w:rsidRPr="007078DD">
        <w:rPr>
          <w:rFonts w:ascii="Arial" w:hAnsi="Arial" w:cs="Arial"/>
          <w:b/>
          <w:bCs/>
          <w:color w:val="auto"/>
          <w:sz w:val="36"/>
          <w:szCs w:val="36"/>
        </w:rPr>
        <w:t>holder</w:t>
      </w:r>
      <w:r w:rsidR="009D0248" w:rsidRPr="007078DD">
        <w:rPr>
          <w:rFonts w:ascii="Arial" w:hAnsi="Arial" w:cs="Arial"/>
          <w:b/>
          <w:bCs/>
          <w:color w:val="auto"/>
          <w:sz w:val="36"/>
          <w:szCs w:val="36"/>
        </w:rPr>
        <w:t>s</w:t>
      </w:r>
      <w:bookmarkEnd w:id="3"/>
    </w:p>
    <w:p w14:paraId="516BD7B2" w14:textId="0554BAC4" w:rsidR="00F90409" w:rsidRPr="00F90409" w:rsidRDefault="00FB3E76" w:rsidP="007078DD">
      <w:pPr>
        <w:spacing w:line="360" w:lineRule="auto"/>
        <w:jc w:val="both"/>
        <w:rPr>
          <w:rFonts w:ascii="Arial" w:hAnsi="Arial" w:cs="Arial"/>
        </w:rPr>
      </w:pPr>
      <w:r w:rsidRPr="00FB3E76">
        <w:rPr>
          <w:rFonts w:ascii="Arial" w:hAnsi="Arial" w:cs="Arial"/>
        </w:rPr>
        <w:t xml:space="preserve">Key stakeholders, including the National Health Service (NHS), local council, community-based organisations (CBOs), educational institutions, businesses and employers, media and communication channels, and individuals and families, have essential roles in tackling </w:t>
      </w:r>
      <w:r w:rsidR="00421F51">
        <w:rPr>
          <w:rFonts w:ascii="Arial" w:hAnsi="Arial" w:cs="Arial"/>
        </w:rPr>
        <w:t xml:space="preserve">(CVD) </w:t>
      </w:r>
      <w:r w:rsidRPr="00FB3E76">
        <w:rPr>
          <w:rFonts w:ascii="Arial" w:hAnsi="Arial" w:cs="Arial"/>
        </w:rPr>
        <w:t>in the Barnet Borough.</w:t>
      </w:r>
      <w:r w:rsidR="002E79ED">
        <w:rPr>
          <w:rFonts w:ascii="Arial" w:hAnsi="Arial" w:cs="Arial"/>
        </w:rPr>
        <w:t xml:space="preserve"> </w:t>
      </w:r>
      <w:r w:rsidRPr="00FB3E76">
        <w:rPr>
          <w:rFonts w:ascii="Arial" w:hAnsi="Arial" w:cs="Arial"/>
        </w:rPr>
        <w:t>The NHS offers comprehensive healthcare services, including preventive programmes and treatment options for cardiovascular diseases</w:t>
      </w:r>
      <w:r w:rsidR="00654345" w:rsidRPr="00654345">
        <w:t xml:space="preserve"> </w:t>
      </w:r>
      <w:r w:rsidR="00654345" w:rsidRPr="00654345">
        <w:rPr>
          <w:rFonts w:ascii="Arial" w:hAnsi="Arial" w:cs="Arial"/>
        </w:rPr>
        <w:t>(Lockey et al</w:t>
      </w:r>
      <w:r w:rsidR="00421F51">
        <w:rPr>
          <w:rFonts w:ascii="Arial" w:hAnsi="Arial" w:cs="Arial"/>
        </w:rPr>
        <w:t>, 2021</w:t>
      </w:r>
      <w:r w:rsidR="00654345" w:rsidRPr="00654345">
        <w:rPr>
          <w:rFonts w:ascii="Arial" w:hAnsi="Arial" w:cs="Arial"/>
        </w:rPr>
        <w:t>)</w:t>
      </w:r>
      <w:r w:rsidRPr="00FB3E76">
        <w:rPr>
          <w:rFonts w:ascii="Arial" w:hAnsi="Arial" w:cs="Arial"/>
        </w:rPr>
        <w:t xml:space="preserve">. Municipal authorities can endorse public health campaigns, establish regulations that encourage environments conducive to cardiovascular well-being, and allocate resources to community initiatives. Community-based organisations (CBOs) can provide outreach, education, and support services specifically tailored for populations at a higher risk of facing </w:t>
      </w:r>
      <w:r w:rsidRPr="00FB3E76">
        <w:rPr>
          <w:rFonts w:ascii="Arial" w:hAnsi="Arial" w:cs="Arial"/>
        </w:rPr>
        <w:lastRenderedPageBreak/>
        <w:t>challenges or difficulties. Educational institutions can integrate cardiovascular health education into their curricula and engage in research on strategies for prevention. Enterprises and employers can establish workplace wellness initiatives and offer resources to support healthy lifestyle decisions. Media and communication channels can effectively enhance public knowledge, distribute information regarding potential hazards and prevention methods, and counteract the spread of false or misleading information. Finally, individuals and families, as the ultimate beneficiaries of these efforts, can embrace healthy habits, engage in screenings, and assist their loved ones in managing their cardiovascular well-being</w:t>
      </w:r>
      <w:r w:rsidR="002018A9" w:rsidRPr="002018A9">
        <w:t xml:space="preserve"> </w:t>
      </w:r>
      <w:r w:rsidR="002018A9" w:rsidRPr="002018A9">
        <w:rPr>
          <w:rFonts w:ascii="Arial" w:hAnsi="Arial" w:cs="Arial"/>
        </w:rPr>
        <w:t>(B</w:t>
      </w:r>
      <w:r w:rsidR="00066230">
        <w:rPr>
          <w:rFonts w:ascii="Arial" w:hAnsi="Arial" w:cs="Arial"/>
        </w:rPr>
        <w:t>HF</w:t>
      </w:r>
      <w:r w:rsidR="006C11BE">
        <w:rPr>
          <w:rFonts w:ascii="Arial" w:hAnsi="Arial" w:cs="Arial"/>
        </w:rPr>
        <w:t>,</w:t>
      </w:r>
      <w:r w:rsidR="006653C7">
        <w:rPr>
          <w:rFonts w:ascii="Arial" w:hAnsi="Arial" w:cs="Arial"/>
        </w:rPr>
        <w:t>2023</w:t>
      </w:r>
      <w:r w:rsidR="002018A9" w:rsidRPr="002018A9">
        <w:rPr>
          <w:rFonts w:ascii="Arial" w:hAnsi="Arial" w:cs="Arial"/>
        </w:rPr>
        <w:t>)</w:t>
      </w:r>
      <w:r w:rsidRPr="00FB3E76">
        <w:rPr>
          <w:rFonts w:ascii="Arial" w:hAnsi="Arial" w:cs="Arial"/>
        </w:rPr>
        <w:t>. Through collaboration and harnessing the capabilities of these stakeholders, a comprehensive strategy can be formulated to address cardiovascular diseases in Barnet Borough. This collaboration is not just beneficial, but it's crucial for the success of our efforts, resulting in enhanced community health outcomes (WH</w:t>
      </w:r>
      <w:r w:rsidR="00571BF1">
        <w:rPr>
          <w:rFonts w:ascii="Arial" w:hAnsi="Arial" w:cs="Arial"/>
        </w:rPr>
        <w:t>O</w:t>
      </w:r>
      <w:r w:rsidRPr="00FB3E76">
        <w:rPr>
          <w:rFonts w:ascii="Arial" w:hAnsi="Arial" w:cs="Arial"/>
        </w:rPr>
        <w:t>,2019).</w:t>
      </w:r>
    </w:p>
    <w:p w14:paraId="02434215" w14:textId="369D671C" w:rsidR="00A2442B" w:rsidRPr="00F370F2" w:rsidRDefault="00A2442B" w:rsidP="007526F2">
      <w:pPr>
        <w:pStyle w:val="Heading1"/>
        <w:pBdr>
          <w:bottom w:val="single" w:sz="4" w:space="1" w:color="auto"/>
        </w:pBdr>
        <w:rPr>
          <w:rFonts w:ascii="Arial" w:hAnsi="Arial" w:cs="Arial"/>
          <w:b/>
          <w:bCs/>
          <w:color w:val="auto"/>
          <w:sz w:val="36"/>
          <w:szCs w:val="36"/>
        </w:rPr>
      </w:pPr>
      <w:bookmarkStart w:id="4" w:name="_Toc174393235"/>
      <w:r w:rsidRPr="00F370F2">
        <w:rPr>
          <w:rFonts w:ascii="Arial" w:hAnsi="Arial" w:cs="Arial"/>
          <w:b/>
          <w:bCs/>
          <w:color w:val="auto"/>
          <w:sz w:val="36"/>
          <w:szCs w:val="36"/>
        </w:rPr>
        <w:t>Utilising Maslow's Hierarchy of Needs in the context of raising awareness and preventing cardiovascular disease.</w:t>
      </w:r>
      <w:bookmarkEnd w:id="4"/>
    </w:p>
    <w:p w14:paraId="045B463B" w14:textId="2FC18D38" w:rsidR="00147254" w:rsidRDefault="009A3B1E" w:rsidP="007526F2">
      <w:pPr>
        <w:spacing w:line="360" w:lineRule="auto"/>
        <w:jc w:val="both"/>
        <w:rPr>
          <w:rFonts w:ascii="Arial" w:hAnsi="Arial" w:cs="Arial"/>
        </w:rPr>
      </w:pPr>
      <w:r w:rsidRPr="007F5736">
        <w:rPr>
          <w:rFonts w:ascii="Arial" w:hAnsi="Arial" w:cs="Arial"/>
        </w:rPr>
        <w:t xml:space="preserve">Maslow's Hierarchy of Needs is a psychological theory that categorises human needs into a hierarchical model consisting of five tiers, commonly represented as a pyramid. The hierarchy of needs is structured in a progressive manner, commencing with physiological needs and then advancing to safety, love and belonging, esteem, and ultimately, self-actualisation ("A Theory of Human Motivation—ProQuest"). </w:t>
      </w:r>
      <w:r w:rsidR="009C67BC" w:rsidRPr="009C67BC">
        <w:rPr>
          <w:rFonts w:ascii="Arial" w:hAnsi="Arial" w:cs="Arial"/>
        </w:rPr>
        <w:t xml:space="preserve">Utilising this theory can significantly amplify the effectiveness on cardiovascular diseases.  </w:t>
      </w:r>
      <w:r w:rsidR="002E0173" w:rsidRPr="002E0173">
        <w:rPr>
          <w:rFonts w:ascii="Arial" w:hAnsi="Arial" w:cs="Arial"/>
        </w:rPr>
        <w:t xml:space="preserve">Applying Maslow's Hierarchy of Needs to cardiovascular diseases involves examining the psychological and social factors influencing an individual's cardiovascular well-being. At a fundamental level, individuals need physiological necessities such as adequate nourishment, physical activity, and sufficient rest to sustain a healthy heart. Ascending the hierarchy, safety needs pertain to the significance of diminishing stress and anxiety, recognised as risk factors for cardiovascular disease. Social needs, which highlight the importance of social support and relationships, make individuals feel connected and supported, assisting them in dealing with the difficulties of managing cardiovascular conditions </w:t>
      </w:r>
      <w:r w:rsidR="005F7B39">
        <w:rPr>
          <w:rFonts w:ascii="Arial" w:hAnsi="Arial" w:cs="Arial"/>
        </w:rPr>
        <w:t>(</w:t>
      </w:r>
      <w:r w:rsidR="005F7B39" w:rsidRPr="005F7B39">
        <w:rPr>
          <w:rFonts w:ascii="Arial" w:hAnsi="Arial" w:cs="Arial"/>
        </w:rPr>
        <w:t>McLeod, 2020</w:t>
      </w:r>
      <w:r w:rsidR="00B920D9" w:rsidRPr="005F7B39">
        <w:rPr>
          <w:rFonts w:ascii="Arial" w:hAnsi="Arial" w:cs="Arial"/>
        </w:rPr>
        <w:t>).</w:t>
      </w:r>
      <w:r w:rsidR="00B920D9" w:rsidRPr="002E0173">
        <w:rPr>
          <w:rFonts w:ascii="Arial" w:hAnsi="Arial" w:cs="Arial"/>
        </w:rPr>
        <w:t xml:space="preserve"> The</w:t>
      </w:r>
      <w:r w:rsidR="002E0173" w:rsidRPr="002E0173">
        <w:rPr>
          <w:rFonts w:ascii="Arial" w:hAnsi="Arial" w:cs="Arial"/>
        </w:rPr>
        <w:t xml:space="preserve"> importance of self-care practices and following medical treatments is emphasised to enhance self-esteem and confidence in managing one's health. Self-actualisation entails fostering actions that align with one's values and objectives, motivating individuals to make constructive lifestyle decisions that uphold cardiovascular well-being. Healthcare providers can provide comprehensive care that considers patients' holistic well-being by addressing each level of the hierarchy (Cherry, 2020).</w:t>
      </w:r>
    </w:p>
    <w:p w14:paraId="1D9DC961" w14:textId="0E699A90" w:rsidR="002A12A9" w:rsidRPr="007526F2" w:rsidRDefault="00654BEA" w:rsidP="007526F2">
      <w:pPr>
        <w:pStyle w:val="Heading1"/>
        <w:pBdr>
          <w:bottom w:val="single" w:sz="4" w:space="1" w:color="auto"/>
        </w:pBdr>
        <w:rPr>
          <w:rFonts w:ascii="Arial" w:hAnsi="Arial" w:cs="Arial"/>
          <w:b/>
          <w:bCs/>
          <w:color w:val="auto"/>
          <w:sz w:val="36"/>
          <w:szCs w:val="36"/>
        </w:rPr>
      </w:pPr>
      <w:bookmarkStart w:id="5" w:name="_Toc174393236"/>
      <w:r w:rsidRPr="007526F2">
        <w:rPr>
          <w:rFonts w:ascii="Arial" w:hAnsi="Arial" w:cs="Arial"/>
          <w:b/>
          <w:bCs/>
          <w:color w:val="auto"/>
          <w:sz w:val="36"/>
          <w:szCs w:val="36"/>
        </w:rPr>
        <w:lastRenderedPageBreak/>
        <w:t>Barriers/obstacles to community development</w:t>
      </w:r>
      <w:bookmarkEnd w:id="5"/>
    </w:p>
    <w:p w14:paraId="3525B0AE" w14:textId="2AF17248" w:rsidR="002A12A9" w:rsidRDefault="002A12A9" w:rsidP="007526F2">
      <w:pPr>
        <w:spacing w:line="360" w:lineRule="auto"/>
        <w:jc w:val="both"/>
        <w:rPr>
          <w:rFonts w:ascii="Arial" w:hAnsi="Arial" w:cs="Arial"/>
        </w:rPr>
      </w:pPr>
      <w:r w:rsidRPr="002A12A9">
        <w:rPr>
          <w:rFonts w:ascii="Arial" w:hAnsi="Arial" w:cs="Arial"/>
        </w:rPr>
        <w:t>Obstacles and challenges can greatly hinder community development and impede growth in a specific area. More resources, such as financial constraints and inadequate infrastructure, can allow the implementation of development projects. However, the impact of social inequality and disparities in education, income, and access to essential services cannot be overstated, as they widen existing gaps and create barriers to equal opportunities for community members. Political instability, lack of community engagement, environmental challenges, and cultural barriers further complicate the development landscape, necessitating customised strategies to overcome these obstacles and promote sustainable community progress.</w:t>
      </w:r>
    </w:p>
    <w:p w14:paraId="4213F969" w14:textId="742DF556" w:rsidR="004C2D80" w:rsidRPr="007526F2" w:rsidRDefault="004C2D80" w:rsidP="007526F2">
      <w:pPr>
        <w:pStyle w:val="Heading1"/>
        <w:pBdr>
          <w:bottom w:val="single" w:sz="4" w:space="1" w:color="auto"/>
        </w:pBdr>
        <w:rPr>
          <w:rFonts w:ascii="Arial" w:hAnsi="Arial" w:cs="Arial"/>
          <w:b/>
          <w:bCs/>
          <w:color w:val="auto"/>
          <w:sz w:val="36"/>
          <w:szCs w:val="36"/>
        </w:rPr>
      </w:pPr>
      <w:bookmarkStart w:id="6" w:name="_Toc174393237"/>
      <w:r w:rsidRPr="007526F2">
        <w:rPr>
          <w:rFonts w:ascii="Arial" w:hAnsi="Arial" w:cs="Arial"/>
          <w:b/>
          <w:bCs/>
          <w:color w:val="auto"/>
          <w:sz w:val="36"/>
          <w:szCs w:val="36"/>
        </w:rPr>
        <w:t>legislation and policy</w:t>
      </w:r>
      <w:bookmarkEnd w:id="6"/>
    </w:p>
    <w:p w14:paraId="77157F39" w14:textId="7541981F" w:rsidR="002B6AAD" w:rsidRPr="00FD5E67" w:rsidRDefault="003F4627" w:rsidP="007526F2">
      <w:pPr>
        <w:spacing w:line="360" w:lineRule="auto"/>
        <w:jc w:val="both"/>
        <w:rPr>
          <w:rFonts w:ascii="Arial" w:hAnsi="Arial" w:cs="Arial"/>
        </w:rPr>
      </w:pPr>
      <w:r w:rsidRPr="003F4627">
        <w:rPr>
          <w:rFonts w:ascii="Arial" w:hAnsi="Arial" w:cs="Arial"/>
        </w:rPr>
        <w:t>Legislations and policies play a crucial role in shaping public health strategies, particularly in preventing and managing cardiovascular diseases. The main goal of the Health and Care Act 2022 is to streamline care services and foster collaboration between the health and social care systems (Health and Care Act, 2022). The Care Quality Commission (CQC), established by the Health and Social Care Act 2008, independently supervises health and social care services to ensure the delivery of safe and high-quality care. The main goal of the Care Act 2014 is to improve the standard of care and support given to adults by implementing more effective and tailored services. The NHS Long Term Plan (2019) outlines the primary goals for the NHS in the next ten years, with a particular focus on preventative measures and efficient management of cardiovascular disease (CVD) (NHS Long Term Plan, 2019). It focuses on reducing health inequalities and improving health outcomes based on the principles set out in the Equality Act 2010. The article "Health Matters: Obesity and the Food Environment" (2017) by Public Health England investigates the health implications of obesity, emphasising the vital significance of diet and physical activity in its prevention (Public Health England, 2017)</w:t>
      </w:r>
      <w:r>
        <w:rPr>
          <w:rFonts w:ascii="Arial" w:hAnsi="Arial" w:cs="Arial"/>
        </w:rPr>
        <w:t xml:space="preserve">. </w:t>
      </w:r>
      <w:r w:rsidR="007B46E1" w:rsidRPr="007B46E1">
        <w:rPr>
          <w:rFonts w:ascii="Arial" w:hAnsi="Arial" w:cs="Arial"/>
        </w:rPr>
        <w:t>The Equality Act 2010 is comprehensive and robust legislation in the United Kingdom that aims to consolidate and enhance previous laws regarding discrimination.</w:t>
      </w:r>
      <w:r w:rsidR="00DB3FD8" w:rsidRPr="00DB3FD8">
        <w:t xml:space="preserve"> </w:t>
      </w:r>
      <w:r w:rsidR="00DB3FD8" w:rsidRPr="00DB3FD8">
        <w:rPr>
          <w:rFonts w:ascii="Arial" w:hAnsi="Arial" w:cs="Arial"/>
        </w:rPr>
        <w:t xml:space="preserve">The Equality Act 2010 is comprehensive and robust legislation in the United Kingdom that aims to consolidate and enhance previous laws regarding discrimination. </w:t>
      </w:r>
      <w:r w:rsidR="002B6AAD" w:rsidRPr="00FD5E67">
        <w:rPr>
          <w:rFonts w:ascii="Arial" w:hAnsi="Arial" w:cs="Arial"/>
        </w:rPr>
        <w:t>The Equality Act 2010 is crucial in healthcare in the UK, as it requires healthcare providers to guarantee that their services are accessible and free from discrimination for all individuals, irrespective of their protected characteristics such as age, disability, race, gender, or sexual orientation. This legislation mandates that healthcare providers make appropriate modifications to meet the requirements of disabled patients, guaranteeing that they receive fair and impartial healthcare</w:t>
      </w:r>
      <w:r w:rsidR="003427F4" w:rsidRPr="003427F4">
        <w:t xml:space="preserve"> </w:t>
      </w:r>
      <w:r w:rsidR="003427F4" w:rsidRPr="003427F4">
        <w:rPr>
          <w:rFonts w:ascii="Arial" w:hAnsi="Arial" w:cs="Arial"/>
        </w:rPr>
        <w:t>(Ministry of Justice)</w:t>
      </w:r>
      <w:r w:rsidR="003427F4">
        <w:rPr>
          <w:rFonts w:ascii="Arial" w:hAnsi="Arial" w:cs="Arial"/>
        </w:rPr>
        <w:t>.</w:t>
      </w:r>
      <w:r w:rsidR="007526F2">
        <w:rPr>
          <w:rFonts w:ascii="Arial" w:hAnsi="Arial" w:cs="Arial"/>
        </w:rPr>
        <w:t xml:space="preserve"> </w:t>
      </w:r>
      <w:r w:rsidR="002B6AAD" w:rsidRPr="00FD5E67">
        <w:rPr>
          <w:rFonts w:ascii="Arial" w:hAnsi="Arial" w:cs="Arial"/>
        </w:rPr>
        <w:t xml:space="preserve">Furthermore, the Act's Public Sector Equality Duty (PSED) mandates NHS organisations and other public bodies to actively strive towards eradicating discrimination and promoting equality in their </w:t>
      </w:r>
      <w:r w:rsidR="002B6AAD" w:rsidRPr="00FD5E67">
        <w:rPr>
          <w:rFonts w:ascii="Arial" w:hAnsi="Arial" w:cs="Arial"/>
        </w:rPr>
        <w:lastRenderedPageBreak/>
        <w:t>services.</w:t>
      </w:r>
      <w:r w:rsidR="003F17DC" w:rsidRPr="003F17DC">
        <w:t xml:space="preserve"> </w:t>
      </w:r>
      <w:r w:rsidR="003F17DC" w:rsidRPr="003F17DC">
        <w:rPr>
          <w:rFonts w:ascii="Arial" w:hAnsi="Arial" w:cs="Arial"/>
        </w:rPr>
        <w:t>The Equality Act aims to advance inclusive healthcare practices, tackle health disparities, and guarantee fair and equal access to top-notch healthcare for all patients, especially those belonging to marginalised communities</w:t>
      </w:r>
      <w:r w:rsidR="00657945">
        <w:rPr>
          <w:rFonts w:ascii="Arial" w:hAnsi="Arial" w:cs="Arial"/>
        </w:rPr>
        <w:t xml:space="preserve"> </w:t>
      </w:r>
      <w:r w:rsidR="00657945" w:rsidRPr="00657945">
        <w:rPr>
          <w:rFonts w:ascii="Arial" w:hAnsi="Arial" w:cs="Arial"/>
        </w:rPr>
        <w:t>(GOV.UK)</w:t>
      </w:r>
      <w:r w:rsidR="00657945">
        <w:rPr>
          <w:rFonts w:ascii="Arial" w:hAnsi="Arial" w:cs="Arial"/>
        </w:rPr>
        <w:t>.</w:t>
      </w:r>
    </w:p>
    <w:p w14:paraId="10BC1861" w14:textId="138884B0" w:rsidR="00BC2A26" w:rsidRPr="007526F2" w:rsidRDefault="00BC2A26" w:rsidP="007526F2">
      <w:pPr>
        <w:pStyle w:val="Heading1"/>
        <w:pBdr>
          <w:bottom w:val="single" w:sz="4" w:space="1" w:color="auto"/>
        </w:pBdr>
        <w:rPr>
          <w:rFonts w:ascii="Arial" w:hAnsi="Arial" w:cs="Arial"/>
          <w:b/>
          <w:bCs/>
          <w:color w:val="auto"/>
          <w:sz w:val="36"/>
          <w:szCs w:val="36"/>
        </w:rPr>
      </w:pPr>
      <w:bookmarkStart w:id="7" w:name="_Toc174393238"/>
      <w:r w:rsidRPr="007526F2">
        <w:rPr>
          <w:rFonts w:ascii="Arial" w:hAnsi="Arial" w:cs="Arial"/>
          <w:b/>
          <w:bCs/>
          <w:color w:val="auto"/>
          <w:sz w:val="36"/>
          <w:szCs w:val="36"/>
        </w:rPr>
        <w:t>Recommendations</w:t>
      </w:r>
      <w:bookmarkEnd w:id="7"/>
    </w:p>
    <w:p w14:paraId="0A3B2644" w14:textId="41923CE3" w:rsidR="00B702D4" w:rsidRDefault="00542285" w:rsidP="007526F2">
      <w:pPr>
        <w:spacing w:line="360" w:lineRule="auto"/>
        <w:jc w:val="both"/>
        <w:rPr>
          <w:rFonts w:ascii="Arial" w:hAnsi="Arial" w:cs="Arial"/>
        </w:rPr>
      </w:pPr>
      <w:r w:rsidRPr="00542285">
        <w:rPr>
          <w:rFonts w:ascii="Arial" w:hAnsi="Arial" w:cs="Arial"/>
        </w:rPr>
        <w:t>Adopting a diet that actively supports heart health is crucial to prevent and manage cardiovascular disease (CVD) in the UK. This entails consuming various fruits, vegetables, whole grains, and lean proteins while limiting the intake of saturated fats, trans fats, salt, and sugars (NHS, 2022). It is advisable to adhere to dietary patterns such as the Mediterranean or DASH diet. Consistent physical activity is crucial, as recommended guidelines stipulate a minimum of 150 minutes of aerobic activity at a moderate level or 75 minutes of vigorous-intensity activity per week. In</w:t>
      </w:r>
      <w:r w:rsidR="00F4348E" w:rsidRPr="00F4348E">
        <w:rPr>
          <w:rFonts w:ascii="Arial" w:hAnsi="Arial" w:cs="Arial"/>
        </w:rPr>
        <w:t xml:space="preserve"> </w:t>
      </w:r>
      <w:r w:rsidRPr="00542285">
        <w:rPr>
          <w:rFonts w:ascii="Arial" w:hAnsi="Arial" w:cs="Arial"/>
        </w:rPr>
        <w:t xml:space="preserve">addition, muscle-strengthening exercises on two or more days per week significantly prevent CVD. Ensuring a healthy weight minimises the chances of developing cardiovascular disease (CVD). This can be accomplished by consuming an optimal </w:t>
      </w:r>
      <w:r w:rsidR="00D56DD7" w:rsidRPr="00542285">
        <w:rPr>
          <w:rFonts w:ascii="Arial" w:hAnsi="Arial" w:cs="Arial"/>
        </w:rPr>
        <w:t>number</w:t>
      </w:r>
      <w:r w:rsidRPr="00542285">
        <w:rPr>
          <w:rFonts w:ascii="Arial" w:hAnsi="Arial" w:cs="Arial"/>
        </w:rPr>
        <w:t xml:space="preserve"> of calories and consistently engaging in physical activity</w:t>
      </w:r>
      <w:r w:rsidR="00D56DD7">
        <w:rPr>
          <w:rFonts w:ascii="Arial" w:hAnsi="Arial" w:cs="Arial"/>
        </w:rPr>
        <w:t xml:space="preserve"> </w:t>
      </w:r>
      <w:r w:rsidR="00D508BE" w:rsidRPr="00D56DD7">
        <w:rPr>
          <w:rFonts w:ascii="Arial" w:hAnsi="Arial" w:cs="Arial"/>
        </w:rPr>
        <w:t>(</w:t>
      </w:r>
      <w:r w:rsidR="00FD0ACE" w:rsidRPr="00D56DD7">
        <w:rPr>
          <w:rFonts w:ascii="Arial" w:hAnsi="Arial" w:cs="Arial"/>
        </w:rPr>
        <w:t>BHF,2022</w:t>
      </w:r>
      <w:r w:rsidR="00D508BE" w:rsidRPr="00D56DD7">
        <w:rPr>
          <w:rFonts w:ascii="Arial" w:hAnsi="Arial" w:cs="Arial"/>
        </w:rPr>
        <w:t>)</w:t>
      </w:r>
      <w:r w:rsidR="00F4348E" w:rsidRPr="00D56DD7">
        <w:rPr>
          <w:rFonts w:ascii="Arial" w:hAnsi="Arial" w:cs="Arial"/>
        </w:rPr>
        <w:t>.</w:t>
      </w:r>
      <w:r w:rsidR="00F4348E" w:rsidRPr="00F4348E">
        <w:rPr>
          <w:rFonts w:ascii="Arial" w:hAnsi="Arial" w:cs="Arial"/>
        </w:rPr>
        <w:t xml:space="preserve"> Quitting smoking is vital because it dramatically reduces the likelihood of developing coronary heart disease and other cardiovascular events. In addition, it is essential to consume alcohol in moderation, with a maximum limit of 14 units per week.</w:t>
      </w:r>
      <w:r w:rsidR="007E057C" w:rsidRPr="007E057C">
        <w:t xml:space="preserve"> </w:t>
      </w:r>
      <w:r w:rsidR="007E057C" w:rsidRPr="007E057C">
        <w:rPr>
          <w:rFonts w:ascii="Arial" w:hAnsi="Arial" w:cs="Arial"/>
        </w:rPr>
        <w:t>(BDA</w:t>
      </w:r>
      <w:r w:rsidR="00FD0ACE">
        <w:rPr>
          <w:rFonts w:ascii="Arial" w:hAnsi="Arial" w:cs="Arial"/>
        </w:rPr>
        <w:t>,2</w:t>
      </w:r>
      <w:r w:rsidR="003D582C">
        <w:rPr>
          <w:rFonts w:ascii="Arial" w:hAnsi="Arial" w:cs="Arial"/>
        </w:rPr>
        <w:t>021</w:t>
      </w:r>
      <w:r w:rsidR="007E057C" w:rsidRPr="007E057C">
        <w:rPr>
          <w:rFonts w:ascii="Arial" w:hAnsi="Arial" w:cs="Arial"/>
        </w:rPr>
        <w:t>)</w:t>
      </w:r>
      <w:r w:rsidR="007E057C">
        <w:rPr>
          <w:rFonts w:ascii="Arial" w:hAnsi="Arial" w:cs="Arial"/>
        </w:rPr>
        <w:t>.</w:t>
      </w:r>
      <w:r w:rsidR="00F4348E" w:rsidRPr="00F4348E">
        <w:rPr>
          <w:rFonts w:ascii="Arial" w:hAnsi="Arial" w:cs="Arial"/>
        </w:rPr>
        <w:t xml:space="preserve"> Medical management entails systematically monitoring and regulating blood pressure, cholesterol levels, and blood sugar, employing necessary lifestyle modifications and medications. Strict compliance with prescribed drugs for the management of these conditions is essential. It is advisable to undergo regular health screenings, such as NHS Health Checks, to identify and address risk factors promptly. Engaging in stress management techniques such as mindfulness, meditation, and yoga is not just beneficial, but also empowering, as it can positively impact cardiovascular well-being </w:t>
      </w:r>
      <w:r w:rsidR="0083625B" w:rsidRPr="0083625B">
        <w:rPr>
          <w:rFonts w:ascii="Arial" w:hAnsi="Arial" w:cs="Arial"/>
        </w:rPr>
        <w:t>(NHS</w:t>
      </w:r>
      <w:r w:rsidR="003D582C">
        <w:rPr>
          <w:rFonts w:ascii="Arial" w:hAnsi="Arial" w:cs="Arial"/>
        </w:rPr>
        <w:t>,2023</w:t>
      </w:r>
      <w:r w:rsidR="00863CEE" w:rsidRPr="0083625B">
        <w:rPr>
          <w:rFonts w:ascii="Arial" w:hAnsi="Arial" w:cs="Arial"/>
        </w:rPr>
        <w:t>)</w:t>
      </w:r>
      <w:r w:rsidR="00863CEE">
        <w:rPr>
          <w:rFonts w:ascii="Arial" w:hAnsi="Arial" w:cs="Arial"/>
        </w:rPr>
        <w:t>.</w:t>
      </w:r>
      <w:r w:rsidR="00863CEE" w:rsidRPr="00F4348E">
        <w:rPr>
          <w:rFonts w:ascii="Arial" w:hAnsi="Arial" w:cs="Arial"/>
        </w:rPr>
        <w:t xml:space="preserve"> Prominent</w:t>
      </w:r>
      <w:r w:rsidR="00F4348E" w:rsidRPr="00F4348E">
        <w:rPr>
          <w:rFonts w:ascii="Arial" w:hAnsi="Arial" w:cs="Arial"/>
        </w:rPr>
        <w:t xml:space="preserve"> UK health organisations like the NHS, British Heart Foundation, and Diabetes UK endorse these evidence-based recommendations. </w:t>
      </w:r>
    </w:p>
    <w:p w14:paraId="2D5D0328" w14:textId="5A9A8B68" w:rsidR="0038143D" w:rsidRPr="00F370F2" w:rsidRDefault="0038143D" w:rsidP="007526F2">
      <w:pPr>
        <w:pStyle w:val="Heading1"/>
        <w:pBdr>
          <w:bottom w:val="single" w:sz="4" w:space="1" w:color="auto"/>
        </w:pBdr>
        <w:rPr>
          <w:rFonts w:ascii="Arial" w:hAnsi="Arial" w:cs="Arial"/>
          <w:b/>
          <w:bCs/>
          <w:color w:val="auto"/>
          <w:sz w:val="36"/>
          <w:szCs w:val="36"/>
        </w:rPr>
      </w:pPr>
      <w:bookmarkStart w:id="8" w:name="_Toc174393239"/>
      <w:r w:rsidRPr="00F370F2">
        <w:rPr>
          <w:rFonts w:ascii="Arial" w:hAnsi="Arial" w:cs="Arial"/>
          <w:b/>
          <w:bCs/>
          <w:color w:val="auto"/>
          <w:sz w:val="36"/>
          <w:szCs w:val="36"/>
        </w:rPr>
        <w:t>Conclusion</w:t>
      </w:r>
      <w:bookmarkEnd w:id="8"/>
    </w:p>
    <w:p w14:paraId="4E508C07" w14:textId="0A770225" w:rsidR="00E22FF9" w:rsidRPr="00E22FF9" w:rsidRDefault="00E22FF9" w:rsidP="00C609D0">
      <w:pPr>
        <w:spacing w:line="360" w:lineRule="auto"/>
        <w:jc w:val="both"/>
        <w:rPr>
          <w:rFonts w:ascii="Arial" w:hAnsi="Arial" w:cs="Arial"/>
        </w:rPr>
      </w:pPr>
      <w:r w:rsidRPr="00E22FF9">
        <w:rPr>
          <w:rFonts w:ascii="Arial" w:hAnsi="Arial" w:cs="Arial"/>
        </w:rPr>
        <w:t xml:space="preserve">To summarise, the community project in Barnet highlights the crucial significance of comprehensive strategies designed to improve cardiovascular health and prevent diseases. The initiatives outlined in this report offer a comprehensive framework for enhancing public health outcomes by focusing on essential aspects such as diet, physical activity, and health education. To effectively engage the community in Barnet, it is necessary to use tailored approaches considering the cultural, social, and economic factors resulting from the demographic diversity. Using platforms such as social media enhances the reach and influence of these health messages, promoting an informed and proactive community. The </w:t>
      </w:r>
      <w:r w:rsidRPr="00E22FF9">
        <w:rPr>
          <w:rFonts w:ascii="Arial" w:hAnsi="Arial" w:cs="Arial"/>
        </w:rPr>
        <w:lastRenderedPageBreak/>
        <w:t xml:space="preserve">success of these initiatives must overcome obstacles such as financial constraints, social inequalities, and infrastructural limitations. Effective collaboration among stakeholders, such as the NHS, local authorities, community-based organisations, educational institutions, businesses, and individuals, is essential for establishing a sustainable and supportive environment promoting cardiovascular health. In conclusion, by promoting a societal climate that prioritises physical and mental health, Barnet has the potential to decrease the occurrence of cardiovascular ailments and enhance the overall well-being of its inhabitants. </w:t>
      </w:r>
    </w:p>
    <w:p w14:paraId="56B291BA" w14:textId="77777777" w:rsidR="00B702D4" w:rsidRDefault="00B702D4" w:rsidP="008800F8">
      <w:pPr>
        <w:pStyle w:val="Heading1"/>
        <w:rPr>
          <w:rFonts w:ascii="Arial" w:hAnsi="Arial" w:cs="Arial"/>
          <w:b/>
          <w:bCs/>
          <w:color w:val="auto"/>
          <w:sz w:val="32"/>
          <w:szCs w:val="32"/>
        </w:rPr>
      </w:pPr>
    </w:p>
    <w:p w14:paraId="1B707261" w14:textId="77777777" w:rsidR="00B702D4" w:rsidRDefault="00B702D4" w:rsidP="008800F8">
      <w:pPr>
        <w:pStyle w:val="Heading1"/>
        <w:rPr>
          <w:rFonts w:ascii="Arial" w:hAnsi="Arial" w:cs="Arial"/>
          <w:b/>
          <w:bCs/>
          <w:color w:val="auto"/>
          <w:sz w:val="32"/>
          <w:szCs w:val="32"/>
        </w:rPr>
      </w:pPr>
    </w:p>
    <w:p w14:paraId="1D402275" w14:textId="77777777" w:rsidR="00B702D4" w:rsidRDefault="00B702D4" w:rsidP="008800F8">
      <w:pPr>
        <w:pStyle w:val="Heading1"/>
        <w:rPr>
          <w:rFonts w:ascii="Arial" w:hAnsi="Arial" w:cs="Arial"/>
          <w:b/>
          <w:bCs/>
          <w:color w:val="auto"/>
          <w:sz w:val="32"/>
          <w:szCs w:val="32"/>
        </w:rPr>
      </w:pPr>
    </w:p>
    <w:p w14:paraId="1FFFF462" w14:textId="77777777" w:rsidR="00B702D4" w:rsidRDefault="00B702D4" w:rsidP="008800F8">
      <w:pPr>
        <w:pStyle w:val="Heading1"/>
        <w:rPr>
          <w:rFonts w:ascii="Arial" w:hAnsi="Arial" w:cs="Arial"/>
          <w:b/>
          <w:bCs/>
          <w:color w:val="auto"/>
          <w:sz w:val="32"/>
          <w:szCs w:val="32"/>
        </w:rPr>
      </w:pPr>
    </w:p>
    <w:p w14:paraId="2C1C4A68" w14:textId="77777777" w:rsidR="00B702D4" w:rsidRDefault="00B702D4" w:rsidP="008800F8">
      <w:pPr>
        <w:pStyle w:val="Heading1"/>
        <w:rPr>
          <w:rFonts w:ascii="Arial" w:hAnsi="Arial" w:cs="Arial"/>
          <w:b/>
          <w:bCs/>
          <w:color w:val="auto"/>
          <w:sz w:val="32"/>
          <w:szCs w:val="32"/>
        </w:rPr>
      </w:pPr>
    </w:p>
    <w:p w14:paraId="66E7FCA6" w14:textId="77777777" w:rsidR="00B702D4" w:rsidRDefault="00B702D4" w:rsidP="008800F8">
      <w:pPr>
        <w:pStyle w:val="Heading1"/>
        <w:rPr>
          <w:rFonts w:ascii="Arial" w:hAnsi="Arial" w:cs="Arial"/>
          <w:b/>
          <w:bCs/>
          <w:color w:val="auto"/>
          <w:sz w:val="32"/>
          <w:szCs w:val="32"/>
        </w:rPr>
      </w:pPr>
    </w:p>
    <w:p w14:paraId="70D0AAEE" w14:textId="77777777" w:rsidR="0072741B" w:rsidRDefault="0072741B" w:rsidP="00781D76">
      <w:pPr>
        <w:spacing w:line="360" w:lineRule="auto"/>
        <w:rPr>
          <w:rFonts w:ascii="Arial" w:hAnsi="Arial" w:cs="Arial"/>
        </w:rPr>
      </w:pPr>
    </w:p>
    <w:p w14:paraId="2D47BD6B" w14:textId="77777777" w:rsidR="0072741B" w:rsidRDefault="0072741B" w:rsidP="00781D76">
      <w:pPr>
        <w:spacing w:line="360" w:lineRule="auto"/>
        <w:rPr>
          <w:rFonts w:ascii="Arial" w:hAnsi="Arial" w:cs="Arial"/>
        </w:rPr>
      </w:pPr>
    </w:p>
    <w:p w14:paraId="43DB04A1" w14:textId="77777777" w:rsidR="0072741B" w:rsidRDefault="0072741B" w:rsidP="00781D76">
      <w:pPr>
        <w:spacing w:line="360" w:lineRule="auto"/>
        <w:rPr>
          <w:rFonts w:ascii="Arial" w:hAnsi="Arial" w:cs="Arial"/>
        </w:rPr>
      </w:pPr>
    </w:p>
    <w:p w14:paraId="6694A075" w14:textId="77777777" w:rsidR="0072741B" w:rsidRDefault="0072741B" w:rsidP="00781D76">
      <w:pPr>
        <w:spacing w:line="360" w:lineRule="auto"/>
        <w:rPr>
          <w:rFonts w:ascii="Arial" w:hAnsi="Arial" w:cs="Arial"/>
        </w:rPr>
      </w:pPr>
    </w:p>
    <w:p w14:paraId="1F1EFD83" w14:textId="77777777" w:rsidR="0072741B" w:rsidRDefault="0072741B" w:rsidP="00781D76">
      <w:pPr>
        <w:spacing w:line="360" w:lineRule="auto"/>
        <w:rPr>
          <w:rFonts w:ascii="Arial" w:hAnsi="Arial" w:cs="Arial"/>
        </w:rPr>
      </w:pPr>
    </w:p>
    <w:p w14:paraId="2970C3A9" w14:textId="77777777" w:rsidR="007526F2" w:rsidRDefault="007526F2" w:rsidP="0072741B">
      <w:pPr>
        <w:pStyle w:val="Heading1"/>
        <w:rPr>
          <w:rFonts w:ascii="Arial" w:hAnsi="Arial" w:cs="Arial"/>
          <w:b/>
          <w:bCs/>
          <w:color w:val="auto"/>
        </w:rPr>
      </w:pPr>
    </w:p>
    <w:p w14:paraId="65BE2A86" w14:textId="77777777" w:rsidR="007526F2" w:rsidRDefault="007526F2" w:rsidP="0072741B">
      <w:pPr>
        <w:pStyle w:val="Heading1"/>
        <w:rPr>
          <w:rFonts w:ascii="Arial" w:hAnsi="Arial" w:cs="Arial"/>
          <w:b/>
          <w:bCs/>
          <w:color w:val="auto"/>
        </w:rPr>
      </w:pPr>
    </w:p>
    <w:p w14:paraId="79349389" w14:textId="77777777" w:rsidR="007526F2" w:rsidRDefault="007526F2" w:rsidP="0072741B">
      <w:pPr>
        <w:pStyle w:val="Heading1"/>
        <w:rPr>
          <w:rFonts w:ascii="Arial" w:hAnsi="Arial" w:cs="Arial"/>
          <w:b/>
          <w:bCs/>
          <w:color w:val="auto"/>
        </w:rPr>
      </w:pPr>
    </w:p>
    <w:p w14:paraId="5F8202DF" w14:textId="77777777" w:rsidR="0072741B" w:rsidRDefault="0072741B" w:rsidP="00781D76">
      <w:pPr>
        <w:spacing w:line="360" w:lineRule="auto"/>
        <w:rPr>
          <w:rFonts w:ascii="Arial" w:hAnsi="Arial" w:cs="Arial"/>
        </w:rPr>
      </w:pPr>
    </w:p>
    <w:p w14:paraId="06483348" w14:textId="77777777" w:rsidR="00F370F2" w:rsidRDefault="00F370F2" w:rsidP="00781D76">
      <w:pPr>
        <w:spacing w:line="360" w:lineRule="auto"/>
        <w:rPr>
          <w:rFonts w:ascii="Arial" w:hAnsi="Arial" w:cs="Arial"/>
        </w:rPr>
      </w:pPr>
    </w:p>
    <w:p w14:paraId="3AF9B0D9" w14:textId="77777777" w:rsidR="00F370F2" w:rsidRDefault="00F370F2" w:rsidP="00781D76">
      <w:pPr>
        <w:spacing w:line="360" w:lineRule="auto"/>
        <w:rPr>
          <w:rFonts w:ascii="Arial" w:hAnsi="Arial" w:cs="Arial"/>
        </w:rPr>
      </w:pPr>
    </w:p>
    <w:p w14:paraId="2B90EE28" w14:textId="77777777" w:rsidR="00F370F2" w:rsidRDefault="00F370F2" w:rsidP="00781D76">
      <w:pPr>
        <w:spacing w:line="360" w:lineRule="auto"/>
        <w:rPr>
          <w:rFonts w:ascii="Arial" w:hAnsi="Arial" w:cs="Arial"/>
        </w:rPr>
      </w:pPr>
    </w:p>
    <w:p w14:paraId="037324F7" w14:textId="773B091C" w:rsidR="00F370F2" w:rsidRPr="00F370F2" w:rsidRDefault="00F370F2" w:rsidP="00F370F2">
      <w:pPr>
        <w:pStyle w:val="Heading1"/>
        <w:pBdr>
          <w:bottom w:val="single" w:sz="4" w:space="1" w:color="auto"/>
        </w:pBdr>
        <w:rPr>
          <w:rFonts w:ascii="Arial" w:hAnsi="Arial" w:cs="Arial"/>
          <w:b/>
          <w:bCs/>
          <w:color w:val="auto"/>
          <w:sz w:val="36"/>
          <w:szCs w:val="36"/>
        </w:rPr>
      </w:pPr>
      <w:bookmarkStart w:id="9" w:name="_Toc174393240"/>
      <w:r w:rsidRPr="00F370F2">
        <w:rPr>
          <w:rFonts w:ascii="Arial" w:hAnsi="Arial" w:cs="Arial"/>
          <w:b/>
          <w:bCs/>
          <w:color w:val="auto"/>
          <w:sz w:val="36"/>
          <w:szCs w:val="36"/>
        </w:rPr>
        <w:t>References</w:t>
      </w:r>
      <w:bookmarkEnd w:id="9"/>
    </w:p>
    <w:p w14:paraId="7320910B" w14:textId="77777777" w:rsidR="00F370F2" w:rsidRDefault="00F370F2" w:rsidP="00781D76">
      <w:pPr>
        <w:spacing w:line="360" w:lineRule="auto"/>
        <w:rPr>
          <w:rFonts w:ascii="Arial" w:hAnsi="Arial" w:cs="Arial"/>
        </w:rPr>
      </w:pPr>
    </w:p>
    <w:p w14:paraId="454ADBCE" w14:textId="4DA5F7CF" w:rsidR="00122938" w:rsidRDefault="00122938" w:rsidP="00781D76">
      <w:pPr>
        <w:spacing w:line="360" w:lineRule="auto"/>
        <w:rPr>
          <w:rFonts w:ascii="Arial" w:hAnsi="Arial" w:cs="Arial"/>
        </w:rPr>
      </w:pPr>
      <w:r w:rsidRPr="007830C7">
        <w:rPr>
          <w:rFonts w:ascii="Arial" w:hAnsi="Arial" w:cs="Arial"/>
        </w:rPr>
        <w:t xml:space="preserve">“A Theory of Human Motivation - ProQuest.” Www.proquest.com, 1 July 2024, </w:t>
      </w:r>
      <w:hyperlink r:id="rId7" w:history="1">
        <w:r w:rsidRPr="00DD2041">
          <w:rPr>
            <w:rStyle w:val="Hyperlink"/>
            <w:rFonts w:ascii="Arial" w:hAnsi="Arial" w:cs="Arial"/>
          </w:rPr>
          <w:t>www.proquest.com/docview/614249947?pq-</w:t>
        </w:r>
      </w:hyperlink>
      <w:r>
        <w:rPr>
          <w:rFonts w:ascii="Arial" w:hAnsi="Arial" w:cs="Arial"/>
        </w:rPr>
        <w:t xml:space="preserve"> </w:t>
      </w:r>
      <w:r w:rsidRPr="007830C7">
        <w:rPr>
          <w:rFonts w:ascii="Arial" w:hAnsi="Arial" w:cs="Arial"/>
        </w:rPr>
        <w:t xml:space="preserve"> Accessed 1 July 2024.</w:t>
      </w:r>
    </w:p>
    <w:p w14:paraId="63DF5323" w14:textId="77777777" w:rsidR="00122938" w:rsidRDefault="00122938" w:rsidP="00781D76">
      <w:pPr>
        <w:spacing w:line="360" w:lineRule="auto"/>
        <w:rPr>
          <w:rFonts w:ascii="Arial" w:hAnsi="Arial" w:cs="Arial"/>
        </w:rPr>
      </w:pPr>
      <w:r w:rsidRPr="004925BA">
        <w:rPr>
          <w:rFonts w:ascii="Arial" w:hAnsi="Arial" w:cs="Arial"/>
        </w:rPr>
        <w:t>“Census 2021 | Barnet Open Data.” Open.barnet.gov.uk, 21 June 2024, open.barnet.gov.uk/insight-and-intelligence/census-2021/.</w:t>
      </w:r>
    </w:p>
    <w:p w14:paraId="098555BC" w14:textId="77777777" w:rsidR="00122938" w:rsidRDefault="00122938" w:rsidP="00781D76">
      <w:pPr>
        <w:spacing w:line="360" w:lineRule="auto"/>
        <w:rPr>
          <w:rFonts w:ascii="Arial" w:hAnsi="Arial" w:cs="Arial"/>
        </w:rPr>
      </w:pPr>
      <w:r w:rsidRPr="009377DF">
        <w:rPr>
          <w:rFonts w:ascii="Arial" w:hAnsi="Arial" w:cs="Arial"/>
        </w:rPr>
        <w:t xml:space="preserve">“Health and Care Act 2022.” Legislation.gov.uk, 25 June 2024, </w:t>
      </w:r>
      <w:hyperlink r:id="rId8" w:history="1">
        <w:r w:rsidRPr="00155384">
          <w:rPr>
            <w:rStyle w:val="Hyperlink"/>
            <w:rFonts w:ascii="Arial" w:hAnsi="Arial" w:cs="Arial"/>
          </w:rPr>
          <w:t>www.legislation.gov.uk/ukpga/2022/31/contents</w:t>
        </w:r>
      </w:hyperlink>
      <w:r w:rsidRPr="009377DF">
        <w:rPr>
          <w:rFonts w:ascii="Arial" w:hAnsi="Arial" w:cs="Arial"/>
        </w:rPr>
        <w:t>.</w:t>
      </w:r>
    </w:p>
    <w:p w14:paraId="5B36D5FA" w14:textId="77777777" w:rsidR="00122938" w:rsidRDefault="00122938" w:rsidP="00781D76">
      <w:pPr>
        <w:spacing w:line="360" w:lineRule="auto"/>
        <w:rPr>
          <w:rFonts w:ascii="Arial" w:hAnsi="Arial" w:cs="Arial"/>
        </w:rPr>
      </w:pPr>
      <w:r w:rsidRPr="009E0909">
        <w:rPr>
          <w:rFonts w:ascii="Arial" w:hAnsi="Arial" w:cs="Arial"/>
        </w:rPr>
        <w:t xml:space="preserve">“Improving the Public’s Health.” The King’s Fund, 8 July 2024, </w:t>
      </w:r>
      <w:hyperlink r:id="rId9" w:history="1">
        <w:r w:rsidRPr="000D2FEB">
          <w:rPr>
            <w:rStyle w:val="Hyperlink"/>
            <w:rFonts w:ascii="Arial" w:hAnsi="Arial" w:cs="Arial"/>
          </w:rPr>
          <w:t>www.kingsfund.org.uk/insight-and-analysis/reports/improving-publics-health</w:t>
        </w:r>
      </w:hyperlink>
      <w:r w:rsidRPr="009E0909">
        <w:rPr>
          <w:rFonts w:ascii="Arial" w:hAnsi="Arial" w:cs="Arial"/>
        </w:rPr>
        <w:t>.</w:t>
      </w:r>
    </w:p>
    <w:p w14:paraId="61BBB900" w14:textId="77777777" w:rsidR="00122938" w:rsidRDefault="00122938" w:rsidP="00781D76">
      <w:pPr>
        <w:spacing w:line="360" w:lineRule="auto"/>
        <w:rPr>
          <w:rFonts w:ascii="Arial" w:hAnsi="Arial" w:cs="Arial"/>
        </w:rPr>
      </w:pPr>
      <w:r w:rsidRPr="00736AF1">
        <w:rPr>
          <w:rFonts w:ascii="Arial" w:hAnsi="Arial" w:cs="Arial"/>
        </w:rPr>
        <w:t xml:space="preserve">“Integrated Care Systems (ICS) | NHS Confederation.” Www.nhsconfed.org, 25 June 2024, </w:t>
      </w:r>
      <w:hyperlink r:id="rId10" w:anchor=":~:text=Integrated%20care%20systems%20%28ICSs%29%20are%20partnerships%20that%20bring" w:history="1">
        <w:r w:rsidRPr="00155384">
          <w:rPr>
            <w:rStyle w:val="Hyperlink"/>
            <w:rFonts w:ascii="Arial" w:hAnsi="Arial" w:cs="Arial"/>
          </w:rPr>
          <w:t>www.nhsconfed.org/publications/integrated-care-systems-ics#:~:text=Integrated%20care%20systems%20%28ICSs%29%20are%20partnerships%20that%20bring</w:t>
        </w:r>
      </w:hyperlink>
      <w:r w:rsidRPr="00736AF1">
        <w:rPr>
          <w:rFonts w:ascii="Arial" w:hAnsi="Arial" w:cs="Arial"/>
        </w:rPr>
        <w:t>.</w:t>
      </w:r>
    </w:p>
    <w:p w14:paraId="79B52564" w14:textId="77777777" w:rsidR="00122938" w:rsidRDefault="00122938" w:rsidP="00781D76">
      <w:pPr>
        <w:spacing w:line="360" w:lineRule="auto"/>
        <w:rPr>
          <w:rFonts w:ascii="Arial" w:hAnsi="Arial" w:cs="Arial"/>
        </w:rPr>
      </w:pPr>
      <w:r w:rsidRPr="00433A83">
        <w:rPr>
          <w:rFonts w:ascii="Arial" w:hAnsi="Arial" w:cs="Arial"/>
        </w:rPr>
        <w:t>“London Datastore – Greater London Authority.” London.gov.uk, 2011, data.london.gov.uk/.</w:t>
      </w:r>
    </w:p>
    <w:p w14:paraId="356858DA" w14:textId="77777777" w:rsidR="00122938" w:rsidRDefault="00122938" w:rsidP="00781D76">
      <w:pPr>
        <w:spacing w:line="360" w:lineRule="auto"/>
        <w:rPr>
          <w:rFonts w:ascii="Arial" w:hAnsi="Arial" w:cs="Arial"/>
        </w:rPr>
      </w:pPr>
      <w:r w:rsidRPr="00856095">
        <w:rPr>
          <w:rFonts w:ascii="Arial" w:hAnsi="Arial" w:cs="Arial"/>
        </w:rPr>
        <w:t xml:space="preserve">American Heart Association. “The American Heart Association’s Diet and Lifestyle Recommendations.” American Heart Association, 1 Nov. 2021, </w:t>
      </w:r>
      <w:hyperlink r:id="rId11" w:history="1">
        <w:r w:rsidRPr="00DD2041">
          <w:rPr>
            <w:rStyle w:val="Hyperlink"/>
            <w:rFonts w:ascii="Arial" w:hAnsi="Arial" w:cs="Arial"/>
          </w:rPr>
          <w:t>www.heart.org/en/healthy-living/healthy-eating/eat-smart/nutrition-basics/aha-diet-and-lifestyle-recommendations</w:t>
        </w:r>
      </w:hyperlink>
      <w:r w:rsidRPr="00856095">
        <w:rPr>
          <w:rFonts w:ascii="Arial" w:hAnsi="Arial" w:cs="Arial"/>
        </w:rPr>
        <w:t>.</w:t>
      </w:r>
    </w:p>
    <w:p w14:paraId="7F256FD8" w14:textId="77777777" w:rsidR="00122938" w:rsidRDefault="00122938" w:rsidP="00781D76">
      <w:pPr>
        <w:spacing w:line="360" w:lineRule="auto"/>
        <w:rPr>
          <w:rFonts w:ascii="Arial" w:hAnsi="Arial" w:cs="Arial"/>
        </w:rPr>
      </w:pPr>
      <w:r w:rsidRPr="0095271A">
        <w:rPr>
          <w:rFonts w:ascii="Arial" w:hAnsi="Arial" w:cs="Arial"/>
        </w:rPr>
        <w:t xml:space="preserve">Barnet.gov.uk, 9 July 2024, </w:t>
      </w:r>
      <w:hyperlink r:id="rId12" w:history="1">
        <w:r w:rsidRPr="00155384">
          <w:rPr>
            <w:rStyle w:val="Hyperlink"/>
            <w:rFonts w:ascii="Arial" w:hAnsi="Arial" w:cs="Arial"/>
          </w:rPr>
          <w:t>www.barnet.gov.uk/health-and-wellbeing</w:t>
        </w:r>
      </w:hyperlink>
      <w:r w:rsidRPr="0095271A">
        <w:rPr>
          <w:rFonts w:ascii="Arial" w:hAnsi="Arial" w:cs="Arial"/>
        </w:rPr>
        <w:t>.</w:t>
      </w:r>
    </w:p>
    <w:p w14:paraId="5A40AAB4" w14:textId="77777777" w:rsidR="00122938" w:rsidRDefault="00122938" w:rsidP="00781D76">
      <w:pPr>
        <w:spacing w:line="360" w:lineRule="auto"/>
        <w:rPr>
          <w:rFonts w:ascii="Arial" w:hAnsi="Arial" w:cs="Arial"/>
        </w:rPr>
      </w:pPr>
      <w:r w:rsidRPr="00836A9A">
        <w:rPr>
          <w:rFonts w:ascii="Arial" w:hAnsi="Arial" w:cs="Arial"/>
        </w:rPr>
        <w:t xml:space="preserve">BDA. “Hypertension Food Fact Sheet.” Www.bda.uk.com, May 2019, </w:t>
      </w:r>
      <w:hyperlink r:id="rId13" w:history="1">
        <w:r w:rsidRPr="008C0372">
          <w:rPr>
            <w:rStyle w:val="Hyperlink"/>
            <w:rFonts w:ascii="Arial" w:hAnsi="Arial" w:cs="Arial"/>
          </w:rPr>
          <w:t>www.bda.uk.com/resource/hypertension-diet.html</w:t>
        </w:r>
      </w:hyperlink>
      <w:r w:rsidRPr="00836A9A">
        <w:rPr>
          <w:rFonts w:ascii="Arial" w:hAnsi="Arial" w:cs="Arial"/>
        </w:rPr>
        <w:t>.</w:t>
      </w:r>
    </w:p>
    <w:p w14:paraId="7DE19154" w14:textId="77777777" w:rsidR="00122938" w:rsidRDefault="00122938" w:rsidP="00781D76">
      <w:pPr>
        <w:spacing w:line="360" w:lineRule="auto"/>
        <w:rPr>
          <w:rFonts w:ascii="Arial" w:hAnsi="Arial" w:cs="Arial"/>
        </w:rPr>
      </w:pPr>
      <w:r w:rsidRPr="00EE1990">
        <w:rPr>
          <w:rFonts w:ascii="Arial" w:hAnsi="Arial" w:cs="Arial"/>
        </w:rPr>
        <w:t xml:space="preserve">British heart foundation. “Beat Heartbreak Forever.” British Heart Foundation, 3 July 2024, </w:t>
      </w:r>
      <w:hyperlink r:id="rId14" w:history="1">
        <w:r w:rsidRPr="00F1364C">
          <w:rPr>
            <w:rStyle w:val="Hyperlink"/>
            <w:rFonts w:ascii="Arial" w:hAnsi="Arial" w:cs="Arial"/>
          </w:rPr>
          <w:t>www.bhf.org.uk/</w:t>
        </w:r>
      </w:hyperlink>
      <w:r w:rsidRPr="00EE1990">
        <w:rPr>
          <w:rFonts w:ascii="Arial" w:hAnsi="Arial" w:cs="Arial"/>
        </w:rPr>
        <w:t>.</w:t>
      </w:r>
    </w:p>
    <w:p w14:paraId="519150D4" w14:textId="77777777" w:rsidR="00122938" w:rsidRDefault="00122938" w:rsidP="00781D76">
      <w:pPr>
        <w:spacing w:line="360" w:lineRule="auto"/>
        <w:rPr>
          <w:rFonts w:ascii="Arial" w:hAnsi="Arial" w:cs="Arial"/>
        </w:rPr>
      </w:pPr>
      <w:r w:rsidRPr="0065738E">
        <w:rPr>
          <w:rFonts w:ascii="Arial" w:hAnsi="Arial" w:cs="Arial"/>
        </w:rPr>
        <w:t xml:space="preserve">British Heart Foundation. “Mediterranean Diet.” Bhf.org.uk, British Heart Foundation, 22 June 2018, </w:t>
      </w:r>
      <w:hyperlink r:id="rId15" w:history="1">
        <w:r w:rsidRPr="008C0372">
          <w:rPr>
            <w:rStyle w:val="Hyperlink"/>
            <w:rFonts w:ascii="Arial" w:hAnsi="Arial" w:cs="Arial"/>
          </w:rPr>
          <w:t>www.bhf.org.uk/informationsupport/heart-matters-magazine/nutrition/mediterranean-diet</w:t>
        </w:r>
      </w:hyperlink>
      <w:r w:rsidRPr="0065738E">
        <w:rPr>
          <w:rFonts w:ascii="Arial" w:hAnsi="Arial" w:cs="Arial"/>
        </w:rPr>
        <w:t>.</w:t>
      </w:r>
    </w:p>
    <w:p w14:paraId="4ED6C508" w14:textId="77777777" w:rsidR="00122938" w:rsidRDefault="00122938" w:rsidP="00781D76">
      <w:pPr>
        <w:spacing w:line="360" w:lineRule="auto"/>
        <w:rPr>
          <w:rFonts w:ascii="Arial" w:hAnsi="Arial" w:cs="Arial"/>
        </w:rPr>
      </w:pPr>
      <w:r w:rsidRPr="00C4326E">
        <w:rPr>
          <w:rFonts w:ascii="Arial" w:hAnsi="Arial" w:cs="Arial"/>
        </w:rPr>
        <w:t xml:space="preserve">CDC. “About Heart Disease.” Heart Disease, 29 Apr. 2024, </w:t>
      </w:r>
      <w:hyperlink r:id="rId16" w:history="1">
        <w:r w:rsidRPr="00155384">
          <w:rPr>
            <w:rStyle w:val="Hyperlink"/>
            <w:rFonts w:ascii="Arial" w:hAnsi="Arial" w:cs="Arial"/>
          </w:rPr>
          <w:t>www.cdc.gov/heartdisease/about/index.html</w:t>
        </w:r>
      </w:hyperlink>
    </w:p>
    <w:p w14:paraId="2051B2F4" w14:textId="77777777" w:rsidR="00122938" w:rsidRDefault="00122938" w:rsidP="00781D76">
      <w:pPr>
        <w:spacing w:line="360" w:lineRule="auto"/>
        <w:rPr>
          <w:rFonts w:ascii="Arial" w:hAnsi="Arial" w:cs="Arial"/>
        </w:rPr>
      </w:pPr>
      <w:r w:rsidRPr="00DA3219">
        <w:rPr>
          <w:rFonts w:ascii="Arial" w:hAnsi="Arial" w:cs="Arial"/>
        </w:rPr>
        <w:lastRenderedPageBreak/>
        <w:t>Cherry, Kendra. “Maslow’s Hierarchy of Needs.” Very</w:t>
      </w:r>
      <w:r>
        <w:rPr>
          <w:rFonts w:ascii="Arial" w:hAnsi="Arial" w:cs="Arial"/>
        </w:rPr>
        <w:t xml:space="preserve"> </w:t>
      </w:r>
      <w:r w:rsidRPr="00DA3219">
        <w:rPr>
          <w:rFonts w:ascii="Arial" w:hAnsi="Arial" w:cs="Arial"/>
        </w:rPr>
        <w:t xml:space="preserve">well mind, 2 Apr. 2024, </w:t>
      </w:r>
      <w:hyperlink r:id="rId17" w:history="1">
        <w:r w:rsidRPr="00F1364C">
          <w:rPr>
            <w:rStyle w:val="Hyperlink"/>
            <w:rFonts w:ascii="Arial" w:hAnsi="Arial" w:cs="Arial"/>
          </w:rPr>
          <w:t>www.verywellmind.com/what-is-maslows-hierarchy-of-needs-4136760</w:t>
        </w:r>
      </w:hyperlink>
      <w:r w:rsidRPr="00DA3219">
        <w:rPr>
          <w:rFonts w:ascii="Arial" w:hAnsi="Arial" w:cs="Arial"/>
        </w:rPr>
        <w:t>.</w:t>
      </w:r>
    </w:p>
    <w:p w14:paraId="794AF575" w14:textId="77777777" w:rsidR="00122938" w:rsidRDefault="00122938" w:rsidP="00781D76">
      <w:pPr>
        <w:spacing w:line="360" w:lineRule="auto"/>
        <w:rPr>
          <w:rFonts w:ascii="Arial" w:hAnsi="Arial" w:cs="Arial"/>
        </w:rPr>
      </w:pPr>
      <w:r w:rsidRPr="00487F5F">
        <w:rPr>
          <w:rFonts w:ascii="Arial" w:hAnsi="Arial" w:cs="Arial"/>
        </w:rPr>
        <w:t xml:space="preserve">GOV.UK. “Equality Act 2010.” Gov.Uk, Gov.uk, 27 Feb. 2013, </w:t>
      </w:r>
      <w:hyperlink r:id="rId18" w:history="1">
        <w:r w:rsidRPr="00AF7F39">
          <w:rPr>
            <w:rStyle w:val="Hyperlink"/>
            <w:rFonts w:ascii="Arial" w:hAnsi="Arial" w:cs="Arial"/>
          </w:rPr>
          <w:t>www.gov.uk/guidance/equality-act-2010-guidance</w:t>
        </w:r>
      </w:hyperlink>
      <w:r w:rsidRPr="00487F5F">
        <w:rPr>
          <w:rFonts w:ascii="Arial" w:hAnsi="Arial" w:cs="Arial"/>
        </w:rPr>
        <w:t>.</w:t>
      </w:r>
    </w:p>
    <w:p w14:paraId="4BB779E5" w14:textId="77777777" w:rsidR="00122938" w:rsidRDefault="00122938" w:rsidP="00781D76">
      <w:pPr>
        <w:spacing w:line="360" w:lineRule="auto"/>
        <w:rPr>
          <w:rFonts w:ascii="Arial" w:hAnsi="Arial" w:cs="Arial"/>
        </w:rPr>
      </w:pPr>
      <w:bookmarkStart w:id="10" w:name="_Hlk170901364"/>
      <w:r w:rsidRPr="00AF5E83">
        <w:rPr>
          <w:rFonts w:ascii="Arial" w:hAnsi="Arial" w:cs="Arial"/>
        </w:rPr>
        <w:t xml:space="preserve">Lockey, Andrew, et al. “Impact of Adult Advanced Cardiac Life Support Course Participation on Patient Outcomes—a Systematic Review and Meta-Analysis.” Resuscitation, vol. 129, Aug. 2018, pp. 48–54, </w:t>
      </w:r>
      <w:hyperlink r:id="rId19" w:history="1">
        <w:r w:rsidRPr="00F1364C">
          <w:rPr>
            <w:rStyle w:val="Hyperlink"/>
            <w:rFonts w:ascii="Arial" w:hAnsi="Arial" w:cs="Arial"/>
          </w:rPr>
          <w:t>https://doi.org/10.1016/j.resuscitation.2018.05.034</w:t>
        </w:r>
      </w:hyperlink>
      <w:bookmarkEnd w:id="10"/>
      <w:r w:rsidRPr="00AF5E83">
        <w:rPr>
          <w:rFonts w:ascii="Arial" w:hAnsi="Arial" w:cs="Arial"/>
        </w:rPr>
        <w:t>.</w:t>
      </w:r>
    </w:p>
    <w:p w14:paraId="58CC31B6" w14:textId="77777777" w:rsidR="00122938" w:rsidRDefault="00122938" w:rsidP="00781D76">
      <w:pPr>
        <w:spacing w:line="360" w:lineRule="auto"/>
        <w:rPr>
          <w:rFonts w:ascii="Arial" w:hAnsi="Arial" w:cs="Arial"/>
        </w:rPr>
      </w:pPr>
      <w:r w:rsidRPr="00CC5C1D">
        <w:rPr>
          <w:rFonts w:ascii="Arial" w:hAnsi="Arial" w:cs="Arial"/>
        </w:rPr>
        <w:t xml:space="preserve">MacQueen, K M, et al. “What Is Community? An Evidence-Based Definition for Participatory Public Health.” American Journal of Public Health, vol. 91, no. 12, Dec. 2001, pp. 1929–38, www.ncbi.nlm.nih.gov/pmc/articles/PMC1446907/, </w:t>
      </w:r>
      <w:hyperlink r:id="rId20" w:history="1">
        <w:r w:rsidRPr="00155384">
          <w:rPr>
            <w:rStyle w:val="Hyperlink"/>
            <w:rFonts w:ascii="Arial" w:hAnsi="Arial" w:cs="Arial"/>
          </w:rPr>
          <w:t>https://doi.org/10.2105/ajph.91.12.1929</w:t>
        </w:r>
      </w:hyperlink>
    </w:p>
    <w:p w14:paraId="2C9C060F" w14:textId="77777777" w:rsidR="00122938" w:rsidRDefault="00122938" w:rsidP="00781D76">
      <w:pPr>
        <w:spacing w:line="360" w:lineRule="auto"/>
        <w:rPr>
          <w:rFonts w:ascii="Arial" w:hAnsi="Arial" w:cs="Arial"/>
        </w:rPr>
      </w:pPr>
      <w:r w:rsidRPr="00A70D07">
        <w:rPr>
          <w:rFonts w:ascii="Arial" w:hAnsi="Arial" w:cs="Arial"/>
        </w:rPr>
        <w:t xml:space="preserve">Ministry of Justice. “Public Sector Equality Duty.” GOV.UK, 6 July 2012, </w:t>
      </w:r>
      <w:hyperlink r:id="rId21" w:history="1">
        <w:r w:rsidRPr="00AF7F39">
          <w:rPr>
            <w:rStyle w:val="Hyperlink"/>
            <w:rFonts w:ascii="Arial" w:hAnsi="Arial" w:cs="Arial"/>
          </w:rPr>
          <w:t>www.gov.uk/government/publications/public-sector-equality-duty</w:t>
        </w:r>
      </w:hyperlink>
      <w:r w:rsidRPr="00A70D07">
        <w:rPr>
          <w:rFonts w:ascii="Arial" w:hAnsi="Arial" w:cs="Arial"/>
        </w:rPr>
        <w:t>.</w:t>
      </w:r>
    </w:p>
    <w:p w14:paraId="78A13959" w14:textId="77777777" w:rsidR="00122938" w:rsidRDefault="00122938" w:rsidP="00781D76">
      <w:pPr>
        <w:spacing w:line="360" w:lineRule="auto"/>
        <w:rPr>
          <w:rFonts w:ascii="Arial" w:hAnsi="Arial" w:cs="Arial"/>
        </w:rPr>
      </w:pPr>
      <w:r w:rsidRPr="007C26E9">
        <w:rPr>
          <w:rFonts w:ascii="Arial" w:hAnsi="Arial" w:cs="Arial"/>
        </w:rPr>
        <w:t xml:space="preserve">NHS England. “NHS England» Social Media.” Www.england.nhs.uk, 16 Feb. 2023, </w:t>
      </w:r>
      <w:hyperlink r:id="rId22" w:history="1">
        <w:r w:rsidRPr="000D2FEB">
          <w:rPr>
            <w:rStyle w:val="Hyperlink"/>
            <w:rFonts w:ascii="Arial" w:hAnsi="Arial" w:cs="Arial"/>
          </w:rPr>
          <w:t>www.england.nhs.uk/long-read/social-media/</w:t>
        </w:r>
      </w:hyperlink>
      <w:r w:rsidRPr="007C26E9">
        <w:rPr>
          <w:rFonts w:ascii="Arial" w:hAnsi="Arial" w:cs="Arial"/>
        </w:rPr>
        <w:t>.</w:t>
      </w:r>
    </w:p>
    <w:p w14:paraId="5C220B9C" w14:textId="77777777" w:rsidR="00122938" w:rsidRDefault="00122938" w:rsidP="00781D76">
      <w:pPr>
        <w:spacing w:line="360" w:lineRule="auto"/>
        <w:rPr>
          <w:rFonts w:ascii="Arial" w:hAnsi="Arial" w:cs="Arial"/>
        </w:rPr>
      </w:pPr>
      <w:r w:rsidRPr="003A686E">
        <w:rPr>
          <w:rFonts w:ascii="Arial" w:hAnsi="Arial" w:cs="Arial"/>
        </w:rPr>
        <w:t xml:space="preserve">Office for National Statistics. “Census - Office for National Statistics.” Ons.gov.uk, 21 June 2024, </w:t>
      </w:r>
      <w:hyperlink r:id="rId23" w:history="1">
        <w:r w:rsidRPr="00EC5DE1">
          <w:rPr>
            <w:rStyle w:val="Hyperlink"/>
            <w:rFonts w:ascii="Arial" w:hAnsi="Arial" w:cs="Arial"/>
          </w:rPr>
          <w:t>www.ons.gov.uk/census</w:t>
        </w:r>
      </w:hyperlink>
      <w:r w:rsidRPr="003A686E">
        <w:rPr>
          <w:rFonts w:ascii="Arial" w:hAnsi="Arial" w:cs="Arial"/>
        </w:rPr>
        <w:t>.</w:t>
      </w:r>
    </w:p>
    <w:p w14:paraId="21243850" w14:textId="77777777" w:rsidR="00122938" w:rsidRDefault="00122938" w:rsidP="00781D76">
      <w:pPr>
        <w:spacing w:line="360" w:lineRule="auto"/>
        <w:rPr>
          <w:rFonts w:ascii="Arial" w:hAnsi="Arial" w:cs="Arial"/>
        </w:rPr>
      </w:pPr>
      <w:r w:rsidRPr="0035646A">
        <w:rPr>
          <w:rFonts w:ascii="Arial" w:hAnsi="Arial" w:cs="Arial"/>
        </w:rPr>
        <w:t xml:space="preserve">Public Health England. “Public Health England’s Health Profiles 2014 Published.” GOV.UK, 8 July 2014, </w:t>
      </w:r>
      <w:hyperlink r:id="rId24" w:history="1">
        <w:r w:rsidRPr="00EC5DE1">
          <w:rPr>
            <w:rStyle w:val="Hyperlink"/>
            <w:rFonts w:ascii="Arial" w:hAnsi="Arial" w:cs="Arial"/>
          </w:rPr>
          <w:t>www.gov.uk/government/news/public-health-englands-health-profiles-2014-published</w:t>
        </w:r>
      </w:hyperlink>
      <w:r w:rsidRPr="0035646A">
        <w:rPr>
          <w:rFonts w:ascii="Arial" w:hAnsi="Arial" w:cs="Arial"/>
        </w:rPr>
        <w:t>.</w:t>
      </w:r>
    </w:p>
    <w:p w14:paraId="05912A56" w14:textId="77777777" w:rsidR="00122938" w:rsidRDefault="00122938" w:rsidP="00781D76">
      <w:pPr>
        <w:spacing w:line="360" w:lineRule="auto"/>
        <w:rPr>
          <w:rFonts w:ascii="Arial" w:hAnsi="Arial" w:cs="Arial"/>
        </w:rPr>
      </w:pPr>
      <w:r w:rsidRPr="00970368">
        <w:rPr>
          <w:rFonts w:ascii="Arial" w:hAnsi="Arial" w:cs="Arial"/>
        </w:rPr>
        <w:t>UK Parliament. “Health and Care Bill - Parliamentary Bills - UK Parliament.” Bills.parliament.uk, 8 July 2024, bills.parliament.uk/bills/3022.</w:t>
      </w:r>
    </w:p>
    <w:p w14:paraId="2D11CD7B" w14:textId="77777777" w:rsidR="00122938" w:rsidRDefault="00122938" w:rsidP="00781D76">
      <w:pPr>
        <w:spacing w:line="360" w:lineRule="auto"/>
        <w:rPr>
          <w:rFonts w:ascii="Arial" w:hAnsi="Arial" w:cs="Arial"/>
        </w:rPr>
      </w:pPr>
      <w:r w:rsidRPr="003A3EA4">
        <w:rPr>
          <w:rFonts w:ascii="Arial" w:hAnsi="Arial" w:cs="Arial"/>
        </w:rPr>
        <w:t xml:space="preserve">WHO. “Cardiovascular Diseases (CVDs).” World Health Organization, World Health Organization, 11 June 2021, </w:t>
      </w:r>
      <w:hyperlink r:id="rId25" w:history="1">
        <w:r w:rsidRPr="00DD2041">
          <w:rPr>
            <w:rStyle w:val="Hyperlink"/>
            <w:rFonts w:ascii="Arial" w:hAnsi="Arial" w:cs="Arial"/>
          </w:rPr>
          <w:t>www.who.int/news-room/fact-sheets/detail/cardiovascular-diseases-(cvds)</w:t>
        </w:r>
      </w:hyperlink>
      <w:r w:rsidRPr="003A3EA4">
        <w:rPr>
          <w:rFonts w:ascii="Arial" w:hAnsi="Arial" w:cs="Arial"/>
        </w:rPr>
        <w:t>.</w:t>
      </w:r>
    </w:p>
    <w:p w14:paraId="1F04AFEB" w14:textId="77777777" w:rsidR="00122938" w:rsidRDefault="00122938" w:rsidP="00781D76">
      <w:pPr>
        <w:spacing w:line="360" w:lineRule="auto"/>
        <w:rPr>
          <w:rFonts w:ascii="Arial" w:hAnsi="Arial" w:cs="Arial"/>
        </w:rPr>
      </w:pPr>
      <w:r w:rsidRPr="00340CD1">
        <w:rPr>
          <w:rFonts w:ascii="Arial" w:hAnsi="Arial" w:cs="Arial"/>
        </w:rPr>
        <w:t xml:space="preserve">World Health Organization. “Global Recommendations on Physical Activity for Health.” Www.who.int, 1 Jan. 2010, </w:t>
      </w:r>
      <w:hyperlink r:id="rId26" w:history="1">
        <w:r w:rsidRPr="00EC5DE1">
          <w:rPr>
            <w:rStyle w:val="Hyperlink"/>
            <w:rFonts w:ascii="Arial" w:hAnsi="Arial" w:cs="Arial"/>
          </w:rPr>
          <w:t>www.who.int/publications/i/item/9789241599979</w:t>
        </w:r>
      </w:hyperlink>
      <w:r w:rsidRPr="00340CD1">
        <w:rPr>
          <w:rFonts w:ascii="Arial" w:hAnsi="Arial" w:cs="Arial"/>
        </w:rPr>
        <w:t>.</w:t>
      </w:r>
    </w:p>
    <w:sectPr w:rsidR="00122938">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DAD24C" w14:textId="77777777" w:rsidR="008273CD" w:rsidRDefault="008273CD" w:rsidP="00D65DA6">
      <w:pPr>
        <w:spacing w:after="0" w:line="240" w:lineRule="auto"/>
      </w:pPr>
      <w:r>
        <w:separator/>
      </w:r>
    </w:p>
  </w:endnote>
  <w:endnote w:type="continuationSeparator" w:id="0">
    <w:p w14:paraId="014F356C" w14:textId="77777777" w:rsidR="008273CD" w:rsidRDefault="008273CD" w:rsidP="00D65DA6">
      <w:pPr>
        <w:spacing w:after="0" w:line="240" w:lineRule="auto"/>
      </w:pPr>
      <w:r>
        <w:continuationSeparator/>
      </w:r>
    </w:p>
  </w:endnote>
  <w:endnote w:type="continuationNotice" w:id="1">
    <w:p w14:paraId="4ACE8B6D" w14:textId="77777777" w:rsidR="008273CD" w:rsidRDefault="008273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8379501"/>
      <w:docPartObj>
        <w:docPartGallery w:val="Page Numbers (Bottom of Page)"/>
        <w:docPartUnique/>
      </w:docPartObj>
    </w:sdtPr>
    <w:sdtContent>
      <w:p w14:paraId="2D6C8D0D" w14:textId="2326D699" w:rsidR="003D7350" w:rsidRDefault="003D7350">
        <w:pPr>
          <w:pStyle w:val="Footer"/>
          <w:jc w:val="right"/>
        </w:pPr>
        <w:r>
          <w:fldChar w:fldCharType="begin"/>
        </w:r>
        <w:r>
          <w:instrText>PAGE   \* MERGEFORMAT</w:instrText>
        </w:r>
        <w:r>
          <w:fldChar w:fldCharType="separate"/>
        </w:r>
        <w:r>
          <w:t>2</w:t>
        </w:r>
        <w:r>
          <w:fldChar w:fldCharType="end"/>
        </w:r>
      </w:p>
    </w:sdtContent>
  </w:sdt>
  <w:p w14:paraId="695A23A5" w14:textId="77777777" w:rsidR="003D7350" w:rsidRDefault="003D7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90EC32" w14:textId="77777777" w:rsidR="008273CD" w:rsidRDefault="008273CD" w:rsidP="00D65DA6">
      <w:pPr>
        <w:spacing w:after="0" w:line="240" w:lineRule="auto"/>
      </w:pPr>
      <w:r>
        <w:separator/>
      </w:r>
    </w:p>
  </w:footnote>
  <w:footnote w:type="continuationSeparator" w:id="0">
    <w:p w14:paraId="5E99D899" w14:textId="77777777" w:rsidR="008273CD" w:rsidRDefault="008273CD" w:rsidP="00D65DA6">
      <w:pPr>
        <w:spacing w:after="0" w:line="240" w:lineRule="auto"/>
      </w:pPr>
      <w:r>
        <w:continuationSeparator/>
      </w:r>
    </w:p>
  </w:footnote>
  <w:footnote w:type="continuationNotice" w:id="1">
    <w:p w14:paraId="4D193F2D" w14:textId="77777777" w:rsidR="008273CD" w:rsidRDefault="008273CD">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D76"/>
    <w:rsid w:val="000128D9"/>
    <w:rsid w:val="000344D3"/>
    <w:rsid w:val="0006459E"/>
    <w:rsid w:val="00066230"/>
    <w:rsid w:val="000726EA"/>
    <w:rsid w:val="000A0C3D"/>
    <w:rsid w:val="000C68D7"/>
    <w:rsid w:val="000D679B"/>
    <w:rsid w:val="00122610"/>
    <w:rsid w:val="00122938"/>
    <w:rsid w:val="00131B37"/>
    <w:rsid w:val="001332B7"/>
    <w:rsid w:val="00147254"/>
    <w:rsid w:val="001562F7"/>
    <w:rsid w:val="001B1FC2"/>
    <w:rsid w:val="001B4D80"/>
    <w:rsid w:val="001B5B76"/>
    <w:rsid w:val="001B74D1"/>
    <w:rsid w:val="001C1088"/>
    <w:rsid w:val="001F3E95"/>
    <w:rsid w:val="002018A9"/>
    <w:rsid w:val="002A12A9"/>
    <w:rsid w:val="002B6AAD"/>
    <w:rsid w:val="002E0173"/>
    <w:rsid w:val="002E79ED"/>
    <w:rsid w:val="00340CD1"/>
    <w:rsid w:val="003427F4"/>
    <w:rsid w:val="00350AFF"/>
    <w:rsid w:val="0035646A"/>
    <w:rsid w:val="0035691E"/>
    <w:rsid w:val="00362ECC"/>
    <w:rsid w:val="0038143D"/>
    <w:rsid w:val="00384EE1"/>
    <w:rsid w:val="0038585D"/>
    <w:rsid w:val="003943B8"/>
    <w:rsid w:val="003A3EA4"/>
    <w:rsid w:val="003A686E"/>
    <w:rsid w:val="003C021D"/>
    <w:rsid w:val="003C3460"/>
    <w:rsid w:val="003C50C6"/>
    <w:rsid w:val="003D582C"/>
    <w:rsid w:val="003D7350"/>
    <w:rsid w:val="003E290D"/>
    <w:rsid w:val="003E3318"/>
    <w:rsid w:val="003F17DC"/>
    <w:rsid w:val="003F2AD6"/>
    <w:rsid w:val="003F4627"/>
    <w:rsid w:val="003F4AB2"/>
    <w:rsid w:val="0040751D"/>
    <w:rsid w:val="00421F51"/>
    <w:rsid w:val="00424C8A"/>
    <w:rsid w:val="00433A83"/>
    <w:rsid w:val="0046328B"/>
    <w:rsid w:val="00487F5F"/>
    <w:rsid w:val="004925BA"/>
    <w:rsid w:val="004C2D80"/>
    <w:rsid w:val="004C3AF6"/>
    <w:rsid w:val="004C7050"/>
    <w:rsid w:val="004D2C84"/>
    <w:rsid w:val="004F7AEF"/>
    <w:rsid w:val="0050694B"/>
    <w:rsid w:val="00507EA0"/>
    <w:rsid w:val="005149DB"/>
    <w:rsid w:val="00535981"/>
    <w:rsid w:val="00542285"/>
    <w:rsid w:val="00553442"/>
    <w:rsid w:val="00555780"/>
    <w:rsid w:val="00571BF1"/>
    <w:rsid w:val="0057439D"/>
    <w:rsid w:val="005A3189"/>
    <w:rsid w:val="005A548E"/>
    <w:rsid w:val="005C48D5"/>
    <w:rsid w:val="005E6D61"/>
    <w:rsid w:val="005F490C"/>
    <w:rsid w:val="005F7B39"/>
    <w:rsid w:val="00620B15"/>
    <w:rsid w:val="00635FBD"/>
    <w:rsid w:val="006411EE"/>
    <w:rsid w:val="006429C2"/>
    <w:rsid w:val="006438C0"/>
    <w:rsid w:val="00654345"/>
    <w:rsid w:val="00654BEA"/>
    <w:rsid w:val="0065738E"/>
    <w:rsid w:val="00657945"/>
    <w:rsid w:val="00663203"/>
    <w:rsid w:val="006653C7"/>
    <w:rsid w:val="00680367"/>
    <w:rsid w:val="00692902"/>
    <w:rsid w:val="006C11BE"/>
    <w:rsid w:val="006D24EA"/>
    <w:rsid w:val="006D3F87"/>
    <w:rsid w:val="006E06E4"/>
    <w:rsid w:val="006E74A9"/>
    <w:rsid w:val="00705E2A"/>
    <w:rsid w:val="00705FC6"/>
    <w:rsid w:val="007078DD"/>
    <w:rsid w:val="00716A84"/>
    <w:rsid w:val="0072256C"/>
    <w:rsid w:val="00726C2B"/>
    <w:rsid w:val="0072741B"/>
    <w:rsid w:val="00736AF1"/>
    <w:rsid w:val="0074210E"/>
    <w:rsid w:val="00746208"/>
    <w:rsid w:val="007526F2"/>
    <w:rsid w:val="00762042"/>
    <w:rsid w:val="007720D7"/>
    <w:rsid w:val="007724C4"/>
    <w:rsid w:val="00773B2A"/>
    <w:rsid w:val="0077634E"/>
    <w:rsid w:val="00777602"/>
    <w:rsid w:val="00781D76"/>
    <w:rsid w:val="007830C7"/>
    <w:rsid w:val="00790CFE"/>
    <w:rsid w:val="00794D2C"/>
    <w:rsid w:val="007B3400"/>
    <w:rsid w:val="007B46E1"/>
    <w:rsid w:val="007C26E9"/>
    <w:rsid w:val="007E057C"/>
    <w:rsid w:val="007F0E5A"/>
    <w:rsid w:val="007F5736"/>
    <w:rsid w:val="008273CD"/>
    <w:rsid w:val="0083625B"/>
    <w:rsid w:val="008368CF"/>
    <w:rsid w:val="00836A9A"/>
    <w:rsid w:val="008424A0"/>
    <w:rsid w:val="008426A8"/>
    <w:rsid w:val="00846EC6"/>
    <w:rsid w:val="00856095"/>
    <w:rsid w:val="00863CEE"/>
    <w:rsid w:val="008800F8"/>
    <w:rsid w:val="00887BA8"/>
    <w:rsid w:val="00890DC5"/>
    <w:rsid w:val="008925E8"/>
    <w:rsid w:val="008A0419"/>
    <w:rsid w:val="008C1669"/>
    <w:rsid w:val="00901FAA"/>
    <w:rsid w:val="009264DD"/>
    <w:rsid w:val="009377DF"/>
    <w:rsid w:val="00937ACF"/>
    <w:rsid w:val="00945A30"/>
    <w:rsid w:val="00950C78"/>
    <w:rsid w:val="0095271A"/>
    <w:rsid w:val="00957121"/>
    <w:rsid w:val="00970368"/>
    <w:rsid w:val="00976DC5"/>
    <w:rsid w:val="009852D0"/>
    <w:rsid w:val="00987ABA"/>
    <w:rsid w:val="009A3B1E"/>
    <w:rsid w:val="009A55A8"/>
    <w:rsid w:val="009C67BC"/>
    <w:rsid w:val="009D0248"/>
    <w:rsid w:val="009E0909"/>
    <w:rsid w:val="00A067A9"/>
    <w:rsid w:val="00A2442B"/>
    <w:rsid w:val="00A50ABD"/>
    <w:rsid w:val="00A53B9C"/>
    <w:rsid w:val="00A70D07"/>
    <w:rsid w:val="00AC63DC"/>
    <w:rsid w:val="00AD29E6"/>
    <w:rsid w:val="00AE1317"/>
    <w:rsid w:val="00AF0F89"/>
    <w:rsid w:val="00AF5E83"/>
    <w:rsid w:val="00B026E5"/>
    <w:rsid w:val="00B06D39"/>
    <w:rsid w:val="00B46F1D"/>
    <w:rsid w:val="00B60868"/>
    <w:rsid w:val="00B702D4"/>
    <w:rsid w:val="00B73041"/>
    <w:rsid w:val="00B920D9"/>
    <w:rsid w:val="00BB59BB"/>
    <w:rsid w:val="00BC2A26"/>
    <w:rsid w:val="00C16760"/>
    <w:rsid w:val="00C24883"/>
    <w:rsid w:val="00C400A9"/>
    <w:rsid w:val="00C4326E"/>
    <w:rsid w:val="00C609D0"/>
    <w:rsid w:val="00C677C6"/>
    <w:rsid w:val="00CA6418"/>
    <w:rsid w:val="00CC3B4C"/>
    <w:rsid w:val="00CC5C1D"/>
    <w:rsid w:val="00CF1E4A"/>
    <w:rsid w:val="00D162B2"/>
    <w:rsid w:val="00D30C61"/>
    <w:rsid w:val="00D366DF"/>
    <w:rsid w:val="00D508BE"/>
    <w:rsid w:val="00D5240F"/>
    <w:rsid w:val="00D56DD7"/>
    <w:rsid w:val="00D65DA6"/>
    <w:rsid w:val="00D73FAD"/>
    <w:rsid w:val="00D82130"/>
    <w:rsid w:val="00DA3219"/>
    <w:rsid w:val="00DB3FD8"/>
    <w:rsid w:val="00DF51AC"/>
    <w:rsid w:val="00E2054D"/>
    <w:rsid w:val="00E22FF9"/>
    <w:rsid w:val="00E24FD1"/>
    <w:rsid w:val="00E83671"/>
    <w:rsid w:val="00E87D2C"/>
    <w:rsid w:val="00EE1990"/>
    <w:rsid w:val="00F24F8C"/>
    <w:rsid w:val="00F328DB"/>
    <w:rsid w:val="00F370F2"/>
    <w:rsid w:val="00F4348E"/>
    <w:rsid w:val="00F442C1"/>
    <w:rsid w:val="00F62367"/>
    <w:rsid w:val="00F85AA4"/>
    <w:rsid w:val="00F90409"/>
    <w:rsid w:val="00F9357F"/>
    <w:rsid w:val="00F93E14"/>
    <w:rsid w:val="00F947CA"/>
    <w:rsid w:val="00FB3E76"/>
    <w:rsid w:val="00FC109B"/>
    <w:rsid w:val="00FD0ACE"/>
    <w:rsid w:val="00FD40A1"/>
    <w:rsid w:val="00FD5E67"/>
    <w:rsid w:val="00FE410E"/>
    <w:rsid w:val="00FF1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2C3C6"/>
  <w15:docId w15:val="{1920EB5B-1740-4309-A92E-15710836B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D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D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D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D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D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D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D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D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D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D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D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D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D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D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D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D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D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D76"/>
    <w:rPr>
      <w:rFonts w:eastAsiaTheme="majorEastAsia" w:cstheme="majorBidi"/>
      <w:color w:val="272727" w:themeColor="text1" w:themeTint="D8"/>
    </w:rPr>
  </w:style>
  <w:style w:type="paragraph" w:styleId="Title">
    <w:name w:val="Title"/>
    <w:basedOn w:val="Normal"/>
    <w:next w:val="Normal"/>
    <w:link w:val="TitleChar"/>
    <w:uiPriority w:val="10"/>
    <w:qFormat/>
    <w:rsid w:val="00781D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D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D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D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D76"/>
    <w:pPr>
      <w:spacing w:before="160"/>
      <w:jc w:val="center"/>
    </w:pPr>
    <w:rPr>
      <w:i/>
      <w:iCs/>
      <w:color w:val="404040" w:themeColor="text1" w:themeTint="BF"/>
    </w:rPr>
  </w:style>
  <w:style w:type="character" w:customStyle="1" w:styleId="QuoteChar">
    <w:name w:val="Quote Char"/>
    <w:basedOn w:val="DefaultParagraphFont"/>
    <w:link w:val="Quote"/>
    <w:uiPriority w:val="29"/>
    <w:rsid w:val="00781D76"/>
    <w:rPr>
      <w:i/>
      <w:iCs/>
      <w:color w:val="404040" w:themeColor="text1" w:themeTint="BF"/>
    </w:rPr>
  </w:style>
  <w:style w:type="paragraph" w:styleId="ListParagraph">
    <w:name w:val="List Paragraph"/>
    <w:basedOn w:val="Normal"/>
    <w:uiPriority w:val="34"/>
    <w:qFormat/>
    <w:rsid w:val="00781D76"/>
    <w:pPr>
      <w:ind w:left="720"/>
      <w:contextualSpacing/>
    </w:pPr>
  </w:style>
  <w:style w:type="character" w:styleId="IntenseEmphasis">
    <w:name w:val="Intense Emphasis"/>
    <w:basedOn w:val="DefaultParagraphFont"/>
    <w:uiPriority w:val="21"/>
    <w:qFormat/>
    <w:rsid w:val="00781D76"/>
    <w:rPr>
      <w:i/>
      <w:iCs/>
      <w:color w:val="0F4761" w:themeColor="accent1" w:themeShade="BF"/>
    </w:rPr>
  </w:style>
  <w:style w:type="paragraph" w:styleId="IntenseQuote">
    <w:name w:val="Intense Quote"/>
    <w:basedOn w:val="Normal"/>
    <w:next w:val="Normal"/>
    <w:link w:val="IntenseQuoteChar"/>
    <w:uiPriority w:val="30"/>
    <w:qFormat/>
    <w:rsid w:val="00781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D76"/>
    <w:rPr>
      <w:i/>
      <w:iCs/>
      <w:color w:val="0F4761" w:themeColor="accent1" w:themeShade="BF"/>
    </w:rPr>
  </w:style>
  <w:style w:type="character" w:styleId="IntenseReference">
    <w:name w:val="Intense Reference"/>
    <w:basedOn w:val="DefaultParagraphFont"/>
    <w:uiPriority w:val="32"/>
    <w:qFormat/>
    <w:rsid w:val="00781D76"/>
    <w:rPr>
      <w:b/>
      <w:bCs/>
      <w:smallCaps/>
      <w:color w:val="0F4761" w:themeColor="accent1" w:themeShade="BF"/>
      <w:spacing w:val="5"/>
    </w:rPr>
  </w:style>
  <w:style w:type="character" w:styleId="Hyperlink">
    <w:name w:val="Hyperlink"/>
    <w:basedOn w:val="DefaultParagraphFont"/>
    <w:uiPriority w:val="99"/>
    <w:unhideWhenUsed/>
    <w:rsid w:val="0035646A"/>
    <w:rPr>
      <w:color w:val="467886" w:themeColor="hyperlink"/>
      <w:u w:val="single"/>
    </w:rPr>
  </w:style>
  <w:style w:type="character" w:styleId="UnresolvedMention">
    <w:name w:val="Unresolved Mention"/>
    <w:basedOn w:val="DefaultParagraphFont"/>
    <w:uiPriority w:val="99"/>
    <w:semiHidden/>
    <w:unhideWhenUsed/>
    <w:rsid w:val="0035646A"/>
    <w:rPr>
      <w:color w:val="605E5C"/>
      <w:shd w:val="clear" w:color="auto" w:fill="E1DFDD"/>
    </w:rPr>
  </w:style>
  <w:style w:type="paragraph" w:styleId="TOCHeading">
    <w:name w:val="TOC Heading"/>
    <w:basedOn w:val="Heading1"/>
    <w:next w:val="Normal"/>
    <w:uiPriority w:val="39"/>
    <w:unhideWhenUsed/>
    <w:qFormat/>
    <w:rsid w:val="0046328B"/>
    <w:pPr>
      <w:spacing w:before="240" w:after="0"/>
      <w:outlineLvl w:val="9"/>
    </w:pPr>
    <w:rPr>
      <w:kern w:val="0"/>
      <w:sz w:val="32"/>
      <w:szCs w:val="32"/>
      <w:lang w:eastAsia="en-GB"/>
    </w:rPr>
  </w:style>
  <w:style w:type="paragraph" w:styleId="TOC1">
    <w:name w:val="toc 1"/>
    <w:basedOn w:val="Normal"/>
    <w:next w:val="Normal"/>
    <w:autoRedefine/>
    <w:uiPriority w:val="39"/>
    <w:unhideWhenUsed/>
    <w:rsid w:val="0046328B"/>
    <w:pPr>
      <w:spacing w:after="100"/>
    </w:pPr>
  </w:style>
  <w:style w:type="paragraph" w:styleId="Header">
    <w:name w:val="header"/>
    <w:basedOn w:val="Normal"/>
    <w:link w:val="HeaderChar"/>
    <w:uiPriority w:val="99"/>
    <w:unhideWhenUsed/>
    <w:rsid w:val="00D65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DA6"/>
  </w:style>
  <w:style w:type="paragraph" w:styleId="Footer">
    <w:name w:val="footer"/>
    <w:basedOn w:val="Normal"/>
    <w:link w:val="FooterChar"/>
    <w:uiPriority w:val="99"/>
    <w:unhideWhenUsed/>
    <w:rsid w:val="00D65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22/31/contents" TargetMode="External"/><Relationship Id="rId13" Type="http://schemas.openxmlformats.org/officeDocument/2006/relationships/hyperlink" Target="http://www.bda.uk.com/resource/hypertension-diet.html" TargetMode="External"/><Relationship Id="rId18" Type="http://schemas.openxmlformats.org/officeDocument/2006/relationships/hyperlink" Target="http://www.gov.uk/guidance/equality-act-2010-guidance" TargetMode="External"/><Relationship Id="rId26" Type="http://schemas.openxmlformats.org/officeDocument/2006/relationships/hyperlink" Target="http://www.who.int/publications/i/item/9789241599979" TargetMode="External"/><Relationship Id="rId3" Type="http://schemas.openxmlformats.org/officeDocument/2006/relationships/settings" Target="settings.xml"/><Relationship Id="rId21" Type="http://schemas.openxmlformats.org/officeDocument/2006/relationships/hyperlink" Target="http://www.gov.uk/government/publications/public-sector-equality-duty" TargetMode="External"/><Relationship Id="rId7" Type="http://schemas.openxmlformats.org/officeDocument/2006/relationships/hyperlink" Target="http://www.proquest.com/docview/614249947?pq-" TargetMode="External"/><Relationship Id="rId12" Type="http://schemas.openxmlformats.org/officeDocument/2006/relationships/hyperlink" Target="http://www.barnet.gov.uk/health-and-wellbeing" TargetMode="External"/><Relationship Id="rId17" Type="http://schemas.openxmlformats.org/officeDocument/2006/relationships/hyperlink" Target="http://www.verywellmind.com/what-is-maslows-hierarchy-of-needs-4136760" TargetMode="External"/><Relationship Id="rId25" Type="http://schemas.openxmlformats.org/officeDocument/2006/relationships/hyperlink" Target="http://www.who.int/news-room/fact-sheets/detail/cardiovascular-diseases-(cvds)" TargetMode="External"/><Relationship Id="rId2" Type="http://schemas.openxmlformats.org/officeDocument/2006/relationships/styles" Target="styles.xml"/><Relationship Id="rId16" Type="http://schemas.openxmlformats.org/officeDocument/2006/relationships/hyperlink" Target="http://www.cdc.gov/heartdisease/about/index.html" TargetMode="External"/><Relationship Id="rId20" Type="http://schemas.openxmlformats.org/officeDocument/2006/relationships/hyperlink" Target="https://doi.org/10.2105/ajph.91.12.192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eart.org/en/healthy-living/healthy-eating/eat-smart/nutrition-basics/aha-diet-and-lifestyle-recommendations" TargetMode="External"/><Relationship Id="rId24" Type="http://schemas.openxmlformats.org/officeDocument/2006/relationships/hyperlink" Target="http://www.gov.uk/government/news/public-health-englands-health-profiles-2014-published" TargetMode="External"/><Relationship Id="rId5" Type="http://schemas.openxmlformats.org/officeDocument/2006/relationships/footnotes" Target="footnotes.xml"/><Relationship Id="rId15" Type="http://schemas.openxmlformats.org/officeDocument/2006/relationships/hyperlink" Target="http://www.bhf.org.uk/informationsupport/heart-matters-magazine/nutrition/mediterranean-diet" TargetMode="External"/><Relationship Id="rId23" Type="http://schemas.openxmlformats.org/officeDocument/2006/relationships/hyperlink" Target="http://www.ons.gov.uk/census" TargetMode="External"/><Relationship Id="rId28" Type="http://schemas.openxmlformats.org/officeDocument/2006/relationships/fontTable" Target="fontTable.xml"/><Relationship Id="rId10" Type="http://schemas.openxmlformats.org/officeDocument/2006/relationships/hyperlink" Target="http://www.nhsconfed.org/publications/integrated-care-systems-ics" TargetMode="External"/><Relationship Id="rId19" Type="http://schemas.openxmlformats.org/officeDocument/2006/relationships/hyperlink" Target="https://doi.org/10.1016/j.resuscitation.2018.05.034" TargetMode="External"/><Relationship Id="rId4" Type="http://schemas.openxmlformats.org/officeDocument/2006/relationships/webSettings" Target="webSettings.xml"/><Relationship Id="rId9" Type="http://schemas.openxmlformats.org/officeDocument/2006/relationships/hyperlink" Target="http://www.kingsfund.org.uk/insight-and-analysis/reports/improving-publics-health" TargetMode="External"/><Relationship Id="rId14" Type="http://schemas.openxmlformats.org/officeDocument/2006/relationships/hyperlink" Target="http://www.bhf.org.uk/" TargetMode="External"/><Relationship Id="rId22" Type="http://schemas.openxmlformats.org/officeDocument/2006/relationships/hyperlink" Target="http://www.england.nhs.uk/long-read/social-media/"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9EBA3-BC05-4C39-9FD9-645F60DFF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10</Pages>
  <Words>3211</Words>
  <Characters>18305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mushtaq</dc:creator>
  <cp:keywords/>
  <dc:description/>
  <cp:lastModifiedBy>sana mushtaq</cp:lastModifiedBy>
  <cp:revision>28</cp:revision>
  <dcterms:created xsi:type="dcterms:W3CDTF">2024-08-12T20:24:00Z</dcterms:created>
  <dcterms:modified xsi:type="dcterms:W3CDTF">2024-08-13T10:08:00Z</dcterms:modified>
</cp:coreProperties>
</file>