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3D61F" w14:textId="77777777" w:rsidR="00E43A66" w:rsidRDefault="00E43A66" w:rsidP="00E43A66">
      <w:pPr>
        <w:spacing w:line="360" w:lineRule="auto"/>
        <w:rPr>
          <w:rFonts w:ascii="Arial" w:hAnsi="Arial" w:cs="Arial"/>
          <w:b/>
          <w:bCs/>
          <w:color w:val="000000" w:themeColor="text1"/>
          <w:sz w:val="22"/>
          <w:szCs w:val="22"/>
        </w:rPr>
      </w:pPr>
    </w:p>
    <w:p w14:paraId="590A6E07" w14:textId="0F3A8F74" w:rsidR="00E43A66" w:rsidRDefault="00E43A66" w:rsidP="00E43A66">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FREDERICA OTENG-ANANE</w:t>
      </w:r>
    </w:p>
    <w:p w14:paraId="4D336D47" w14:textId="53C3A363" w:rsidR="00E43A66" w:rsidRDefault="00E43A66" w:rsidP="00E43A66">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STUDENT NUMBER: 2427139</w:t>
      </w:r>
    </w:p>
    <w:p w14:paraId="5FE44CFE" w14:textId="1577B692" w:rsidR="00E43A66" w:rsidRDefault="00E43A66" w:rsidP="00E43A66">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LECTURER NAME: FARAH WIITA</w:t>
      </w:r>
    </w:p>
    <w:p w14:paraId="1F7A1E53" w14:textId="22E54014" w:rsidR="00E43A66" w:rsidRDefault="00E43A66" w:rsidP="00E43A66">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 xml:space="preserve">MODULE CODE AND TITLE: </w:t>
      </w:r>
      <w:r w:rsidRPr="00E43A66">
        <w:rPr>
          <w:rFonts w:ascii="Arial" w:hAnsi="Arial" w:cs="Arial"/>
          <w:b/>
          <w:bCs/>
          <w:color w:val="000000" w:themeColor="text1"/>
          <w:sz w:val="22"/>
          <w:szCs w:val="22"/>
        </w:rPr>
        <w:t>LCHS4010 P</w:t>
      </w:r>
      <w:r>
        <w:rPr>
          <w:rFonts w:ascii="Arial" w:hAnsi="Arial" w:cs="Arial"/>
          <w:b/>
          <w:bCs/>
          <w:color w:val="000000" w:themeColor="text1"/>
          <w:sz w:val="22"/>
          <w:szCs w:val="22"/>
        </w:rPr>
        <w:t>SYCHOLOGY IN HEALTH AND SOCIAL CARE</w:t>
      </w:r>
    </w:p>
    <w:p w14:paraId="029EA618" w14:textId="2D19FA66" w:rsidR="00E43A66" w:rsidRDefault="00E43A66" w:rsidP="00E43A66">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ASSIGNMENT TITLE: PYCHOLOGICAL THEORIES TO SUPPORT OLDER ADULTS IN DEMENTIA CARE HOMES</w:t>
      </w:r>
    </w:p>
    <w:p w14:paraId="3C513F0C" w14:textId="43292BE6" w:rsidR="00E43A66" w:rsidRDefault="00E43A66" w:rsidP="00E43A66">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DATE: 19</w:t>
      </w:r>
      <w:r w:rsidRPr="00E43A66">
        <w:rPr>
          <w:rFonts w:ascii="Arial" w:hAnsi="Arial" w:cs="Arial"/>
          <w:b/>
          <w:bCs/>
          <w:color w:val="000000" w:themeColor="text1"/>
          <w:sz w:val="22"/>
          <w:szCs w:val="22"/>
          <w:vertAlign w:val="superscript"/>
        </w:rPr>
        <w:t>TH</w:t>
      </w:r>
      <w:r>
        <w:rPr>
          <w:rFonts w:ascii="Arial" w:hAnsi="Arial" w:cs="Arial"/>
          <w:b/>
          <w:bCs/>
          <w:color w:val="000000" w:themeColor="text1"/>
          <w:sz w:val="22"/>
          <w:szCs w:val="22"/>
        </w:rPr>
        <w:t xml:space="preserve"> DECEMBER 2025</w:t>
      </w:r>
    </w:p>
    <w:p w14:paraId="4D42392B" w14:textId="77777777" w:rsidR="00E43A66" w:rsidRDefault="00E43A66" w:rsidP="00E43A66">
      <w:pPr>
        <w:spacing w:line="360" w:lineRule="auto"/>
        <w:jc w:val="center"/>
        <w:rPr>
          <w:rFonts w:ascii="Arial" w:hAnsi="Arial" w:cs="Arial"/>
          <w:b/>
          <w:bCs/>
          <w:color w:val="000000" w:themeColor="text1"/>
          <w:sz w:val="22"/>
          <w:szCs w:val="22"/>
        </w:rPr>
      </w:pPr>
    </w:p>
    <w:p w14:paraId="2E678521" w14:textId="77777777" w:rsidR="00E43A66" w:rsidRDefault="00E43A66" w:rsidP="00E43A66">
      <w:pPr>
        <w:spacing w:line="360" w:lineRule="auto"/>
        <w:jc w:val="center"/>
        <w:rPr>
          <w:rFonts w:ascii="Arial" w:hAnsi="Arial" w:cs="Arial"/>
          <w:b/>
          <w:bCs/>
          <w:color w:val="000000" w:themeColor="text1"/>
          <w:sz w:val="22"/>
          <w:szCs w:val="22"/>
        </w:rPr>
      </w:pPr>
    </w:p>
    <w:p w14:paraId="27C2E4AD" w14:textId="77777777" w:rsidR="00E43A66" w:rsidRDefault="00E43A66" w:rsidP="00E43A66">
      <w:pPr>
        <w:spacing w:line="360" w:lineRule="auto"/>
        <w:rPr>
          <w:rFonts w:ascii="Arial" w:hAnsi="Arial" w:cs="Arial"/>
          <w:b/>
          <w:bCs/>
          <w:color w:val="000000" w:themeColor="text1"/>
          <w:sz w:val="22"/>
          <w:szCs w:val="22"/>
        </w:rPr>
      </w:pPr>
    </w:p>
    <w:p w14:paraId="6E64D5D7" w14:textId="77777777" w:rsidR="00E43A66" w:rsidRDefault="00E43A66" w:rsidP="00E43A66">
      <w:pPr>
        <w:spacing w:line="360" w:lineRule="auto"/>
        <w:rPr>
          <w:rFonts w:ascii="Arial" w:hAnsi="Arial" w:cs="Arial"/>
          <w:b/>
          <w:bCs/>
          <w:color w:val="000000" w:themeColor="text1"/>
          <w:sz w:val="22"/>
          <w:szCs w:val="22"/>
        </w:rPr>
      </w:pPr>
    </w:p>
    <w:p w14:paraId="3B0B7465" w14:textId="77777777" w:rsidR="00E43A66" w:rsidRDefault="00E43A66" w:rsidP="00E43A66">
      <w:pPr>
        <w:spacing w:line="360" w:lineRule="auto"/>
        <w:rPr>
          <w:rFonts w:ascii="Arial" w:hAnsi="Arial" w:cs="Arial"/>
          <w:b/>
          <w:bCs/>
          <w:color w:val="000000" w:themeColor="text1"/>
          <w:sz w:val="22"/>
          <w:szCs w:val="22"/>
        </w:rPr>
      </w:pPr>
    </w:p>
    <w:p w14:paraId="76534A39" w14:textId="77777777" w:rsidR="00E43A66" w:rsidRDefault="00E43A66" w:rsidP="00E43A66">
      <w:pPr>
        <w:spacing w:line="360" w:lineRule="auto"/>
        <w:rPr>
          <w:rFonts w:ascii="Arial" w:hAnsi="Arial" w:cs="Arial"/>
          <w:b/>
          <w:bCs/>
          <w:color w:val="000000" w:themeColor="text1"/>
          <w:sz w:val="22"/>
          <w:szCs w:val="22"/>
        </w:rPr>
      </w:pPr>
    </w:p>
    <w:p w14:paraId="40C509F6" w14:textId="77777777" w:rsidR="00E43A66" w:rsidRDefault="00E43A66" w:rsidP="00E43A66">
      <w:pPr>
        <w:spacing w:line="360" w:lineRule="auto"/>
        <w:rPr>
          <w:rFonts w:ascii="Arial" w:hAnsi="Arial" w:cs="Arial"/>
          <w:b/>
          <w:bCs/>
          <w:color w:val="000000" w:themeColor="text1"/>
          <w:sz w:val="22"/>
          <w:szCs w:val="22"/>
        </w:rPr>
      </w:pPr>
    </w:p>
    <w:p w14:paraId="67090A87" w14:textId="77777777" w:rsidR="00E43A66" w:rsidRDefault="00E43A66" w:rsidP="00E43A66">
      <w:pPr>
        <w:spacing w:line="360" w:lineRule="auto"/>
        <w:rPr>
          <w:rFonts w:ascii="Arial" w:hAnsi="Arial" w:cs="Arial"/>
          <w:b/>
          <w:bCs/>
          <w:color w:val="000000" w:themeColor="text1"/>
          <w:sz w:val="22"/>
          <w:szCs w:val="22"/>
        </w:rPr>
      </w:pPr>
    </w:p>
    <w:p w14:paraId="69943787" w14:textId="77777777" w:rsidR="00E43A66" w:rsidRDefault="00E43A66" w:rsidP="00E43A66">
      <w:pPr>
        <w:spacing w:line="360" w:lineRule="auto"/>
        <w:rPr>
          <w:rFonts w:ascii="Arial" w:hAnsi="Arial" w:cs="Arial"/>
          <w:b/>
          <w:bCs/>
          <w:color w:val="000000" w:themeColor="text1"/>
          <w:sz w:val="22"/>
          <w:szCs w:val="22"/>
        </w:rPr>
      </w:pPr>
    </w:p>
    <w:p w14:paraId="3D1640E4" w14:textId="77777777" w:rsidR="00E43A66" w:rsidRDefault="00E43A66" w:rsidP="00E43A66">
      <w:pPr>
        <w:spacing w:line="360" w:lineRule="auto"/>
        <w:rPr>
          <w:rFonts w:ascii="Arial" w:hAnsi="Arial" w:cs="Arial"/>
          <w:b/>
          <w:bCs/>
          <w:color w:val="000000" w:themeColor="text1"/>
          <w:sz w:val="22"/>
          <w:szCs w:val="22"/>
        </w:rPr>
      </w:pPr>
    </w:p>
    <w:p w14:paraId="18A53024" w14:textId="77777777" w:rsidR="00E43A66" w:rsidRDefault="00E43A66" w:rsidP="00E43A66">
      <w:pPr>
        <w:spacing w:line="360" w:lineRule="auto"/>
        <w:rPr>
          <w:rFonts w:ascii="Arial" w:hAnsi="Arial" w:cs="Arial"/>
          <w:b/>
          <w:bCs/>
          <w:color w:val="000000" w:themeColor="text1"/>
          <w:sz w:val="22"/>
          <w:szCs w:val="22"/>
        </w:rPr>
      </w:pPr>
    </w:p>
    <w:p w14:paraId="41C01AB8" w14:textId="77777777" w:rsidR="00E43A66" w:rsidRDefault="00E43A66" w:rsidP="00E43A66">
      <w:pPr>
        <w:spacing w:line="360" w:lineRule="auto"/>
        <w:rPr>
          <w:rFonts w:ascii="Arial" w:hAnsi="Arial" w:cs="Arial"/>
          <w:b/>
          <w:bCs/>
          <w:color w:val="000000" w:themeColor="text1"/>
          <w:sz w:val="22"/>
          <w:szCs w:val="22"/>
        </w:rPr>
      </w:pPr>
    </w:p>
    <w:p w14:paraId="51C232CC" w14:textId="77777777" w:rsidR="00E43A66" w:rsidRDefault="00E43A66" w:rsidP="00E43A66">
      <w:pPr>
        <w:spacing w:line="360" w:lineRule="auto"/>
        <w:rPr>
          <w:rFonts w:ascii="Arial" w:hAnsi="Arial" w:cs="Arial"/>
          <w:b/>
          <w:bCs/>
          <w:color w:val="000000" w:themeColor="text1"/>
          <w:sz w:val="22"/>
          <w:szCs w:val="22"/>
        </w:rPr>
      </w:pPr>
    </w:p>
    <w:p w14:paraId="4BD4A196" w14:textId="77777777" w:rsidR="00E43A66" w:rsidRDefault="00E43A66" w:rsidP="00E43A66">
      <w:pPr>
        <w:spacing w:line="360" w:lineRule="auto"/>
        <w:rPr>
          <w:rFonts w:ascii="Arial" w:hAnsi="Arial" w:cs="Arial"/>
          <w:b/>
          <w:bCs/>
          <w:color w:val="000000" w:themeColor="text1"/>
          <w:sz w:val="22"/>
          <w:szCs w:val="22"/>
        </w:rPr>
      </w:pPr>
    </w:p>
    <w:p w14:paraId="5C137A92" w14:textId="77777777" w:rsidR="00E43A66" w:rsidRDefault="00E43A66" w:rsidP="00E43A66">
      <w:pPr>
        <w:spacing w:line="360" w:lineRule="auto"/>
        <w:rPr>
          <w:rFonts w:ascii="Arial" w:hAnsi="Arial" w:cs="Arial"/>
          <w:b/>
          <w:bCs/>
          <w:color w:val="000000" w:themeColor="text1"/>
          <w:sz w:val="22"/>
          <w:szCs w:val="22"/>
        </w:rPr>
      </w:pPr>
    </w:p>
    <w:p w14:paraId="54319DF7" w14:textId="77777777" w:rsidR="00E43A66" w:rsidRDefault="00E43A66" w:rsidP="00E43A66">
      <w:pPr>
        <w:spacing w:line="360" w:lineRule="auto"/>
        <w:rPr>
          <w:rFonts w:ascii="Arial" w:hAnsi="Arial" w:cs="Arial"/>
          <w:b/>
          <w:bCs/>
          <w:color w:val="000000" w:themeColor="text1"/>
          <w:sz w:val="22"/>
          <w:szCs w:val="22"/>
        </w:rPr>
      </w:pPr>
    </w:p>
    <w:p w14:paraId="4338B1B6" w14:textId="77777777" w:rsidR="00E43A66" w:rsidRDefault="00E43A66" w:rsidP="00E43A66">
      <w:pPr>
        <w:spacing w:line="360" w:lineRule="auto"/>
        <w:rPr>
          <w:rFonts w:ascii="Arial" w:hAnsi="Arial" w:cs="Arial"/>
          <w:b/>
          <w:bCs/>
          <w:color w:val="000000" w:themeColor="text1"/>
          <w:sz w:val="22"/>
          <w:szCs w:val="22"/>
        </w:rPr>
      </w:pPr>
    </w:p>
    <w:p w14:paraId="2CF2C7EB" w14:textId="797A596E"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lastRenderedPageBreak/>
        <w:t>Psychological Theories to Support Older Adults with Psychological Health Conditions in Dementia Care Homes</w:t>
      </w:r>
    </w:p>
    <w:p w14:paraId="78EC5636"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t>Introduction</w:t>
      </w:r>
    </w:p>
    <w:p w14:paraId="1DB45FA3" w14:textId="602E497D"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Older adults aged 65 and over who live in dementia care homes often experience psychological health conditions alongside cognitive decline. These conditions may include depression, anxiety, emotional distress, agitation and changes in personality. Such experiences are linked not only to the neurological effects of dementia but also to major life changes</w:t>
      </w:r>
      <w:r>
        <w:rPr>
          <w:rFonts w:ascii="Arial" w:hAnsi="Arial" w:cs="Arial"/>
          <w:color w:val="000000" w:themeColor="text1"/>
          <w:sz w:val="22"/>
          <w:szCs w:val="22"/>
        </w:rPr>
        <w:t xml:space="preserve"> such as</w:t>
      </w:r>
      <w:r w:rsidRPr="00E43A66">
        <w:rPr>
          <w:rFonts w:ascii="Arial" w:hAnsi="Arial" w:cs="Arial"/>
          <w:color w:val="000000" w:themeColor="text1"/>
          <w:sz w:val="22"/>
          <w:szCs w:val="22"/>
        </w:rPr>
        <w:t xml:space="preserve"> bereavement, loss of independence and moving into residential care. For health and social care professionals, understanding psychological theory is essential to interpreting behaviour, responding appropriately to emotional needs and promoting dignity and wellbeing.</w:t>
      </w:r>
    </w:p>
    <w:p w14:paraId="2BC5BA05" w14:textId="703628E8"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This report </w:t>
      </w:r>
      <w:r>
        <w:rPr>
          <w:rFonts w:ascii="Arial" w:hAnsi="Arial" w:cs="Arial"/>
          <w:color w:val="000000" w:themeColor="text1"/>
          <w:sz w:val="22"/>
          <w:szCs w:val="22"/>
        </w:rPr>
        <w:t>has been</w:t>
      </w:r>
      <w:r w:rsidRPr="00E43A66">
        <w:rPr>
          <w:rFonts w:ascii="Arial" w:hAnsi="Arial" w:cs="Arial"/>
          <w:color w:val="000000" w:themeColor="text1"/>
          <w:sz w:val="22"/>
          <w:szCs w:val="22"/>
        </w:rPr>
        <w:t xml:space="preserve"> written </w:t>
      </w:r>
      <w:r>
        <w:rPr>
          <w:rFonts w:ascii="Arial" w:hAnsi="Arial" w:cs="Arial"/>
          <w:color w:val="000000" w:themeColor="text1"/>
          <w:sz w:val="22"/>
          <w:szCs w:val="22"/>
        </w:rPr>
        <w:t>to support</w:t>
      </w:r>
      <w:r w:rsidRPr="00E43A66">
        <w:rPr>
          <w:rFonts w:ascii="Arial" w:hAnsi="Arial" w:cs="Arial"/>
          <w:color w:val="000000" w:themeColor="text1"/>
          <w:sz w:val="22"/>
          <w:szCs w:val="22"/>
        </w:rPr>
        <w:t xml:space="preserve"> health and social care professionals working in dementia care homes. The discussion draws directly on the theories introduced in Week 3 of the Psychology in Health and Social Care module, where Freud’s psychoanalytic approach and Erikson’s stages of psychosocial development were explored as key frameworks for understanding behaviour across </w:t>
      </w:r>
      <w:r>
        <w:rPr>
          <w:rFonts w:ascii="Arial" w:hAnsi="Arial" w:cs="Arial"/>
          <w:color w:val="000000" w:themeColor="text1"/>
          <w:sz w:val="22"/>
          <w:szCs w:val="22"/>
        </w:rPr>
        <w:t>an individual’s</w:t>
      </w:r>
      <w:r w:rsidRPr="00E43A66">
        <w:rPr>
          <w:rFonts w:ascii="Arial" w:hAnsi="Arial" w:cs="Arial"/>
          <w:color w:val="000000" w:themeColor="text1"/>
          <w:sz w:val="22"/>
          <w:szCs w:val="22"/>
        </w:rPr>
        <w:t xml:space="preserve"> lifespan. It explains how psychological theories and research can be used to support adults aged 65 and over who are experiencing psychological health conditions. Two theories covered within the module are discussed: Sigmund Freud’s Psychoanalytic Theory and Erik Homburger Erikson’s Psychosocial Theory of Development. Each theory is explained clearly, applied to the dementia care and supported with practical examples relevant to everyday professional practice.</w:t>
      </w:r>
    </w:p>
    <w:p w14:paraId="5B7E286F" w14:textId="6B6A20C5"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t>Dementia Care Homes</w:t>
      </w:r>
    </w:p>
    <w:p w14:paraId="11E20344" w14:textId="6488CF1D"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Dementia care homes provide </w:t>
      </w:r>
      <w:r w:rsidRPr="00E43A66">
        <w:rPr>
          <w:rFonts w:ascii="Arial" w:hAnsi="Arial" w:cs="Arial"/>
          <w:color w:val="000000" w:themeColor="text1"/>
          <w:sz w:val="22"/>
          <w:szCs w:val="22"/>
        </w:rPr>
        <w:t>long term</w:t>
      </w:r>
      <w:r w:rsidRPr="00E43A66">
        <w:rPr>
          <w:rFonts w:ascii="Arial" w:hAnsi="Arial" w:cs="Arial"/>
          <w:color w:val="000000" w:themeColor="text1"/>
          <w:sz w:val="22"/>
          <w:szCs w:val="22"/>
        </w:rPr>
        <w:t xml:space="preserve"> support for older adults with moderate to severe dementia. Residents may experience memory loss, confusion, communication difficulties and behavioural and psychological symptoms of dementia. These symptoms can include low mood, anxiety, aggression, wandering and emotional distress. </w:t>
      </w:r>
      <w:r>
        <w:rPr>
          <w:rFonts w:ascii="Arial" w:hAnsi="Arial" w:cs="Arial"/>
          <w:color w:val="000000" w:themeColor="text1"/>
          <w:sz w:val="22"/>
          <w:szCs w:val="22"/>
        </w:rPr>
        <w:t>An individual’s</w:t>
      </w:r>
      <w:r w:rsidRPr="00E43A66">
        <w:rPr>
          <w:rFonts w:ascii="Arial" w:hAnsi="Arial" w:cs="Arial"/>
          <w:color w:val="000000" w:themeColor="text1"/>
          <w:sz w:val="22"/>
          <w:szCs w:val="22"/>
        </w:rPr>
        <w:t xml:space="preserve"> move into a care home can be particularly challenging, as individuals may lose independence, familiar routines and valued social roles.</w:t>
      </w:r>
    </w:p>
    <w:p w14:paraId="26A4127C" w14:textId="1C8B3C59"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Health and social care professionals, including care assistants, nurses, social workers and occupational therapists, play a key role in supporting residents’ psychological wellbeing. Psychological theories help professionals recognise that behaviour is often a form of communication, expressing unmet emotional needs or distress, rather than being intentional or problematic. This understanding supports </w:t>
      </w:r>
      <w:r>
        <w:rPr>
          <w:rFonts w:ascii="Arial" w:hAnsi="Arial" w:cs="Arial"/>
          <w:color w:val="000000" w:themeColor="text1"/>
          <w:sz w:val="22"/>
          <w:szCs w:val="22"/>
        </w:rPr>
        <w:t>specific individual needs</w:t>
      </w:r>
      <w:r w:rsidRPr="00E43A66">
        <w:rPr>
          <w:rFonts w:ascii="Arial" w:hAnsi="Arial" w:cs="Arial"/>
          <w:color w:val="000000" w:themeColor="text1"/>
          <w:sz w:val="22"/>
          <w:szCs w:val="22"/>
        </w:rPr>
        <w:t>, respectful</w:t>
      </w:r>
      <w:r>
        <w:rPr>
          <w:rFonts w:ascii="Arial" w:hAnsi="Arial" w:cs="Arial"/>
          <w:color w:val="000000" w:themeColor="text1"/>
          <w:sz w:val="22"/>
          <w:szCs w:val="22"/>
        </w:rPr>
        <w:t>ness</w:t>
      </w:r>
      <w:r w:rsidRPr="00E43A66">
        <w:rPr>
          <w:rFonts w:ascii="Arial" w:hAnsi="Arial" w:cs="Arial"/>
          <w:color w:val="000000" w:themeColor="text1"/>
          <w:sz w:val="22"/>
          <w:szCs w:val="22"/>
        </w:rPr>
        <w:t xml:space="preserve"> and compassionate care.</w:t>
      </w:r>
    </w:p>
    <w:p w14:paraId="7F65DD29"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lastRenderedPageBreak/>
        <w:t>Theory One: Sigmund Freud’s Psychoanalytic Theory</w:t>
      </w:r>
    </w:p>
    <w:p w14:paraId="643C828F" w14:textId="30EC9909"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As introduced in Week 3, Sigmund Freud’s psychoanalytic theory suggests that behaviour and mental health are strongly influenced by unconscious thoughts and feelings (Freud, 1961). Freud proposed that personality consists of three parts: the id, ego and superego. </w:t>
      </w:r>
      <w:r>
        <w:rPr>
          <w:rFonts w:ascii="Arial" w:hAnsi="Arial" w:cs="Arial"/>
          <w:color w:val="000000" w:themeColor="text1"/>
          <w:sz w:val="22"/>
          <w:szCs w:val="22"/>
        </w:rPr>
        <w:t xml:space="preserve">One’s </w:t>
      </w:r>
      <w:r w:rsidRPr="00E43A66">
        <w:rPr>
          <w:rFonts w:ascii="Arial" w:hAnsi="Arial" w:cs="Arial"/>
          <w:color w:val="000000" w:themeColor="text1"/>
          <w:sz w:val="22"/>
          <w:szCs w:val="22"/>
        </w:rPr>
        <w:t xml:space="preserve">id is driven by basic instincts and needs, the ego helps the individual </w:t>
      </w:r>
      <w:r w:rsidRPr="00E43A66">
        <w:rPr>
          <w:rFonts w:ascii="Arial" w:hAnsi="Arial" w:cs="Arial"/>
          <w:color w:val="000000" w:themeColor="text1"/>
          <w:sz w:val="22"/>
          <w:szCs w:val="22"/>
        </w:rPr>
        <w:t>function, and</w:t>
      </w:r>
      <w:r w:rsidRPr="00E43A66">
        <w:rPr>
          <w:rFonts w:ascii="Arial" w:hAnsi="Arial" w:cs="Arial"/>
          <w:color w:val="000000" w:themeColor="text1"/>
          <w:sz w:val="22"/>
          <w:szCs w:val="22"/>
        </w:rPr>
        <w:t xml:space="preserve"> the superego represents internalised moral rules.</w:t>
      </w:r>
    </w:p>
    <w:p w14:paraId="00698504" w14:textId="4ADBA170" w:rsidR="00E43A66" w:rsidRPr="00E43A66" w:rsidRDefault="00E43A66" w:rsidP="00E43A6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Additionally, </w:t>
      </w:r>
      <w:r w:rsidRPr="00E43A66">
        <w:rPr>
          <w:rFonts w:ascii="Arial" w:hAnsi="Arial" w:cs="Arial"/>
          <w:color w:val="000000" w:themeColor="text1"/>
          <w:sz w:val="22"/>
          <w:szCs w:val="22"/>
        </w:rPr>
        <w:t>Freud also argued that experiences from early life can influence emotional wellbeing throughout the lifespan. In older adulthood, factors such as physical illness, dependency and dementia can weaken the ego’s ability to manage stress and anxiety. As a result, individuals may show increased emotional distress or changes in behaviour.</w:t>
      </w:r>
    </w:p>
    <w:p w14:paraId="6B20A57F"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t>Application in Dementia Care Homes</w:t>
      </w:r>
    </w:p>
    <w:p w14:paraId="5E79D812" w14:textId="1DC022E6"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Inside</w:t>
      </w:r>
      <w:r w:rsidRPr="00E43A66">
        <w:rPr>
          <w:rFonts w:ascii="Arial" w:hAnsi="Arial" w:cs="Arial"/>
          <w:color w:val="000000" w:themeColor="text1"/>
          <w:sz w:val="22"/>
          <w:szCs w:val="22"/>
        </w:rPr>
        <w:t xml:space="preserve"> dementia care homes, Freud’s theory can help professionals understand behaviour as a response to emotional distress rather than deliberate misconduct. For example, </w:t>
      </w:r>
      <w:r>
        <w:rPr>
          <w:rFonts w:ascii="Arial" w:hAnsi="Arial" w:cs="Arial"/>
          <w:color w:val="000000" w:themeColor="text1"/>
          <w:sz w:val="22"/>
          <w:szCs w:val="22"/>
        </w:rPr>
        <w:t>during personal care such as washing or dressing, a</w:t>
      </w:r>
      <w:r w:rsidRPr="00E43A66">
        <w:rPr>
          <w:rFonts w:ascii="Arial" w:hAnsi="Arial" w:cs="Arial"/>
          <w:color w:val="000000" w:themeColor="text1"/>
          <w:sz w:val="22"/>
          <w:szCs w:val="22"/>
        </w:rPr>
        <w:t xml:space="preserve"> resident </w:t>
      </w:r>
      <w:r>
        <w:rPr>
          <w:rFonts w:ascii="Arial" w:hAnsi="Arial" w:cs="Arial"/>
          <w:color w:val="000000" w:themeColor="text1"/>
          <w:sz w:val="22"/>
          <w:szCs w:val="22"/>
        </w:rPr>
        <w:t>may</w:t>
      </w:r>
      <w:r w:rsidRPr="00E43A66">
        <w:rPr>
          <w:rFonts w:ascii="Arial" w:hAnsi="Arial" w:cs="Arial"/>
          <w:color w:val="000000" w:themeColor="text1"/>
          <w:sz w:val="22"/>
          <w:szCs w:val="22"/>
        </w:rPr>
        <w:t xml:space="preserve"> become</w:t>
      </w:r>
      <w:r>
        <w:rPr>
          <w:rFonts w:ascii="Arial" w:hAnsi="Arial" w:cs="Arial"/>
          <w:color w:val="000000" w:themeColor="text1"/>
          <w:sz w:val="22"/>
          <w:szCs w:val="22"/>
        </w:rPr>
        <w:t xml:space="preserve"> stressed or </w:t>
      </w:r>
      <w:r w:rsidRPr="00E43A66">
        <w:rPr>
          <w:rFonts w:ascii="Arial" w:hAnsi="Arial" w:cs="Arial"/>
          <w:color w:val="000000" w:themeColor="text1"/>
          <w:sz w:val="22"/>
          <w:szCs w:val="22"/>
        </w:rPr>
        <w:t xml:space="preserve">aggressive </w:t>
      </w:r>
      <w:r>
        <w:rPr>
          <w:rFonts w:ascii="Arial" w:hAnsi="Arial" w:cs="Arial"/>
          <w:color w:val="000000" w:themeColor="text1"/>
          <w:sz w:val="22"/>
          <w:szCs w:val="22"/>
        </w:rPr>
        <w:t>which means they may be</w:t>
      </w:r>
      <w:r w:rsidRPr="00E43A66">
        <w:rPr>
          <w:rFonts w:ascii="Arial" w:hAnsi="Arial" w:cs="Arial"/>
          <w:color w:val="000000" w:themeColor="text1"/>
          <w:sz w:val="22"/>
          <w:szCs w:val="22"/>
        </w:rPr>
        <w:t xml:space="preserve"> experiencing</w:t>
      </w:r>
      <w:r w:rsidRPr="00E43A66">
        <w:rPr>
          <w:rFonts w:ascii="Arial" w:hAnsi="Arial" w:cs="Arial"/>
          <w:color w:val="000000" w:themeColor="text1"/>
          <w:sz w:val="22"/>
          <w:szCs w:val="22"/>
        </w:rPr>
        <w:t xml:space="preserve"> fear, embarrassment or a loss of control, even if they are unable to express these feelings verbally.</w:t>
      </w:r>
    </w:p>
    <w:p w14:paraId="03631803" w14:textId="3FB4E761"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Freud’s concept of defence mechanisms is particularly relevant. Defence mechanisms are unconscious strategies used to protect against anxiety. In dementia care, regression is commonly observed. This may involve </w:t>
      </w:r>
      <w:r w:rsidRPr="00E43A66">
        <w:rPr>
          <w:rFonts w:ascii="Arial" w:hAnsi="Arial" w:cs="Arial"/>
          <w:color w:val="000000" w:themeColor="text1"/>
          <w:sz w:val="22"/>
          <w:szCs w:val="22"/>
        </w:rPr>
        <w:t>child</w:t>
      </w:r>
      <w:r>
        <w:rPr>
          <w:rFonts w:ascii="Arial" w:hAnsi="Arial" w:cs="Arial"/>
          <w:color w:val="000000" w:themeColor="text1"/>
          <w:sz w:val="22"/>
          <w:szCs w:val="22"/>
        </w:rPr>
        <w:t>l</w:t>
      </w:r>
      <w:r w:rsidRPr="00E43A66">
        <w:rPr>
          <w:rFonts w:ascii="Arial" w:hAnsi="Arial" w:cs="Arial"/>
          <w:color w:val="000000" w:themeColor="text1"/>
          <w:sz w:val="22"/>
          <w:szCs w:val="22"/>
        </w:rPr>
        <w:t>ike</w:t>
      </w:r>
      <w:r w:rsidRPr="00E43A66">
        <w:rPr>
          <w:rFonts w:ascii="Arial" w:hAnsi="Arial" w:cs="Arial"/>
          <w:color w:val="000000" w:themeColor="text1"/>
          <w:sz w:val="22"/>
          <w:szCs w:val="22"/>
        </w:rPr>
        <w:t xml:space="preserve"> behaviour, increased dependence or </w:t>
      </w:r>
      <w:proofErr w:type="gramStart"/>
      <w:r>
        <w:rPr>
          <w:rFonts w:ascii="Arial" w:hAnsi="Arial" w:cs="Arial"/>
          <w:color w:val="000000" w:themeColor="text1"/>
          <w:sz w:val="22"/>
          <w:szCs w:val="22"/>
        </w:rPr>
        <w:t>they  seek</w:t>
      </w:r>
      <w:proofErr w:type="gramEnd"/>
      <w:r>
        <w:rPr>
          <w:rFonts w:ascii="Arial" w:hAnsi="Arial" w:cs="Arial"/>
          <w:color w:val="000000" w:themeColor="text1"/>
          <w:sz w:val="22"/>
          <w:szCs w:val="22"/>
        </w:rPr>
        <w:t xml:space="preserve"> </w:t>
      </w:r>
      <w:r w:rsidRPr="00E43A66">
        <w:rPr>
          <w:rFonts w:ascii="Arial" w:hAnsi="Arial" w:cs="Arial"/>
          <w:color w:val="000000" w:themeColor="text1"/>
          <w:sz w:val="22"/>
          <w:szCs w:val="22"/>
        </w:rPr>
        <w:t>frequent reassurance. Recognising regression as a coping response enables staff to respond with empathy and reassurance rather than frustration.</w:t>
      </w:r>
    </w:p>
    <w:p w14:paraId="0B9CED08"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Professionals can apply psychoanalytic ideas by creating emotionally safe environments. Consistent routines, calm communication and familiar staff help reduce anxiety and promote a sense of security. Building trusting relationships allows residents to feel supported, even when cognitive abilities are limited.</w:t>
      </w:r>
    </w:p>
    <w:p w14:paraId="1E3DF964"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t>Challenges and Strategies</w:t>
      </w:r>
    </w:p>
    <w:p w14:paraId="4A952E9F"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A key limitation of Freud’s theory is that it relies on insight and verbal communication, making it unsuitable as a direct therapeutic approach for people with moderate to severe dementia. In addition, some psychoanalytic concepts may feel abstract for care staff.</w:t>
      </w:r>
    </w:p>
    <w:p w14:paraId="582A5391"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However, the theory remains useful as a framework for understanding behaviour. Training staff to recognise emotional triggers and respond calmly and consistently allows psychoanalytic principles to be applied in a practical and ethical way.</w:t>
      </w:r>
    </w:p>
    <w:p w14:paraId="6AD4B84A"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lastRenderedPageBreak/>
        <w:t>Theory Two: Erik Homburger Erikson’s Psychosocial Theory of Development</w:t>
      </w:r>
    </w:p>
    <w:p w14:paraId="3AF4724B"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Building on the Week 3 teaching on Erikson’s lifespan approach, Erikson’s Psychosocial Theory of Development focuses on how individuals develop through social relationships and life experiences across the lifespan. Erikson identified eight stages of development, each involving a psychosocial conflict. The final stage, </w:t>
      </w:r>
      <w:r w:rsidRPr="00E43A66">
        <w:rPr>
          <w:rFonts w:ascii="Arial" w:hAnsi="Arial" w:cs="Arial"/>
          <w:i/>
          <w:iCs/>
          <w:color w:val="000000" w:themeColor="text1"/>
          <w:sz w:val="22"/>
          <w:szCs w:val="22"/>
        </w:rPr>
        <w:t>Ego Integrity versus Despair</w:t>
      </w:r>
      <w:r w:rsidRPr="00E43A66">
        <w:rPr>
          <w:rFonts w:ascii="Arial" w:hAnsi="Arial" w:cs="Arial"/>
          <w:color w:val="000000" w:themeColor="text1"/>
          <w:sz w:val="22"/>
          <w:szCs w:val="22"/>
        </w:rPr>
        <w:t>, occurs in later adulthood, usually from the age of 65 (Erikson, 1982).</w:t>
      </w:r>
    </w:p>
    <w:p w14:paraId="4ED16C68"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During this stage, individuals reflect on their life and consider whether they feel satisfied and at peace with what they have achieved. Ego integrity develops when people feel their life has been meaningful, while despair occurs when individuals experience regret, sadness or fear of ageing and death.</w:t>
      </w:r>
    </w:p>
    <w:p w14:paraId="53389E5B"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Although dementia can affect memory and communication, emotional responses linked to feelings of integrity or despair often remain. These emotions can strongly influence mood, behaviour and overall wellbeing.</w:t>
      </w:r>
    </w:p>
    <w:p w14:paraId="3E1FFB53"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t>Application in Dementia Care Homes</w:t>
      </w:r>
    </w:p>
    <w:p w14:paraId="6BF97910"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Erikson’s theory is highly relevant to dementia care homes, as most residents are in the final stage of development. Professionals can view low mood, withdrawal or distress as possible signs of despair rather than simply symptoms of dementia.</w:t>
      </w:r>
    </w:p>
    <w:p w14:paraId="5CA659D1"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Life review and reminiscence activities are practical ways of applying this theory. These activities encourage residents to engage with past experiences using photographs, music or familiar objects. Research shows that reminiscence therapy can improve mood, emotional wellbeing and sense of identity in people with dementia (Woods et al., 2018).</w:t>
      </w:r>
    </w:p>
    <w:p w14:paraId="74D07C44" w14:textId="79248F73"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Promoting dignity and choice in everyday care also supports ego integrity. Involving residents in decisions about routines, clothing and activities, and acknowledging their past roles and achievements, helps maintain identity and </w:t>
      </w:r>
      <w:r w:rsidRPr="00E43A66">
        <w:rPr>
          <w:rFonts w:ascii="Arial" w:hAnsi="Arial" w:cs="Arial"/>
          <w:color w:val="000000" w:themeColor="text1"/>
          <w:sz w:val="22"/>
          <w:szCs w:val="22"/>
        </w:rPr>
        <w:t>dignity</w:t>
      </w:r>
      <w:r w:rsidRPr="00E43A66">
        <w:rPr>
          <w:rFonts w:ascii="Arial" w:hAnsi="Arial" w:cs="Arial"/>
          <w:color w:val="000000" w:themeColor="text1"/>
          <w:sz w:val="22"/>
          <w:szCs w:val="22"/>
        </w:rPr>
        <w:t>.</w:t>
      </w:r>
    </w:p>
    <w:p w14:paraId="7D3C38A2"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t>Challenges and Strategies</w:t>
      </w:r>
    </w:p>
    <w:p w14:paraId="0A558954" w14:textId="045B9350"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Some residents may find it difficult to engage in reminiscence activities due to advanced dementia or communication difficulties. Time constraints and staffing pressures may also limit opportunities for </w:t>
      </w:r>
      <w:r>
        <w:rPr>
          <w:rFonts w:ascii="Arial" w:hAnsi="Arial" w:cs="Arial"/>
          <w:color w:val="000000" w:themeColor="text1"/>
          <w:sz w:val="22"/>
          <w:szCs w:val="22"/>
        </w:rPr>
        <w:t xml:space="preserve">individual personalised </w:t>
      </w:r>
      <w:r w:rsidRPr="00E43A66">
        <w:rPr>
          <w:rFonts w:ascii="Arial" w:hAnsi="Arial" w:cs="Arial"/>
          <w:color w:val="000000" w:themeColor="text1"/>
          <w:sz w:val="22"/>
          <w:szCs w:val="22"/>
        </w:rPr>
        <w:t>support.</w:t>
      </w:r>
    </w:p>
    <w:p w14:paraId="0E821357" w14:textId="0AA14BCE"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To manage these challenges, professionals can use non-verbal approaches such as music, art and sensory activities. Integrating reminiscence into daily care tasks, rather than treating it as a separate activity, can make this approach more </w:t>
      </w:r>
      <w:r w:rsidRPr="00E43A66">
        <w:rPr>
          <w:rFonts w:ascii="Arial" w:hAnsi="Arial" w:cs="Arial"/>
          <w:color w:val="000000" w:themeColor="text1"/>
          <w:sz w:val="22"/>
          <w:szCs w:val="22"/>
        </w:rPr>
        <w:t>achievable</w:t>
      </w:r>
      <w:r w:rsidRPr="00E43A66">
        <w:rPr>
          <w:rFonts w:ascii="Arial" w:hAnsi="Arial" w:cs="Arial"/>
          <w:color w:val="000000" w:themeColor="text1"/>
          <w:sz w:val="22"/>
          <w:szCs w:val="22"/>
        </w:rPr>
        <w:t xml:space="preserve"> in busy care settings.</w:t>
      </w:r>
    </w:p>
    <w:p w14:paraId="41EC6E25" w14:textId="77777777" w:rsidR="00E43A66" w:rsidRDefault="00E43A66" w:rsidP="00E43A66">
      <w:pPr>
        <w:spacing w:line="360" w:lineRule="auto"/>
        <w:rPr>
          <w:rFonts w:ascii="Arial" w:hAnsi="Arial" w:cs="Arial"/>
          <w:b/>
          <w:bCs/>
          <w:color w:val="000000" w:themeColor="text1"/>
          <w:sz w:val="22"/>
          <w:szCs w:val="22"/>
        </w:rPr>
      </w:pPr>
    </w:p>
    <w:p w14:paraId="2F2CB072" w14:textId="3C16634E"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lastRenderedPageBreak/>
        <w:t>Conclusion</w:t>
      </w:r>
    </w:p>
    <w:p w14:paraId="6079D5F6" w14:textId="5B7CE719" w:rsid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Psychological theories provide valuable guidance for supporting adults aged 65 and over living in dementia care homes. Sigmund Freud’s psychoanalytic theory helps professionals understand behaviour as a response to unconscious emotional needs, while Erik Homburger Erikson’s psychosocial theory highlights the importance of identity, life satisfaction and emotional wellbeing in later life. When applied in a simple</w:t>
      </w:r>
      <w:r>
        <w:rPr>
          <w:rFonts w:ascii="Arial" w:hAnsi="Arial" w:cs="Arial"/>
          <w:color w:val="000000" w:themeColor="text1"/>
          <w:sz w:val="22"/>
          <w:szCs w:val="22"/>
        </w:rPr>
        <w:t xml:space="preserve"> way to an individual, </w:t>
      </w:r>
      <w:r w:rsidRPr="00E43A66">
        <w:rPr>
          <w:rFonts w:ascii="Arial" w:hAnsi="Arial" w:cs="Arial"/>
          <w:color w:val="000000" w:themeColor="text1"/>
          <w:sz w:val="22"/>
          <w:szCs w:val="22"/>
        </w:rPr>
        <w:t>these theories can help health and social care professionals respond more effectively to psychological distress and improve quality of life for older adults with dementia.</w:t>
      </w:r>
      <w:r w:rsidRPr="00E43A66">
        <w:t xml:space="preserve"> </w:t>
      </w:r>
      <w:r w:rsidRPr="00E43A66">
        <w:rPr>
          <w:rFonts w:ascii="Arial" w:hAnsi="Arial" w:cs="Arial"/>
          <w:color w:val="000000" w:themeColor="text1"/>
          <w:sz w:val="22"/>
          <w:szCs w:val="22"/>
        </w:rPr>
        <w:t xml:space="preserve">Overall, these theories have helped me better understand how psychological theory can </w:t>
      </w:r>
      <w:r w:rsidRPr="00E43A66">
        <w:rPr>
          <w:rFonts w:ascii="Arial" w:hAnsi="Arial" w:cs="Arial"/>
          <w:color w:val="000000" w:themeColor="text1"/>
          <w:sz w:val="22"/>
          <w:szCs w:val="22"/>
        </w:rPr>
        <w:t>update</w:t>
      </w:r>
      <w:r w:rsidRPr="00E43A66">
        <w:rPr>
          <w:rFonts w:ascii="Arial" w:hAnsi="Arial" w:cs="Arial"/>
          <w:color w:val="000000" w:themeColor="text1"/>
          <w:sz w:val="22"/>
          <w:szCs w:val="22"/>
        </w:rPr>
        <w:t xml:space="preserve"> compassionate care for older adults with dementia.</w:t>
      </w:r>
    </w:p>
    <w:p w14:paraId="59B36BD5" w14:textId="77777777" w:rsidR="00E43A66" w:rsidRPr="00E43A66" w:rsidRDefault="00E43A66" w:rsidP="00E43A66">
      <w:pPr>
        <w:spacing w:line="360" w:lineRule="auto"/>
        <w:rPr>
          <w:rFonts w:ascii="Arial" w:hAnsi="Arial" w:cs="Arial"/>
          <w:color w:val="000000" w:themeColor="text1"/>
          <w:sz w:val="22"/>
          <w:szCs w:val="22"/>
        </w:rPr>
      </w:pPr>
    </w:p>
    <w:p w14:paraId="3D122252" w14:textId="77777777" w:rsidR="00E43A66" w:rsidRPr="00E43A66" w:rsidRDefault="00E43A66" w:rsidP="00E43A66">
      <w:pPr>
        <w:spacing w:line="360" w:lineRule="auto"/>
        <w:rPr>
          <w:rFonts w:ascii="Arial" w:hAnsi="Arial" w:cs="Arial"/>
          <w:b/>
          <w:bCs/>
          <w:color w:val="000000" w:themeColor="text1"/>
          <w:sz w:val="22"/>
          <w:szCs w:val="22"/>
          <w:u w:val="single"/>
        </w:rPr>
      </w:pPr>
      <w:r w:rsidRPr="00E43A66">
        <w:rPr>
          <w:rFonts w:ascii="Arial" w:hAnsi="Arial" w:cs="Arial"/>
          <w:b/>
          <w:bCs/>
          <w:color w:val="000000" w:themeColor="text1"/>
          <w:sz w:val="22"/>
          <w:szCs w:val="22"/>
          <w:u w:val="single"/>
        </w:rPr>
        <w:t>References</w:t>
      </w:r>
    </w:p>
    <w:p w14:paraId="7BBB8977"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Erikson, E.H. (1982) </w:t>
      </w:r>
      <w:r w:rsidRPr="00E43A66">
        <w:rPr>
          <w:rFonts w:ascii="Arial" w:hAnsi="Arial" w:cs="Arial"/>
          <w:i/>
          <w:iCs/>
          <w:color w:val="000000" w:themeColor="text1"/>
          <w:sz w:val="22"/>
          <w:szCs w:val="22"/>
        </w:rPr>
        <w:t>The life cycle completed</w:t>
      </w:r>
      <w:r w:rsidRPr="00E43A66">
        <w:rPr>
          <w:rFonts w:ascii="Arial" w:hAnsi="Arial" w:cs="Arial"/>
          <w:color w:val="000000" w:themeColor="text1"/>
          <w:sz w:val="22"/>
          <w:szCs w:val="22"/>
        </w:rPr>
        <w:t>. New York: W.W. Norton.</w:t>
      </w:r>
    </w:p>
    <w:p w14:paraId="649586BA"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Freud, S. (1961) </w:t>
      </w:r>
      <w:r w:rsidRPr="00E43A66">
        <w:rPr>
          <w:rFonts w:ascii="Arial" w:hAnsi="Arial" w:cs="Arial"/>
          <w:i/>
          <w:iCs/>
          <w:color w:val="000000" w:themeColor="text1"/>
          <w:sz w:val="22"/>
          <w:szCs w:val="22"/>
        </w:rPr>
        <w:t>The ego and the id</w:t>
      </w:r>
      <w:r w:rsidRPr="00E43A66">
        <w:rPr>
          <w:rFonts w:ascii="Arial" w:hAnsi="Arial" w:cs="Arial"/>
          <w:color w:val="000000" w:themeColor="text1"/>
          <w:sz w:val="22"/>
          <w:szCs w:val="22"/>
        </w:rPr>
        <w:t>. New York: W.W. Norton.</w:t>
      </w:r>
    </w:p>
    <w:p w14:paraId="575E6802" w14:textId="77777777" w:rsidR="00E43A66" w:rsidRPr="00E43A66" w:rsidRDefault="00E43A66" w:rsidP="00E43A66">
      <w:pPr>
        <w:spacing w:line="360" w:lineRule="auto"/>
        <w:rPr>
          <w:rFonts w:ascii="Arial" w:hAnsi="Arial" w:cs="Arial"/>
          <w:color w:val="000000" w:themeColor="text1"/>
          <w:sz w:val="22"/>
          <w:szCs w:val="22"/>
        </w:rPr>
      </w:pPr>
      <w:proofErr w:type="spellStart"/>
      <w:r w:rsidRPr="00E43A66">
        <w:rPr>
          <w:rFonts w:ascii="Arial" w:hAnsi="Arial" w:cs="Arial"/>
          <w:color w:val="000000" w:themeColor="text1"/>
          <w:sz w:val="22"/>
          <w:szCs w:val="22"/>
        </w:rPr>
        <w:t>Kitwood</w:t>
      </w:r>
      <w:proofErr w:type="spellEnd"/>
      <w:r w:rsidRPr="00E43A66">
        <w:rPr>
          <w:rFonts w:ascii="Arial" w:hAnsi="Arial" w:cs="Arial"/>
          <w:color w:val="000000" w:themeColor="text1"/>
          <w:sz w:val="22"/>
          <w:szCs w:val="22"/>
        </w:rPr>
        <w:t xml:space="preserve">, T. (1997) </w:t>
      </w:r>
      <w:r w:rsidRPr="00E43A66">
        <w:rPr>
          <w:rFonts w:ascii="Arial" w:hAnsi="Arial" w:cs="Arial"/>
          <w:i/>
          <w:iCs/>
          <w:color w:val="000000" w:themeColor="text1"/>
          <w:sz w:val="22"/>
          <w:szCs w:val="22"/>
        </w:rPr>
        <w:t>Dementia reconsidered: The person comes first</w:t>
      </w:r>
      <w:r w:rsidRPr="00E43A66">
        <w:rPr>
          <w:rFonts w:ascii="Arial" w:hAnsi="Arial" w:cs="Arial"/>
          <w:color w:val="000000" w:themeColor="text1"/>
          <w:sz w:val="22"/>
          <w:szCs w:val="22"/>
        </w:rPr>
        <w:t>. Buckingham: Open University Press.</w:t>
      </w:r>
    </w:p>
    <w:p w14:paraId="5BC8F7C8"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Livingston, G., Kelly, L., Lewis-Holmes, E., Baio, G., Morris, S., Patel, N., Cooper, C. and Katona, C. (2017) ‘</w:t>
      </w:r>
      <w:proofErr w:type="gramStart"/>
      <w:r w:rsidRPr="00E43A66">
        <w:rPr>
          <w:rFonts w:ascii="Arial" w:hAnsi="Arial" w:cs="Arial"/>
          <w:color w:val="000000" w:themeColor="text1"/>
          <w:sz w:val="22"/>
          <w:szCs w:val="22"/>
        </w:rPr>
        <w:t>Non-pharmacological</w:t>
      </w:r>
      <w:proofErr w:type="gramEnd"/>
      <w:r w:rsidRPr="00E43A66">
        <w:rPr>
          <w:rFonts w:ascii="Arial" w:hAnsi="Arial" w:cs="Arial"/>
          <w:color w:val="000000" w:themeColor="text1"/>
          <w:sz w:val="22"/>
          <w:szCs w:val="22"/>
        </w:rPr>
        <w:t xml:space="preserve"> interventions for agitation in dementia’, </w:t>
      </w:r>
      <w:r w:rsidRPr="00E43A66">
        <w:rPr>
          <w:rFonts w:ascii="Arial" w:hAnsi="Arial" w:cs="Arial"/>
          <w:i/>
          <w:iCs/>
          <w:color w:val="000000" w:themeColor="text1"/>
          <w:sz w:val="22"/>
          <w:szCs w:val="22"/>
        </w:rPr>
        <w:t>The British Journal of Psychiatry</w:t>
      </w:r>
      <w:r w:rsidRPr="00E43A66">
        <w:rPr>
          <w:rFonts w:ascii="Arial" w:hAnsi="Arial" w:cs="Arial"/>
          <w:color w:val="000000" w:themeColor="text1"/>
          <w:sz w:val="22"/>
          <w:szCs w:val="22"/>
        </w:rPr>
        <w:t>, 205(6), pp. 436–442.</w:t>
      </w:r>
    </w:p>
    <w:p w14:paraId="47D69271"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Spector, A., Orrell, M. and Woods, B. (2012) ‘Cognitive stimulation therapy for dementia’, </w:t>
      </w:r>
      <w:r w:rsidRPr="00E43A66">
        <w:rPr>
          <w:rFonts w:ascii="Arial" w:hAnsi="Arial" w:cs="Arial"/>
          <w:i/>
          <w:iCs/>
          <w:color w:val="000000" w:themeColor="text1"/>
          <w:sz w:val="22"/>
          <w:szCs w:val="22"/>
        </w:rPr>
        <w:t>British Journal of Psychiatry</w:t>
      </w:r>
      <w:r w:rsidRPr="00E43A66">
        <w:rPr>
          <w:rFonts w:ascii="Arial" w:hAnsi="Arial" w:cs="Arial"/>
          <w:color w:val="000000" w:themeColor="text1"/>
          <w:sz w:val="22"/>
          <w:szCs w:val="22"/>
        </w:rPr>
        <w:t>, 200(1), pp. 6–11.</w:t>
      </w:r>
    </w:p>
    <w:p w14:paraId="0DBCCA47"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Woods, B., </w:t>
      </w:r>
      <w:proofErr w:type="spellStart"/>
      <w:r w:rsidRPr="00E43A66">
        <w:rPr>
          <w:rFonts w:ascii="Arial" w:hAnsi="Arial" w:cs="Arial"/>
          <w:color w:val="000000" w:themeColor="text1"/>
          <w:sz w:val="22"/>
          <w:szCs w:val="22"/>
        </w:rPr>
        <w:t>O’Philbin</w:t>
      </w:r>
      <w:proofErr w:type="spellEnd"/>
      <w:r w:rsidRPr="00E43A66">
        <w:rPr>
          <w:rFonts w:ascii="Arial" w:hAnsi="Arial" w:cs="Arial"/>
          <w:color w:val="000000" w:themeColor="text1"/>
          <w:sz w:val="22"/>
          <w:szCs w:val="22"/>
        </w:rPr>
        <w:t xml:space="preserve">, L., Farrell, E.M., Spector, A.E. and Orrell, M. (2018) ‘Reminiscence therapy for dementia’, </w:t>
      </w:r>
      <w:r w:rsidRPr="00E43A66">
        <w:rPr>
          <w:rFonts w:ascii="Arial" w:hAnsi="Arial" w:cs="Arial"/>
          <w:i/>
          <w:iCs/>
          <w:color w:val="000000" w:themeColor="text1"/>
          <w:sz w:val="22"/>
          <w:szCs w:val="22"/>
        </w:rPr>
        <w:t>Cochrane Database of Systematic Reviews</w:t>
      </w:r>
      <w:r w:rsidRPr="00E43A66">
        <w:rPr>
          <w:rFonts w:ascii="Arial" w:hAnsi="Arial" w:cs="Arial"/>
          <w:color w:val="000000" w:themeColor="text1"/>
          <w:sz w:val="22"/>
          <w:szCs w:val="22"/>
        </w:rPr>
        <w:t>, 3, CD001120.</w:t>
      </w:r>
    </w:p>
    <w:p w14:paraId="1EA8B560"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World Health Organization (2021) </w:t>
      </w:r>
      <w:r w:rsidRPr="00E43A66">
        <w:rPr>
          <w:rFonts w:ascii="Arial" w:hAnsi="Arial" w:cs="Arial"/>
          <w:i/>
          <w:iCs/>
          <w:color w:val="000000" w:themeColor="text1"/>
          <w:sz w:val="22"/>
          <w:szCs w:val="22"/>
        </w:rPr>
        <w:t>Dementia</w:t>
      </w:r>
      <w:r w:rsidRPr="00E43A66">
        <w:rPr>
          <w:rFonts w:ascii="Arial" w:hAnsi="Arial" w:cs="Arial"/>
          <w:color w:val="000000" w:themeColor="text1"/>
          <w:sz w:val="22"/>
          <w:szCs w:val="22"/>
        </w:rPr>
        <w:t>. Geneva: WHO.</w:t>
      </w:r>
    </w:p>
    <w:p w14:paraId="4942E477" w14:textId="77777777" w:rsidR="00E43A66" w:rsidRPr="00E43A66" w:rsidRDefault="00E43A66" w:rsidP="00E43A66">
      <w:pPr>
        <w:spacing w:line="360" w:lineRule="auto"/>
        <w:rPr>
          <w:rFonts w:ascii="Arial" w:hAnsi="Arial" w:cs="Arial"/>
          <w:color w:val="000000" w:themeColor="text1"/>
          <w:sz w:val="22"/>
          <w:szCs w:val="22"/>
        </w:rPr>
      </w:pPr>
      <w:r w:rsidRPr="00E43A66">
        <w:rPr>
          <w:rFonts w:ascii="Arial" w:hAnsi="Arial" w:cs="Arial"/>
          <w:color w:val="000000" w:themeColor="text1"/>
          <w:sz w:val="22"/>
          <w:szCs w:val="22"/>
        </w:rPr>
        <w:t xml:space="preserve">Zarit, S.H. and Zarit, J.M. (2015) </w:t>
      </w:r>
      <w:r w:rsidRPr="00E43A66">
        <w:rPr>
          <w:rFonts w:ascii="Arial" w:hAnsi="Arial" w:cs="Arial"/>
          <w:i/>
          <w:iCs/>
          <w:color w:val="000000" w:themeColor="text1"/>
          <w:sz w:val="22"/>
          <w:szCs w:val="22"/>
        </w:rPr>
        <w:t>Mental disorders in older adults: Fundamentals of assessment and treatment</w:t>
      </w:r>
      <w:r w:rsidRPr="00E43A66">
        <w:rPr>
          <w:rFonts w:ascii="Arial" w:hAnsi="Arial" w:cs="Arial"/>
          <w:color w:val="000000" w:themeColor="text1"/>
          <w:sz w:val="22"/>
          <w:szCs w:val="22"/>
        </w:rPr>
        <w:t xml:space="preserve">. 2nd </w:t>
      </w:r>
      <w:proofErr w:type="spellStart"/>
      <w:r w:rsidRPr="00E43A66">
        <w:rPr>
          <w:rFonts w:ascii="Arial" w:hAnsi="Arial" w:cs="Arial"/>
          <w:color w:val="000000" w:themeColor="text1"/>
          <w:sz w:val="22"/>
          <w:szCs w:val="22"/>
        </w:rPr>
        <w:t>edn</w:t>
      </w:r>
      <w:proofErr w:type="spellEnd"/>
      <w:r w:rsidRPr="00E43A66">
        <w:rPr>
          <w:rFonts w:ascii="Arial" w:hAnsi="Arial" w:cs="Arial"/>
          <w:color w:val="000000" w:themeColor="text1"/>
          <w:sz w:val="22"/>
          <w:szCs w:val="22"/>
        </w:rPr>
        <w:t>. New York: Guilford Press.</w:t>
      </w:r>
    </w:p>
    <w:p w14:paraId="0BAF6EDA" w14:textId="36AA6133" w:rsidR="00F53C54" w:rsidRPr="00E43A66" w:rsidRDefault="00F53C54" w:rsidP="00E43A66">
      <w:pPr>
        <w:spacing w:line="360" w:lineRule="auto"/>
        <w:rPr>
          <w:rFonts w:ascii="Arial" w:hAnsi="Arial" w:cs="Arial"/>
          <w:color w:val="000000" w:themeColor="text1"/>
          <w:sz w:val="22"/>
          <w:szCs w:val="22"/>
        </w:rPr>
      </w:pPr>
    </w:p>
    <w:sectPr w:rsidR="00F53C54" w:rsidRPr="00E43A66">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01011" w14:textId="77777777" w:rsidR="00076E81" w:rsidRDefault="00076E81" w:rsidP="00E43A66">
      <w:pPr>
        <w:spacing w:after="0" w:line="240" w:lineRule="auto"/>
      </w:pPr>
      <w:r>
        <w:separator/>
      </w:r>
    </w:p>
  </w:endnote>
  <w:endnote w:type="continuationSeparator" w:id="0">
    <w:p w14:paraId="20C13BFE" w14:textId="77777777" w:rsidR="00076E81" w:rsidRDefault="00076E81" w:rsidP="00E43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5702605"/>
      <w:docPartObj>
        <w:docPartGallery w:val="Page Numbers (Bottom of Page)"/>
        <w:docPartUnique/>
      </w:docPartObj>
    </w:sdtPr>
    <w:sdtContent>
      <w:p w14:paraId="1F24B6BC" w14:textId="66B25408" w:rsidR="00E43A66" w:rsidRDefault="00E43A66" w:rsidP="00AD13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D5CCF5" w14:textId="77777777" w:rsidR="00E43A66" w:rsidRDefault="00E43A66" w:rsidP="00E43A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5245996"/>
      <w:docPartObj>
        <w:docPartGallery w:val="Page Numbers (Bottom of Page)"/>
        <w:docPartUnique/>
      </w:docPartObj>
    </w:sdtPr>
    <w:sdtContent>
      <w:p w14:paraId="18BA7714" w14:textId="20FAD1F3" w:rsidR="00E43A66" w:rsidRDefault="00E43A66" w:rsidP="00AD13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329CEA" w14:textId="77777777" w:rsidR="00E43A66" w:rsidRDefault="00E43A66" w:rsidP="00E43A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915CA" w14:textId="77777777" w:rsidR="00076E81" w:rsidRDefault="00076E81" w:rsidP="00E43A66">
      <w:pPr>
        <w:spacing w:after="0" w:line="240" w:lineRule="auto"/>
      </w:pPr>
      <w:r>
        <w:separator/>
      </w:r>
    </w:p>
  </w:footnote>
  <w:footnote w:type="continuationSeparator" w:id="0">
    <w:p w14:paraId="7780BE00" w14:textId="77777777" w:rsidR="00076E81" w:rsidRDefault="00076E81" w:rsidP="00E43A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A66"/>
    <w:rsid w:val="00076E81"/>
    <w:rsid w:val="0069262F"/>
    <w:rsid w:val="009B30BD"/>
    <w:rsid w:val="00A159AE"/>
    <w:rsid w:val="00C0395E"/>
    <w:rsid w:val="00DB3E01"/>
    <w:rsid w:val="00E43A66"/>
    <w:rsid w:val="00F53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31CB25"/>
  <w15:chartTrackingRefBased/>
  <w15:docId w15:val="{D516FD5C-408B-3341-9306-6C9A8CDB4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A66"/>
    <w:rPr>
      <w:rFonts w:eastAsiaTheme="majorEastAsia" w:cstheme="majorBidi"/>
      <w:color w:val="272727" w:themeColor="text1" w:themeTint="D8"/>
    </w:rPr>
  </w:style>
  <w:style w:type="paragraph" w:styleId="Title">
    <w:name w:val="Title"/>
    <w:basedOn w:val="Normal"/>
    <w:next w:val="Normal"/>
    <w:link w:val="TitleChar"/>
    <w:uiPriority w:val="10"/>
    <w:qFormat/>
    <w:rsid w:val="00E43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A66"/>
    <w:pPr>
      <w:spacing w:before="160"/>
      <w:jc w:val="center"/>
    </w:pPr>
    <w:rPr>
      <w:i/>
      <w:iCs/>
      <w:color w:val="404040" w:themeColor="text1" w:themeTint="BF"/>
    </w:rPr>
  </w:style>
  <w:style w:type="character" w:customStyle="1" w:styleId="QuoteChar">
    <w:name w:val="Quote Char"/>
    <w:basedOn w:val="DefaultParagraphFont"/>
    <w:link w:val="Quote"/>
    <w:uiPriority w:val="29"/>
    <w:rsid w:val="00E43A66"/>
    <w:rPr>
      <w:i/>
      <w:iCs/>
      <w:color w:val="404040" w:themeColor="text1" w:themeTint="BF"/>
    </w:rPr>
  </w:style>
  <w:style w:type="paragraph" w:styleId="ListParagraph">
    <w:name w:val="List Paragraph"/>
    <w:basedOn w:val="Normal"/>
    <w:uiPriority w:val="34"/>
    <w:qFormat/>
    <w:rsid w:val="00E43A66"/>
    <w:pPr>
      <w:ind w:left="720"/>
      <w:contextualSpacing/>
    </w:pPr>
  </w:style>
  <w:style w:type="character" w:styleId="IntenseEmphasis">
    <w:name w:val="Intense Emphasis"/>
    <w:basedOn w:val="DefaultParagraphFont"/>
    <w:uiPriority w:val="21"/>
    <w:qFormat/>
    <w:rsid w:val="00E43A66"/>
    <w:rPr>
      <w:i/>
      <w:iCs/>
      <w:color w:val="0F4761" w:themeColor="accent1" w:themeShade="BF"/>
    </w:rPr>
  </w:style>
  <w:style w:type="paragraph" w:styleId="IntenseQuote">
    <w:name w:val="Intense Quote"/>
    <w:basedOn w:val="Normal"/>
    <w:next w:val="Normal"/>
    <w:link w:val="IntenseQuoteChar"/>
    <w:uiPriority w:val="30"/>
    <w:qFormat/>
    <w:rsid w:val="00E43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A66"/>
    <w:rPr>
      <w:i/>
      <w:iCs/>
      <w:color w:val="0F4761" w:themeColor="accent1" w:themeShade="BF"/>
    </w:rPr>
  </w:style>
  <w:style w:type="character" w:styleId="IntenseReference">
    <w:name w:val="Intense Reference"/>
    <w:basedOn w:val="DefaultParagraphFont"/>
    <w:uiPriority w:val="32"/>
    <w:qFormat/>
    <w:rsid w:val="00E43A66"/>
    <w:rPr>
      <w:b/>
      <w:bCs/>
      <w:smallCaps/>
      <w:color w:val="0F4761" w:themeColor="accent1" w:themeShade="BF"/>
      <w:spacing w:val="5"/>
    </w:rPr>
  </w:style>
  <w:style w:type="paragraph" w:styleId="Footer">
    <w:name w:val="footer"/>
    <w:basedOn w:val="Normal"/>
    <w:link w:val="FooterChar"/>
    <w:uiPriority w:val="99"/>
    <w:unhideWhenUsed/>
    <w:rsid w:val="00E43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A66"/>
  </w:style>
  <w:style w:type="character" w:styleId="PageNumber">
    <w:name w:val="page number"/>
    <w:basedOn w:val="DefaultParagraphFont"/>
    <w:uiPriority w:val="99"/>
    <w:semiHidden/>
    <w:unhideWhenUsed/>
    <w:rsid w:val="00E43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5337386">
      <w:bodyDiv w:val="1"/>
      <w:marLeft w:val="0"/>
      <w:marRight w:val="0"/>
      <w:marTop w:val="0"/>
      <w:marBottom w:val="0"/>
      <w:divBdr>
        <w:top w:val="none" w:sz="0" w:space="0" w:color="auto"/>
        <w:left w:val="none" w:sz="0" w:space="0" w:color="auto"/>
        <w:bottom w:val="none" w:sz="0" w:space="0" w:color="auto"/>
        <w:right w:val="none" w:sz="0" w:space="0" w:color="auto"/>
      </w:divBdr>
    </w:div>
    <w:div w:id="1067846436">
      <w:bodyDiv w:val="1"/>
      <w:marLeft w:val="0"/>
      <w:marRight w:val="0"/>
      <w:marTop w:val="0"/>
      <w:marBottom w:val="0"/>
      <w:divBdr>
        <w:top w:val="none" w:sz="0" w:space="0" w:color="auto"/>
        <w:left w:val="none" w:sz="0" w:space="0" w:color="auto"/>
        <w:bottom w:val="none" w:sz="0" w:space="0" w:color="auto"/>
        <w:right w:val="none" w:sz="0" w:space="0" w:color="auto"/>
      </w:divBdr>
      <w:divsChild>
        <w:div w:id="459959942">
          <w:marLeft w:val="0"/>
          <w:marRight w:val="0"/>
          <w:marTop w:val="0"/>
          <w:marBottom w:val="0"/>
          <w:divBdr>
            <w:top w:val="none" w:sz="0" w:space="0" w:color="auto"/>
            <w:left w:val="none" w:sz="0" w:space="0" w:color="auto"/>
            <w:bottom w:val="none" w:sz="0" w:space="0" w:color="auto"/>
            <w:right w:val="none" w:sz="0" w:space="0" w:color="auto"/>
          </w:divBdr>
          <w:divsChild>
            <w:div w:id="351035269">
              <w:marLeft w:val="0"/>
              <w:marRight w:val="0"/>
              <w:marTop w:val="0"/>
              <w:marBottom w:val="0"/>
              <w:divBdr>
                <w:top w:val="none" w:sz="0" w:space="0" w:color="auto"/>
                <w:left w:val="none" w:sz="0" w:space="0" w:color="auto"/>
                <w:bottom w:val="none" w:sz="0" w:space="0" w:color="auto"/>
                <w:right w:val="none" w:sz="0" w:space="0" w:color="auto"/>
              </w:divBdr>
              <w:divsChild>
                <w:div w:id="1620145447">
                  <w:marLeft w:val="0"/>
                  <w:marRight w:val="0"/>
                  <w:marTop w:val="0"/>
                  <w:marBottom w:val="0"/>
                  <w:divBdr>
                    <w:top w:val="none" w:sz="0" w:space="0" w:color="auto"/>
                    <w:left w:val="none" w:sz="0" w:space="0" w:color="auto"/>
                    <w:bottom w:val="none" w:sz="0" w:space="0" w:color="auto"/>
                    <w:right w:val="none" w:sz="0" w:space="0" w:color="auto"/>
                  </w:divBdr>
                  <w:divsChild>
                    <w:div w:id="824784469">
                      <w:marLeft w:val="0"/>
                      <w:marRight w:val="0"/>
                      <w:marTop w:val="0"/>
                      <w:marBottom w:val="0"/>
                      <w:divBdr>
                        <w:top w:val="none" w:sz="0" w:space="0" w:color="auto"/>
                        <w:left w:val="none" w:sz="0" w:space="0" w:color="auto"/>
                        <w:bottom w:val="none" w:sz="0" w:space="0" w:color="auto"/>
                        <w:right w:val="none" w:sz="0" w:space="0" w:color="auto"/>
                      </w:divBdr>
                      <w:divsChild>
                        <w:div w:id="930966650">
                          <w:marLeft w:val="0"/>
                          <w:marRight w:val="0"/>
                          <w:marTop w:val="0"/>
                          <w:marBottom w:val="0"/>
                          <w:divBdr>
                            <w:top w:val="none" w:sz="0" w:space="0" w:color="auto"/>
                            <w:left w:val="none" w:sz="0" w:space="0" w:color="auto"/>
                            <w:bottom w:val="none" w:sz="0" w:space="0" w:color="auto"/>
                            <w:right w:val="none" w:sz="0" w:space="0" w:color="auto"/>
                          </w:divBdr>
                          <w:divsChild>
                            <w:div w:id="81805798">
                              <w:marLeft w:val="0"/>
                              <w:marRight w:val="0"/>
                              <w:marTop w:val="0"/>
                              <w:marBottom w:val="0"/>
                              <w:divBdr>
                                <w:top w:val="none" w:sz="0" w:space="0" w:color="auto"/>
                                <w:left w:val="none" w:sz="0" w:space="0" w:color="auto"/>
                                <w:bottom w:val="none" w:sz="0" w:space="0" w:color="auto"/>
                                <w:right w:val="none" w:sz="0" w:space="0" w:color="auto"/>
                              </w:divBdr>
                              <w:divsChild>
                                <w:div w:id="614022582">
                                  <w:marLeft w:val="0"/>
                                  <w:marRight w:val="0"/>
                                  <w:marTop w:val="0"/>
                                  <w:marBottom w:val="0"/>
                                  <w:divBdr>
                                    <w:top w:val="none" w:sz="0" w:space="0" w:color="auto"/>
                                    <w:left w:val="none" w:sz="0" w:space="0" w:color="auto"/>
                                    <w:bottom w:val="none" w:sz="0" w:space="0" w:color="auto"/>
                                    <w:right w:val="none" w:sz="0" w:space="0" w:color="auto"/>
                                  </w:divBdr>
                                  <w:divsChild>
                                    <w:div w:id="1179081145">
                                      <w:marLeft w:val="0"/>
                                      <w:marRight w:val="0"/>
                                      <w:marTop w:val="0"/>
                                      <w:marBottom w:val="0"/>
                                      <w:divBdr>
                                        <w:top w:val="none" w:sz="0" w:space="0" w:color="auto"/>
                                        <w:left w:val="none" w:sz="0" w:space="0" w:color="auto"/>
                                        <w:bottom w:val="none" w:sz="0" w:space="0" w:color="auto"/>
                                        <w:right w:val="none" w:sz="0" w:space="0" w:color="auto"/>
                                      </w:divBdr>
                                      <w:divsChild>
                                        <w:div w:id="933782740">
                                          <w:marLeft w:val="0"/>
                                          <w:marRight w:val="0"/>
                                          <w:marTop w:val="0"/>
                                          <w:marBottom w:val="0"/>
                                          <w:divBdr>
                                            <w:top w:val="none" w:sz="0" w:space="0" w:color="auto"/>
                                            <w:left w:val="none" w:sz="0" w:space="0" w:color="auto"/>
                                            <w:bottom w:val="none" w:sz="0" w:space="0" w:color="auto"/>
                                            <w:right w:val="none" w:sz="0" w:space="0" w:color="auto"/>
                                          </w:divBdr>
                                          <w:divsChild>
                                            <w:div w:id="173751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7188035">
      <w:bodyDiv w:val="1"/>
      <w:marLeft w:val="0"/>
      <w:marRight w:val="0"/>
      <w:marTop w:val="0"/>
      <w:marBottom w:val="0"/>
      <w:divBdr>
        <w:top w:val="none" w:sz="0" w:space="0" w:color="auto"/>
        <w:left w:val="none" w:sz="0" w:space="0" w:color="auto"/>
        <w:bottom w:val="none" w:sz="0" w:space="0" w:color="auto"/>
        <w:right w:val="none" w:sz="0" w:space="0" w:color="auto"/>
      </w:divBdr>
    </w:div>
    <w:div w:id="1845783845">
      <w:bodyDiv w:val="1"/>
      <w:marLeft w:val="0"/>
      <w:marRight w:val="0"/>
      <w:marTop w:val="0"/>
      <w:marBottom w:val="0"/>
      <w:divBdr>
        <w:top w:val="none" w:sz="0" w:space="0" w:color="auto"/>
        <w:left w:val="none" w:sz="0" w:space="0" w:color="auto"/>
        <w:bottom w:val="none" w:sz="0" w:space="0" w:color="auto"/>
        <w:right w:val="none" w:sz="0" w:space="0" w:color="auto"/>
      </w:divBdr>
      <w:divsChild>
        <w:div w:id="2034335072">
          <w:marLeft w:val="0"/>
          <w:marRight w:val="0"/>
          <w:marTop w:val="0"/>
          <w:marBottom w:val="0"/>
          <w:divBdr>
            <w:top w:val="none" w:sz="0" w:space="0" w:color="auto"/>
            <w:left w:val="none" w:sz="0" w:space="0" w:color="auto"/>
            <w:bottom w:val="none" w:sz="0" w:space="0" w:color="auto"/>
            <w:right w:val="none" w:sz="0" w:space="0" w:color="auto"/>
          </w:divBdr>
          <w:divsChild>
            <w:div w:id="1302342839">
              <w:marLeft w:val="0"/>
              <w:marRight w:val="0"/>
              <w:marTop w:val="0"/>
              <w:marBottom w:val="0"/>
              <w:divBdr>
                <w:top w:val="none" w:sz="0" w:space="0" w:color="auto"/>
                <w:left w:val="none" w:sz="0" w:space="0" w:color="auto"/>
                <w:bottom w:val="none" w:sz="0" w:space="0" w:color="auto"/>
                <w:right w:val="none" w:sz="0" w:space="0" w:color="auto"/>
              </w:divBdr>
              <w:divsChild>
                <w:div w:id="1126386655">
                  <w:marLeft w:val="0"/>
                  <w:marRight w:val="0"/>
                  <w:marTop w:val="0"/>
                  <w:marBottom w:val="0"/>
                  <w:divBdr>
                    <w:top w:val="none" w:sz="0" w:space="0" w:color="auto"/>
                    <w:left w:val="none" w:sz="0" w:space="0" w:color="auto"/>
                    <w:bottom w:val="none" w:sz="0" w:space="0" w:color="auto"/>
                    <w:right w:val="none" w:sz="0" w:space="0" w:color="auto"/>
                  </w:divBdr>
                  <w:divsChild>
                    <w:div w:id="762263908">
                      <w:marLeft w:val="0"/>
                      <w:marRight w:val="0"/>
                      <w:marTop w:val="0"/>
                      <w:marBottom w:val="0"/>
                      <w:divBdr>
                        <w:top w:val="none" w:sz="0" w:space="0" w:color="auto"/>
                        <w:left w:val="none" w:sz="0" w:space="0" w:color="auto"/>
                        <w:bottom w:val="none" w:sz="0" w:space="0" w:color="auto"/>
                        <w:right w:val="none" w:sz="0" w:space="0" w:color="auto"/>
                      </w:divBdr>
                      <w:divsChild>
                        <w:div w:id="1597404456">
                          <w:marLeft w:val="0"/>
                          <w:marRight w:val="0"/>
                          <w:marTop w:val="0"/>
                          <w:marBottom w:val="0"/>
                          <w:divBdr>
                            <w:top w:val="none" w:sz="0" w:space="0" w:color="auto"/>
                            <w:left w:val="none" w:sz="0" w:space="0" w:color="auto"/>
                            <w:bottom w:val="none" w:sz="0" w:space="0" w:color="auto"/>
                            <w:right w:val="none" w:sz="0" w:space="0" w:color="auto"/>
                          </w:divBdr>
                          <w:divsChild>
                            <w:div w:id="329528613">
                              <w:marLeft w:val="0"/>
                              <w:marRight w:val="0"/>
                              <w:marTop w:val="0"/>
                              <w:marBottom w:val="0"/>
                              <w:divBdr>
                                <w:top w:val="none" w:sz="0" w:space="0" w:color="auto"/>
                                <w:left w:val="none" w:sz="0" w:space="0" w:color="auto"/>
                                <w:bottom w:val="none" w:sz="0" w:space="0" w:color="auto"/>
                                <w:right w:val="none" w:sz="0" w:space="0" w:color="auto"/>
                              </w:divBdr>
                              <w:divsChild>
                                <w:div w:id="264775803">
                                  <w:marLeft w:val="0"/>
                                  <w:marRight w:val="0"/>
                                  <w:marTop w:val="0"/>
                                  <w:marBottom w:val="0"/>
                                  <w:divBdr>
                                    <w:top w:val="none" w:sz="0" w:space="0" w:color="auto"/>
                                    <w:left w:val="none" w:sz="0" w:space="0" w:color="auto"/>
                                    <w:bottom w:val="none" w:sz="0" w:space="0" w:color="auto"/>
                                    <w:right w:val="none" w:sz="0" w:space="0" w:color="auto"/>
                                  </w:divBdr>
                                  <w:divsChild>
                                    <w:div w:id="778989910">
                                      <w:marLeft w:val="0"/>
                                      <w:marRight w:val="0"/>
                                      <w:marTop w:val="0"/>
                                      <w:marBottom w:val="0"/>
                                      <w:divBdr>
                                        <w:top w:val="none" w:sz="0" w:space="0" w:color="auto"/>
                                        <w:left w:val="none" w:sz="0" w:space="0" w:color="auto"/>
                                        <w:bottom w:val="none" w:sz="0" w:space="0" w:color="auto"/>
                                        <w:right w:val="none" w:sz="0" w:space="0" w:color="auto"/>
                                      </w:divBdr>
                                      <w:divsChild>
                                        <w:div w:id="756906234">
                                          <w:marLeft w:val="0"/>
                                          <w:marRight w:val="0"/>
                                          <w:marTop w:val="0"/>
                                          <w:marBottom w:val="0"/>
                                          <w:divBdr>
                                            <w:top w:val="none" w:sz="0" w:space="0" w:color="auto"/>
                                            <w:left w:val="none" w:sz="0" w:space="0" w:color="auto"/>
                                            <w:bottom w:val="none" w:sz="0" w:space="0" w:color="auto"/>
                                            <w:right w:val="none" w:sz="0" w:space="0" w:color="auto"/>
                                          </w:divBdr>
                                          <w:divsChild>
                                            <w:div w:id="124664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63274532">
      <w:bodyDiv w:val="1"/>
      <w:marLeft w:val="0"/>
      <w:marRight w:val="0"/>
      <w:marTop w:val="0"/>
      <w:marBottom w:val="0"/>
      <w:divBdr>
        <w:top w:val="none" w:sz="0" w:space="0" w:color="auto"/>
        <w:left w:val="none" w:sz="0" w:space="0" w:color="auto"/>
        <w:bottom w:val="none" w:sz="0" w:space="0" w:color="auto"/>
        <w:right w:val="none" w:sz="0" w:space="0" w:color="auto"/>
      </w:divBdr>
      <w:divsChild>
        <w:div w:id="1341348580">
          <w:marLeft w:val="0"/>
          <w:marRight w:val="0"/>
          <w:marTop w:val="0"/>
          <w:marBottom w:val="0"/>
          <w:divBdr>
            <w:top w:val="none" w:sz="0" w:space="0" w:color="auto"/>
            <w:left w:val="none" w:sz="0" w:space="0" w:color="auto"/>
            <w:bottom w:val="none" w:sz="0" w:space="0" w:color="auto"/>
            <w:right w:val="none" w:sz="0" w:space="0" w:color="auto"/>
          </w:divBdr>
          <w:divsChild>
            <w:div w:id="1681085591">
              <w:marLeft w:val="0"/>
              <w:marRight w:val="0"/>
              <w:marTop w:val="0"/>
              <w:marBottom w:val="0"/>
              <w:divBdr>
                <w:top w:val="none" w:sz="0" w:space="0" w:color="auto"/>
                <w:left w:val="none" w:sz="0" w:space="0" w:color="auto"/>
                <w:bottom w:val="none" w:sz="0" w:space="0" w:color="auto"/>
                <w:right w:val="none" w:sz="0" w:space="0" w:color="auto"/>
              </w:divBdr>
              <w:divsChild>
                <w:div w:id="1658878463">
                  <w:marLeft w:val="0"/>
                  <w:marRight w:val="0"/>
                  <w:marTop w:val="0"/>
                  <w:marBottom w:val="0"/>
                  <w:divBdr>
                    <w:top w:val="none" w:sz="0" w:space="0" w:color="auto"/>
                    <w:left w:val="none" w:sz="0" w:space="0" w:color="auto"/>
                    <w:bottom w:val="none" w:sz="0" w:space="0" w:color="auto"/>
                    <w:right w:val="none" w:sz="0" w:space="0" w:color="auto"/>
                  </w:divBdr>
                  <w:divsChild>
                    <w:div w:id="1149856868">
                      <w:marLeft w:val="0"/>
                      <w:marRight w:val="0"/>
                      <w:marTop w:val="0"/>
                      <w:marBottom w:val="0"/>
                      <w:divBdr>
                        <w:top w:val="none" w:sz="0" w:space="0" w:color="auto"/>
                        <w:left w:val="none" w:sz="0" w:space="0" w:color="auto"/>
                        <w:bottom w:val="none" w:sz="0" w:space="0" w:color="auto"/>
                        <w:right w:val="none" w:sz="0" w:space="0" w:color="auto"/>
                      </w:divBdr>
                      <w:divsChild>
                        <w:div w:id="2120946100">
                          <w:marLeft w:val="0"/>
                          <w:marRight w:val="0"/>
                          <w:marTop w:val="0"/>
                          <w:marBottom w:val="0"/>
                          <w:divBdr>
                            <w:top w:val="none" w:sz="0" w:space="0" w:color="auto"/>
                            <w:left w:val="none" w:sz="0" w:space="0" w:color="auto"/>
                            <w:bottom w:val="none" w:sz="0" w:space="0" w:color="auto"/>
                            <w:right w:val="none" w:sz="0" w:space="0" w:color="auto"/>
                          </w:divBdr>
                          <w:divsChild>
                            <w:div w:id="12269285">
                              <w:marLeft w:val="0"/>
                              <w:marRight w:val="0"/>
                              <w:marTop w:val="0"/>
                              <w:marBottom w:val="0"/>
                              <w:divBdr>
                                <w:top w:val="none" w:sz="0" w:space="0" w:color="auto"/>
                                <w:left w:val="none" w:sz="0" w:space="0" w:color="auto"/>
                                <w:bottom w:val="none" w:sz="0" w:space="0" w:color="auto"/>
                                <w:right w:val="none" w:sz="0" w:space="0" w:color="auto"/>
                              </w:divBdr>
                              <w:divsChild>
                                <w:div w:id="1733964854">
                                  <w:marLeft w:val="0"/>
                                  <w:marRight w:val="0"/>
                                  <w:marTop w:val="0"/>
                                  <w:marBottom w:val="0"/>
                                  <w:divBdr>
                                    <w:top w:val="none" w:sz="0" w:space="0" w:color="auto"/>
                                    <w:left w:val="none" w:sz="0" w:space="0" w:color="auto"/>
                                    <w:bottom w:val="none" w:sz="0" w:space="0" w:color="auto"/>
                                    <w:right w:val="none" w:sz="0" w:space="0" w:color="auto"/>
                                  </w:divBdr>
                                  <w:divsChild>
                                    <w:div w:id="1687100424">
                                      <w:marLeft w:val="0"/>
                                      <w:marRight w:val="0"/>
                                      <w:marTop w:val="0"/>
                                      <w:marBottom w:val="0"/>
                                      <w:divBdr>
                                        <w:top w:val="none" w:sz="0" w:space="0" w:color="auto"/>
                                        <w:left w:val="none" w:sz="0" w:space="0" w:color="auto"/>
                                        <w:bottom w:val="none" w:sz="0" w:space="0" w:color="auto"/>
                                        <w:right w:val="none" w:sz="0" w:space="0" w:color="auto"/>
                                      </w:divBdr>
                                      <w:divsChild>
                                        <w:div w:id="1255432448">
                                          <w:marLeft w:val="0"/>
                                          <w:marRight w:val="0"/>
                                          <w:marTop w:val="0"/>
                                          <w:marBottom w:val="0"/>
                                          <w:divBdr>
                                            <w:top w:val="none" w:sz="0" w:space="0" w:color="auto"/>
                                            <w:left w:val="none" w:sz="0" w:space="0" w:color="auto"/>
                                            <w:bottom w:val="none" w:sz="0" w:space="0" w:color="auto"/>
                                            <w:right w:val="none" w:sz="0" w:space="0" w:color="auto"/>
                                          </w:divBdr>
                                          <w:divsChild>
                                            <w:div w:id="144874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97106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TotalTime>
  <Pages>5</Pages>
  <Words>1418</Words>
  <Characters>8083</Characters>
  <Application>Microsoft Office Word</Application>
  <DocSecurity>0</DocSecurity>
  <Lines>67</Lines>
  <Paragraphs>18</Paragraphs>
  <ScaleCrop>false</ScaleCrop>
  <Company/>
  <LinksUpToDate>false</LinksUpToDate>
  <CharactersWithSpaces>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Frederica Oteng-Anane (2427139)</dc:creator>
  <cp:keywords/>
  <dc:description/>
  <cp:lastModifiedBy>Frederica Oteng-Anane (2427139)</cp:lastModifiedBy>
  <cp:revision>1</cp:revision>
  <dcterms:created xsi:type="dcterms:W3CDTF">2025-12-19T12:12:00Z</dcterms:created>
  <dcterms:modified xsi:type="dcterms:W3CDTF">2025-12-19T13:55:00Z</dcterms:modified>
</cp:coreProperties>
</file>