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Review of Factors Affecting Second Language Learning</w:t>
      </w:r>
    </w:p>
    <w:p>
      <w:pPr>
        <w:rPr>
          <w:rFonts w:hint="default" w:ascii="Times New Roman" w:hAnsi="Times New Roman" w:cs="Times New Roman"/>
          <w:sz w:val="24"/>
          <w:szCs w:val="24"/>
          <w:lang w:val="en-US" w:eastAsia="zh-CN"/>
        </w:rPr>
      </w:pPr>
    </w:p>
    <w:p>
      <w:pPr>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Introduction</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In contrast to the first language learning, second language learning seems to be much more complex. </w:t>
      </w:r>
      <w:r>
        <w:rPr>
          <w:rFonts w:hint="default" w:ascii="Times New Roman" w:hAnsi="Times New Roman" w:cs="Times New Roman"/>
          <w:sz w:val="24"/>
          <w:szCs w:val="24"/>
          <w:lang w:val="en-US" w:eastAsia="zh-CN"/>
        </w:rPr>
        <w:t>The process of learning a second language is diverse and influenced by a variety of learner factors.</w:t>
      </w:r>
      <w:r>
        <w:rPr>
          <w:rFonts w:hint="eastAsia" w:ascii="Times New Roman" w:hAnsi="Times New Roman" w:cs="Times New Roman"/>
          <w:sz w:val="24"/>
          <w:szCs w:val="24"/>
          <w:lang w:val="en-US" w:eastAsia="zh-CN"/>
        </w:rPr>
        <w:t xml:space="preserve"> According to </w:t>
      </w:r>
      <w:r>
        <w:rPr>
          <w:rFonts w:hint="default" w:ascii="Times New Roman" w:hAnsi="Times New Roman" w:cs="Times New Roman"/>
          <w:sz w:val="24"/>
          <w:szCs w:val="24"/>
          <w:lang w:val="en-US" w:eastAsia="zh-CN"/>
        </w:rPr>
        <w:t>Lightbown and Spada</w:t>
      </w:r>
      <w:r>
        <w:rPr>
          <w:rFonts w:hint="eastAsia" w:ascii="Times New Roman" w:hAnsi="Times New Roman" w:cs="Times New Roman"/>
          <w:sz w:val="24"/>
          <w:szCs w:val="24"/>
          <w:lang w:val="en-US" w:eastAsia="zh-CN"/>
        </w:rPr>
        <w:t xml:space="preserve"> (2001),</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m</w:t>
      </w:r>
      <w:r>
        <w:rPr>
          <w:rFonts w:hint="default" w:ascii="Times New Roman" w:hAnsi="Times New Roman" w:cs="Times New Roman"/>
          <w:sz w:val="24"/>
          <w:szCs w:val="24"/>
          <w:lang w:val="en-US" w:eastAsia="zh-CN"/>
        </w:rPr>
        <w:t>otivation, intelligence, aptitude, age, and personality are some of the most commonly researched factors. However, identifying their specific i</w:t>
      </w:r>
      <w:r>
        <w:rPr>
          <w:rFonts w:hint="eastAsia" w:ascii="Times New Roman" w:hAnsi="Times New Roman" w:cs="Times New Roman"/>
          <w:sz w:val="24"/>
          <w:szCs w:val="24"/>
          <w:lang w:val="en-US" w:eastAsia="zh-CN"/>
        </w:rPr>
        <w:t>mpact</w:t>
      </w:r>
      <w:r>
        <w:rPr>
          <w:rFonts w:hint="default" w:ascii="Times New Roman" w:hAnsi="Times New Roman" w:cs="Times New Roman"/>
          <w:sz w:val="24"/>
          <w:szCs w:val="24"/>
          <w:lang w:val="en-US" w:eastAsia="zh-CN"/>
        </w:rPr>
        <w:t xml:space="preserve"> is difficult due to the complexity of language learning and the numerous interactions of these variables. This thorough investigation dives into the complex links between learner characteristics and second language acquisition.</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Factors Affecting Second Language Learning</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As a part of learner </w:t>
      </w:r>
      <w:r>
        <w:rPr>
          <w:rFonts w:hint="eastAsia" w:ascii="Times New Roman" w:hAnsi="Times New Roman" w:cs="Times New Roman"/>
          <w:sz w:val="24"/>
          <w:szCs w:val="24"/>
          <w:lang w:val="en-US" w:eastAsia="zh-CN"/>
        </w:rPr>
        <w:t>characteristics</w:t>
      </w:r>
      <w:r>
        <w:rPr>
          <w:rFonts w:hint="default" w:ascii="Times New Roman" w:hAnsi="Times New Roman" w:cs="Times New Roman"/>
          <w:sz w:val="24"/>
          <w:szCs w:val="24"/>
          <w:lang w:val="en-US" w:eastAsia="zh-CN"/>
        </w:rPr>
        <w:t>, motivation is a frequently mentioned factor. Some researchers tend to relate it to the proficiency of a language learning and often they adopt the same experiment model to measure the correlation between motivation and language proficiency. However, for Lightbown and Spada</w:t>
      </w:r>
      <w:r>
        <w:rPr>
          <w:rFonts w:hint="eastAsia" w:ascii="Times New Roman" w:hAnsi="Times New Roman" w:cs="Times New Roman"/>
          <w:sz w:val="24"/>
          <w:szCs w:val="24"/>
          <w:lang w:val="en-US" w:eastAsia="zh-CN"/>
        </w:rPr>
        <w:t xml:space="preserve"> (2001)</w:t>
      </w:r>
      <w:r>
        <w:rPr>
          <w:rFonts w:hint="default" w:ascii="Times New Roman" w:hAnsi="Times New Roman" w:cs="Times New Roman"/>
          <w:sz w:val="24"/>
          <w:szCs w:val="24"/>
          <w:lang w:val="en-US" w:eastAsia="zh-CN"/>
        </w:rPr>
        <w:t>, they made contrast between the results from different researchers in terms of the relation between motivation and language proficiency, finding that some of the results showing that learners with higher motivation are more successful than those who with lower motivations, while some results showed that motivation has nothing to do the proficiency of language learning. Based upon these findings, Lightbown and Spada considered that the correlation between motivation and language proficiency is existing , which does not mean that high motivation will lead to the successful learning of a language.</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Intelligence as one of the factors which influence how successful individuals learning a second language. However, according to Genesee (1976), intelligence is only related to some parts of language learning, such as reading</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 xml:space="preserve">vocabulary and grammar but unrelated to the speaking part of second language learning. Based on the previous studies,Intelligence is indeed an important factor when it comes to learning language rules and memory vocabulary, but it is not so important when it comes to communicative learning. Intelligence does affect language learning to a certain extent, but  language learning requires different individual abilities and the abilities between individuals are rich and diverse, intelligence is not a deterministic factor. </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According to the observation of Lorraine Obler</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(1989), a man whose name is CJ, has learned several languages throughout his life including French, German, Spanish and Latin and he has an excellent performance in output those Languages when communicating with native speakers. The report of CJ implicates that some language learners have special talent on learning languages, which was defined as exceptional “aptitude” by Lightbown and Spada</w:t>
      </w:r>
      <w:r>
        <w:rPr>
          <w:rFonts w:hint="eastAsia" w:ascii="Times New Roman" w:hAnsi="Times New Roman" w:cs="Times New Roman"/>
          <w:sz w:val="24"/>
          <w:szCs w:val="24"/>
          <w:lang w:val="en-US" w:eastAsia="zh-CN"/>
        </w:rPr>
        <w:t xml:space="preserve"> (2001)</w:t>
      </w:r>
      <w:r>
        <w:rPr>
          <w:rFonts w:hint="default" w:ascii="Times New Roman" w:hAnsi="Times New Roman" w:cs="Times New Roman"/>
          <w:sz w:val="24"/>
          <w:szCs w:val="24"/>
          <w:lang w:val="en-US" w:eastAsia="zh-CN"/>
        </w:rPr>
        <w:t>. Successful language learners may have different profiles of strengths and weaknesses in various aptitude components. Rather than adopting a one-size-fits-all approach to language instruction, tailoring teaching methods to match learners' aptitude profiles can lead to more effective outcomes. Aptitude has been proved by Majorie Wesche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(1981) in a language learning program in Canada illustrates how this can be achieved by placing students in instructional programs that align with their specific strengths, such as analytic ability or memory. The reported high levels of student and teacher satisfaction, as well as evidence suggesting that matched students achieved significantly higher levels of achievement, suggest that this approach is beneficial. Therefore, personalized language instruction based on learners' aptitude profiles can lead to improved learning outcomes and overall satisfaction with the learning process.</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relationship between motivation and language learning success is complex. Research suggests a correlation between positive attitudes and success, but it's unclear whether motivation drives success or vice versa</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(Gardner, 1985). The interplay between motivation and success requires further investigation to determine causality (Skehan, 1989). Motivation in second language learning stems from communicative needs and attitudes towards the language community. Gardner and Lambert (1972)distinguish between integrative and instrumental motivations, both influencing success. Learners’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identity and societal power dynamics also shape motivation, highlighting the intricate interplay between individual and social factors in language acquisition. Lightbown and Spada</w:t>
      </w:r>
      <w:r>
        <w:rPr>
          <w:rFonts w:hint="eastAsia" w:ascii="Times New Roman" w:hAnsi="Times New Roman" w:cs="Times New Roman"/>
          <w:sz w:val="24"/>
          <w:szCs w:val="24"/>
          <w:lang w:val="en-US" w:eastAsia="zh-CN"/>
        </w:rPr>
        <w:t xml:space="preserve"> (2001)</w:t>
      </w:r>
      <w:r>
        <w:rPr>
          <w:rFonts w:hint="default" w:ascii="Times New Roman" w:hAnsi="Times New Roman" w:cs="Times New Roman"/>
          <w:sz w:val="24"/>
          <w:szCs w:val="24"/>
          <w:lang w:val="en-US" w:eastAsia="zh-CN"/>
        </w:rPr>
        <w:t xml:space="preserve"> specially introduced how to enhance motivation in secong language learning classroom. According to the article, effective pedagogical practices can significantly impact students’ motivation in language classrooms. Teachers can cultivate motivation by creating engaging and supportive learning environments, varying activities, and fostering cooperative learning( Crookes and Schmidt, 1991). Tailoring methods to cultural and age differences ensures the most effective approach to motivating students.</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Learner beliefs and preferences significantly impact their language learning experience. Lightbown and Spada</w:t>
      </w:r>
      <w:r>
        <w:rPr>
          <w:rFonts w:hint="eastAsia" w:ascii="Times New Roman" w:hAnsi="Times New Roman" w:cs="Times New Roman"/>
          <w:sz w:val="24"/>
          <w:szCs w:val="24"/>
          <w:lang w:val="en-US" w:eastAsia="zh-CN"/>
        </w:rPr>
        <w:t xml:space="preserve"> (2001) </w:t>
      </w:r>
      <w:r>
        <w:rPr>
          <w:rFonts w:hint="default" w:ascii="Times New Roman" w:hAnsi="Times New Roman" w:cs="Times New Roman"/>
          <w:sz w:val="24"/>
          <w:szCs w:val="24"/>
          <w:lang w:val="en-US" w:eastAsia="zh-CN"/>
        </w:rPr>
        <w:t>proposed that individuals have diverse learning styles, encompassing perceptual, cognitive, and personality-based preferences. While field independence has received attention in language learning research, more investigation into the interaction of learning styles and language acquisition is needed. Acknowledging and accommodating various learning styles is essential for effective language teaching. Yorio(1986) in his research found that mismatch between instructional approach and learner preferences can lead to dissatisfaction and potentially hinder language learning progress. Understanding and accommodating learner preferences can enhance teaching effectiveness and foster greater flexibility in learning strategies.</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relationship between age and success in second language acquisition has been a contentious subject in linguistics. The Critical Period Hypothesis posits the existence of a biologically determined window during which language acquisition must take place to achieve native-like proficiency.</w:t>
      </w:r>
      <w:r>
        <w:rPr>
          <w:rFonts w:hint="default" w:ascii="Times New Roman" w:hAnsi="Times New Roman" w:cs="Times New Roman"/>
          <w:sz w:val="24"/>
          <w:szCs w:val="24"/>
          <w:highlight w:val="none"/>
          <w:lang w:val="en-US" w:eastAsia="zh-CN"/>
        </w:rPr>
        <w:t xml:space="preserve"> Mark Patkowski's seminal research supported this hypothesis, revealing that individuals commencing second language learning before puberty, particularly prior to age 15, were more likely to attain full, native-like mastery compared to those initiating learning later in life. Jacqueline Johnson and Elissa Newport's findings further corroborated this notion, demonstrating that individuals exposed intensively to English before age 15, particularly before age 10, exhibited fewer disparities in second language ability and were more likely to reach native-like proficiency. Conversely, later language learners displayed greater variability in language skills and were less likely to achieve native-like fluency. However, Catherine Snow and Marian Hoefnagel-Hohle's</w:t>
      </w:r>
      <w:r>
        <w:rPr>
          <w:rFonts w:hint="default" w:ascii="Times New Roman" w:hAnsi="Times New Roman" w:cs="Times New Roman"/>
          <w:sz w:val="24"/>
          <w:szCs w:val="24"/>
          <w:lang w:val="en-US" w:eastAsia="zh-CN"/>
        </w:rPr>
        <w:t xml:space="preserve"> research introduced nuances to this narrative, suggesting that younger learners may not invariably outperform older counterparts, especially within structured instructional settings. Their study implies that while early exposure confers advantages, older learners can still attain significant proficiency given appropriate instruction and exposure. Consequently, while early exposure may facilitate native-like mastery, older learners can achieve proficiency, albeit potentially with accents or differing linguistic features. Context, motivation, and social factors influence language acquisition alongside age. Therefore, decisions regarding the commencement of second language instruction necessitate careful consideration of program objectives, exposure opportunities, and realistic expectations for learner progress.</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Personality also plays an important role in second language acquisition, but according to Lightbown and Spada</w:t>
      </w:r>
      <w:r>
        <w:rPr>
          <w:rFonts w:hint="eastAsia" w:ascii="Times New Roman" w:hAnsi="Times New Roman" w:cs="Times New Roman"/>
          <w:sz w:val="24"/>
          <w:szCs w:val="24"/>
          <w:lang w:val="en-US" w:eastAsia="zh-CN"/>
        </w:rPr>
        <w:t xml:space="preserve"> (2001)</w:t>
      </w:r>
      <w:r>
        <w:rPr>
          <w:rFonts w:hint="default" w:ascii="Times New Roman" w:hAnsi="Times New Roman" w:cs="Times New Roman"/>
          <w:sz w:val="24"/>
          <w:szCs w:val="24"/>
          <w:lang w:val="en-US" w:eastAsia="zh-CN"/>
        </w:rPr>
        <w:t>, it’s hard to measure individual’s personality in an empirical study, as a result, although some researchers had measured similar personalities, different results were produced. While numerous personality traits have been studied, the available research generally does not provide a clear understanding of how personality influences language learning. One major challenge lies in accurately identifying and measuring personality traits, which complicates research efforts in this area. Furthermore, the impact of personality on language acquisition may vary depending on the specific skills being assessed. Personality traits may play a more significant role in the development of conversational skills compared to grammatical accuracy or metalinguistic knowledge. This discrepancy in findings could partly be attributed to the differing methodologies used across studies. Despite these challenges and mixed results, many researchers still believe that personality likely influences success in language learning. While the exact role of personality in second language acquisition remains complex and not fully understood, it is likely that it interacts with various other factors to influence learning outcomes. Further research is needed to better understand how different personality traits contribute to language learning success and how they interact with other variables in the learning process.</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influence of personality factors on second language acquisition is a hotly debated topic, but it also presents substantial research problems. As Lightbown and Spada (2001) have noted, precisely measuring an individual's personality in empirical investigations is quite difficult. This problem leads to a wide range of research findings, and even when researchers examine similar personality traits, they may reach different conclusions.</w:t>
      </w:r>
    </w:p>
    <w:p>
      <w:pPr>
        <w:rPr>
          <w:rFonts w:hint="default" w:ascii="Times New Roman" w:hAnsi="Times New Roman" w:cs="Times New Roman"/>
          <w:sz w:val="24"/>
          <w:szCs w:val="24"/>
          <w:lang w:val="en-US" w:eastAsia="zh-CN"/>
        </w:rPr>
      </w:pPr>
    </w:p>
    <w:p>
      <w:pPr>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Lightbown and Spada</w:t>
      </w:r>
      <w:r>
        <w:rPr>
          <w:rFonts w:hint="eastAsia" w:ascii="Times New Roman" w:hAnsi="Times New Roman" w:cs="Times New Roman"/>
          <w:sz w:val="24"/>
          <w:szCs w:val="24"/>
          <w:lang w:val="en-US" w:eastAsia="zh-CN"/>
        </w:rPr>
        <w:t xml:space="preserve"> (2001)</w:t>
      </w:r>
      <w:r>
        <w:rPr>
          <w:rFonts w:hint="default" w:ascii="Times New Roman" w:hAnsi="Times New Roman" w:cs="Times New Roman"/>
          <w:sz w:val="24"/>
          <w:szCs w:val="24"/>
          <w:lang w:val="en-US" w:eastAsia="zh-CN"/>
        </w:rPr>
        <w:t xml:space="preserve"> proposed that many researchers posit that personality may indeed impact the success of language learning. This viewpoint is plausible because an individual's personality traits may influence their learning styles, motivation, and learning strategies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Kao and Craigie</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2014</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For instance, an extroverted and sociable person may find it easier to enhance their speaking skills through interpersonal communication, whereas someone more introverted and inclined towards independent thinking may excel in improving vocabulary and grammar knowledge through reading and solitary study</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Dörnyei</w:t>
      </w:r>
      <w:r>
        <w:rPr>
          <w:rFonts w:hint="eastAsia" w:ascii="Times New Roman" w:hAnsi="Times New Roman" w:cs="Times New Roman"/>
          <w:sz w:val="24"/>
          <w:szCs w:val="24"/>
          <w:lang w:val="en-US" w:eastAsia="zh-CN"/>
        </w:rPr>
        <w:t>, 2005)</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According to Chen et al. (2022), research on the influence of personality traits on second language learning indicates that certain traits, such as ‘openness</w:t>
      </w:r>
      <w:r>
        <w:rPr>
          <w:rFonts w:hint="eastAsia" w:ascii="Times New Roman" w:hAnsi="Times New Roman" w:cs="Times New Roman"/>
          <w:sz w:val="24"/>
          <w:szCs w:val="24"/>
          <w:lang w:val="en-US" w:eastAsia="zh-CN"/>
        </w:rPr>
        <w:t xml:space="preserve"> to experience</w:t>
      </w:r>
      <w:r>
        <w:rPr>
          <w:rFonts w:hint="default" w:ascii="Times New Roman" w:hAnsi="Times New Roman" w:cs="Times New Roman"/>
          <w:sz w:val="24"/>
          <w:szCs w:val="24"/>
          <w:lang w:val="en-US" w:eastAsia="zh-CN"/>
        </w:rPr>
        <w:t>’, ‘conscientiousness’, ‘</w:t>
      </w:r>
      <w:r>
        <w:rPr>
          <w:rFonts w:hint="eastAsia" w:ascii="Times New Roman" w:hAnsi="Times New Roman" w:cs="Times New Roman"/>
          <w:sz w:val="24"/>
          <w:szCs w:val="24"/>
          <w:lang w:val="en-US" w:eastAsia="zh-CN"/>
        </w:rPr>
        <w:t>extroversion</w:t>
      </w:r>
      <w:r>
        <w:rPr>
          <w:rFonts w:hint="default" w:ascii="Times New Roman" w:hAnsi="Times New Roman" w:cs="Times New Roman"/>
          <w:sz w:val="24"/>
          <w:szCs w:val="24"/>
          <w:lang w:val="en-US" w:eastAsia="zh-CN"/>
        </w:rPr>
        <w:t>’, and ‘agreeabl</w:t>
      </w:r>
      <w:r>
        <w:rPr>
          <w:rFonts w:hint="eastAsia" w:ascii="Times New Roman" w:hAnsi="Times New Roman" w:cs="Times New Roman"/>
          <w:sz w:val="24"/>
          <w:szCs w:val="24"/>
          <w:lang w:val="en-US" w:eastAsia="zh-CN"/>
        </w:rPr>
        <w:t>eness</w:t>
      </w:r>
      <w:r>
        <w:rPr>
          <w:rFonts w:hint="default" w:ascii="Times New Roman" w:hAnsi="Times New Roman" w:cs="Times New Roman"/>
          <w:sz w:val="24"/>
          <w:szCs w:val="24"/>
          <w:lang w:val="en-US" w:eastAsia="zh-CN"/>
        </w:rPr>
        <w:t>’, are positively correlated with second language learning achievement.These five personality traits offer a complete framework for comprehending and categorizing numerous aspects of personality, and they have been extensively researched in relation to a variety of outcomes, including second language acquisition achievement.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For instance, openness and conscientiousness are considered traits with stronger correlations to second language learning achievement. However, the trait of neuroticism shows a weaker correlation with second language learning achievement, and statistically, it is not significant. These findings suggest that personality traits can indeed impact certain aspects of language learning, although the extent of this influence may vary from person to person.</w:t>
      </w:r>
      <w:r>
        <w:rPr>
          <w:rFonts w:hint="eastAsia" w:ascii="Times New Roman" w:hAnsi="Times New Roman" w:cs="Times New Roman"/>
          <w:sz w:val="24"/>
          <w:szCs w:val="24"/>
          <w:lang w:val="en-US" w:eastAsia="zh-CN"/>
        </w:rPr>
        <w:t xml:space="preserve"> </w:t>
      </w:r>
    </w:p>
    <w:p>
      <w:pPr>
        <w:rPr>
          <w:rFonts w:hint="eastAsia"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However, as highlighted in the article</w:t>
      </w:r>
      <w:r>
        <w:rPr>
          <w:rFonts w:hint="eastAsia" w:ascii="Times New Roman" w:hAnsi="Times New Roman" w:cs="Times New Roman"/>
          <w:sz w:val="24"/>
          <w:szCs w:val="24"/>
          <w:lang w:val="en-US" w:eastAsia="zh-CN"/>
        </w:rPr>
        <w:t xml:space="preserve"> written by Lighbown and Spada</w:t>
      </w:r>
      <w:r>
        <w:rPr>
          <w:rFonts w:hint="default" w:ascii="Times New Roman" w:hAnsi="Times New Roman" w:cs="Times New Roman"/>
          <w:sz w:val="24"/>
          <w:szCs w:val="24"/>
          <w:lang w:val="en-US" w:eastAsia="zh-CN"/>
        </w:rPr>
        <w:t>, current research has yet to provide a clear understanding of how personality influences language learning. This is primarily due to the inherent difficulty in measuring personality traits themselves, let alone accurately correlating them with language learning outcomes. Therefore, while personality may be an important factor, it is just one of the many variables influencing language learning.</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Furthermore, the text also</w:t>
      </w:r>
      <w:r>
        <w:rPr>
          <w:rFonts w:hint="eastAsia" w:ascii="Times New Roman" w:hAnsi="Times New Roman" w:cs="Times New Roman"/>
          <w:sz w:val="24"/>
          <w:szCs w:val="24"/>
          <w:lang w:val="en-US" w:eastAsia="zh-CN"/>
        </w:rPr>
        <w:t xml:space="preserve"> draw conclusion on</w:t>
      </w:r>
      <w:r>
        <w:rPr>
          <w:rFonts w:hint="default" w:ascii="Times New Roman" w:hAnsi="Times New Roman" w:cs="Times New Roman"/>
          <w:sz w:val="24"/>
          <w:szCs w:val="24"/>
          <w:lang w:val="en-US" w:eastAsia="zh-CN"/>
        </w:rPr>
        <w:t xml:space="preserve"> an important point, namely that the influence of personality traits on language acquisition may vary depending on the specific skill being assessed. Understanding how personality traits affect language learning is a complex issue due to difficulties in measuring and defining these traits, and different research methodologies may yield divergent results</w:t>
      </w:r>
      <w:r>
        <w:rPr>
          <w:rFonts w:hint="eastAsia" w:ascii="Times New Roman" w:hAnsi="Times New Roman" w:cs="Times New Roman"/>
          <w:sz w:val="24"/>
          <w:szCs w:val="24"/>
          <w:lang w:val="en-US" w:eastAsia="zh-CN"/>
        </w:rPr>
        <w:t xml:space="preserve"> </w:t>
      </w:r>
      <w:bookmarkStart w:id="0" w:name="_GoBack"/>
      <w:bookmarkEnd w:id="0"/>
      <w:r>
        <w:rPr>
          <w:rFonts w:hint="eastAsia" w:ascii="Times New Roman" w:hAnsi="Times New Roman" w:cs="Times New Roman"/>
          <w:sz w:val="24"/>
          <w:szCs w:val="24"/>
          <w:lang w:val="en-US" w:eastAsia="zh-CN"/>
        </w:rPr>
        <w:t>(Lighbown and Spada, 2001)</w:t>
      </w:r>
      <w:r>
        <w:rPr>
          <w:rFonts w:hint="default" w:ascii="Times New Roman" w:hAnsi="Times New Roman" w:cs="Times New Roman"/>
          <w:sz w:val="24"/>
          <w:szCs w:val="24"/>
          <w:lang w:val="en-US" w:eastAsia="zh-CN"/>
        </w:rPr>
        <w:t>. Moreover, the impact of personality traits on different language skills may also vary</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Róg</w:t>
      </w:r>
      <w:r>
        <w:rPr>
          <w:rFonts w:hint="eastAsia" w:ascii="Times New Roman" w:hAnsi="Times New Roman" w:cs="Times New Roman"/>
          <w:sz w:val="24"/>
          <w:szCs w:val="24"/>
          <w:lang w:val="en-US" w:eastAsia="zh-CN"/>
        </w:rPr>
        <w:t>,2018)</w:t>
      </w:r>
      <w:r>
        <w:rPr>
          <w:rFonts w:hint="default" w:ascii="Times New Roman" w:hAnsi="Times New Roman" w:cs="Times New Roman"/>
          <w:sz w:val="24"/>
          <w:szCs w:val="24"/>
          <w:lang w:val="en-US" w:eastAsia="zh-CN"/>
        </w:rPr>
        <w:t>. For instance, personality traits might play a more significant role in the development of conversational proficiency, while exerting a lesser influence on grammatical accuracy or linguistic knowledge. This underscores the need for nuanced consideration of the relationship between personality and language learning in research, rather than merely conceptualizing it as a singular influencing factor.</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In short, how personality traits affect learning a second language is a complex area still being explored. Factors like age, similarity between native and new languages, and education level can all play a role</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Dörnyei</w:t>
      </w:r>
      <w:r>
        <w:rPr>
          <w:rFonts w:hint="eastAsia" w:ascii="Times New Roman" w:hAnsi="Times New Roman" w:cs="Times New Roman"/>
          <w:sz w:val="24"/>
          <w:szCs w:val="24"/>
          <w:lang w:val="en-US" w:eastAsia="zh-CN"/>
        </w:rPr>
        <w:t>, 2005)</w:t>
      </w:r>
      <w:r>
        <w:rPr>
          <w:rFonts w:hint="default" w:ascii="Times New Roman" w:hAnsi="Times New Roman" w:cs="Times New Roman"/>
          <w:sz w:val="24"/>
          <w:szCs w:val="24"/>
          <w:lang w:val="en-US" w:eastAsia="zh-CN"/>
        </w:rPr>
        <w:t>. Understanding this influence involves considering many factors. While some suggest personality impacts language learning success, more research is needed to understand how different traits affect different parts of learning and interact with other factors.</w:t>
      </w:r>
    </w:p>
    <w:p>
      <w:pPr>
        <w:rPr>
          <w:rFonts w:hint="default" w:ascii="Times New Roman" w:hAnsi="Times New Roman" w:cs="Times New Roman"/>
          <w:sz w:val="24"/>
          <w:szCs w:val="24"/>
          <w:highlight w:val="none"/>
          <w:lang w:val="en-US" w:eastAsia="zh-CN"/>
        </w:rPr>
      </w:pPr>
    </w:p>
    <w:p>
      <w:pPr>
        <w:rPr>
          <w:rFonts w:hint="eastAsia" w:ascii="Times New Roman" w:hAnsi="Times New Roman" w:cs="Times New Roman"/>
          <w:b/>
          <w:bCs/>
          <w:sz w:val="24"/>
          <w:szCs w:val="24"/>
          <w:highlight w:val="none"/>
          <w:lang w:val="en-US" w:eastAsia="zh-CN"/>
        </w:rPr>
      </w:pPr>
      <w:r>
        <w:rPr>
          <w:rFonts w:hint="eastAsia" w:ascii="Times New Roman" w:hAnsi="Times New Roman" w:cs="Times New Roman"/>
          <w:b/>
          <w:bCs/>
          <w:sz w:val="24"/>
          <w:szCs w:val="24"/>
          <w:highlight w:val="none"/>
          <w:lang w:val="en-US" w:eastAsia="zh-CN"/>
        </w:rPr>
        <w:t>Conclusion</w:t>
      </w:r>
    </w:p>
    <w:p>
      <w:pPr>
        <w:rPr>
          <w:rFonts w:hint="default" w:ascii="Times New Roman" w:hAnsi="Times New Roman" w:cs="Times New Roman"/>
          <w:sz w:val="24"/>
          <w:szCs w:val="24"/>
          <w:highlight w:val="none"/>
          <w:lang w:val="en-US" w:eastAsia="zh-CN"/>
        </w:rPr>
      </w:pPr>
    </w:p>
    <w:p>
      <w:pPr>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All in all</w:t>
      </w:r>
      <w:r>
        <w:rPr>
          <w:rFonts w:hint="default" w:ascii="Times New Roman" w:hAnsi="Times New Roman" w:cs="Times New Roman"/>
          <w:sz w:val="24"/>
          <w:szCs w:val="24"/>
          <w:lang w:val="en-US" w:eastAsia="zh-CN"/>
        </w:rPr>
        <w:t xml:space="preserve">, the complex relationship between personality factors and second language acquisition presents an intriguing field for future research. As has been seen throughout this discussion, several factors contribute to the complexities of understanding how personality effects language acquisition outcomes. While scholars have worked to shed light on this phenomenon, difficulties remain in precisely measuring and describing personality qualities, as well as establishing consistent relationships with language learning success. </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br w:type="textWrapping"/>
      </w:r>
      <w:r>
        <w:rPr>
          <w:rFonts w:hint="default" w:ascii="Times New Roman" w:hAnsi="Times New Roman" w:cs="Times New Roman"/>
          <w:sz w:val="24"/>
          <w:szCs w:val="24"/>
          <w:lang w:val="en-US" w:eastAsia="zh-CN"/>
        </w:rPr>
        <w:t>The multidimensional nature of language learning needs a comprehensive approach that takes into account a variety of learner qualities</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While some research suggest that certain personality qualities, such as openness to experience and conscientiousness, may have a positive correlation with language acquisition achievement, the magnitude and specificity of these connections require further investigation. </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Furthermore, the contextual intricacies of language learning, such as the specific abilities measured and teaching approaches used, add levels of complexity to the relationship between personality and language acquisition. Personality qualities, for example, may have a greater impact on conversational skill than on grammatical precision or metalinguistic understanding. </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br w:type="textWrapping"/>
      </w:r>
      <w:r>
        <w:rPr>
          <w:rFonts w:hint="default" w:ascii="Times New Roman" w:hAnsi="Times New Roman" w:cs="Times New Roman"/>
          <w:sz w:val="24"/>
          <w:szCs w:val="24"/>
          <w:lang w:val="en-US" w:eastAsia="zh-CN"/>
        </w:rPr>
        <w:t xml:space="preserve">Given the complexities of these relationships, future research must employ multidisciplinary views and creative approaches to improve our understanding of how personality traits interact with diverse aspects of language learning. Taking a nuanced and comprehensive approach allows educators and practitioners to customize instructional tactics to better suit learners' different profiles and improve overall learning outcomes. </w:t>
      </w:r>
      <w:r>
        <w:rPr>
          <w:rFonts w:hint="eastAsia" w:ascii="Times New Roman" w:hAnsi="Times New Roman" w:cs="Times New Roman"/>
          <w:sz w:val="24"/>
          <w:szCs w:val="24"/>
          <w:lang w:val="en-US" w:eastAsia="zh-CN"/>
        </w:rPr>
        <w:t>W</w:t>
      </w:r>
      <w:r>
        <w:rPr>
          <w:rFonts w:hint="default" w:ascii="Times New Roman" w:hAnsi="Times New Roman" w:cs="Times New Roman"/>
          <w:sz w:val="24"/>
          <w:szCs w:val="24"/>
          <w:lang w:val="en-US" w:eastAsia="zh-CN"/>
        </w:rPr>
        <w:t>hile the role of personality factors on second language learning remains a varied and hard subject, ongoing scholarly research holds promise for explaining this complex link and shaping future language teaching approaches.</w:t>
      </w:r>
    </w:p>
    <w:p>
      <w:pPr>
        <w:rPr>
          <w:rFonts w:hint="default" w:ascii="Times New Roman" w:hAnsi="Times New Roman" w:cs="Times New Roman"/>
          <w:sz w:val="24"/>
          <w:szCs w:val="24"/>
          <w:highlight w:val="none"/>
          <w:lang w:val="en-US" w:eastAsia="zh-CN"/>
        </w:rPr>
      </w:pPr>
    </w:p>
    <w:p>
      <w:pPr>
        <w:rPr>
          <w:rFonts w:hint="default" w:ascii="Times New Roman" w:hAnsi="Times New Roman" w:cs="Times New Roman"/>
          <w:sz w:val="24"/>
          <w:szCs w:val="24"/>
          <w:highlight w:val="none"/>
          <w:lang w:val="en-US" w:eastAsia="zh-CN"/>
        </w:rPr>
      </w:pPr>
    </w:p>
    <w:p>
      <w:pPr>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Word count: 2052</w:t>
      </w:r>
    </w:p>
    <w:p>
      <w:pPr>
        <w:rPr>
          <w:rFonts w:hint="eastAsia" w:ascii="Times New Roman" w:hAnsi="Times New Roman" w:cs="Times New Roman"/>
          <w:sz w:val="24"/>
          <w:szCs w:val="24"/>
          <w:highlight w:val="none"/>
          <w:lang w:val="en-US" w:eastAsia="zh-CN"/>
        </w:rPr>
      </w:pPr>
    </w:p>
    <w:p>
      <w:pPr>
        <w:rPr>
          <w:rFonts w:hint="eastAsia" w:ascii="Times New Roman" w:hAnsi="Times New Roman" w:cs="Times New Roman"/>
          <w:sz w:val="24"/>
          <w:szCs w:val="24"/>
          <w:highlight w:val="none"/>
          <w:lang w:val="en-US" w:eastAsia="zh-CN"/>
        </w:rPr>
      </w:pPr>
    </w:p>
    <w:p>
      <w:pPr>
        <w:rPr>
          <w:rFonts w:hint="eastAsia" w:ascii="Times New Roman" w:hAnsi="Times New Roman" w:cs="Times New Roman"/>
          <w:sz w:val="24"/>
          <w:szCs w:val="24"/>
          <w:highlight w:val="none"/>
          <w:lang w:val="en-US" w:eastAsia="zh-CN"/>
        </w:rPr>
      </w:pPr>
    </w:p>
    <w:p>
      <w:pPr>
        <w:widowControl/>
        <w:spacing w:before="156" w:beforeLines="50" w:after="100" w:afterAutospacing="1" w:line="360" w:lineRule="auto"/>
        <w:rPr>
          <w:rFonts w:ascii="Times New Roman" w:hAnsi="Times New Roman" w:eastAsia="宋体" w:cs="Times New Roman"/>
          <w:b/>
          <w:bCs/>
          <w:kern w:val="0"/>
          <w:sz w:val="24"/>
          <w:lang w:bidi="ar"/>
        </w:rPr>
      </w:pPr>
      <w:r>
        <w:rPr>
          <w:rFonts w:hint="eastAsia" w:ascii="Times New Roman" w:hAnsi="Times New Roman" w:eastAsia="宋体" w:cs="Times New Roman"/>
          <w:b/>
          <w:bCs/>
          <w:kern w:val="0"/>
          <w:sz w:val="24"/>
          <w:lang w:val="en-US" w:eastAsia="zh-CN" w:bidi="ar"/>
        </w:rPr>
        <w:t>References</w:t>
      </w:r>
    </w:p>
    <w:p>
      <w:pPr>
        <w:widowControl/>
        <w:spacing w:before="156" w:beforeLines="50" w:after="100" w:afterAutospacing="1" w:line="360" w:lineRule="auto"/>
        <w:rPr>
          <w:rFonts w:hint="eastAsia" w:ascii="Times New Roman" w:hAnsi="Times New Roman" w:eastAsia="宋体" w:cs="Times New Roman"/>
          <w:kern w:val="0"/>
          <w:sz w:val="24"/>
          <w:lang w:bidi="ar"/>
        </w:rPr>
      </w:pPr>
      <w:r>
        <w:rPr>
          <w:rFonts w:ascii="Times New Roman" w:hAnsi="Times New Roman" w:eastAsia="宋体" w:cs="Times New Roman"/>
          <w:kern w:val="0"/>
          <w:sz w:val="24"/>
          <w:lang w:bidi="ar"/>
        </w:rPr>
        <w:t xml:space="preserve">Chen, X. et al. (2022) ‘Big Five Personality Traits and Second Language Learning: A Meta-analysis of 40 Years’ Research’, </w:t>
      </w:r>
      <w:r>
        <w:rPr>
          <w:rFonts w:ascii="Times New Roman" w:hAnsi="Times New Roman" w:eastAsia="宋体" w:cs="Times New Roman"/>
          <w:i/>
          <w:iCs/>
          <w:kern w:val="0"/>
          <w:sz w:val="24"/>
          <w:lang w:bidi="ar"/>
        </w:rPr>
        <w:t>Educational psychology review</w:t>
      </w:r>
      <w:r>
        <w:rPr>
          <w:rFonts w:ascii="Times New Roman" w:hAnsi="Times New Roman" w:eastAsia="宋体" w:cs="Times New Roman"/>
          <w:kern w:val="0"/>
          <w:sz w:val="24"/>
          <w:lang w:bidi="ar"/>
        </w:rPr>
        <w:t xml:space="preserve">, 34(2), pp. 851–887. Available at: </w:t>
      </w:r>
      <w:r>
        <w:fldChar w:fldCharType="begin"/>
      </w:r>
      <w:r>
        <w:instrText xml:space="preserve"> HYPERLINK "https://doi.org/10.1007/s10648-021-09641-6." </w:instrText>
      </w:r>
      <w:r>
        <w:fldChar w:fldCharType="separate"/>
      </w:r>
      <w:r>
        <w:rPr>
          <w:rStyle w:val="4"/>
          <w:rFonts w:ascii="Times New Roman" w:hAnsi="Times New Roman" w:eastAsia="宋体" w:cs="Times New Roman"/>
          <w:kern w:val="0"/>
          <w:sz w:val="24"/>
          <w:lang w:bidi="ar"/>
        </w:rPr>
        <w:t>https://doi.org/10.1007/s10648-021-09641-6.</w:t>
      </w:r>
      <w:r>
        <w:rPr>
          <w:rStyle w:val="4"/>
          <w:rFonts w:ascii="Times New Roman" w:hAnsi="Times New Roman" w:eastAsia="宋体" w:cs="Times New Roman"/>
          <w:kern w:val="0"/>
          <w:sz w:val="24"/>
          <w:lang w:bidi="ar"/>
        </w:rPr>
        <w:fldChar w:fldCharType="end"/>
      </w:r>
    </w:p>
    <w:p>
      <w:pPr>
        <w:widowControl/>
        <w:spacing w:before="156" w:beforeLines="50" w:after="100" w:afterAutospacing="1" w:line="360" w:lineRule="auto"/>
        <w:rPr>
          <w:rFonts w:ascii="Times New Roman" w:hAnsi="Times New Roman" w:eastAsia="宋体" w:cs="Times New Roman"/>
          <w:color w:val="000000"/>
          <w:kern w:val="0"/>
          <w:sz w:val="24"/>
          <w:lang w:bidi="ar"/>
        </w:rPr>
      </w:pPr>
      <w:r>
        <w:rPr>
          <w:rFonts w:ascii="Times New Roman" w:hAnsi="Times New Roman" w:eastAsia="宋体" w:cs="Times New Roman"/>
          <w:color w:val="000000"/>
          <w:kern w:val="0"/>
          <w:sz w:val="24"/>
          <w:lang w:bidi="ar"/>
        </w:rPr>
        <w:t xml:space="preserve">Crookes, G and Schmidt, R. (1991) ‘Motivation: “Reopening the research agenda”’, </w:t>
      </w:r>
      <w:r>
        <w:rPr>
          <w:rFonts w:ascii="Times New Roman" w:hAnsi="Times New Roman" w:eastAsia="TimesNewRomanPS-ItalicMT" w:cs="Times New Roman"/>
          <w:i/>
          <w:iCs/>
          <w:color w:val="000000"/>
          <w:kern w:val="0"/>
          <w:sz w:val="24"/>
          <w:lang w:bidi="ar"/>
        </w:rPr>
        <w:t>Language Learning</w:t>
      </w:r>
      <w:r>
        <w:rPr>
          <w:rFonts w:ascii="Times New Roman" w:hAnsi="Times New Roman" w:eastAsia="TimesNewRomanPS-ItalicMT" w:cs="Times New Roman"/>
          <w:color w:val="000000"/>
          <w:kern w:val="0"/>
          <w:sz w:val="24"/>
          <w:lang w:bidi="ar"/>
        </w:rPr>
        <w:t xml:space="preserve">, </w:t>
      </w:r>
      <w:r>
        <w:rPr>
          <w:rFonts w:ascii="Times New Roman" w:hAnsi="Times New Roman" w:eastAsia="宋体" w:cs="Times New Roman"/>
          <w:color w:val="000000"/>
          <w:kern w:val="0"/>
          <w:sz w:val="24"/>
          <w:lang w:bidi="ar"/>
        </w:rPr>
        <w:t xml:space="preserve">41 (4): pp. 469-512. </w:t>
      </w:r>
    </w:p>
    <w:p>
      <w:pPr>
        <w:widowControl/>
        <w:spacing w:before="156" w:beforeLines="50" w:after="100" w:afterAutospacing="1" w:line="360" w:lineRule="auto"/>
        <w:rPr>
          <w:rFonts w:ascii="Times New Roman" w:hAnsi="Times New Roman" w:eastAsia="宋体" w:cs="Times New Roman"/>
          <w:color w:val="000000"/>
          <w:kern w:val="0"/>
          <w:sz w:val="24"/>
          <w:lang w:bidi="ar"/>
        </w:rPr>
      </w:pPr>
      <w:r>
        <w:rPr>
          <w:rFonts w:ascii="Times New Roman" w:hAnsi="Times New Roman" w:eastAsia="宋体" w:cs="Times New Roman"/>
          <w:kern w:val="0"/>
          <w:sz w:val="24"/>
          <w:lang w:bidi="ar"/>
        </w:rPr>
        <w:t xml:space="preserve">Dörnyei, Z. (2005) </w:t>
      </w:r>
      <w:r>
        <w:rPr>
          <w:rFonts w:ascii="Times New Roman" w:hAnsi="Times New Roman" w:eastAsia="宋体" w:cs="Times New Roman"/>
          <w:i/>
          <w:iCs/>
          <w:kern w:val="0"/>
          <w:sz w:val="24"/>
          <w:lang w:bidi="ar"/>
        </w:rPr>
        <w:t>The Psychology of the Language Learner Individual Differences In Second Language Acquisition</w:t>
      </w:r>
      <w:r>
        <w:rPr>
          <w:rFonts w:ascii="Times New Roman" w:hAnsi="Times New Roman" w:eastAsia="宋体" w:cs="Times New Roman"/>
          <w:kern w:val="0"/>
          <w:sz w:val="24"/>
          <w:lang w:bidi="ar"/>
        </w:rPr>
        <w:t>. London: Lawrence Erlbaum Associates</w:t>
      </w:r>
    </w:p>
    <w:p>
      <w:pPr>
        <w:widowControl/>
        <w:spacing w:before="156" w:beforeLines="50" w:after="100" w:afterAutospacing="1" w:line="360" w:lineRule="auto"/>
        <w:rPr>
          <w:rFonts w:hint="eastAsia" w:ascii="Times New Roman" w:hAnsi="Times New Roman" w:cs="Times New Roman"/>
          <w:sz w:val="24"/>
        </w:rPr>
      </w:pPr>
      <w:r>
        <w:rPr>
          <w:rFonts w:ascii="Times New Roman" w:hAnsi="Times New Roman" w:eastAsia="宋体" w:cs="Times New Roman"/>
          <w:color w:val="000000"/>
          <w:kern w:val="0"/>
          <w:sz w:val="24"/>
          <w:lang w:bidi="ar"/>
        </w:rPr>
        <w:t xml:space="preserve">Gardner, R. (1985) </w:t>
      </w:r>
      <w:r>
        <w:rPr>
          <w:rFonts w:ascii="Times New Roman" w:hAnsi="Times New Roman" w:eastAsia="TimesNewRomanPS-ItalicMT" w:cs="Times New Roman"/>
          <w:i/>
          <w:iCs/>
          <w:color w:val="000000"/>
          <w:kern w:val="0"/>
          <w:sz w:val="24"/>
          <w:lang w:bidi="ar"/>
        </w:rPr>
        <w:t>Social Psychology and Second Language Learning: The Role of Attitudes and Motivation</w:t>
      </w:r>
      <w:r>
        <w:rPr>
          <w:rFonts w:ascii="Times New Roman" w:hAnsi="Times New Roman" w:eastAsia="TimesNewRomanPS-ItalicMT" w:cs="Times New Roman"/>
          <w:color w:val="000000"/>
          <w:kern w:val="0"/>
          <w:sz w:val="24"/>
          <w:lang w:bidi="ar"/>
        </w:rPr>
        <w:t xml:space="preserve">. </w:t>
      </w:r>
      <w:r>
        <w:rPr>
          <w:rFonts w:ascii="Times New Roman" w:hAnsi="Times New Roman" w:eastAsia="宋体" w:cs="Times New Roman"/>
          <w:color w:val="000000"/>
          <w:kern w:val="0"/>
          <w:sz w:val="24"/>
          <w:lang w:bidi="ar"/>
        </w:rPr>
        <w:t xml:space="preserve">London: Edward Arnold. </w:t>
      </w:r>
    </w:p>
    <w:p>
      <w:pPr>
        <w:widowControl/>
        <w:spacing w:before="156" w:beforeLines="50" w:after="100" w:afterAutospacing="1" w:line="360" w:lineRule="auto"/>
        <w:rPr>
          <w:rFonts w:hint="eastAsia" w:ascii="Times New Roman" w:hAnsi="Times New Roman" w:cs="Times New Roman"/>
          <w:sz w:val="24"/>
        </w:rPr>
      </w:pPr>
      <w:r>
        <w:rPr>
          <w:rFonts w:ascii="Times New Roman" w:hAnsi="Times New Roman" w:eastAsia="宋体" w:cs="Times New Roman"/>
          <w:color w:val="000000"/>
          <w:kern w:val="0"/>
          <w:sz w:val="24"/>
          <w:lang w:bidi="ar"/>
        </w:rPr>
        <w:t xml:space="preserve">Gardner, R and Lambert, W.E. (1972) </w:t>
      </w:r>
      <w:r>
        <w:rPr>
          <w:rFonts w:ascii="Times New Roman" w:hAnsi="Times New Roman" w:eastAsia="TimesNewRomanPS-ItalicMT" w:cs="Times New Roman"/>
          <w:i/>
          <w:iCs/>
          <w:color w:val="000000"/>
          <w:kern w:val="0"/>
          <w:sz w:val="24"/>
          <w:lang w:bidi="ar"/>
        </w:rPr>
        <w:t>Attitudes and Motivation in Second-Language Learning</w:t>
      </w:r>
      <w:r>
        <w:rPr>
          <w:rFonts w:ascii="Times New Roman" w:hAnsi="Times New Roman" w:eastAsia="TimesNewRomanPS-ItalicMT" w:cs="Times New Roman"/>
          <w:color w:val="000000"/>
          <w:kern w:val="0"/>
          <w:sz w:val="24"/>
          <w:lang w:bidi="ar"/>
        </w:rPr>
        <w:t xml:space="preserve">. </w:t>
      </w:r>
      <w:r>
        <w:rPr>
          <w:rFonts w:ascii="Times New Roman" w:hAnsi="Times New Roman" w:eastAsia="宋体" w:cs="Times New Roman"/>
          <w:color w:val="000000"/>
          <w:kern w:val="0"/>
          <w:sz w:val="24"/>
          <w:lang w:bidi="ar"/>
        </w:rPr>
        <w:t xml:space="preserve">Rowley, Mass.: Newbury House. </w:t>
      </w:r>
    </w:p>
    <w:p>
      <w:pPr>
        <w:widowControl/>
        <w:spacing w:before="156" w:beforeLines="50" w:after="100" w:afterAutospacing="1" w:line="360" w:lineRule="auto"/>
        <w:rPr>
          <w:rFonts w:ascii="Times New Roman" w:hAnsi="Times New Roman" w:eastAsia="宋体" w:cs="Times New Roman"/>
          <w:color w:val="000000"/>
          <w:kern w:val="0"/>
          <w:sz w:val="24"/>
          <w:lang w:bidi="ar"/>
        </w:rPr>
      </w:pPr>
      <w:r>
        <w:rPr>
          <w:rFonts w:ascii="Times New Roman" w:hAnsi="Times New Roman" w:eastAsia="宋体" w:cs="Times New Roman"/>
          <w:color w:val="000000"/>
          <w:kern w:val="0"/>
          <w:sz w:val="24"/>
          <w:lang w:bidi="ar"/>
        </w:rPr>
        <w:t xml:space="preserve">Genesee, F. (1976) ‘The role of intelligence in second language learning’, </w:t>
      </w:r>
      <w:r>
        <w:rPr>
          <w:rFonts w:ascii="Times New Roman" w:hAnsi="Times New Roman" w:eastAsia="TimesNewRomanPS-ItalicMT" w:cs="Times New Roman"/>
          <w:i/>
          <w:iCs/>
          <w:color w:val="000000"/>
          <w:kern w:val="0"/>
          <w:sz w:val="24"/>
          <w:lang w:bidi="ar"/>
        </w:rPr>
        <w:t>Language Learning</w:t>
      </w:r>
      <w:r>
        <w:rPr>
          <w:rFonts w:ascii="Times New Roman" w:hAnsi="Times New Roman" w:eastAsia="TimesNewRomanPS-ItalicMT" w:cs="Times New Roman"/>
          <w:color w:val="000000"/>
          <w:kern w:val="0"/>
          <w:sz w:val="24"/>
          <w:lang w:bidi="ar"/>
        </w:rPr>
        <w:t xml:space="preserve">, </w:t>
      </w:r>
      <w:r>
        <w:rPr>
          <w:rFonts w:ascii="Times New Roman" w:hAnsi="Times New Roman" w:eastAsia="宋体" w:cs="Times New Roman"/>
          <w:color w:val="000000"/>
          <w:kern w:val="0"/>
          <w:sz w:val="24"/>
          <w:lang w:bidi="ar"/>
        </w:rPr>
        <w:t xml:space="preserve">26 (2), pp. 267-280. </w:t>
      </w:r>
    </w:p>
    <w:p>
      <w:pPr>
        <w:widowControl/>
        <w:spacing w:before="156" w:beforeLines="50" w:after="100" w:afterAutospacing="1" w:line="360" w:lineRule="auto"/>
        <w:rPr>
          <w:rFonts w:hint="eastAsia" w:ascii="Times New Roman" w:hAnsi="Times New Roman" w:eastAsia="宋体" w:cs="Times New Roman"/>
          <w:kern w:val="0"/>
          <w:sz w:val="24"/>
          <w:lang w:bidi="ar"/>
        </w:rPr>
      </w:pPr>
      <w:r>
        <w:rPr>
          <w:rFonts w:ascii="Times New Roman" w:hAnsi="Times New Roman" w:eastAsia="宋体" w:cs="Times New Roman"/>
          <w:kern w:val="0"/>
          <w:sz w:val="24"/>
          <w:lang w:bidi="ar"/>
        </w:rPr>
        <w:t xml:space="preserve">Kao, P.C. and Craigie, P. (2014) ‘Effects of English usage on Facebook and personality traits on achievement of students learning English as a foreign language’, </w:t>
      </w:r>
      <w:r>
        <w:rPr>
          <w:rFonts w:ascii="Times New Roman" w:hAnsi="Times New Roman" w:eastAsia="宋体" w:cs="Times New Roman"/>
          <w:i/>
          <w:iCs/>
          <w:kern w:val="0"/>
          <w:sz w:val="24"/>
          <w:lang w:bidi="ar"/>
        </w:rPr>
        <w:t>Social Behavior and Personality</w:t>
      </w:r>
      <w:r>
        <w:rPr>
          <w:rFonts w:ascii="Times New Roman" w:hAnsi="Times New Roman" w:eastAsia="宋体" w:cs="Times New Roman"/>
          <w:kern w:val="0"/>
          <w:sz w:val="24"/>
          <w:lang w:bidi="ar"/>
        </w:rPr>
        <w:t xml:space="preserve">, 42(1), pp. 17–24. Available at: </w:t>
      </w:r>
      <w:r>
        <w:fldChar w:fldCharType="begin"/>
      </w:r>
      <w:r>
        <w:instrText xml:space="preserve"> HYPERLINK "https://doi.org/10.2224/sbp.2014.42.1.17" </w:instrText>
      </w:r>
      <w:r>
        <w:fldChar w:fldCharType="separate"/>
      </w:r>
      <w:r>
        <w:rPr>
          <w:rStyle w:val="4"/>
          <w:rFonts w:ascii="Times New Roman" w:hAnsi="Times New Roman" w:eastAsia="宋体" w:cs="Times New Roman"/>
          <w:kern w:val="0"/>
          <w:sz w:val="24"/>
          <w:lang w:bidi="ar"/>
        </w:rPr>
        <w:t>https://doi.org/10.2224/sbp.2014.42.1.17</w:t>
      </w:r>
      <w:r>
        <w:rPr>
          <w:rStyle w:val="4"/>
          <w:rFonts w:ascii="Times New Roman" w:hAnsi="Times New Roman" w:eastAsia="宋体" w:cs="Times New Roman"/>
          <w:kern w:val="0"/>
          <w:sz w:val="24"/>
          <w:lang w:bidi="ar"/>
        </w:rPr>
        <w:fldChar w:fldCharType="end"/>
      </w:r>
      <w:r>
        <w:rPr>
          <w:rFonts w:ascii="Times New Roman" w:hAnsi="Times New Roman" w:eastAsia="宋体" w:cs="Times New Roman"/>
          <w:kern w:val="0"/>
          <w:sz w:val="24"/>
          <w:lang w:bidi="ar"/>
        </w:rPr>
        <w:t>.</w:t>
      </w:r>
    </w:p>
    <w:p>
      <w:pPr>
        <w:widowControl/>
        <w:spacing w:before="156" w:beforeLines="50" w:after="100" w:afterAutospacing="1" w:line="360" w:lineRule="auto"/>
        <w:rPr>
          <w:rFonts w:ascii="Times New Roman" w:hAnsi="Times New Roman" w:eastAsia="宋体" w:cs="Times New Roman"/>
          <w:color w:val="000000"/>
          <w:kern w:val="0"/>
          <w:sz w:val="24"/>
          <w:lang w:bidi="ar"/>
        </w:rPr>
      </w:pPr>
      <w:r>
        <w:rPr>
          <w:rFonts w:ascii="Times New Roman" w:hAnsi="Times New Roman" w:eastAsia="宋体" w:cs="Times New Roman"/>
          <w:kern w:val="0"/>
          <w:sz w:val="24"/>
          <w:lang w:bidi="ar"/>
        </w:rPr>
        <w:t>Lightbown, P.M. and Spada, N. (2001) ‘Factors Affecting Second Language Learning’, in C.N. Candlin and N. Mercer (eds) English Language Teaching in its Social Context. London: Routledge, pp. 28-43.</w:t>
      </w:r>
    </w:p>
    <w:p>
      <w:pPr>
        <w:widowControl/>
        <w:spacing w:before="156" w:beforeLines="50" w:after="100" w:afterAutospacing="1" w:line="360" w:lineRule="auto"/>
        <w:rPr>
          <w:rFonts w:ascii="Times New Roman" w:hAnsi="Times New Roman" w:eastAsia="宋体" w:cs="Times New Roman"/>
          <w:color w:val="000000"/>
          <w:kern w:val="0"/>
          <w:sz w:val="24"/>
          <w:lang w:bidi="ar"/>
        </w:rPr>
      </w:pPr>
      <w:r>
        <w:rPr>
          <w:rFonts w:ascii="Times New Roman" w:hAnsi="Times New Roman" w:eastAsia="宋体" w:cs="Times New Roman"/>
          <w:color w:val="000000"/>
          <w:kern w:val="0"/>
          <w:sz w:val="24"/>
          <w:lang w:bidi="ar"/>
        </w:rPr>
        <w:t xml:space="preserve">Reid, J. (ed.) (1995) </w:t>
      </w:r>
      <w:r>
        <w:rPr>
          <w:rFonts w:ascii="Times New Roman" w:hAnsi="Times New Roman" w:eastAsia="宋体" w:cs="Times New Roman"/>
          <w:i/>
          <w:iCs/>
          <w:color w:val="000000"/>
          <w:kern w:val="0"/>
          <w:sz w:val="24"/>
          <w:lang w:bidi="ar"/>
        </w:rPr>
        <w:t>Learning Styles in the ESL/EFL Classroom</w:t>
      </w:r>
      <w:r>
        <w:rPr>
          <w:rFonts w:ascii="Times New Roman" w:hAnsi="Times New Roman" w:eastAsia="宋体" w:cs="Times New Roman"/>
          <w:color w:val="000000"/>
          <w:kern w:val="0"/>
          <w:sz w:val="24"/>
          <w:lang w:bidi="ar"/>
        </w:rPr>
        <w:t xml:space="preserve">. New York: Heinle &amp; Heinle. </w:t>
      </w:r>
    </w:p>
    <w:p>
      <w:pPr>
        <w:widowControl/>
        <w:spacing w:before="156" w:beforeLines="50" w:after="100" w:afterAutospacing="1" w:line="360" w:lineRule="auto"/>
        <w:rPr>
          <w:rFonts w:hint="eastAsia" w:ascii="Times New Roman" w:hAnsi="Times New Roman" w:eastAsia="宋体" w:cs="Times New Roman"/>
          <w:color w:val="000000"/>
          <w:kern w:val="0"/>
          <w:sz w:val="24"/>
          <w:lang w:bidi="ar"/>
        </w:rPr>
      </w:pPr>
      <w:r>
        <w:rPr>
          <w:rFonts w:ascii="Times New Roman" w:hAnsi="Times New Roman" w:eastAsia="宋体" w:cs="Times New Roman"/>
          <w:kern w:val="0"/>
          <w:sz w:val="24"/>
          <w:lang w:bidi="ar"/>
        </w:rPr>
        <w:t xml:space="preserve">Róg, T. (2018) ‘Language and culture learning strategies in a study abroad context’, </w:t>
      </w:r>
      <w:r>
        <w:rPr>
          <w:rFonts w:ascii="Times New Roman" w:hAnsi="Times New Roman" w:eastAsia="宋体" w:cs="Times New Roman"/>
          <w:i/>
          <w:iCs/>
          <w:kern w:val="0"/>
          <w:sz w:val="24"/>
          <w:lang w:bidi="ar"/>
        </w:rPr>
        <w:t xml:space="preserve">Neofilolog, </w:t>
      </w:r>
      <w:r>
        <w:rPr>
          <w:rFonts w:ascii="Times New Roman" w:hAnsi="Times New Roman" w:eastAsia="宋体" w:cs="Times New Roman"/>
          <w:kern w:val="0"/>
          <w:sz w:val="24"/>
          <w:lang w:bidi="ar"/>
        </w:rPr>
        <w:t xml:space="preserve">46(1), pp. 11-27. Available at: </w:t>
      </w:r>
      <w:r>
        <w:fldChar w:fldCharType="begin"/>
      </w:r>
      <w:r>
        <w:instrText xml:space="preserve"> HYPERLINK "https://doi.org/10.14746/n.2016.46.1.02" </w:instrText>
      </w:r>
      <w:r>
        <w:fldChar w:fldCharType="separate"/>
      </w:r>
      <w:r>
        <w:rPr>
          <w:rStyle w:val="4"/>
          <w:rFonts w:ascii="Times New Roman" w:hAnsi="Times New Roman" w:eastAsia="宋体" w:cs="Times New Roman"/>
          <w:kern w:val="0"/>
          <w:sz w:val="24"/>
          <w:lang w:bidi="ar"/>
        </w:rPr>
        <w:t>https://doi.org/10.14746/n.2016.46.1.02</w:t>
      </w:r>
      <w:r>
        <w:rPr>
          <w:rStyle w:val="4"/>
          <w:rFonts w:ascii="Times New Roman" w:hAnsi="Times New Roman" w:eastAsia="宋体" w:cs="Times New Roman"/>
          <w:kern w:val="0"/>
          <w:sz w:val="24"/>
          <w:lang w:bidi="ar"/>
        </w:rPr>
        <w:fldChar w:fldCharType="end"/>
      </w:r>
      <w:r>
        <w:rPr>
          <w:rFonts w:ascii="Times New Roman" w:hAnsi="Times New Roman" w:eastAsia="宋体" w:cs="Times New Roman"/>
          <w:kern w:val="0"/>
          <w:sz w:val="24"/>
          <w:lang w:bidi="ar"/>
        </w:rPr>
        <w:t>.</w:t>
      </w:r>
    </w:p>
    <w:p>
      <w:pPr>
        <w:widowControl/>
        <w:spacing w:before="156" w:beforeLines="50" w:after="100" w:afterAutospacing="1" w:line="360" w:lineRule="auto"/>
        <w:rPr>
          <w:rFonts w:ascii="Times New Roman" w:hAnsi="Times New Roman" w:cs="Times New Roman"/>
          <w:sz w:val="24"/>
        </w:rPr>
      </w:pPr>
      <w:r>
        <w:rPr>
          <w:rFonts w:ascii="Times New Roman" w:hAnsi="Times New Roman" w:eastAsia="宋体" w:cs="Times New Roman"/>
          <w:color w:val="000000"/>
          <w:kern w:val="0"/>
          <w:sz w:val="24"/>
          <w:lang w:bidi="ar"/>
        </w:rPr>
        <w:t xml:space="preserve">Skehan, P. (1989) </w:t>
      </w:r>
      <w:r>
        <w:rPr>
          <w:rFonts w:ascii="Times New Roman" w:hAnsi="Times New Roman" w:eastAsia="TimesNewRomanPS-ItalicMT" w:cs="Times New Roman"/>
          <w:i/>
          <w:iCs/>
          <w:color w:val="000000"/>
          <w:kern w:val="0"/>
          <w:sz w:val="24"/>
          <w:lang w:bidi="ar"/>
        </w:rPr>
        <w:t xml:space="preserve">Individual Differences </w:t>
      </w:r>
      <w:r>
        <w:rPr>
          <w:rFonts w:ascii="Times New Roman" w:hAnsi="Times New Roman" w:eastAsia="宋体" w:cs="Times New Roman"/>
          <w:i/>
          <w:iCs/>
          <w:color w:val="000000"/>
          <w:kern w:val="0"/>
          <w:sz w:val="24"/>
          <w:lang w:bidi="ar"/>
        </w:rPr>
        <w:t xml:space="preserve">in </w:t>
      </w:r>
      <w:r>
        <w:rPr>
          <w:rFonts w:ascii="Times New Roman" w:hAnsi="Times New Roman" w:eastAsia="TimesNewRomanPS-ItalicMT" w:cs="Times New Roman"/>
          <w:i/>
          <w:iCs/>
          <w:color w:val="000000"/>
          <w:kern w:val="0"/>
          <w:sz w:val="24"/>
          <w:lang w:bidi="ar"/>
        </w:rPr>
        <w:t>Second Language Learning</w:t>
      </w:r>
      <w:r>
        <w:rPr>
          <w:rFonts w:ascii="Times New Roman" w:hAnsi="Times New Roman" w:eastAsia="TimesNewRomanPS-ItalicMT" w:cs="Times New Roman"/>
          <w:color w:val="000000"/>
          <w:kern w:val="0"/>
          <w:sz w:val="24"/>
          <w:lang w:bidi="ar"/>
        </w:rPr>
        <w:t xml:space="preserve">. </w:t>
      </w:r>
      <w:r>
        <w:rPr>
          <w:rFonts w:ascii="Times New Roman" w:hAnsi="Times New Roman" w:eastAsia="宋体" w:cs="Times New Roman"/>
          <w:color w:val="000000"/>
          <w:kern w:val="0"/>
          <w:sz w:val="24"/>
          <w:lang w:bidi="ar"/>
        </w:rPr>
        <w:t xml:space="preserve">London: Edward Arnold. </w:t>
      </w:r>
    </w:p>
    <w:p>
      <w:pPr>
        <w:widowControl/>
        <w:spacing w:before="156" w:beforeLines="50" w:after="100" w:afterAutospacing="1" w:line="360" w:lineRule="auto"/>
        <w:rPr>
          <w:rFonts w:hint="eastAsia" w:ascii="Times New Roman" w:hAnsi="Times New Roman" w:cs="Times New Roman"/>
          <w:sz w:val="24"/>
        </w:rPr>
      </w:pPr>
      <w:r>
        <w:rPr>
          <w:rFonts w:ascii="Times New Roman" w:hAnsi="Times New Roman" w:eastAsia="宋体" w:cs="Times New Roman"/>
          <w:color w:val="000000"/>
          <w:kern w:val="0"/>
          <w:sz w:val="24"/>
          <w:lang w:bidi="ar"/>
        </w:rPr>
        <w:t xml:space="preserve">Wesche, M.B. (1981) ‘Language aptitude measures in streaming, matching students with methods, and diagnosis of learning problems’, in Diller, K. (ed.) </w:t>
      </w:r>
      <w:r>
        <w:rPr>
          <w:rFonts w:ascii="Times New Roman" w:hAnsi="Times New Roman" w:eastAsia="TimesNewRomanPS-ItalicMT" w:cs="Times New Roman"/>
          <w:i/>
          <w:iCs/>
          <w:color w:val="000000"/>
          <w:kern w:val="0"/>
          <w:sz w:val="24"/>
          <w:lang w:bidi="ar"/>
        </w:rPr>
        <w:t>Individual Dgerences and Universals in Language Learning Aptitude</w:t>
      </w:r>
      <w:r>
        <w:rPr>
          <w:rFonts w:ascii="Times New Roman" w:hAnsi="Times New Roman" w:eastAsia="TimesNewRomanPS-ItalicMT" w:cs="Times New Roman"/>
          <w:color w:val="000000"/>
          <w:kern w:val="0"/>
          <w:sz w:val="24"/>
          <w:lang w:bidi="ar"/>
        </w:rPr>
        <w:t xml:space="preserve">. </w:t>
      </w:r>
      <w:r>
        <w:rPr>
          <w:rFonts w:ascii="Times New Roman" w:hAnsi="Times New Roman" w:eastAsia="宋体" w:cs="Times New Roman"/>
          <w:color w:val="000000"/>
          <w:kern w:val="0"/>
          <w:sz w:val="24"/>
          <w:lang w:bidi="ar"/>
        </w:rPr>
        <w:t xml:space="preserve">Rowley, Mass.: Newbury House, pp. 119-139. </w:t>
      </w:r>
    </w:p>
    <w:p>
      <w:pPr>
        <w:widowControl/>
        <w:spacing w:before="156" w:beforeLines="50" w:after="100" w:afterAutospacing="1" w:line="360" w:lineRule="auto"/>
        <w:rPr>
          <w:rFonts w:hint="eastAsia" w:ascii="Times New Roman" w:hAnsi="Times New Roman" w:cs="Times New Roman"/>
          <w:sz w:val="24"/>
        </w:rPr>
      </w:pPr>
      <w:r>
        <w:rPr>
          <w:rFonts w:ascii="Times New Roman" w:hAnsi="Times New Roman" w:eastAsia="宋体" w:cs="Times New Roman"/>
          <w:color w:val="000000"/>
          <w:kern w:val="0"/>
          <w:sz w:val="24"/>
          <w:lang w:bidi="ar"/>
        </w:rPr>
        <w:t xml:space="preserve">Yorio, C. (1986) ‘Consumerism in second language learning and teaching’, </w:t>
      </w:r>
      <w:r>
        <w:rPr>
          <w:rFonts w:ascii="Times New Roman" w:hAnsi="Times New Roman" w:eastAsia="TimesNewRomanPS-ItalicMT" w:cs="Times New Roman"/>
          <w:i/>
          <w:iCs/>
          <w:color w:val="000000"/>
          <w:kern w:val="0"/>
          <w:sz w:val="24"/>
          <w:lang w:bidi="ar"/>
        </w:rPr>
        <w:t>Canadian Modern Language Review</w:t>
      </w:r>
      <w:r>
        <w:rPr>
          <w:rFonts w:ascii="Times New Roman" w:hAnsi="Times New Roman" w:eastAsia="TimesNewRomanPS-ItalicMT" w:cs="Times New Roman"/>
          <w:color w:val="000000"/>
          <w:kern w:val="0"/>
          <w:sz w:val="24"/>
          <w:lang w:bidi="ar"/>
        </w:rPr>
        <w:t xml:space="preserve"> </w:t>
      </w:r>
      <w:r>
        <w:rPr>
          <w:rFonts w:ascii="Times New Roman" w:hAnsi="Times New Roman" w:eastAsia="宋体" w:cs="Times New Roman"/>
          <w:color w:val="000000"/>
          <w:kern w:val="0"/>
          <w:sz w:val="24"/>
          <w:lang w:bidi="ar"/>
        </w:rPr>
        <w:t xml:space="preserve">42 (3): pp. 668-687. </w:t>
      </w:r>
    </w:p>
    <w:p>
      <w:pPr>
        <w:rPr>
          <w:rFonts w:hint="default" w:ascii="Times New Roman" w:hAnsi="Times New Roman" w:cs="Times New Roman"/>
          <w:sz w:val="24"/>
          <w:szCs w:val="24"/>
          <w:highlight w:val="none"/>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TimesNewRomanPS-ItalicMT">
    <w:altName w:val="Segoe Print"/>
    <w:panose1 w:val="020B0604020202020204"/>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5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YTc2ZGZiNzZiNDVlOGViOWVmM2JhOTY0NGJkNjUyYzgifQ=="/>
  </w:docVars>
  <w:rsids>
    <w:rsidRoot w:val="28757726"/>
    <w:rsid w:val="016519C1"/>
    <w:rsid w:val="028E4F47"/>
    <w:rsid w:val="03231B33"/>
    <w:rsid w:val="03D96696"/>
    <w:rsid w:val="05685F23"/>
    <w:rsid w:val="06007F0A"/>
    <w:rsid w:val="066A1827"/>
    <w:rsid w:val="06B37672"/>
    <w:rsid w:val="0A424F95"/>
    <w:rsid w:val="0DE46363"/>
    <w:rsid w:val="10EF12A7"/>
    <w:rsid w:val="12411FD6"/>
    <w:rsid w:val="14262401"/>
    <w:rsid w:val="161812A0"/>
    <w:rsid w:val="1A9A6727"/>
    <w:rsid w:val="1AB84DFF"/>
    <w:rsid w:val="1B063DBD"/>
    <w:rsid w:val="1B124510"/>
    <w:rsid w:val="1BA84E74"/>
    <w:rsid w:val="1DB96EC4"/>
    <w:rsid w:val="1E0F349E"/>
    <w:rsid w:val="223631D9"/>
    <w:rsid w:val="25695674"/>
    <w:rsid w:val="257A162F"/>
    <w:rsid w:val="25853B30"/>
    <w:rsid w:val="267D2789"/>
    <w:rsid w:val="26A765E2"/>
    <w:rsid w:val="272A0E33"/>
    <w:rsid w:val="27ED433A"/>
    <w:rsid w:val="28757726"/>
    <w:rsid w:val="28846321"/>
    <w:rsid w:val="294F692F"/>
    <w:rsid w:val="2C4C53A8"/>
    <w:rsid w:val="2E81758A"/>
    <w:rsid w:val="2FF40230"/>
    <w:rsid w:val="318C4BC4"/>
    <w:rsid w:val="3606412B"/>
    <w:rsid w:val="3BEE1FD7"/>
    <w:rsid w:val="3E1D4DF6"/>
    <w:rsid w:val="3E726EF0"/>
    <w:rsid w:val="3EAA48DB"/>
    <w:rsid w:val="418E2292"/>
    <w:rsid w:val="43BD6E5F"/>
    <w:rsid w:val="44531571"/>
    <w:rsid w:val="44F05012"/>
    <w:rsid w:val="4A315EB1"/>
    <w:rsid w:val="4AE41175"/>
    <w:rsid w:val="4AEF3676"/>
    <w:rsid w:val="4C982217"/>
    <w:rsid w:val="4D994499"/>
    <w:rsid w:val="50281B04"/>
    <w:rsid w:val="5080549C"/>
    <w:rsid w:val="51330760"/>
    <w:rsid w:val="53213B6D"/>
    <w:rsid w:val="55D4020E"/>
    <w:rsid w:val="593257A1"/>
    <w:rsid w:val="59AA17DC"/>
    <w:rsid w:val="5AD05272"/>
    <w:rsid w:val="5CD728E8"/>
    <w:rsid w:val="5CDC7EFE"/>
    <w:rsid w:val="5D9E3405"/>
    <w:rsid w:val="5E23390B"/>
    <w:rsid w:val="5F6146EB"/>
    <w:rsid w:val="602816AC"/>
    <w:rsid w:val="618B3CA1"/>
    <w:rsid w:val="624D71A8"/>
    <w:rsid w:val="62FB30A8"/>
    <w:rsid w:val="64CF0348"/>
    <w:rsid w:val="66AD6467"/>
    <w:rsid w:val="67D16185"/>
    <w:rsid w:val="67F85E08"/>
    <w:rsid w:val="68DE6DAC"/>
    <w:rsid w:val="69BB70ED"/>
    <w:rsid w:val="6A9A31A7"/>
    <w:rsid w:val="6D1B05CF"/>
    <w:rsid w:val="71431EA2"/>
    <w:rsid w:val="71B66B18"/>
    <w:rsid w:val="788259A6"/>
    <w:rsid w:val="78F148D9"/>
    <w:rsid w:val="79C124FE"/>
    <w:rsid w:val="7A5E5F9F"/>
    <w:rsid w:val="7B5B222B"/>
    <w:rsid w:val="7EE84089"/>
    <w:rsid w:val="7F606315"/>
    <w:rsid w:val="7FEC5DF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autoRedefine/>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3">
    <w:name w:val="Default Paragraph Font"/>
    <w:autoRedefine/>
    <w:semiHidden/>
    <w:qFormat/>
    <w:uiPriority w:val="0"/>
  </w:style>
  <w:style w:type="table" w:default="1" w:styleId="2">
    <w:name w:val="Normal Table"/>
    <w:autoRedefine/>
    <w:semiHidden/>
    <w:qFormat/>
    <w:uiPriority w:val="0"/>
    <w:tblPr>
      <w:tblCellMar>
        <w:top w:w="0" w:type="dxa"/>
        <w:left w:w="108" w:type="dxa"/>
        <w:bottom w:w="0" w:type="dxa"/>
        <w:right w:w="108" w:type="dxa"/>
      </w:tblCellMar>
    </w:tblPr>
  </w:style>
  <w:style w:type="character" w:styleId="4">
    <w:name w:val="Hyperlink"/>
    <w:basedOn w:val="3"/>
    <w:qFormat/>
    <w:uiPriority w:val="0"/>
    <w:rPr>
      <w:color w:val="0000FF"/>
      <w:u w:val="single"/>
    </w:rPr>
  </w:style>
</w:styles>
</file>

<file path=word/_rels/document.xml.rels><?xml version="1.0" encoding="UTF-8" standalone="yes"?>
<Relationships xmlns="http://schemas.openxmlformats.org/package/2006/relationships"><Relationship Id="rId4" Type="http://schemas.openxmlformats.org/officeDocument/2006/relationships/fontTable" Target="fontTable.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2</TotalTime>
  <ScaleCrop>false</ScaleCrop>
  <LinksUpToDate>false</LinksUpToDate>
  <CharactersWithSpaces>0</CharactersWithSpaces>
  <Application>WPS Office_12.1.0.16388_F1E327BC-269C-435d-A152-05C5408002CA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2024-03-02T15:16:00Z</dcterms:created>
  <dc:creator>晨跑的小猪</dc:creator>
  <cp:lastModifiedBy>晨跑的小猪</cp:lastModifiedBy>
  <dcterms:modified xsi:type="dcterms:W3CDTF">2024-03-26T11:21:34Z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2052-12.1.0.16388</vt:lpwstr>
  </property>
  <property fmtid="{D5CDD505-2E9C-101B-9397-08002B2CF9AE}" pid="3" name="ICV">
    <vt:lpwstr>104B81A35AA340A184F13961D22F7713_11</vt:lpwstr>
  </property>
</Properties>
</file>