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316C78" w14:textId="4A498401" w:rsidR="00D077E9" w:rsidRDefault="002A0ECB" w:rsidP="005B59C1">
      <w:pPr>
        <w:jc w:val="both"/>
      </w:pPr>
      <w:r>
        <w:rPr>
          <w:noProof/>
        </w:rPr>
        <mc:AlternateContent>
          <mc:Choice Requires="wpg">
            <w:drawing>
              <wp:anchor distT="0" distB="0" distL="228600" distR="228600" simplePos="0" relativeHeight="251670528" behindDoc="1" locked="0" layoutInCell="1" allowOverlap="1" wp14:anchorId="53EABDFD" wp14:editId="4E9C3F58">
                <wp:simplePos x="0" y="0"/>
                <wp:positionH relativeFrom="margin">
                  <wp:posOffset>-517304</wp:posOffset>
                </wp:positionH>
                <wp:positionV relativeFrom="page">
                  <wp:align>top</wp:align>
                </wp:positionV>
                <wp:extent cx="2861945" cy="7497445"/>
                <wp:effectExtent l="0" t="0" r="0" b="8255"/>
                <wp:wrapSquare wrapText="bothSides"/>
                <wp:docPr id="201" name="Group 201"/>
                <wp:cNvGraphicFramePr/>
                <a:graphic xmlns:a="http://schemas.openxmlformats.org/drawingml/2006/main">
                  <a:graphicData uri="http://schemas.microsoft.com/office/word/2010/wordprocessingGroup">
                    <wpg:wgp>
                      <wpg:cNvGrpSpPr/>
                      <wpg:grpSpPr>
                        <a:xfrm>
                          <a:off x="0" y="0"/>
                          <a:ext cx="2861945" cy="7497445"/>
                          <a:chOff x="-120769" y="0"/>
                          <a:chExt cx="2070189" cy="8082468"/>
                        </a:xfrm>
                      </wpg:grpSpPr>
                      <wps:wsp>
                        <wps:cNvPr id="202" name="Rectangle 202"/>
                        <wps:cNvSpPr/>
                        <wps:spPr>
                          <a:xfrm>
                            <a:off x="0" y="0"/>
                            <a:ext cx="1828800" cy="228600"/>
                          </a:xfrm>
                          <a:prstGeom prst="rect">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120768" y="858708"/>
                            <a:ext cx="2070188" cy="7223760"/>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66812A03" w14:textId="24E9259C" w:rsidR="00FC1C68" w:rsidRDefault="00FC1C68" w:rsidP="002A0ECB">
                              <w:pPr>
                                <w:rPr>
                                  <w:color w:val="FFFFFF" w:themeColor="background1"/>
                                </w:rPr>
                              </w:pPr>
                            </w:p>
                            <w:p w14:paraId="3120DE8F" w14:textId="77777777" w:rsidR="002A0ECB" w:rsidRPr="002A0ECB" w:rsidRDefault="002A0ECB" w:rsidP="002A0ECB">
                              <w:pPr>
                                <w:jc w:val="center"/>
                                <w:rPr>
                                  <w:bCs/>
                                  <w:color w:val="171717" w:themeColor="background2" w:themeShade="1A"/>
                                  <w:sz w:val="52"/>
                                  <w:szCs w:val="52"/>
                                </w:rPr>
                              </w:pPr>
                            </w:p>
                            <w:p w14:paraId="1F548EE4" w14:textId="5E745D01" w:rsidR="002A0ECB" w:rsidRDefault="002A0ECB" w:rsidP="002A0ECB">
                              <w:pPr>
                                <w:jc w:val="center"/>
                                <w:rPr>
                                  <w:color w:val="FFFFFF" w:themeColor="background1"/>
                                </w:rPr>
                              </w:pPr>
                              <w:r w:rsidRPr="002A0ECB">
                                <w:rPr>
                                  <w:bCs/>
                                  <w:color w:val="024F75" w:themeColor="accent1"/>
                                  <w:sz w:val="52"/>
                                  <w:szCs w:val="52"/>
                                </w:rPr>
                                <w:t>CHANG FENG HOSPITAL FIRE</w:t>
                              </w:r>
                              <w:r w:rsidRPr="002A0ECB">
                                <w:rPr>
                                  <w:bCs/>
                                  <w:color w:val="024F75" w:themeColor="accent1"/>
                                  <w:sz w:val="52"/>
                                  <w:szCs w:val="52"/>
                                </w:rPr>
                                <w:br/>
                                <w:t xml:space="preserve"> (CHINA, 2023)</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120769" y="0"/>
                            <a:ext cx="2070189" cy="1302904"/>
                          </a:xfrm>
                          <a:prstGeom prst="rect">
                            <a:avLst/>
                          </a:prstGeom>
                          <a:ln>
                            <a:noFill/>
                          </a:ln>
                        </wps:spPr>
                        <wps:style>
                          <a:lnRef idx="2">
                            <a:schemeClr val="accent4">
                              <a:shade val="50000"/>
                            </a:schemeClr>
                          </a:lnRef>
                          <a:fillRef idx="1">
                            <a:schemeClr val="accent4"/>
                          </a:fillRef>
                          <a:effectRef idx="0">
                            <a:schemeClr val="accent4"/>
                          </a:effectRef>
                          <a:fontRef idx="minor">
                            <a:schemeClr val="lt1"/>
                          </a:fontRef>
                        </wps:style>
                        <wps:txbx>
                          <w:txbxContent>
                            <w:p w14:paraId="29719C13" w14:textId="77777777" w:rsidR="002A0ECB" w:rsidRPr="002A0ECB" w:rsidRDefault="002A0ECB" w:rsidP="002A0ECB">
                              <w:pPr>
                                <w:spacing w:before="120"/>
                                <w:jc w:val="center"/>
                                <w:rPr>
                                  <w:rFonts w:eastAsia="Times New Roman"/>
                                  <w:color w:val="024F75" w:themeColor="accent1"/>
                                  <w:sz w:val="32"/>
                                  <w:szCs w:val="32"/>
                                </w:rPr>
                              </w:pPr>
                              <w:r w:rsidRPr="002A0ECB">
                                <w:rPr>
                                  <w:rFonts w:ascii="Arial" w:eastAsia="Arial" w:hAnsi="Arial" w:cs="Arial"/>
                                  <w:color w:val="024F75" w:themeColor="accent1"/>
                                  <w:sz w:val="32"/>
                                  <w:szCs w:val="32"/>
                                </w:rPr>
                                <w:t xml:space="preserve">Component 2 </w:t>
                              </w:r>
                            </w:p>
                            <w:p w14:paraId="0435A76F" w14:textId="10470C1E" w:rsidR="00FC1C68" w:rsidRPr="002A0ECB" w:rsidRDefault="002A0ECB" w:rsidP="002A0ECB">
                              <w:pPr>
                                <w:pStyle w:val="NoSpacing"/>
                                <w:jc w:val="center"/>
                                <w:rPr>
                                  <w:rFonts w:asciiTheme="majorHAnsi" w:eastAsiaTheme="majorEastAsia" w:hAnsiTheme="majorHAnsi" w:cstheme="majorBidi"/>
                                  <w:b/>
                                  <w:caps/>
                                  <w:color w:val="024F75" w:themeColor="accent1"/>
                                  <w:sz w:val="32"/>
                                  <w:szCs w:val="32"/>
                                </w:rPr>
                              </w:pPr>
                              <w:r w:rsidRPr="002A0ECB">
                                <w:rPr>
                                  <w:rFonts w:ascii="Arial" w:eastAsia="Arial" w:hAnsi="Arial" w:cs="Arial"/>
                                  <w:b/>
                                  <w:sz w:val="32"/>
                                  <w:szCs w:val="32"/>
                                </w:rPr>
                                <w:t>Service Improvement Report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3EABDFD" id="Group 201" o:spid="_x0000_s1026" style="position:absolute;left:0;text-align:left;margin-left:-40.75pt;margin-top:0;width:225.35pt;height:590.35pt;z-index:-251645952;mso-wrap-distance-left:18pt;mso-wrap-distance-right:18pt;mso-position-horizontal-relative:margin;mso-position-vertical:top;mso-position-vertical-relative:page;mso-width-relative:margin;mso-height-relative:margin" coordorigin="-1207" coordsize="20701,808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">
                <v:rect id="Rectangle 202" o:spid="_x0000_s1027"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" fillcolor="#0f0d29 [3200]" stroked="f">
                  <v:fill opacity="32896f"/>
                </v:rect>
                <v:rect id="Rectangle 203" o:spid="_x0000_s1028" style="position:absolute;left:-1207;top:8587;width:20701;height:722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" fillcolor="white [3201]" stroked="f" strokeweight="2pt">
                  <v:textbox inset=",14.4pt,8.64pt,18pt">
                    <w:txbxContent>
                      <w:p w14:paraId="66812A03" w14:textId="24E9259C" w:rsidR="00FC1C68" w:rsidRDefault="00FC1C68" w:rsidP="002A0ECB">
                        <w:pPr>
                          <w:rPr>
                            <w:color w:val="FFFFFF" w:themeColor="background1"/>
                          </w:rPr>
                        </w:pPr>
                      </w:p>
                      <w:p w14:paraId="3120DE8F" w14:textId="77777777" w:rsidR="002A0ECB" w:rsidRPr="002A0ECB" w:rsidRDefault="002A0ECB" w:rsidP="002A0ECB">
                        <w:pPr>
                          <w:jc w:val="center"/>
                          <w:rPr>
                            <w:bCs/>
                            <w:color w:val="171717" w:themeColor="background2" w:themeShade="1A"/>
                            <w:sz w:val="52"/>
                            <w:szCs w:val="52"/>
                          </w:rPr>
                        </w:pPr>
                      </w:p>
                      <w:p w14:paraId="1F548EE4" w14:textId="5E745D01" w:rsidR="002A0ECB" w:rsidRDefault="002A0ECB" w:rsidP="002A0ECB">
                        <w:pPr>
                          <w:jc w:val="center"/>
                          <w:rPr>
                            <w:color w:val="FFFFFF" w:themeColor="background1"/>
                          </w:rPr>
                        </w:pPr>
                        <w:r w:rsidRPr="002A0ECB">
                          <w:rPr>
                            <w:bCs/>
                            <w:color w:val="024F75" w:themeColor="accent1"/>
                            <w:sz w:val="52"/>
                            <w:szCs w:val="52"/>
                          </w:rPr>
                          <w:t>CHANG FENG HOSPITAL FIRE</w:t>
                        </w:r>
                        <w:r w:rsidRPr="002A0ECB">
                          <w:rPr>
                            <w:bCs/>
                            <w:color w:val="024F75" w:themeColor="accent1"/>
                            <w:sz w:val="52"/>
                            <w:szCs w:val="52"/>
                          </w:rPr>
                          <w:br/>
                          <w:t xml:space="preserve"> (CHINA, 2023)</w:t>
                        </w:r>
                      </w:p>
                    </w:txbxContent>
                  </v:textbox>
                </v:rect>
                <v:shapetype id="_x0000_t202" coordsize="21600,21600" o:spt="202" path="m,l,21600r21600,l21600,xe">
                  <v:stroke joinstyle="miter"/>
                  <v:path gradientshapeok="t" o:connecttype="rect"/>
                </v:shapetype>
                <v:shape id="Text Box 204" o:spid="_x0000_s1029" type="#_x0000_t202" style="position:absolute;left:-1207;width:20701;height:130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" fillcolor="#66b2ca [3207]" stroked="f" strokeweight="2pt">
                  <v:textbox inset=",7.2pt,,7.2pt">
                    <w:txbxContent>
                      <w:p w14:paraId="29719C13" w14:textId="77777777" w:rsidR="002A0ECB" w:rsidRPr="002A0ECB" w:rsidRDefault="002A0ECB" w:rsidP="002A0ECB">
                        <w:pPr>
                          <w:spacing w:before="120"/>
                          <w:jc w:val="center"/>
                          <w:rPr>
                            <w:rFonts w:eastAsia="Times New Roman"/>
                            <w:color w:val="024F75" w:themeColor="accent1"/>
                            <w:sz w:val="32"/>
                            <w:szCs w:val="32"/>
                          </w:rPr>
                        </w:pPr>
                        <w:r w:rsidRPr="002A0ECB">
                          <w:rPr>
                            <w:rFonts w:ascii="Arial" w:eastAsia="Arial" w:hAnsi="Arial" w:cs="Arial"/>
                            <w:color w:val="024F75" w:themeColor="accent1"/>
                            <w:sz w:val="32"/>
                            <w:szCs w:val="32"/>
                          </w:rPr>
                          <w:t xml:space="preserve">Component 2 </w:t>
                        </w:r>
                      </w:p>
                      <w:p w14:paraId="0435A76F" w14:textId="10470C1E" w:rsidR="00FC1C68" w:rsidRPr="002A0ECB" w:rsidRDefault="002A0ECB" w:rsidP="002A0ECB">
                        <w:pPr>
                          <w:pStyle w:val="NoSpacing"/>
                          <w:jc w:val="center"/>
                          <w:rPr>
                            <w:rFonts w:asciiTheme="majorHAnsi" w:eastAsiaTheme="majorEastAsia" w:hAnsiTheme="majorHAnsi" w:cstheme="majorBidi"/>
                            <w:b/>
                            <w:caps/>
                            <w:color w:val="024F75" w:themeColor="accent1"/>
                            <w:sz w:val="32"/>
                            <w:szCs w:val="32"/>
                          </w:rPr>
                        </w:pPr>
                        <w:r w:rsidRPr="002A0ECB">
                          <w:rPr>
                            <w:rFonts w:ascii="Arial" w:eastAsia="Arial" w:hAnsi="Arial" w:cs="Arial"/>
                            <w:b/>
                            <w:sz w:val="32"/>
                            <w:szCs w:val="32"/>
                          </w:rPr>
                          <w:t>Service Improvement Report</w:t>
                        </w:r>
                      </w:p>
                    </w:txbxContent>
                  </v:textbox>
                </v:shape>
                <w10:wrap type="square" anchorx="margin" anchory="page"/>
              </v:group>
            </w:pict>
          </mc:Fallback>
        </mc:AlternateContent>
      </w:r>
      <w:r>
        <w:rPr>
          <w:noProof/>
        </w:rPr>
        <w:drawing>
          <wp:anchor distT="0" distB="0" distL="114300" distR="114300" simplePos="0" relativeHeight="251658240" behindDoc="1" locked="0" layoutInCell="1" allowOverlap="1" wp14:anchorId="1B4EAB27" wp14:editId="0159F136">
            <wp:simplePos x="0" y="0"/>
            <wp:positionH relativeFrom="column">
              <wp:posOffset>-715507</wp:posOffset>
            </wp:positionH>
            <wp:positionV relativeFrom="page">
              <wp:align>top</wp:align>
            </wp:positionV>
            <wp:extent cx="7759327" cy="688583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7762580" cy="6888717"/>
                    </a:xfrm>
                    <a:prstGeom prst="rect">
                      <a:avLst/>
                    </a:prstGeom>
                  </pic:spPr>
                </pic:pic>
              </a:graphicData>
            </a:graphic>
            <wp14:sizeRelH relativeFrom="margin">
              <wp14:pctWidth>0</wp14:pctWidth>
            </wp14:sizeRelH>
            <wp14:sizeRelV relativeFrom="margin">
              <wp14:pctHeight>0</wp14:pctHeight>
            </wp14:sizeRelV>
          </wp:anchor>
        </w:drawing>
      </w:r>
    </w:p>
    <w:p w14:paraId="60386667" w14:textId="132EF47B" w:rsidR="005E3EA5" w:rsidRPr="005E3EA5" w:rsidRDefault="002A0ECB" w:rsidP="005E3EA5">
      <w:pPr>
        <w:spacing w:after="200"/>
        <w:jc w:val="both"/>
      </w:pPr>
      <w:r>
        <w:rPr>
          <w:noProof/>
        </w:rPr>
        <mc:AlternateContent>
          <mc:Choice Requires="wps">
            <w:drawing>
              <wp:anchor distT="0" distB="0" distL="114300" distR="114300" simplePos="0" relativeHeight="251672576" behindDoc="1" locked="0" layoutInCell="1" allowOverlap="1" wp14:anchorId="008F8C53" wp14:editId="64758093">
                <wp:simplePos x="0" y="0"/>
                <wp:positionH relativeFrom="page">
                  <wp:align>right</wp:align>
                </wp:positionH>
                <wp:positionV relativeFrom="page">
                  <wp:posOffset>6834257</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4"/>
                        </a:solidFill>
                        <a:ln>
                          <a:noFill/>
                        </a:ln>
                      </wps:spPr>
                      <wps:style>
                        <a:lnRef idx="0">
                          <a:scrgbClr r="0" g="0" b="0"/>
                        </a:lnRef>
                        <a:fillRef idx="0">
                          <a:scrgbClr r="0" g="0" b="0"/>
                        </a:fillRef>
                        <a:effectRef idx="0">
                          <a:scrgbClr r="0" g="0" b="0"/>
                        </a:effectRef>
                        <a:fontRef idx="minor">
                          <a:schemeClr val="lt1"/>
                        </a:fontRef>
                      </wps:style>
                      <wps:txbx>
                        <w:txbxContent>
                          <w:p w14:paraId="686EF1BB" w14:textId="77777777" w:rsidR="00F232FF" w:rsidRDefault="00F232FF" w:rsidP="00F232FF">
                            <w:pPr>
                              <w:jc w:val="center"/>
                              <w:rPr>
                                <w:bCs/>
                                <w:lang w:val="en-IN"/>
                              </w:rPr>
                            </w:pPr>
                          </w:p>
                          <w:p w14:paraId="4139AD30" w14:textId="77777777" w:rsidR="00F232FF" w:rsidRDefault="00F232FF" w:rsidP="00F232FF">
                            <w:pPr>
                              <w:jc w:val="center"/>
                              <w:rPr>
                                <w:bCs/>
                                <w:lang w:val="en-IN"/>
                              </w:rPr>
                            </w:pPr>
                          </w:p>
                          <w:p w14:paraId="472635F0" w14:textId="77777777" w:rsidR="00F232FF" w:rsidRDefault="00F232FF" w:rsidP="00F232FF">
                            <w:pPr>
                              <w:jc w:val="center"/>
                              <w:rPr>
                                <w:bCs/>
                                <w:lang w:val="en-IN"/>
                              </w:rPr>
                            </w:pPr>
                          </w:p>
                          <w:p w14:paraId="0AD26764" w14:textId="3DE0147B" w:rsidR="00F232FF" w:rsidRPr="00F232FF" w:rsidRDefault="00F232FF" w:rsidP="00F232FF">
                            <w:pPr>
                              <w:jc w:val="center"/>
                              <w:rPr>
                                <w:lang w:val="en-IN"/>
                              </w:rPr>
                            </w:pPr>
                            <w:r w:rsidRPr="00F232FF">
                              <w:rPr>
                                <w:bCs/>
                                <w:lang w:val="en-IN"/>
                              </w:rPr>
                              <w:t>Student Name: Jeet Navinbhai Patel</w:t>
                            </w:r>
                            <w:r w:rsidRPr="00F232FF">
                              <w:rPr>
                                <w:bCs/>
                                <w:lang w:val="en-IN"/>
                              </w:rPr>
                              <w:br/>
                              <w:t xml:space="preserve">Student Number: 2430947 </w:t>
                            </w:r>
                            <w:r w:rsidRPr="00F232FF">
                              <w:rPr>
                                <w:bCs/>
                                <w:lang w:val="en-IN"/>
                              </w:rPr>
                              <w:br/>
                              <w:t>Supervisor: Dr Fahad Khan</w:t>
                            </w:r>
                            <w:r w:rsidRPr="00F232FF">
                              <w:rPr>
                                <w:bCs/>
                                <w:lang w:val="en-IN"/>
                              </w:rPr>
                              <w:br/>
                              <w:t xml:space="preserve">Programme: MSc / Level 7 Public Health </w:t>
                            </w:r>
                            <w:r w:rsidR="002B2DE9" w:rsidRPr="00F232FF">
                              <w:rPr>
                                <w:bCs/>
                                <w:lang w:val="en-IN"/>
                              </w:rPr>
                              <w:t>and</w:t>
                            </w:r>
                            <w:r w:rsidRPr="00F232FF">
                              <w:rPr>
                                <w:bCs/>
                                <w:lang w:val="en-IN"/>
                              </w:rPr>
                              <w:t xml:space="preserve"> Social Care Practice</w:t>
                            </w:r>
                            <w:r w:rsidRPr="00F232FF">
                              <w:rPr>
                                <w:bCs/>
                                <w:lang w:val="en-IN"/>
                              </w:rPr>
                              <w:br/>
                              <w:t xml:space="preserve">Module: Lchs7006 – </w:t>
                            </w:r>
                            <w:r w:rsidRPr="00F232FF">
                              <w:rPr>
                                <w:bCs/>
                                <w:lang w:val="en-GB"/>
                              </w:rPr>
                              <w:t xml:space="preserve">Quality Assurance And Service </w:t>
                            </w:r>
                            <w:r w:rsidR="00866C77" w:rsidRPr="00F232FF">
                              <w:rPr>
                                <w:bCs/>
                                <w:lang w:val="en-GB"/>
                              </w:rPr>
                              <w:t>Improvements</w:t>
                            </w:r>
                            <w:r w:rsidR="00866C77" w:rsidRPr="00F232FF">
                              <w:rPr>
                                <w:bCs/>
                                <w:lang w:val="en-IN"/>
                              </w:rPr>
                              <w:t xml:space="preserve"> (</w:t>
                            </w:r>
                            <w:r w:rsidRPr="00F232FF">
                              <w:rPr>
                                <w:bCs/>
                                <w:lang w:val="en-IN"/>
                              </w:rPr>
                              <w:t xml:space="preserve">Component </w:t>
                            </w:r>
                            <w:r>
                              <w:rPr>
                                <w:bCs/>
                                <w:lang w:val="en-IN"/>
                              </w:rPr>
                              <w:t>2</w:t>
                            </w:r>
                            <w:r w:rsidRPr="00F232FF">
                              <w:rPr>
                                <w:bCs/>
                                <w:lang w:val="en-IN"/>
                              </w:rPr>
                              <w:t>)</w:t>
                            </w:r>
                          </w:p>
                          <w:p w14:paraId="549EA039" w14:textId="77777777" w:rsidR="00F232FF" w:rsidRDefault="00F232FF" w:rsidP="00F232F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8F8C53" id="Rectangle 2" o:spid="_x0000_s1030" alt="colored rectangle" style="position:absolute;left:0;text-align:left;margin-left:559.9pt;margin-top:538.15pt;width:611.1pt;height:265.7pt;z-index:-251643904;visibility:visible;mso-wrap-style:square;mso-wrap-distance-left:9pt;mso-wrap-distance-top:0;mso-wrap-distance-right:9pt;mso-wrap-distance-bottom:0;mso-position-horizontal:right;mso-position-horizontal-relative:page;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" fillcolor="#66b2ca [3207]" stroked="f">
                <v:textbox>
                  <w:txbxContent>
                    <w:p w14:paraId="686EF1BB" w14:textId="77777777" w:rsidR="00F232FF" w:rsidRDefault="00F232FF" w:rsidP="00F232FF">
                      <w:pPr>
                        <w:jc w:val="center"/>
                        <w:rPr>
                          <w:bCs/>
                          <w:lang w:val="en-IN"/>
                        </w:rPr>
                      </w:pPr>
                    </w:p>
                    <w:p w14:paraId="4139AD30" w14:textId="77777777" w:rsidR="00F232FF" w:rsidRDefault="00F232FF" w:rsidP="00F232FF">
                      <w:pPr>
                        <w:jc w:val="center"/>
                        <w:rPr>
                          <w:bCs/>
                          <w:lang w:val="en-IN"/>
                        </w:rPr>
                      </w:pPr>
                    </w:p>
                    <w:p w14:paraId="472635F0" w14:textId="77777777" w:rsidR="00F232FF" w:rsidRDefault="00F232FF" w:rsidP="00F232FF">
                      <w:pPr>
                        <w:jc w:val="center"/>
                        <w:rPr>
                          <w:bCs/>
                          <w:lang w:val="en-IN"/>
                        </w:rPr>
                      </w:pPr>
                    </w:p>
                    <w:p w14:paraId="0AD26764" w14:textId="3DE0147B" w:rsidR="00F232FF" w:rsidRPr="00F232FF" w:rsidRDefault="00F232FF" w:rsidP="00F232FF">
                      <w:pPr>
                        <w:jc w:val="center"/>
                        <w:rPr>
                          <w:lang w:val="en-IN"/>
                        </w:rPr>
                      </w:pPr>
                      <w:r w:rsidRPr="00F232FF">
                        <w:rPr>
                          <w:bCs/>
                          <w:lang w:val="en-IN"/>
                        </w:rPr>
                        <w:t>Student Name: Jeet Navinbhai Patel</w:t>
                      </w:r>
                      <w:r w:rsidRPr="00F232FF">
                        <w:rPr>
                          <w:bCs/>
                          <w:lang w:val="en-IN"/>
                        </w:rPr>
                        <w:br/>
                        <w:t xml:space="preserve">Student Number: 2430947 </w:t>
                      </w:r>
                      <w:r w:rsidRPr="00F232FF">
                        <w:rPr>
                          <w:bCs/>
                          <w:lang w:val="en-IN"/>
                        </w:rPr>
                        <w:br/>
                        <w:t>Supervisor: Dr Fahad Khan</w:t>
                      </w:r>
                      <w:r w:rsidRPr="00F232FF">
                        <w:rPr>
                          <w:bCs/>
                          <w:lang w:val="en-IN"/>
                        </w:rPr>
                        <w:br/>
                        <w:t xml:space="preserve">Programme: MSc / Level 7 Public Health </w:t>
                      </w:r>
                      <w:r w:rsidR="002B2DE9" w:rsidRPr="00F232FF">
                        <w:rPr>
                          <w:bCs/>
                          <w:lang w:val="en-IN"/>
                        </w:rPr>
                        <w:t>and</w:t>
                      </w:r>
                      <w:r w:rsidRPr="00F232FF">
                        <w:rPr>
                          <w:bCs/>
                          <w:lang w:val="en-IN"/>
                        </w:rPr>
                        <w:t xml:space="preserve"> Social Care Practice</w:t>
                      </w:r>
                      <w:r w:rsidRPr="00F232FF">
                        <w:rPr>
                          <w:bCs/>
                          <w:lang w:val="en-IN"/>
                        </w:rPr>
                        <w:br/>
                        <w:t xml:space="preserve">Module: Lchs7006 – </w:t>
                      </w:r>
                      <w:r w:rsidRPr="00F232FF">
                        <w:rPr>
                          <w:bCs/>
                          <w:lang w:val="en-GB"/>
                        </w:rPr>
                        <w:t xml:space="preserve">Quality Assurance And Service </w:t>
                      </w:r>
                      <w:r w:rsidR="00866C77" w:rsidRPr="00F232FF">
                        <w:rPr>
                          <w:bCs/>
                          <w:lang w:val="en-GB"/>
                        </w:rPr>
                        <w:t>Improvements</w:t>
                      </w:r>
                      <w:r w:rsidR="00866C77" w:rsidRPr="00F232FF">
                        <w:rPr>
                          <w:bCs/>
                          <w:lang w:val="en-IN"/>
                        </w:rPr>
                        <w:t xml:space="preserve"> (</w:t>
                      </w:r>
                      <w:r w:rsidRPr="00F232FF">
                        <w:rPr>
                          <w:bCs/>
                          <w:lang w:val="en-IN"/>
                        </w:rPr>
                        <w:t xml:space="preserve">Component </w:t>
                      </w:r>
                      <w:r>
                        <w:rPr>
                          <w:bCs/>
                          <w:lang w:val="en-IN"/>
                        </w:rPr>
                        <w:t>2</w:t>
                      </w:r>
                      <w:r w:rsidRPr="00F232FF">
                        <w:rPr>
                          <w:bCs/>
                          <w:lang w:val="en-IN"/>
                        </w:rPr>
                        <w:t>)</w:t>
                      </w:r>
                    </w:p>
                    <w:p w14:paraId="549EA039" w14:textId="77777777" w:rsidR="00F232FF" w:rsidRDefault="00F232FF" w:rsidP="00F232FF">
                      <w:pPr>
                        <w:jc w:val="center"/>
                      </w:pPr>
                    </w:p>
                  </w:txbxContent>
                </v:textbox>
                <w10:wrap anchorx="page" anchory="page"/>
              </v:rect>
            </w:pict>
          </mc:Fallback>
        </mc:AlternateContent>
      </w:r>
      <w:r w:rsidR="00D077E9">
        <w:br w:type="page"/>
      </w:r>
    </w:p>
    <w:p w14:paraId="4BCC307E" w14:textId="736D24DE" w:rsidR="005E3EA5" w:rsidRDefault="005E3EA5" w:rsidP="005E3EA5"/>
    <w:tbl>
      <w:tblPr>
        <w:tblStyle w:val="GridTable1Light-Accent6"/>
        <w:tblpPr w:leftFromText="180" w:rightFromText="180" w:vertAnchor="page" w:horzAnchor="margin" w:tblpY="2711"/>
        <w:tblW w:w="9705" w:type="dxa"/>
        <w:tblLook w:val="01A0" w:firstRow="1" w:lastRow="0" w:firstColumn="1" w:lastColumn="1" w:noHBand="0" w:noVBand="0"/>
      </w:tblPr>
      <w:tblGrid>
        <w:gridCol w:w="9150"/>
        <w:gridCol w:w="555"/>
      </w:tblGrid>
      <w:tr w:rsidR="007E7E32" w:rsidRPr="00027732" w14:paraId="0B3813DA" w14:textId="77777777" w:rsidTr="007E7E32">
        <w:trPr>
          <w:cnfStyle w:val="100000000000" w:firstRow="1" w:lastRow="0" w:firstColumn="0" w:lastColumn="0" w:oddVBand="0" w:evenVBand="0" w:oddHBand="0" w:evenHBand="0" w:firstRowFirstColumn="0" w:firstRowLastColumn="0" w:lastRowFirstColumn="0" w:lastRowLastColumn="0"/>
          <w:trHeight w:val="499"/>
        </w:trPr>
        <w:tc>
          <w:tcPr>
            <w:cnfStyle w:val="001000000000" w:firstRow="0" w:lastRow="0" w:firstColumn="1" w:lastColumn="0" w:oddVBand="0" w:evenVBand="0" w:oddHBand="0" w:evenHBand="0" w:firstRowFirstColumn="0" w:firstRowLastColumn="0" w:lastRowFirstColumn="0" w:lastRowLastColumn="0"/>
            <w:tcW w:w="9150" w:type="dxa"/>
          </w:tcPr>
          <w:p w14:paraId="40C257B1" w14:textId="77777777" w:rsidR="007E7E32" w:rsidRPr="00027732" w:rsidRDefault="007E7E32" w:rsidP="007E7E32">
            <w:pPr>
              <w:pStyle w:val="NormalWeb"/>
              <w:jc w:val="center"/>
              <w:rPr>
                <w:rFonts w:asciiTheme="majorHAnsi" w:hAnsiTheme="majorHAnsi" w:cstheme="majorHAnsi"/>
                <w:b w:val="0"/>
                <w:bCs w:val="0"/>
              </w:rPr>
            </w:pPr>
            <w:r w:rsidRPr="00027732">
              <w:rPr>
                <w:rStyle w:val="Strong"/>
                <w:rFonts w:asciiTheme="majorHAnsi" w:hAnsiTheme="majorHAnsi" w:cstheme="majorHAnsi"/>
                <w:b/>
                <w:bCs/>
                <w:color w:val="024F75" w:themeColor="accent1"/>
                <w:sz w:val="40"/>
                <w:szCs w:val="40"/>
              </w:rPr>
              <w:t>Table of Contents</w:t>
            </w:r>
          </w:p>
        </w:tc>
        <w:tc>
          <w:tcPr>
            <w:cnfStyle w:val="000100000000" w:firstRow="0" w:lastRow="0" w:firstColumn="0" w:lastColumn="1" w:oddVBand="0" w:evenVBand="0" w:oddHBand="0" w:evenHBand="0" w:firstRowFirstColumn="0" w:firstRowLastColumn="0" w:lastRowFirstColumn="0" w:lastRowLastColumn="0"/>
            <w:tcW w:w="555" w:type="dxa"/>
          </w:tcPr>
          <w:p w14:paraId="7AAAF2F8" w14:textId="77777777" w:rsidR="007E7E32" w:rsidRPr="00027732" w:rsidRDefault="007E7E32" w:rsidP="007E7E32">
            <w:pPr>
              <w:pStyle w:val="NormalWeb"/>
              <w:jc w:val="center"/>
              <w:rPr>
                <w:rFonts w:asciiTheme="majorHAnsi" w:hAnsiTheme="majorHAnsi" w:cstheme="majorHAnsi"/>
              </w:rPr>
            </w:pPr>
          </w:p>
        </w:tc>
      </w:tr>
      <w:tr w:rsidR="007E7E32" w:rsidRPr="00027732" w14:paraId="034189C4" w14:textId="77777777" w:rsidTr="007E7E32">
        <w:trPr>
          <w:trHeight w:val="445"/>
        </w:trPr>
        <w:tc>
          <w:tcPr>
            <w:cnfStyle w:val="001000000000" w:firstRow="0" w:lastRow="0" w:firstColumn="1" w:lastColumn="0" w:oddVBand="0" w:evenVBand="0" w:oddHBand="0" w:evenHBand="0" w:firstRowFirstColumn="0" w:firstRowLastColumn="0" w:lastRowFirstColumn="0" w:lastRowLastColumn="0"/>
            <w:tcW w:w="9150" w:type="dxa"/>
          </w:tcPr>
          <w:p w14:paraId="015E3A23" w14:textId="77777777" w:rsidR="007E7E32" w:rsidRPr="00027732" w:rsidRDefault="007E7E32" w:rsidP="007E7E32">
            <w:pPr>
              <w:pStyle w:val="NormalWeb"/>
              <w:spacing w:line="360" w:lineRule="auto"/>
              <w:rPr>
                <w:rFonts w:asciiTheme="majorHAnsi" w:hAnsiTheme="majorHAnsi" w:cstheme="majorHAnsi"/>
              </w:rPr>
            </w:pPr>
            <w:r w:rsidRPr="00027732">
              <w:rPr>
                <w:rStyle w:val="Strong"/>
                <w:rFonts w:asciiTheme="majorHAnsi" w:hAnsiTheme="majorHAnsi" w:cstheme="majorHAnsi"/>
              </w:rPr>
              <w:t>1. Introduction</w:t>
            </w:r>
          </w:p>
        </w:tc>
        <w:tc>
          <w:tcPr>
            <w:cnfStyle w:val="000100000000" w:firstRow="0" w:lastRow="0" w:firstColumn="0" w:lastColumn="1" w:oddVBand="0" w:evenVBand="0" w:oddHBand="0" w:evenHBand="0" w:firstRowFirstColumn="0" w:firstRowLastColumn="0" w:lastRowFirstColumn="0" w:lastRowLastColumn="0"/>
            <w:tcW w:w="555" w:type="dxa"/>
          </w:tcPr>
          <w:p w14:paraId="16E8FD13" w14:textId="77777777" w:rsidR="007E7E32" w:rsidRPr="00027732" w:rsidRDefault="007E7E32" w:rsidP="007E7E32">
            <w:pPr>
              <w:pStyle w:val="NormalWeb"/>
              <w:spacing w:line="360" w:lineRule="auto"/>
              <w:rPr>
                <w:rFonts w:asciiTheme="majorHAnsi" w:hAnsiTheme="majorHAnsi" w:cstheme="majorHAnsi"/>
                <w:b w:val="0"/>
                <w:bCs w:val="0"/>
              </w:rPr>
            </w:pPr>
            <w:r>
              <w:rPr>
                <w:rFonts w:asciiTheme="majorHAnsi" w:hAnsiTheme="majorHAnsi" w:cstheme="majorHAnsi"/>
                <w:b w:val="0"/>
                <w:bCs w:val="0"/>
              </w:rPr>
              <w:t>3</w:t>
            </w:r>
          </w:p>
        </w:tc>
      </w:tr>
      <w:tr w:rsidR="007E7E32" w:rsidRPr="00027732" w14:paraId="75691ADB" w14:textId="77777777" w:rsidTr="007E7E32">
        <w:trPr>
          <w:trHeight w:val="456"/>
        </w:trPr>
        <w:tc>
          <w:tcPr>
            <w:cnfStyle w:val="001000000000" w:firstRow="0" w:lastRow="0" w:firstColumn="1" w:lastColumn="0" w:oddVBand="0" w:evenVBand="0" w:oddHBand="0" w:evenHBand="0" w:firstRowFirstColumn="0" w:firstRowLastColumn="0" w:lastRowFirstColumn="0" w:lastRowLastColumn="0"/>
            <w:tcW w:w="9150" w:type="dxa"/>
          </w:tcPr>
          <w:p w14:paraId="044EC43D" w14:textId="77777777" w:rsidR="007E7E32" w:rsidRPr="007E7E32" w:rsidRDefault="007E7E32" w:rsidP="007E7E32">
            <w:pPr>
              <w:pStyle w:val="NormalWeb"/>
              <w:spacing w:line="360" w:lineRule="auto"/>
              <w:rPr>
                <w:rFonts w:asciiTheme="majorHAnsi" w:hAnsiTheme="majorHAnsi" w:cstheme="majorHAnsi"/>
                <w:color w:val="024F75" w:themeColor="accent1"/>
              </w:rPr>
            </w:pPr>
            <w:r w:rsidRPr="00027732">
              <w:rPr>
                <w:rStyle w:val="Strong"/>
                <w:rFonts w:asciiTheme="majorHAnsi" w:hAnsiTheme="majorHAnsi" w:cstheme="majorHAnsi"/>
              </w:rPr>
              <w:t>2. Main Issue or Challenge</w:t>
            </w:r>
          </w:p>
        </w:tc>
        <w:tc>
          <w:tcPr>
            <w:cnfStyle w:val="000100000000" w:firstRow="0" w:lastRow="0" w:firstColumn="0" w:lastColumn="1" w:oddVBand="0" w:evenVBand="0" w:oddHBand="0" w:evenHBand="0" w:firstRowFirstColumn="0" w:firstRowLastColumn="0" w:lastRowFirstColumn="0" w:lastRowLastColumn="0"/>
            <w:tcW w:w="555" w:type="dxa"/>
          </w:tcPr>
          <w:p w14:paraId="5CCB1172" w14:textId="77777777" w:rsidR="007E7E32" w:rsidRPr="00027732" w:rsidRDefault="007E7E32" w:rsidP="007E7E32">
            <w:pPr>
              <w:pStyle w:val="NormalWeb"/>
              <w:spacing w:line="360" w:lineRule="auto"/>
              <w:rPr>
                <w:rFonts w:asciiTheme="majorHAnsi" w:hAnsiTheme="majorHAnsi" w:cstheme="majorHAnsi"/>
                <w:b w:val="0"/>
                <w:bCs w:val="0"/>
              </w:rPr>
            </w:pPr>
            <w:r>
              <w:rPr>
                <w:rFonts w:asciiTheme="majorHAnsi" w:hAnsiTheme="majorHAnsi" w:cstheme="majorHAnsi"/>
                <w:b w:val="0"/>
                <w:bCs w:val="0"/>
              </w:rPr>
              <w:t>4</w:t>
            </w:r>
          </w:p>
        </w:tc>
      </w:tr>
      <w:tr w:rsidR="007E7E32" w:rsidRPr="00027732" w14:paraId="5541C812" w14:textId="77777777" w:rsidTr="007E7E32">
        <w:trPr>
          <w:trHeight w:val="445"/>
        </w:trPr>
        <w:tc>
          <w:tcPr>
            <w:cnfStyle w:val="001000000000" w:firstRow="0" w:lastRow="0" w:firstColumn="1" w:lastColumn="0" w:oddVBand="0" w:evenVBand="0" w:oddHBand="0" w:evenHBand="0" w:firstRowFirstColumn="0" w:firstRowLastColumn="0" w:lastRowFirstColumn="0" w:lastRowLastColumn="0"/>
            <w:tcW w:w="9150" w:type="dxa"/>
          </w:tcPr>
          <w:p w14:paraId="5C3831B4" w14:textId="77777777" w:rsidR="007E7E32" w:rsidRPr="00027732" w:rsidRDefault="007E7E32" w:rsidP="007E7E32">
            <w:pPr>
              <w:pStyle w:val="NormalWeb"/>
              <w:spacing w:line="360" w:lineRule="auto"/>
              <w:rPr>
                <w:rFonts w:asciiTheme="majorHAnsi" w:hAnsiTheme="majorHAnsi" w:cstheme="majorHAnsi"/>
              </w:rPr>
            </w:pPr>
            <w:r w:rsidRPr="00027732">
              <w:rPr>
                <w:rStyle w:val="Strong"/>
                <w:rFonts w:asciiTheme="majorHAnsi" w:hAnsiTheme="majorHAnsi" w:cstheme="majorHAnsi"/>
              </w:rPr>
              <w:t>3. Key Stakeholders</w:t>
            </w:r>
          </w:p>
        </w:tc>
        <w:tc>
          <w:tcPr>
            <w:cnfStyle w:val="000100000000" w:firstRow="0" w:lastRow="0" w:firstColumn="0" w:lastColumn="1" w:oddVBand="0" w:evenVBand="0" w:oddHBand="0" w:evenHBand="0" w:firstRowFirstColumn="0" w:firstRowLastColumn="0" w:lastRowFirstColumn="0" w:lastRowLastColumn="0"/>
            <w:tcW w:w="555" w:type="dxa"/>
          </w:tcPr>
          <w:p w14:paraId="72D7A0D4" w14:textId="77777777" w:rsidR="007E7E32" w:rsidRPr="00027732" w:rsidRDefault="007E7E32" w:rsidP="007E7E32">
            <w:pPr>
              <w:pStyle w:val="NormalWeb"/>
              <w:spacing w:line="360" w:lineRule="auto"/>
              <w:rPr>
                <w:rFonts w:asciiTheme="majorHAnsi" w:hAnsiTheme="majorHAnsi" w:cstheme="majorHAnsi"/>
                <w:b w:val="0"/>
                <w:bCs w:val="0"/>
              </w:rPr>
            </w:pPr>
            <w:r>
              <w:rPr>
                <w:rFonts w:asciiTheme="majorHAnsi" w:hAnsiTheme="majorHAnsi" w:cstheme="majorHAnsi"/>
                <w:b w:val="0"/>
                <w:bCs w:val="0"/>
              </w:rPr>
              <w:t>4</w:t>
            </w:r>
          </w:p>
        </w:tc>
      </w:tr>
      <w:tr w:rsidR="007E7E32" w:rsidRPr="00027732" w14:paraId="62496A99" w14:textId="77777777" w:rsidTr="007E7E32">
        <w:trPr>
          <w:trHeight w:val="456"/>
        </w:trPr>
        <w:tc>
          <w:tcPr>
            <w:cnfStyle w:val="001000000000" w:firstRow="0" w:lastRow="0" w:firstColumn="1" w:lastColumn="0" w:oddVBand="0" w:evenVBand="0" w:oddHBand="0" w:evenHBand="0" w:firstRowFirstColumn="0" w:firstRowLastColumn="0" w:lastRowFirstColumn="0" w:lastRowLastColumn="0"/>
            <w:tcW w:w="9150" w:type="dxa"/>
          </w:tcPr>
          <w:p w14:paraId="57A53979" w14:textId="77777777" w:rsidR="007E7E32" w:rsidRPr="00027732" w:rsidRDefault="007E7E32" w:rsidP="007E7E32">
            <w:pPr>
              <w:pStyle w:val="NormalWeb"/>
              <w:spacing w:line="360" w:lineRule="auto"/>
              <w:rPr>
                <w:rFonts w:asciiTheme="majorHAnsi" w:hAnsiTheme="majorHAnsi" w:cstheme="majorHAnsi"/>
              </w:rPr>
            </w:pPr>
            <w:r w:rsidRPr="00027732">
              <w:rPr>
                <w:rStyle w:val="Strong"/>
                <w:rFonts w:asciiTheme="majorHAnsi" w:hAnsiTheme="majorHAnsi" w:cstheme="majorHAnsi"/>
              </w:rPr>
              <w:t>4. Quantitative &amp; Qualitative Data</w:t>
            </w:r>
          </w:p>
        </w:tc>
        <w:tc>
          <w:tcPr>
            <w:cnfStyle w:val="000100000000" w:firstRow="0" w:lastRow="0" w:firstColumn="0" w:lastColumn="1" w:oddVBand="0" w:evenVBand="0" w:oddHBand="0" w:evenHBand="0" w:firstRowFirstColumn="0" w:firstRowLastColumn="0" w:lastRowFirstColumn="0" w:lastRowLastColumn="0"/>
            <w:tcW w:w="555" w:type="dxa"/>
          </w:tcPr>
          <w:p w14:paraId="789AB61D" w14:textId="77777777" w:rsidR="007E7E32" w:rsidRPr="00027732" w:rsidRDefault="007E7E32" w:rsidP="007E7E32">
            <w:pPr>
              <w:pStyle w:val="NormalWeb"/>
              <w:spacing w:line="360" w:lineRule="auto"/>
              <w:rPr>
                <w:rFonts w:asciiTheme="majorHAnsi" w:hAnsiTheme="majorHAnsi" w:cstheme="majorHAnsi"/>
                <w:b w:val="0"/>
                <w:bCs w:val="0"/>
              </w:rPr>
            </w:pPr>
            <w:r>
              <w:rPr>
                <w:rFonts w:asciiTheme="majorHAnsi" w:hAnsiTheme="majorHAnsi" w:cstheme="majorHAnsi"/>
                <w:b w:val="0"/>
                <w:bCs w:val="0"/>
              </w:rPr>
              <w:t>5</w:t>
            </w:r>
          </w:p>
        </w:tc>
      </w:tr>
      <w:tr w:rsidR="007E7E32" w:rsidRPr="00027732" w14:paraId="3822DE56" w14:textId="77777777" w:rsidTr="007E7E32">
        <w:trPr>
          <w:trHeight w:val="445"/>
        </w:trPr>
        <w:tc>
          <w:tcPr>
            <w:cnfStyle w:val="001000000000" w:firstRow="0" w:lastRow="0" w:firstColumn="1" w:lastColumn="0" w:oddVBand="0" w:evenVBand="0" w:oddHBand="0" w:evenHBand="0" w:firstRowFirstColumn="0" w:firstRowLastColumn="0" w:lastRowFirstColumn="0" w:lastRowLastColumn="0"/>
            <w:tcW w:w="9150" w:type="dxa"/>
          </w:tcPr>
          <w:p w14:paraId="358B575C" w14:textId="77777777" w:rsidR="007E7E32" w:rsidRPr="00027732" w:rsidRDefault="007E7E32" w:rsidP="007E7E32">
            <w:pPr>
              <w:pStyle w:val="NormalWeb"/>
              <w:spacing w:line="360" w:lineRule="auto"/>
              <w:rPr>
                <w:rFonts w:asciiTheme="majorHAnsi" w:hAnsiTheme="majorHAnsi" w:cstheme="majorHAnsi"/>
              </w:rPr>
            </w:pPr>
            <w:r w:rsidRPr="00027732">
              <w:rPr>
                <w:rStyle w:val="Strong"/>
                <w:rFonts w:asciiTheme="majorHAnsi" w:hAnsiTheme="majorHAnsi" w:cstheme="majorHAnsi"/>
              </w:rPr>
              <w:t>5. Donabedian Model</w:t>
            </w:r>
          </w:p>
        </w:tc>
        <w:tc>
          <w:tcPr>
            <w:cnfStyle w:val="000100000000" w:firstRow="0" w:lastRow="0" w:firstColumn="0" w:lastColumn="1" w:oddVBand="0" w:evenVBand="0" w:oddHBand="0" w:evenHBand="0" w:firstRowFirstColumn="0" w:firstRowLastColumn="0" w:lastRowFirstColumn="0" w:lastRowLastColumn="0"/>
            <w:tcW w:w="555" w:type="dxa"/>
          </w:tcPr>
          <w:p w14:paraId="3DA32DDA" w14:textId="77777777" w:rsidR="007E7E32" w:rsidRPr="00027732" w:rsidRDefault="007E7E32" w:rsidP="007E7E32">
            <w:pPr>
              <w:pStyle w:val="NormalWeb"/>
              <w:spacing w:line="360" w:lineRule="auto"/>
              <w:rPr>
                <w:rFonts w:asciiTheme="majorHAnsi" w:hAnsiTheme="majorHAnsi" w:cstheme="majorHAnsi"/>
                <w:b w:val="0"/>
                <w:bCs w:val="0"/>
              </w:rPr>
            </w:pPr>
            <w:r>
              <w:rPr>
                <w:rFonts w:asciiTheme="majorHAnsi" w:hAnsiTheme="majorHAnsi" w:cstheme="majorHAnsi"/>
                <w:b w:val="0"/>
                <w:bCs w:val="0"/>
              </w:rPr>
              <w:t>5</w:t>
            </w:r>
          </w:p>
        </w:tc>
      </w:tr>
      <w:tr w:rsidR="007E7E32" w:rsidRPr="00027732" w14:paraId="26EEDA97" w14:textId="77777777" w:rsidTr="007E7E32">
        <w:trPr>
          <w:trHeight w:val="445"/>
        </w:trPr>
        <w:tc>
          <w:tcPr>
            <w:cnfStyle w:val="001000000000" w:firstRow="0" w:lastRow="0" w:firstColumn="1" w:lastColumn="0" w:oddVBand="0" w:evenVBand="0" w:oddHBand="0" w:evenHBand="0" w:firstRowFirstColumn="0" w:firstRowLastColumn="0" w:lastRowFirstColumn="0" w:lastRowLastColumn="0"/>
            <w:tcW w:w="9150" w:type="dxa"/>
          </w:tcPr>
          <w:p w14:paraId="2CB8506D" w14:textId="77777777" w:rsidR="007E7E32" w:rsidRPr="00027732" w:rsidRDefault="007E7E32" w:rsidP="007E7E32">
            <w:pPr>
              <w:pStyle w:val="NormalWeb"/>
              <w:spacing w:line="360" w:lineRule="auto"/>
              <w:rPr>
                <w:rFonts w:asciiTheme="majorHAnsi" w:hAnsiTheme="majorHAnsi" w:cstheme="majorHAnsi"/>
              </w:rPr>
            </w:pPr>
            <w:r w:rsidRPr="00027732">
              <w:rPr>
                <w:rStyle w:val="Strong"/>
                <w:rFonts w:asciiTheme="majorHAnsi" w:hAnsiTheme="majorHAnsi" w:cstheme="majorHAnsi"/>
              </w:rPr>
              <w:t>6. Fishbone Analysis</w:t>
            </w:r>
          </w:p>
        </w:tc>
        <w:tc>
          <w:tcPr>
            <w:cnfStyle w:val="000100000000" w:firstRow="0" w:lastRow="0" w:firstColumn="0" w:lastColumn="1" w:oddVBand="0" w:evenVBand="0" w:oddHBand="0" w:evenHBand="0" w:firstRowFirstColumn="0" w:firstRowLastColumn="0" w:lastRowFirstColumn="0" w:lastRowLastColumn="0"/>
            <w:tcW w:w="555" w:type="dxa"/>
          </w:tcPr>
          <w:p w14:paraId="35F22E81" w14:textId="77777777" w:rsidR="007E7E32" w:rsidRPr="00027732" w:rsidRDefault="007E7E32" w:rsidP="007E7E32">
            <w:pPr>
              <w:pStyle w:val="NormalWeb"/>
              <w:spacing w:line="360" w:lineRule="auto"/>
              <w:rPr>
                <w:rFonts w:asciiTheme="majorHAnsi" w:hAnsiTheme="majorHAnsi" w:cstheme="majorHAnsi"/>
                <w:b w:val="0"/>
                <w:bCs w:val="0"/>
              </w:rPr>
            </w:pPr>
            <w:r>
              <w:rPr>
                <w:rFonts w:asciiTheme="majorHAnsi" w:hAnsiTheme="majorHAnsi" w:cstheme="majorHAnsi"/>
                <w:b w:val="0"/>
                <w:bCs w:val="0"/>
              </w:rPr>
              <w:t>6</w:t>
            </w:r>
          </w:p>
        </w:tc>
      </w:tr>
      <w:tr w:rsidR="007E7E32" w:rsidRPr="00027732" w14:paraId="6EA207BD" w14:textId="77777777" w:rsidTr="007E7E32">
        <w:trPr>
          <w:trHeight w:val="456"/>
        </w:trPr>
        <w:tc>
          <w:tcPr>
            <w:cnfStyle w:val="001000000000" w:firstRow="0" w:lastRow="0" w:firstColumn="1" w:lastColumn="0" w:oddVBand="0" w:evenVBand="0" w:oddHBand="0" w:evenHBand="0" w:firstRowFirstColumn="0" w:firstRowLastColumn="0" w:lastRowFirstColumn="0" w:lastRowLastColumn="0"/>
            <w:tcW w:w="9150" w:type="dxa"/>
          </w:tcPr>
          <w:p w14:paraId="34449086" w14:textId="77777777" w:rsidR="007E7E32" w:rsidRPr="00027732" w:rsidRDefault="007E7E32" w:rsidP="007E7E32">
            <w:pPr>
              <w:pStyle w:val="NormalWeb"/>
              <w:spacing w:line="360" w:lineRule="auto"/>
              <w:rPr>
                <w:rFonts w:asciiTheme="majorHAnsi" w:hAnsiTheme="majorHAnsi" w:cstheme="majorHAnsi"/>
              </w:rPr>
            </w:pPr>
            <w:r w:rsidRPr="00027732">
              <w:rPr>
                <w:rStyle w:val="Strong"/>
                <w:rFonts w:asciiTheme="majorHAnsi" w:hAnsiTheme="majorHAnsi" w:cstheme="majorHAnsi"/>
              </w:rPr>
              <w:t>7. SWOT Analysis</w:t>
            </w:r>
          </w:p>
        </w:tc>
        <w:tc>
          <w:tcPr>
            <w:cnfStyle w:val="000100000000" w:firstRow="0" w:lastRow="0" w:firstColumn="0" w:lastColumn="1" w:oddVBand="0" w:evenVBand="0" w:oddHBand="0" w:evenHBand="0" w:firstRowFirstColumn="0" w:firstRowLastColumn="0" w:lastRowFirstColumn="0" w:lastRowLastColumn="0"/>
            <w:tcW w:w="555" w:type="dxa"/>
          </w:tcPr>
          <w:p w14:paraId="45692AF6" w14:textId="77777777" w:rsidR="007E7E32" w:rsidRPr="00027732" w:rsidRDefault="007E7E32" w:rsidP="007E7E32">
            <w:pPr>
              <w:pStyle w:val="NormalWeb"/>
              <w:spacing w:line="360" w:lineRule="auto"/>
              <w:rPr>
                <w:rFonts w:asciiTheme="majorHAnsi" w:hAnsiTheme="majorHAnsi" w:cstheme="majorHAnsi"/>
                <w:b w:val="0"/>
                <w:bCs w:val="0"/>
              </w:rPr>
            </w:pPr>
            <w:r>
              <w:rPr>
                <w:rFonts w:asciiTheme="majorHAnsi" w:hAnsiTheme="majorHAnsi" w:cstheme="majorHAnsi"/>
                <w:b w:val="0"/>
                <w:bCs w:val="0"/>
              </w:rPr>
              <w:t>7</w:t>
            </w:r>
          </w:p>
        </w:tc>
      </w:tr>
      <w:tr w:rsidR="007E7E32" w:rsidRPr="00027732" w14:paraId="6C8C48F8" w14:textId="77777777" w:rsidTr="007E7E32">
        <w:trPr>
          <w:trHeight w:val="445"/>
        </w:trPr>
        <w:tc>
          <w:tcPr>
            <w:cnfStyle w:val="001000000000" w:firstRow="0" w:lastRow="0" w:firstColumn="1" w:lastColumn="0" w:oddVBand="0" w:evenVBand="0" w:oddHBand="0" w:evenHBand="0" w:firstRowFirstColumn="0" w:firstRowLastColumn="0" w:lastRowFirstColumn="0" w:lastRowLastColumn="0"/>
            <w:tcW w:w="9150" w:type="dxa"/>
          </w:tcPr>
          <w:p w14:paraId="590FDED6" w14:textId="77777777" w:rsidR="007E7E32" w:rsidRPr="00027732" w:rsidRDefault="007E7E32" w:rsidP="007E7E32">
            <w:pPr>
              <w:pStyle w:val="NormalWeb"/>
              <w:spacing w:line="360" w:lineRule="auto"/>
              <w:rPr>
                <w:rFonts w:asciiTheme="majorHAnsi" w:hAnsiTheme="majorHAnsi" w:cstheme="majorHAnsi"/>
              </w:rPr>
            </w:pPr>
            <w:r w:rsidRPr="00027732">
              <w:rPr>
                <w:rStyle w:val="Strong"/>
                <w:rFonts w:asciiTheme="majorHAnsi" w:hAnsiTheme="majorHAnsi" w:cstheme="majorHAnsi"/>
              </w:rPr>
              <w:t>8. PDSA Cycles</w:t>
            </w:r>
          </w:p>
        </w:tc>
        <w:tc>
          <w:tcPr>
            <w:cnfStyle w:val="000100000000" w:firstRow="0" w:lastRow="0" w:firstColumn="0" w:lastColumn="1" w:oddVBand="0" w:evenVBand="0" w:oddHBand="0" w:evenHBand="0" w:firstRowFirstColumn="0" w:firstRowLastColumn="0" w:lastRowFirstColumn="0" w:lastRowLastColumn="0"/>
            <w:tcW w:w="555" w:type="dxa"/>
          </w:tcPr>
          <w:p w14:paraId="50E49746" w14:textId="7603E987" w:rsidR="007E7E32" w:rsidRPr="00027732" w:rsidRDefault="007832B9" w:rsidP="007E7E32">
            <w:pPr>
              <w:pStyle w:val="NormalWeb"/>
              <w:spacing w:line="360" w:lineRule="auto"/>
              <w:rPr>
                <w:rFonts w:asciiTheme="majorHAnsi" w:hAnsiTheme="majorHAnsi" w:cstheme="majorHAnsi"/>
                <w:b w:val="0"/>
                <w:bCs w:val="0"/>
              </w:rPr>
            </w:pPr>
            <w:r>
              <w:rPr>
                <w:rFonts w:asciiTheme="majorHAnsi" w:hAnsiTheme="majorHAnsi" w:cstheme="majorHAnsi"/>
                <w:b w:val="0"/>
                <w:bCs w:val="0"/>
              </w:rPr>
              <w:t>8</w:t>
            </w:r>
          </w:p>
        </w:tc>
      </w:tr>
      <w:tr w:rsidR="007E7E32" w:rsidRPr="00027732" w14:paraId="0E64EC43" w14:textId="77777777" w:rsidTr="007E7E32">
        <w:trPr>
          <w:trHeight w:val="456"/>
        </w:trPr>
        <w:tc>
          <w:tcPr>
            <w:cnfStyle w:val="001000000000" w:firstRow="0" w:lastRow="0" w:firstColumn="1" w:lastColumn="0" w:oddVBand="0" w:evenVBand="0" w:oddHBand="0" w:evenHBand="0" w:firstRowFirstColumn="0" w:firstRowLastColumn="0" w:lastRowFirstColumn="0" w:lastRowLastColumn="0"/>
            <w:tcW w:w="9150" w:type="dxa"/>
          </w:tcPr>
          <w:p w14:paraId="5CD84B8D" w14:textId="77777777" w:rsidR="007E7E32" w:rsidRPr="00027732" w:rsidRDefault="007E7E32" w:rsidP="007E7E32">
            <w:pPr>
              <w:pStyle w:val="NormalWeb"/>
              <w:spacing w:line="360" w:lineRule="auto"/>
              <w:rPr>
                <w:rFonts w:asciiTheme="majorHAnsi" w:hAnsiTheme="majorHAnsi" w:cstheme="majorHAnsi"/>
              </w:rPr>
            </w:pPr>
            <w:r w:rsidRPr="00027732">
              <w:rPr>
                <w:rStyle w:val="Strong"/>
                <w:rFonts w:asciiTheme="majorHAnsi" w:hAnsiTheme="majorHAnsi" w:cstheme="majorHAnsi"/>
              </w:rPr>
              <w:t>9. Kotter’s 8-Step Change Model</w:t>
            </w:r>
          </w:p>
        </w:tc>
        <w:tc>
          <w:tcPr>
            <w:cnfStyle w:val="000100000000" w:firstRow="0" w:lastRow="0" w:firstColumn="0" w:lastColumn="1" w:oddVBand="0" w:evenVBand="0" w:oddHBand="0" w:evenHBand="0" w:firstRowFirstColumn="0" w:firstRowLastColumn="0" w:lastRowFirstColumn="0" w:lastRowLastColumn="0"/>
            <w:tcW w:w="555" w:type="dxa"/>
          </w:tcPr>
          <w:p w14:paraId="70D74AFE" w14:textId="01B466E0" w:rsidR="007E7E32" w:rsidRPr="00027732" w:rsidRDefault="007832B9" w:rsidP="007E7E32">
            <w:pPr>
              <w:pStyle w:val="NormalWeb"/>
              <w:spacing w:line="360" w:lineRule="auto"/>
              <w:rPr>
                <w:rFonts w:asciiTheme="majorHAnsi" w:hAnsiTheme="majorHAnsi" w:cstheme="majorHAnsi"/>
                <w:b w:val="0"/>
                <w:bCs w:val="0"/>
              </w:rPr>
            </w:pPr>
            <w:r>
              <w:rPr>
                <w:rFonts w:asciiTheme="majorHAnsi" w:hAnsiTheme="majorHAnsi" w:cstheme="majorHAnsi"/>
                <w:b w:val="0"/>
                <w:bCs w:val="0"/>
              </w:rPr>
              <w:t>9</w:t>
            </w:r>
          </w:p>
        </w:tc>
      </w:tr>
      <w:tr w:rsidR="007E7E32" w:rsidRPr="00027732" w14:paraId="5469B1EE" w14:textId="77777777" w:rsidTr="007E7E32">
        <w:trPr>
          <w:trHeight w:val="2697"/>
        </w:trPr>
        <w:tc>
          <w:tcPr>
            <w:cnfStyle w:val="001000000000" w:firstRow="0" w:lastRow="0" w:firstColumn="1" w:lastColumn="0" w:oddVBand="0" w:evenVBand="0" w:oddHBand="0" w:evenHBand="0" w:firstRowFirstColumn="0" w:firstRowLastColumn="0" w:lastRowFirstColumn="0" w:lastRowLastColumn="0"/>
            <w:tcW w:w="9150" w:type="dxa"/>
          </w:tcPr>
          <w:p w14:paraId="50C86EBA" w14:textId="77777777" w:rsidR="007E7E32" w:rsidRPr="00027732" w:rsidRDefault="007E7E32" w:rsidP="007E7E32">
            <w:pPr>
              <w:pStyle w:val="NormalWeb"/>
              <w:spacing w:line="360" w:lineRule="auto"/>
              <w:rPr>
                <w:rFonts w:asciiTheme="majorHAnsi" w:hAnsiTheme="majorHAnsi" w:cstheme="majorHAnsi"/>
              </w:rPr>
            </w:pPr>
            <w:r w:rsidRPr="00027732">
              <w:rPr>
                <w:rStyle w:val="Strong"/>
                <w:rFonts w:asciiTheme="majorHAnsi" w:hAnsiTheme="majorHAnsi" w:cstheme="majorHAnsi"/>
              </w:rPr>
              <w:t>10. Recommendations</w:t>
            </w:r>
            <w:r w:rsidRPr="00027732">
              <w:rPr>
                <w:rFonts w:asciiTheme="majorHAnsi" w:hAnsiTheme="majorHAnsi" w:cstheme="majorHAnsi"/>
              </w:rPr>
              <w:br/>
            </w:r>
            <w:r w:rsidRPr="00027732">
              <w:rPr>
                <w:rFonts w:asciiTheme="majorHAnsi" w:hAnsiTheme="majorHAnsi" w:cstheme="majorHAnsi"/>
              </w:rPr>
              <w:t> </w:t>
            </w:r>
            <w:r w:rsidRPr="00027732">
              <w:rPr>
                <w:rStyle w:val="Strong"/>
                <w:rFonts w:asciiTheme="majorHAnsi" w:hAnsiTheme="majorHAnsi" w:cstheme="majorHAnsi"/>
              </w:rPr>
              <w:t>10.1 System Reliability and Structural Reinforcement</w:t>
            </w:r>
            <w:r w:rsidRPr="00027732">
              <w:rPr>
                <w:rFonts w:asciiTheme="majorHAnsi" w:hAnsiTheme="majorHAnsi" w:cstheme="majorHAnsi"/>
              </w:rPr>
              <w:br/>
            </w:r>
            <w:r w:rsidRPr="00027732">
              <w:rPr>
                <w:rFonts w:asciiTheme="majorHAnsi" w:hAnsiTheme="majorHAnsi" w:cstheme="majorHAnsi"/>
              </w:rPr>
              <w:t> </w:t>
            </w:r>
            <w:r w:rsidRPr="00027732">
              <w:rPr>
                <w:rStyle w:val="Strong"/>
                <w:rFonts w:asciiTheme="majorHAnsi" w:hAnsiTheme="majorHAnsi" w:cstheme="majorHAnsi"/>
              </w:rPr>
              <w:t>10.2 Redesign of Emergency Response Processes</w:t>
            </w:r>
            <w:r w:rsidRPr="00027732">
              <w:rPr>
                <w:rFonts w:asciiTheme="majorHAnsi" w:hAnsiTheme="majorHAnsi" w:cstheme="majorHAnsi"/>
              </w:rPr>
              <w:br/>
            </w:r>
            <w:r w:rsidRPr="00027732">
              <w:rPr>
                <w:rFonts w:asciiTheme="majorHAnsi" w:hAnsiTheme="majorHAnsi" w:cstheme="majorHAnsi"/>
              </w:rPr>
              <w:t> </w:t>
            </w:r>
            <w:r w:rsidRPr="00027732">
              <w:rPr>
                <w:rStyle w:val="Strong"/>
                <w:rFonts w:asciiTheme="majorHAnsi" w:hAnsiTheme="majorHAnsi" w:cstheme="majorHAnsi"/>
              </w:rPr>
              <w:t>10.3 Workforce Capability and Competency Framework</w:t>
            </w:r>
            <w:r w:rsidRPr="00027732">
              <w:rPr>
                <w:rFonts w:asciiTheme="majorHAnsi" w:hAnsiTheme="majorHAnsi" w:cstheme="majorHAnsi"/>
              </w:rPr>
              <w:br/>
            </w:r>
            <w:r w:rsidRPr="00027732">
              <w:rPr>
                <w:rFonts w:asciiTheme="majorHAnsi" w:hAnsiTheme="majorHAnsi" w:cstheme="majorHAnsi"/>
              </w:rPr>
              <w:t> </w:t>
            </w:r>
            <w:r w:rsidRPr="00027732">
              <w:rPr>
                <w:rStyle w:val="Strong"/>
                <w:rFonts w:asciiTheme="majorHAnsi" w:hAnsiTheme="majorHAnsi" w:cstheme="majorHAnsi"/>
              </w:rPr>
              <w:t>10.4 Strengthening of Governance, Accountability, and Leadership</w:t>
            </w:r>
            <w:r w:rsidRPr="00027732">
              <w:rPr>
                <w:rFonts w:asciiTheme="majorHAnsi" w:hAnsiTheme="majorHAnsi" w:cstheme="majorHAnsi"/>
              </w:rPr>
              <w:br/>
            </w:r>
            <w:r w:rsidRPr="00027732">
              <w:rPr>
                <w:rFonts w:asciiTheme="majorHAnsi" w:hAnsiTheme="majorHAnsi" w:cstheme="majorHAnsi"/>
              </w:rPr>
              <w:t> </w:t>
            </w:r>
            <w:r w:rsidRPr="00027732">
              <w:rPr>
                <w:rStyle w:val="Strong"/>
                <w:rFonts w:asciiTheme="majorHAnsi" w:hAnsiTheme="majorHAnsi" w:cstheme="majorHAnsi"/>
              </w:rPr>
              <w:t>10.5 Six Sigma-Instigated Reliability Improvement</w:t>
            </w:r>
          </w:p>
        </w:tc>
        <w:tc>
          <w:tcPr>
            <w:cnfStyle w:val="000100000000" w:firstRow="0" w:lastRow="0" w:firstColumn="0" w:lastColumn="1" w:oddVBand="0" w:evenVBand="0" w:oddHBand="0" w:evenHBand="0" w:firstRowFirstColumn="0" w:firstRowLastColumn="0" w:lastRowFirstColumn="0" w:lastRowLastColumn="0"/>
            <w:tcW w:w="555" w:type="dxa"/>
          </w:tcPr>
          <w:p w14:paraId="344CABBD" w14:textId="77777777" w:rsidR="007E7E32" w:rsidRDefault="007E7E32" w:rsidP="007E7E32">
            <w:pPr>
              <w:rPr>
                <w:rFonts w:asciiTheme="majorHAnsi" w:eastAsia="Times New Roman" w:hAnsiTheme="majorHAnsi" w:cstheme="majorHAnsi"/>
                <w:b/>
                <w:color w:val="auto"/>
                <w:sz w:val="24"/>
                <w:szCs w:val="24"/>
                <w:lang w:val="en-IN" w:eastAsia="en-IN"/>
              </w:rPr>
            </w:pPr>
          </w:p>
          <w:p w14:paraId="7C654726" w14:textId="77777777" w:rsidR="007E7E32" w:rsidRPr="00027732" w:rsidRDefault="007E7E32" w:rsidP="007E7E32">
            <w:pPr>
              <w:rPr>
                <w:rFonts w:asciiTheme="majorHAnsi" w:eastAsia="Times New Roman" w:hAnsiTheme="majorHAnsi" w:cstheme="majorHAnsi"/>
                <w:bCs w:val="0"/>
                <w:color w:val="auto"/>
                <w:sz w:val="24"/>
                <w:szCs w:val="24"/>
                <w:lang w:val="en-IN" w:eastAsia="en-IN"/>
              </w:rPr>
            </w:pPr>
            <w:r w:rsidRPr="00027732">
              <w:rPr>
                <w:rFonts w:asciiTheme="majorHAnsi" w:eastAsia="Times New Roman" w:hAnsiTheme="majorHAnsi" w:cstheme="majorHAnsi"/>
                <w:bCs w:val="0"/>
                <w:color w:val="auto"/>
                <w:sz w:val="24"/>
                <w:szCs w:val="24"/>
                <w:lang w:val="en-IN" w:eastAsia="en-IN"/>
              </w:rPr>
              <w:t>10</w:t>
            </w:r>
          </w:p>
          <w:p w14:paraId="546786AC" w14:textId="77777777" w:rsidR="007E7E32" w:rsidRDefault="007E7E32" w:rsidP="007E7E32">
            <w:pPr>
              <w:rPr>
                <w:rFonts w:asciiTheme="majorHAnsi" w:eastAsia="Times New Roman" w:hAnsiTheme="majorHAnsi" w:cstheme="majorHAnsi"/>
                <w:b/>
                <w:color w:val="auto"/>
                <w:sz w:val="24"/>
                <w:szCs w:val="24"/>
                <w:lang w:val="en-IN" w:eastAsia="en-IN"/>
              </w:rPr>
            </w:pPr>
          </w:p>
          <w:p w14:paraId="22A656B8" w14:textId="77777777" w:rsidR="007E7E32" w:rsidRDefault="007E7E32" w:rsidP="007E7E32">
            <w:pPr>
              <w:rPr>
                <w:rFonts w:asciiTheme="majorHAnsi" w:eastAsia="Times New Roman" w:hAnsiTheme="majorHAnsi" w:cstheme="majorHAnsi"/>
                <w:b/>
                <w:color w:val="auto"/>
                <w:sz w:val="24"/>
                <w:szCs w:val="24"/>
                <w:lang w:val="en-IN" w:eastAsia="en-IN"/>
              </w:rPr>
            </w:pPr>
          </w:p>
          <w:p w14:paraId="62598957" w14:textId="77777777" w:rsidR="007E7E32" w:rsidRDefault="007E7E32" w:rsidP="007E7E32">
            <w:pPr>
              <w:rPr>
                <w:rFonts w:asciiTheme="majorHAnsi" w:eastAsia="Times New Roman" w:hAnsiTheme="majorHAnsi" w:cstheme="majorHAnsi"/>
                <w:b/>
                <w:color w:val="auto"/>
                <w:sz w:val="24"/>
                <w:szCs w:val="24"/>
                <w:lang w:val="en-IN" w:eastAsia="en-IN"/>
              </w:rPr>
            </w:pPr>
          </w:p>
          <w:p w14:paraId="1FF6A6CC" w14:textId="77777777" w:rsidR="007E7E32" w:rsidRPr="00027732" w:rsidRDefault="007E7E32" w:rsidP="007E7E32">
            <w:pPr>
              <w:pStyle w:val="NormalWeb"/>
              <w:spacing w:line="360" w:lineRule="auto"/>
              <w:rPr>
                <w:rFonts w:asciiTheme="majorHAnsi" w:hAnsiTheme="majorHAnsi" w:cstheme="majorHAnsi"/>
                <w:b w:val="0"/>
                <w:bCs w:val="0"/>
              </w:rPr>
            </w:pPr>
          </w:p>
        </w:tc>
      </w:tr>
      <w:tr w:rsidR="007E7E32" w:rsidRPr="00027732" w14:paraId="5BE72FCC" w14:textId="77777777" w:rsidTr="007E7E32">
        <w:trPr>
          <w:trHeight w:val="445"/>
        </w:trPr>
        <w:tc>
          <w:tcPr>
            <w:cnfStyle w:val="001000000000" w:firstRow="0" w:lastRow="0" w:firstColumn="1" w:lastColumn="0" w:oddVBand="0" w:evenVBand="0" w:oddHBand="0" w:evenHBand="0" w:firstRowFirstColumn="0" w:firstRowLastColumn="0" w:lastRowFirstColumn="0" w:lastRowLastColumn="0"/>
            <w:tcW w:w="9150" w:type="dxa"/>
          </w:tcPr>
          <w:p w14:paraId="75DBDEC9" w14:textId="77777777" w:rsidR="007E7E32" w:rsidRPr="00027732" w:rsidRDefault="007E7E32" w:rsidP="007E7E32">
            <w:pPr>
              <w:pStyle w:val="NormalWeb"/>
              <w:spacing w:line="360" w:lineRule="auto"/>
              <w:rPr>
                <w:rFonts w:asciiTheme="majorHAnsi" w:hAnsiTheme="majorHAnsi" w:cstheme="majorHAnsi"/>
              </w:rPr>
            </w:pPr>
            <w:r w:rsidRPr="00027732">
              <w:rPr>
                <w:rStyle w:val="Strong"/>
                <w:rFonts w:asciiTheme="majorHAnsi" w:hAnsiTheme="majorHAnsi" w:cstheme="majorHAnsi"/>
              </w:rPr>
              <w:t>11. Benchmarking</w:t>
            </w:r>
          </w:p>
        </w:tc>
        <w:tc>
          <w:tcPr>
            <w:cnfStyle w:val="000100000000" w:firstRow="0" w:lastRow="0" w:firstColumn="0" w:lastColumn="1" w:oddVBand="0" w:evenVBand="0" w:oddHBand="0" w:evenHBand="0" w:firstRowFirstColumn="0" w:firstRowLastColumn="0" w:lastRowFirstColumn="0" w:lastRowLastColumn="0"/>
            <w:tcW w:w="555" w:type="dxa"/>
          </w:tcPr>
          <w:p w14:paraId="0EFEB15F" w14:textId="77777777" w:rsidR="007E7E32" w:rsidRPr="00027732" w:rsidRDefault="007E7E32" w:rsidP="007E7E32">
            <w:pPr>
              <w:pStyle w:val="NormalWeb"/>
              <w:spacing w:line="360" w:lineRule="auto"/>
              <w:rPr>
                <w:rFonts w:asciiTheme="majorHAnsi" w:hAnsiTheme="majorHAnsi" w:cstheme="majorHAnsi"/>
                <w:b w:val="0"/>
                <w:bCs w:val="0"/>
              </w:rPr>
            </w:pPr>
            <w:r>
              <w:rPr>
                <w:rFonts w:asciiTheme="majorHAnsi" w:hAnsiTheme="majorHAnsi" w:cstheme="majorHAnsi"/>
                <w:b w:val="0"/>
                <w:bCs w:val="0"/>
              </w:rPr>
              <w:t>13</w:t>
            </w:r>
          </w:p>
        </w:tc>
      </w:tr>
      <w:tr w:rsidR="007E7E32" w:rsidRPr="00027732" w14:paraId="2566F0DB" w14:textId="77777777" w:rsidTr="007E7E32">
        <w:trPr>
          <w:trHeight w:val="456"/>
        </w:trPr>
        <w:tc>
          <w:tcPr>
            <w:cnfStyle w:val="001000000000" w:firstRow="0" w:lastRow="0" w:firstColumn="1" w:lastColumn="0" w:oddVBand="0" w:evenVBand="0" w:oddHBand="0" w:evenHBand="0" w:firstRowFirstColumn="0" w:firstRowLastColumn="0" w:lastRowFirstColumn="0" w:lastRowLastColumn="0"/>
            <w:tcW w:w="9150" w:type="dxa"/>
          </w:tcPr>
          <w:p w14:paraId="4F219E58" w14:textId="77777777" w:rsidR="007E7E32" w:rsidRPr="00027732" w:rsidRDefault="007E7E32" w:rsidP="007E7E32">
            <w:pPr>
              <w:pStyle w:val="NormalWeb"/>
              <w:spacing w:line="360" w:lineRule="auto"/>
              <w:rPr>
                <w:rFonts w:asciiTheme="majorHAnsi" w:hAnsiTheme="majorHAnsi" w:cstheme="majorHAnsi"/>
              </w:rPr>
            </w:pPr>
            <w:r w:rsidRPr="00027732">
              <w:rPr>
                <w:rStyle w:val="Strong"/>
                <w:rFonts w:asciiTheme="majorHAnsi" w:hAnsiTheme="majorHAnsi" w:cstheme="majorHAnsi"/>
              </w:rPr>
              <w:t>12. Conclusion</w:t>
            </w:r>
          </w:p>
        </w:tc>
        <w:tc>
          <w:tcPr>
            <w:cnfStyle w:val="000100000000" w:firstRow="0" w:lastRow="0" w:firstColumn="0" w:lastColumn="1" w:oddVBand="0" w:evenVBand="0" w:oddHBand="0" w:evenHBand="0" w:firstRowFirstColumn="0" w:firstRowLastColumn="0" w:lastRowFirstColumn="0" w:lastRowLastColumn="0"/>
            <w:tcW w:w="555" w:type="dxa"/>
          </w:tcPr>
          <w:p w14:paraId="57C46BC3" w14:textId="77777777" w:rsidR="007E7E32" w:rsidRPr="00027732" w:rsidRDefault="007E7E32" w:rsidP="007E7E32">
            <w:pPr>
              <w:pStyle w:val="NormalWeb"/>
              <w:spacing w:line="360" w:lineRule="auto"/>
              <w:rPr>
                <w:rFonts w:asciiTheme="majorHAnsi" w:hAnsiTheme="majorHAnsi" w:cstheme="majorHAnsi"/>
                <w:b w:val="0"/>
                <w:bCs w:val="0"/>
              </w:rPr>
            </w:pPr>
            <w:r>
              <w:rPr>
                <w:rFonts w:asciiTheme="majorHAnsi" w:hAnsiTheme="majorHAnsi" w:cstheme="majorHAnsi"/>
                <w:b w:val="0"/>
                <w:bCs w:val="0"/>
              </w:rPr>
              <w:t>14</w:t>
            </w:r>
          </w:p>
        </w:tc>
      </w:tr>
      <w:tr w:rsidR="007E7E32" w:rsidRPr="00027732" w14:paraId="342271EB" w14:textId="77777777" w:rsidTr="007E7E32">
        <w:trPr>
          <w:trHeight w:val="445"/>
        </w:trPr>
        <w:tc>
          <w:tcPr>
            <w:cnfStyle w:val="001000000000" w:firstRow="0" w:lastRow="0" w:firstColumn="1" w:lastColumn="0" w:oddVBand="0" w:evenVBand="0" w:oddHBand="0" w:evenHBand="0" w:firstRowFirstColumn="0" w:firstRowLastColumn="0" w:lastRowFirstColumn="0" w:lastRowLastColumn="0"/>
            <w:tcW w:w="9150" w:type="dxa"/>
          </w:tcPr>
          <w:p w14:paraId="7932D34D" w14:textId="77777777" w:rsidR="007E7E32" w:rsidRPr="00027732" w:rsidRDefault="007E7E32" w:rsidP="007E7E32">
            <w:pPr>
              <w:pStyle w:val="NormalWeb"/>
              <w:spacing w:line="360" w:lineRule="auto"/>
              <w:rPr>
                <w:rFonts w:asciiTheme="majorHAnsi" w:hAnsiTheme="majorHAnsi" w:cstheme="majorHAnsi"/>
              </w:rPr>
            </w:pPr>
            <w:r w:rsidRPr="00027732">
              <w:rPr>
                <w:rStyle w:val="Strong"/>
                <w:rFonts w:asciiTheme="majorHAnsi" w:hAnsiTheme="majorHAnsi" w:cstheme="majorHAnsi"/>
              </w:rPr>
              <w:t>13. References</w:t>
            </w:r>
          </w:p>
        </w:tc>
        <w:tc>
          <w:tcPr>
            <w:cnfStyle w:val="000100000000" w:firstRow="0" w:lastRow="0" w:firstColumn="0" w:lastColumn="1" w:oddVBand="0" w:evenVBand="0" w:oddHBand="0" w:evenHBand="0" w:firstRowFirstColumn="0" w:firstRowLastColumn="0" w:lastRowFirstColumn="0" w:lastRowLastColumn="0"/>
            <w:tcW w:w="555" w:type="dxa"/>
          </w:tcPr>
          <w:p w14:paraId="2DE137B2" w14:textId="77777777" w:rsidR="007E7E32" w:rsidRPr="00027732" w:rsidRDefault="007E7E32" w:rsidP="007E7E32">
            <w:pPr>
              <w:pStyle w:val="NormalWeb"/>
              <w:spacing w:line="360" w:lineRule="auto"/>
              <w:rPr>
                <w:rFonts w:asciiTheme="majorHAnsi" w:hAnsiTheme="majorHAnsi" w:cstheme="majorHAnsi"/>
                <w:b w:val="0"/>
                <w:bCs w:val="0"/>
              </w:rPr>
            </w:pPr>
            <w:r>
              <w:rPr>
                <w:rFonts w:asciiTheme="majorHAnsi" w:hAnsiTheme="majorHAnsi" w:cstheme="majorHAnsi"/>
                <w:b w:val="0"/>
                <w:bCs w:val="0"/>
              </w:rPr>
              <w:t>15</w:t>
            </w:r>
          </w:p>
        </w:tc>
      </w:tr>
    </w:tbl>
    <w:p w14:paraId="3D2C4359" w14:textId="662079FB" w:rsidR="005E3EA5" w:rsidRDefault="005E3EA5" w:rsidP="005E3EA5"/>
    <w:p w14:paraId="06F48B6C" w14:textId="6E955DA9" w:rsidR="005E3EA5" w:rsidRDefault="005E3EA5" w:rsidP="005E3EA5"/>
    <w:p w14:paraId="73371BC5" w14:textId="24314CAE" w:rsidR="005E3EA5" w:rsidRDefault="005E3EA5" w:rsidP="005E3EA5"/>
    <w:p w14:paraId="12576949" w14:textId="3E6EC03B" w:rsidR="005E3EA5" w:rsidRDefault="005E3EA5" w:rsidP="005E3EA5"/>
    <w:p w14:paraId="5BB4B5F4" w14:textId="77777777" w:rsidR="005E3EA5" w:rsidRDefault="005E3EA5" w:rsidP="005B59C1">
      <w:pPr>
        <w:spacing w:before="100" w:beforeAutospacing="1" w:after="100" w:afterAutospacing="1" w:line="240" w:lineRule="auto"/>
        <w:jc w:val="both"/>
        <w:outlineLvl w:val="1"/>
        <w:rPr>
          <w:rFonts w:asciiTheme="majorHAnsi" w:eastAsia="Times New Roman" w:hAnsiTheme="majorHAnsi" w:cstheme="majorHAnsi"/>
          <w:bCs/>
          <w:sz w:val="36"/>
          <w:szCs w:val="36"/>
          <w:lang w:eastAsia="en-IN"/>
        </w:rPr>
      </w:pPr>
      <w:bookmarkStart w:id="0" w:name="_Toc215063045"/>
    </w:p>
    <w:p w14:paraId="6D376893" w14:textId="79E5408B" w:rsidR="00A475B7" w:rsidRPr="00840AC4" w:rsidRDefault="00840AC4" w:rsidP="00840AC4">
      <w:pPr>
        <w:spacing w:before="100" w:beforeAutospacing="1" w:after="100" w:afterAutospacing="1" w:line="240" w:lineRule="auto"/>
        <w:jc w:val="both"/>
        <w:outlineLvl w:val="1"/>
        <w:rPr>
          <w:rFonts w:asciiTheme="majorHAnsi" w:eastAsia="Times New Roman" w:hAnsiTheme="majorHAnsi" w:cstheme="majorHAnsi"/>
          <w:bCs/>
          <w:sz w:val="36"/>
          <w:szCs w:val="36"/>
          <w:lang w:eastAsia="en-IN"/>
        </w:rPr>
      </w:pPr>
      <w:r>
        <w:rPr>
          <w:rFonts w:asciiTheme="majorHAnsi" w:eastAsia="Times New Roman" w:hAnsiTheme="majorHAnsi" w:cstheme="majorHAnsi"/>
          <w:bCs/>
          <w:sz w:val="36"/>
          <w:szCs w:val="36"/>
          <w:lang w:eastAsia="en-IN"/>
        </w:rPr>
        <w:lastRenderedPageBreak/>
        <w:t xml:space="preserve">1. </w:t>
      </w:r>
      <w:r w:rsidR="006C17D2" w:rsidRPr="00840AC4">
        <w:rPr>
          <w:rFonts w:asciiTheme="majorHAnsi" w:eastAsia="Times New Roman" w:hAnsiTheme="majorHAnsi" w:cstheme="majorHAnsi"/>
          <w:bCs/>
          <w:sz w:val="36"/>
          <w:szCs w:val="36"/>
          <w:lang w:eastAsia="en-IN"/>
        </w:rPr>
        <w:t>INTRODUCTION</w:t>
      </w:r>
      <w:bookmarkEnd w:id="0"/>
    </w:p>
    <w:p w14:paraId="7871EEFB" w14:textId="172A2E89" w:rsidR="00B90ED5" w:rsidRPr="00D23291" w:rsidRDefault="006C17D2" w:rsidP="005B59C1">
      <w:pPr>
        <w:pStyle w:val="Content"/>
        <w:jc w:val="both"/>
        <w:rPr>
          <w:color w:val="1B174A" w:themeColor="text1" w:themeTint="E6"/>
          <w:sz w:val="22"/>
          <w:szCs w:val="18"/>
          <w:shd w:val="clear" w:color="auto" w:fill="FFFFFF"/>
        </w:rPr>
      </w:pPr>
      <w:r w:rsidRPr="00D23291">
        <w:rPr>
          <w:color w:val="1B174A" w:themeColor="text1" w:themeTint="E6"/>
          <w:sz w:val="22"/>
          <w:szCs w:val="18"/>
          <w:shd w:val="clear" w:color="auto" w:fill="FFFFFF"/>
        </w:rPr>
        <w:t xml:space="preserve">The Chang feng hospital fire incident in 2023 is an extreme </w:t>
      </w:r>
      <w:proofErr w:type="spellStart"/>
      <w:r w:rsidRPr="00D23291">
        <w:rPr>
          <w:color w:val="1B174A" w:themeColor="text1" w:themeTint="E6"/>
          <w:sz w:val="22"/>
          <w:szCs w:val="18"/>
          <w:shd w:val="clear" w:color="auto" w:fill="FFFFFF"/>
        </w:rPr>
        <w:t>organisational</w:t>
      </w:r>
      <w:proofErr w:type="spellEnd"/>
      <w:r w:rsidRPr="00D23291">
        <w:rPr>
          <w:color w:val="1B174A" w:themeColor="text1" w:themeTint="E6"/>
          <w:sz w:val="22"/>
          <w:szCs w:val="18"/>
          <w:shd w:val="clear" w:color="auto" w:fill="FFFFFF"/>
        </w:rPr>
        <w:t xml:space="preserve"> safety failure that demonstrates how an intersection of vulnerabilities in infrastructure, processes and safety culture can converge to result in a major negative event.</w:t>
      </w:r>
      <w:r w:rsidR="00B90ED5" w:rsidRPr="00D23291">
        <w:rPr>
          <w:color w:val="1B174A" w:themeColor="text1" w:themeTint="E6"/>
          <w:sz w:val="22"/>
          <w:szCs w:val="18"/>
          <w:shd w:val="clear" w:color="auto" w:fill="FFFFFF"/>
        </w:rPr>
        <w:t xml:space="preserve"> H</w:t>
      </w:r>
      <w:r w:rsidRPr="00D23291">
        <w:rPr>
          <w:color w:val="1B174A" w:themeColor="text1" w:themeTint="E6"/>
          <w:sz w:val="22"/>
          <w:szCs w:val="18"/>
          <w:shd w:val="clear" w:color="auto" w:fill="FFFFFF"/>
        </w:rPr>
        <w:t xml:space="preserve">ealthcare </w:t>
      </w:r>
      <w:proofErr w:type="spellStart"/>
      <w:r w:rsidRPr="00D23291">
        <w:rPr>
          <w:color w:val="1B174A" w:themeColor="text1" w:themeTint="E6"/>
          <w:sz w:val="22"/>
          <w:szCs w:val="18"/>
          <w:shd w:val="clear" w:color="auto" w:fill="FFFFFF"/>
        </w:rPr>
        <w:t>organisations</w:t>
      </w:r>
      <w:proofErr w:type="spellEnd"/>
      <w:r w:rsidRPr="00D23291">
        <w:rPr>
          <w:color w:val="1B174A" w:themeColor="text1" w:themeTint="E6"/>
          <w:sz w:val="22"/>
          <w:szCs w:val="18"/>
          <w:shd w:val="clear" w:color="auto" w:fill="FFFFFF"/>
        </w:rPr>
        <w:t xml:space="preserve"> that treat high-dependency and immobile patients are exposed to increased risks of fire because of complicated electrical systems, constant power supply, and lack of evacuation options. The risks may cause a major risk when the risk is not effectively addressed so that, though a small electric ignition is made, the patients at risk will be exposed to a great danger. Such an incident then needs an in-depth </w:t>
      </w:r>
      <w:r w:rsidR="00B90ED5" w:rsidRPr="00D23291">
        <w:rPr>
          <w:color w:val="1B174A" w:themeColor="text1" w:themeTint="E6"/>
          <w:sz w:val="22"/>
          <w:szCs w:val="18"/>
          <w:shd w:val="clear" w:color="auto" w:fill="FFFFFF"/>
        </w:rPr>
        <w:t>systems-based</w:t>
      </w:r>
      <w:r w:rsidRPr="00D23291">
        <w:rPr>
          <w:color w:val="1B174A" w:themeColor="text1" w:themeTint="E6"/>
          <w:sz w:val="22"/>
          <w:szCs w:val="18"/>
          <w:shd w:val="clear" w:color="auto" w:fill="FFFFFF"/>
        </w:rPr>
        <w:t xml:space="preserve"> examination to know more about the underlying malfunctions that enabled a </w:t>
      </w:r>
      <w:proofErr w:type="spellStart"/>
      <w:r w:rsidRPr="00D23291">
        <w:rPr>
          <w:color w:val="1B174A" w:themeColor="text1" w:themeTint="E6"/>
          <w:sz w:val="22"/>
          <w:szCs w:val="18"/>
          <w:shd w:val="clear" w:color="auto" w:fill="FFFFFF"/>
        </w:rPr>
        <w:t>localised</w:t>
      </w:r>
      <w:proofErr w:type="spellEnd"/>
      <w:r w:rsidRPr="00D23291">
        <w:rPr>
          <w:color w:val="1B174A" w:themeColor="text1" w:themeTint="E6"/>
          <w:sz w:val="22"/>
          <w:szCs w:val="18"/>
          <w:shd w:val="clear" w:color="auto" w:fill="FFFFFF"/>
        </w:rPr>
        <w:t xml:space="preserve"> ignition to escalate into a disaster.</w:t>
      </w:r>
    </w:p>
    <w:p w14:paraId="40A5E6C0" w14:textId="77777777" w:rsidR="00B90ED5" w:rsidRPr="00D23291" w:rsidRDefault="006C17D2" w:rsidP="005B59C1">
      <w:pPr>
        <w:jc w:val="both"/>
        <w:rPr>
          <w:b w:val="0"/>
          <w:color w:val="1B174A" w:themeColor="text1" w:themeTint="E6"/>
          <w:sz w:val="22"/>
          <w:szCs w:val="18"/>
          <w:shd w:val="clear" w:color="auto" w:fill="FFFFFF"/>
        </w:rPr>
      </w:pPr>
      <w:r w:rsidRPr="00D23291">
        <w:rPr>
          <w:b w:val="0"/>
          <w:color w:val="1B174A" w:themeColor="text1" w:themeTint="E6"/>
          <w:sz w:val="22"/>
          <w:szCs w:val="18"/>
          <w:shd w:val="clear" w:color="auto" w:fill="FFFFFF"/>
        </w:rPr>
        <w:br/>
        <w:t>The fires in hospitals can hardly have a single cause. Rather, they are a result of the interplay between poor structural situations, broken working processes, and workforce inadequacy. It was reported that electrical hazards and insufficient coverage of smoke detectors in various wards were consistent, and that they lacked rapid escalation. The evidence of the international community indicates that the latency in detection, poor routing of alarms, and ineffective activation of responses considerably affect the delay of the fatality rates in fire incidents in the healthcare sector (NFPA, 2021; WHO, 2018). The results of this study highlight the necessity to analyze the incident within the context of the well-established quality-improvement frameworks, which will allow defining and organizing the causal processes of the failure.</w:t>
      </w:r>
    </w:p>
    <w:p w14:paraId="2FBB39B0" w14:textId="48480B65" w:rsidR="006C17D2" w:rsidRPr="00D23291" w:rsidRDefault="006C17D2" w:rsidP="005B59C1">
      <w:pPr>
        <w:jc w:val="both"/>
        <w:rPr>
          <w:b w:val="0"/>
          <w:color w:val="1B174A" w:themeColor="text1" w:themeTint="E6"/>
          <w:sz w:val="22"/>
          <w:szCs w:val="18"/>
          <w:shd w:val="clear" w:color="auto" w:fill="FFFFFF"/>
        </w:rPr>
      </w:pPr>
      <w:r w:rsidRPr="00D23291">
        <w:rPr>
          <w:b w:val="0"/>
          <w:color w:val="1B174A" w:themeColor="text1" w:themeTint="E6"/>
          <w:sz w:val="22"/>
          <w:szCs w:val="18"/>
          <w:shd w:val="clear" w:color="auto" w:fill="FFFFFF"/>
        </w:rPr>
        <w:br/>
        <w:t xml:space="preserve">This report deploys some of the known models of healthcare improvement such as the Donabedian (Structure Process Outcome) Model, Fishbone Analysis, SWOT Analysis and the PDSA Cycle to completely </w:t>
      </w:r>
      <w:proofErr w:type="spellStart"/>
      <w:r w:rsidRPr="00D23291">
        <w:rPr>
          <w:b w:val="0"/>
          <w:color w:val="1B174A" w:themeColor="text1" w:themeTint="E6"/>
          <w:sz w:val="22"/>
          <w:szCs w:val="18"/>
          <w:shd w:val="clear" w:color="auto" w:fill="FFFFFF"/>
        </w:rPr>
        <w:t>analyse</w:t>
      </w:r>
      <w:proofErr w:type="spellEnd"/>
      <w:r w:rsidRPr="00D23291">
        <w:rPr>
          <w:b w:val="0"/>
          <w:color w:val="1B174A" w:themeColor="text1" w:themeTint="E6"/>
          <w:sz w:val="22"/>
          <w:szCs w:val="18"/>
          <w:shd w:val="clear" w:color="auto" w:fill="FFFFFF"/>
        </w:rPr>
        <w:t xml:space="preserve"> the </w:t>
      </w:r>
      <w:proofErr w:type="spellStart"/>
      <w:r w:rsidRPr="00D23291">
        <w:rPr>
          <w:b w:val="0"/>
          <w:color w:val="1B174A" w:themeColor="text1" w:themeTint="E6"/>
          <w:sz w:val="22"/>
          <w:szCs w:val="18"/>
          <w:shd w:val="clear" w:color="auto" w:fill="FFFFFF"/>
        </w:rPr>
        <w:t>organisational</w:t>
      </w:r>
      <w:proofErr w:type="spellEnd"/>
      <w:r w:rsidRPr="00D23291">
        <w:rPr>
          <w:b w:val="0"/>
          <w:color w:val="1B174A" w:themeColor="text1" w:themeTint="E6"/>
          <w:sz w:val="22"/>
          <w:szCs w:val="18"/>
          <w:shd w:val="clear" w:color="auto" w:fill="FFFFFF"/>
        </w:rPr>
        <w:t xml:space="preserve"> weaknesses that led to the fire. Such frameworks allow the systematic investigation of the role of structural vulnerabilities, e.g., poor fire-detection systems, in forming procedural failures such as the slow escalation, and the impact of </w:t>
      </w:r>
      <w:proofErr w:type="spellStart"/>
      <w:r w:rsidRPr="00D23291">
        <w:rPr>
          <w:b w:val="0"/>
          <w:color w:val="1B174A" w:themeColor="text1" w:themeTint="E6"/>
          <w:sz w:val="22"/>
          <w:szCs w:val="18"/>
          <w:shd w:val="clear" w:color="auto" w:fill="FFFFFF"/>
        </w:rPr>
        <w:t>organisational</w:t>
      </w:r>
      <w:proofErr w:type="spellEnd"/>
      <w:r w:rsidRPr="00D23291">
        <w:rPr>
          <w:b w:val="0"/>
          <w:color w:val="1B174A" w:themeColor="text1" w:themeTint="E6"/>
          <w:sz w:val="22"/>
          <w:szCs w:val="18"/>
          <w:shd w:val="clear" w:color="auto" w:fill="FFFFFF"/>
        </w:rPr>
        <w:t xml:space="preserve"> culture on staff </w:t>
      </w:r>
      <w:proofErr w:type="spellStart"/>
      <w:r w:rsidRPr="00D23291">
        <w:rPr>
          <w:b w:val="0"/>
          <w:color w:val="1B174A" w:themeColor="text1" w:themeTint="E6"/>
          <w:sz w:val="22"/>
          <w:szCs w:val="18"/>
          <w:shd w:val="clear" w:color="auto" w:fill="FFFFFF"/>
        </w:rPr>
        <w:t>behaviour</w:t>
      </w:r>
      <w:proofErr w:type="spellEnd"/>
      <w:r w:rsidRPr="00D23291">
        <w:rPr>
          <w:b w:val="0"/>
          <w:color w:val="1B174A" w:themeColor="text1" w:themeTint="E6"/>
          <w:sz w:val="22"/>
          <w:szCs w:val="18"/>
          <w:shd w:val="clear" w:color="auto" w:fill="FFFFFF"/>
        </w:rPr>
        <w:t xml:space="preserve"> at a crisis. Combined with each other, the models help in gaining a more in-depth insight into the systemic nature of the failures.</w:t>
      </w:r>
    </w:p>
    <w:p w14:paraId="0EEA026D" w14:textId="77777777" w:rsidR="00B90ED5" w:rsidRPr="00D23291" w:rsidRDefault="00B90ED5" w:rsidP="005B59C1">
      <w:pPr>
        <w:jc w:val="both"/>
        <w:rPr>
          <w:b w:val="0"/>
          <w:color w:val="1B174A" w:themeColor="text1" w:themeTint="E6"/>
          <w:sz w:val="22"/>
          <w:szCs w:val="18"/>
          <w:shd w:val="clear" w:color="auto" w:fill="FFFFFF"/>
        </w:rPr>
      </w:pPr>
    </w:p>
    <w:p w14:paraId="3E048099" w14:textId="77777777" w:rsidR="00B90ED5" w:rsidRPr="00D23291" w:rsidRDefault="006C17D2" w:rsidP="005B59C1">
      <w:pPr>
        <w:jc w:val="both"/>
        <w:rPr>
          <w:b w:val="0"/>
          <w:color w:val="1B174A" w:themeColor="text1" w:themeTint="E6"/>
          <w:sz w:val="22"/>
          <w:szCs w:val="18"/>
        </w:rPr>
      </w:pPr>
      <w:r w:rsidRPr="00D23291">
        <w:rPr>
          <w:b w:val="0"/>
          <w:color w:val="1B174A" w:themeColor="text1" w:themeTint="E6"/>
          <w:sz w:val="22"/>
          <w:szCs w:val="18"/>
        </w:rPr>
        <w:t xml:space="preserve">The analysis will be based on peer-reviewed literature, international safety standards and international </w:t>
      </w:r>
      <w:proofErr w:type="spellStart"/>
      <w:r w:rsidRPr="00D23291">
        <w:rPr>
          <w:b w:val="0"/>
          <w:color w:val="1B174A" w:themeColor="text1" w:themeTint="E6"/>
          <w:sz w:val="22"/>
          <w:szCs w:val="18"/>
        </w:rPr>
        <w:t>recognised</w:t>
      </w:r>
      <w:proofErr w:type="spellEnd"/>
      <w:r w:rsidRPr="00D23291">
        <w:rPr>
          <w:b w:val="0"/>
          <w:color w:val="1B174A" w:themeColor="text1" w:themeTint="E6"/>
          <w:sz w:val="22"/>
          <w:szCs w:val="18"/>
        </w:rPr>
        <w:t xml:space="preserve"> </w:t>
      </w:r>
      <w:proofErr w:type="spellStart"/>
      <w:r w:rsidRPr="00D23291">
        <w:rPr>
          <w:b w:val="0"/>
          <w:color w:val="1B174A" w:themeColor="text1" w:themeTint="E6"/>
          <w:sz w:val="22"/>
          <w:szCs w:val="18"/>
        </w:rPr>
        <w:t>organisational</w:t>
      </w:r>
      <w:proofErr w:type="spellEnd"/>
      <w:r w:rsidRPr="00D23291">
        <w:rPr>
          <w:b w:val="0"/>
          <w:color w:val="1B174A" w:themeColor="text1" w:themeTint="E6"/>
          <w:sz w:val="22"/>
          <w:szCs w:val="18"/>
        </w:rPr>
        <w:t xml:space="preserve">-change theory to formulate an elaborate understanding of the incident. </w:t>
      </w:r>
      <w:r w:rsidRPr="00D23291">
        <w:rPr>
          <w:b w:val="0"/>
          <w:color w:val="1B174A" w:themeColor="text1" w:themeTint="E6"/>
          <w:sz w:val="22"/>
          <w:szCs w:val="18"/>
        </w:rPr>
        <w:lastRenderedPageBreak/>
        <w:t>Combining theoretical frameworks and practical evidence, the report shows how the structured quality-improvement tools can be used to diagnose the failures, identify the underlying causes, and facilitate the creation of the intervention that will be effective and sustainable.</w:t>
      </w:r>
    </w:p>
    <w:p w14:paraId="48F1D08B" w14:textId="426BD62E" w:rsidR="00A475B7" w:rsidRDefault="006C17D2" w:rsidP="005B59C1">
      <w:pPr>
        <w:jc w:val="both"/>
        <w:rPr>
          <w:b w:val="0"/>
          <w:color w:val="1B174A" w:themeColor="text1" w:themeTint="E6"/>
          <w:sz w:val="22"/>
          <w:szCs w:val="18"/>
        </w:rPr>
      </w:pPr>
      <w:r w:rsidRPr="00D23291">
        <w:rPr>
          <w:b w:val="0"/>
          <w:color w:val="1B174A" w:themeColor="text1" w:themeTint="E6"/>
          <w:sz w:val="22"/>
          <w:szCs w:val="18"/>
        </w:rPr>
        <w:br/>
        <w:t xml:space="preserve">Last but not least, the report provides a series of evidence-based recommendations that could help to enhance fire-safety resilience. These consist of improvement of key infrastructure, redesign of emergency-response operations, improvement of workforce capacity, development of governance, and the use of iterative PDSA cycles to test and refine interventions. The general objective is to develop a safer and more dependable system to safeguard those patients who are at risk, as well as to guarantee prompt diagnosis and reaction and an </w:t>
      </w:r>
      <w:proofErr w:type="spellStart"/>
      <w:r w:rsidRPr="00D23291">
        <w:rPr>
          <w:b w:val="0"/>
          <w:color w:val="1B174A" w:themeColor="text1" w:themeTint="E6"/>
          <w:sz w:val="22"/>
          <w:szCs w:val="18"/>
        </w:rPr>
        <w:t>organisational</w:t>
      </w:r>
      <w:proofErr w:type="spellEnd"/>
      <w:r w:rsidRPr="00D23291">
        <w:rPr>
          <w:b w:val="0"/>
          <w:color w:val="1B174A" w:themeColor="text1" w:themeTint="E6"/>
          <w:sz w:val="22"/>
          <w:szCs w:val="18"/>
        </w:rPr>
        <w:t xml:space="preserve"> culture dedicated to consistent enhancement.</w:t>
      </w:r>
      <w:r w:rsidRPr="00D23291">
        <w:rPr>
          <w:b w:val="0"/>
          <w:color w:val="1B174A" w:themeColor="text1" w:themeTint="E6"/>
          <w:sz w:val="22"/>
          <w:szCs w:val="18"/>
        </w:rPr>
        <w:br/>
      </w:r>
    </w:p>
    <w:p w14:paraId="67518A45" w14:textId="3074C472" w:rsidR="006C17D2" w:rsidRPr="001E6735" w:rsidRDefault="00840AC4" w:rsidP="005B59C1">
      <w:pPr>
        <w:jc w:val="both"/>
        <w:rPr>
          <w:bCs/>
          <w:sz w:val="36"/>
          <w:szCs w:val="28"/>
        </w:rPr>
      </w:pPr>
      <w:bookmarkStart w:id="1" w:name="_Hlk215063169"/>
      <w:r>
        <w:rPr>
          <w:bCs/>
          <w:sz w:val="36"/>
          <w:szCs w:val="28"/>
        </w:rPr>
        <w:t xml:space="preserve">2. </w:t>
      </w:r>
      <w:r w:rsidR="006C17D2" w:rsidRPr="001E6735">
        <w:rPr>
          <w:bCs/>
          <w:sz w:val="36"/>
          <w:szCs w:val="28"/>
        </w:rPr>
        <w:t>MAIN ISSUE OR CHALLENGE</w:t>
      </w:r>
    </w:p>
    <w:bookmarkEnd w:id="1"/>
    <w:p w14:paraId="3E3262DE" w14:textId="77777777" w:rsidR="006C17D2" w:rsidRPr="00D23291" w:rsidRDefault="006C17D2" w:rsidP="005B59C1">
      <w:pPr>
        <w:jc w:val="both"/>
        <w:rPr>
          <w:b w:val="0"/>
          <w:color w:val="1B174A" w:themeColor="text1" w:themeTint="E6"/>
          <w:sz w:val="22"/>
          <w:szCs w:val="18"/>
        </w:rPr>
      </w:pPr>
      <w:r w:rsidRPr="00D23291">
        <w:rPr>
          <w:b w:val="0"/>
          <w:color w:val="1B174A" w:themeColor="text1" w:themeTint="E6"/>
          <w:sz w:val="22"/>
          <w:szCs w:val="18"/>
        </w:rPr>
        <w:t xml:space="preserve">The main issue is that there is a systemic failure in the reliability of fire-safety. Even though an electrical fault caused by air-conditioning work triggered the ignition, the biggest failure was the inability of the </w:t>
      </w:r>
      <w:proofErr w:type="spellStart"/>
      <w:r w:rsidRPr="00D23291">
        <w:rPr>
          <w:b w:val="0"/>
          <w:color w:val="1B174A" w:themeColor="text1" w:themeTint="E6"/>
          <w:sz w:val="22"/>
          <w:szCs w:val="18"/>
        </w:rPr>
        <w:t>organisation</w:t>
      </w:r>
      <w:proofErr w:type="spellEnd"/>
      <w:r w:rsidRPr="00D23291">
        <w:rPr>
          <w:b w:val="0"/>
          <w:color w:val="1B174A" w:themeColor="text1" w:themeTint="E6"/>
          <w:sz w:val="22"/>
          <w:szCs w:val="18"/>
        </w:rPr>
        <w:t xml:space="preserve"> to identify, amplify, and act in a proper and efficient manner. Other wards did not have complete smoke-detection coverage and early warnings failed to translate into concerted efforts. All these problems have enabled a minor flaw to develop in a rapid manner and result in several deaths.</w:t>
      </w:r>
    </w:p>
    <w:p w14:paraId="22414A4B" w14:textId="55EBC306" w:rsidR="006C17D2" w:rsidRPr="00D23291" w:rsidRDefault="006C17D2" w:rsidP="005B59C1">
      <w:pPr>
        <w:jc w:val="both"/>
        <w:rPr>
          <w:b w:val="0"/>
          <w:color w:val="1B174A" w:themeColor="text1" w:themeTint="E6"/>
          <w:sz w:val="22"/>
          <w:szCs w:val="18"/>
        </w:rPr>
      </w:pPr>
      <w:r w:rsidRPr="00D23291">
        <w:rPr>
          <w:b w:val="0"/>
          <w:color w:val="1B174A" w:themeColor="text1" w:themeTint="E6"/>
          <w:sz w:val="22"/>
          <w:szCs w:val="18"/>
        </w:rPr>
        <w:t xml:space="preserve">This is indicative of bigger </w:t>
      </w:r>
      <w:proofErr w:type="spellStart"/>
      <w:r w:rsidRPr="00D23291">
        <w:rPr>
          <w:b w:val="0"/>
          <w:color w:val="1B174A" w:themeColor="text1" w:themeTint="E6"/>
          <w:sz w:val="22"/>
          <w:szCs w:val="18"/>
        </w:rPr>
        <w:t>organisational</w:t>
      </w:r>
      <w:proofErr w:type="spellEnd"/>
      <w:r w:rsidRPr="00D23291">
        <w:rPr>
          <w:b w:val="0"/>
          <w:color w:val="1B174A" w:themeColor="text1" w:themeTint="E6"/>
          <w:sz w:val="22"/>
          <w:szCs w:val="18"/>
        </w:rPr>
        <w:t xml:space="preserve"> flaws. Safety science studies indicate that hospitals and facilities whose infrastructure is in bad condition, preventive maintenance is weak and safety governance is poor have accumulated latent risks that increase vulnerability (Reason, 2000). The crux of the matter is thus interaction of poor infrastructure, broken emergency-response procedures and lack of preparedness rather than the source of ignition.</w:t>
      </w:r>
    </w:p>
    <w:p w14:paraId="50A5B344" w14:textId="77777777" w:rsidR="00B23C52" w:rsidRPr="006C17D2" w:rsidRDefault="00B23C52" w:rsidP="005B59C1">
      <w:pPr>
        <w:jc w:val="both"/>
        <w:rPr>
          <w:b w:val="0"/>
          <w:color w:val="1B174A" w:themeColor="text1" w:themeTint="E6"/>
          <w:sz w:val="22"/>
          <w:szCs w:val="18"/>
        </w:rPr>
      </w:pPr>
    </w:p>
    <w:p w14:paraId="41FA0B73" w14:textId="63ACCE60" w:rsidR="00A475B7" w:rsidRPr="00D23291" w:rsidRDefault="00840AC4" w:rsidP="005B59C1">
      <w:pPr>
        <w:jc w:val="both"/>
        <w:rPr>
          <w:bCs/>
          <w:sz w:val="36"/>
          <w:szCs w:val="28"/>
          <w:lang w:val="en-IN"/>
        </w:rPr>
      </w:pPr>
      <w:r>
        <w:rPr>
          <w:bCs/>
          <w:sz w:val="36"/>
          <w:szCs w:val="28"/>
          <w:lang w:val="en-IN"/>
        </w:rPr>
        <w:t xml:space="preserve">3. </w:t>
      </w:r>
      <w:r w:rsidR="00B23C52" w:rsidRPr="00D23291">
        <w:rPr>
          <w:bCs/>
          <w:sz w:val="36"/>
          <w:szCs w:val="28"/>
          <w:lang w:val="en-IN"/>
        </w:rPr>
        <w:t>KEY STAKEHOLDERS</w:t>
      </w:r>
    </w:p>
    <w:p w14:paraId="5C1CB323" w14:textId="79DAA10D" w:rsidR="001B100F" w:rsidRDefault="00A76514" w:rsidP="005B59C1">
      <w:pPr>
        <w:jc w:val="both"/>
        <w:rPr>
          <w:b w:val="0"/>
          <w:bCs/>
          <w:color w:val="171717" w:themeColor="background2" w:themeShade="1A"/>
          <w:sz w:val="22"/>
        </w:rPr>
      </w:pPr>
      <w:r w:rsidRPr="00A76514">
        <w:rPr>
          <w:b w:val="0"/>
          <w:bCs/>
          <w:color w:val="171717" w:themeColor="background2" w:themeShade="1A"/>
          <w:sz w:val="22"/>
        </w:rPr>
        <w:t xml:space="preserve">Patients were the most vulnerable stakeholders particularly the older and immobile ones who needed full assistance during evacuation. Frontline responsibility was placed on clinical staff especially nurses and ward teams to identify danger, escalate alarms, and to coordinate evacuation. Facilities/estates teams were responsible in servicing electrical systems, fire-detection systems and other infrastructures. The top leadership was responsible to </w:t>
      </w:r>
      <w:proofErr w:type="spellStart"/>
      <w:r w:rsidRPr="00A76514">
        <w:rPr>
          <w:b w:val="0"/>
          <w:bCs/>
          <w:color w:val="171717" w:themeColor="background2" w:themeShade="1A"/>
          <w:sz w:val="22"/>
        </w:rPr>
        <w:t>prioritisation</w:t>
      </w:r>
      <w:proofErr w:type="spellEnd"/>
      <w:r w:rsidRPr="00A76514">
        <w:rPr>
          <w:b w:val="0"/>
          <w:bCs/>
          <w:color w:val="171717" w:themeColor="background2" w:themeShade="1A"/>
          <w:sz w:val="22"/>
        </w:rPr>
        <w:t xml:space="preserve">, resources allocation, and general safety of the </w:t>
      </w:r>
      <w:proofErr w:type="spellStart"/>
      <w:r w:rsidRPr="00A76514">
        <w:rPr>
          <w:b w:val="0"/>
          <w:bCs/>
          <w:color w:val="171717" w:themeColor="background2" w:themeShade="1A"/>
          <w:sz w:val="22"/>
        </w:rPr>
        <w:t>organisation</w:t>
      </w:r>
      <w:proofErr w:type="spellEnd"/>
      <w:r w:rsidRPr="00A76514">
        <w:rPr>
          <w:b w:val="0"/>
          <w:bCs/>
          <w:color w:val="171717" w:themeColor="background2" w:themeShade="1A"/>
          <w:sz w:val="22"/>
        </w:rPr>
        <w:t>.</w:t>
      </w:r>
      <w:r w:rsidRPr="00A76514">
        <w:rPr>
          <w:b w:val="0"/>
          <w:bCs/>
          <w:color w:val="171717" w:themeColor="background2" w:themeShade="1A"/>
          <w:sz w:val="22"/>
        </w:rPr>
        <w:br/>
      </w:r>
      <w:r w:rsidRPr="00A76514">
        <w:rPr>
          <w:b w:val="0"/>
          <w:bCs/>
          <w:color w:val="171717" w:themeColor="background2" w:themeShade="1A"/>
          <w:sz w:val="22"/>
        </w:rPr>
        <w:lastRenderedPageBreak/>
        <w:t>Fire-rescue services that offer emergency response and regulatory authorities that ensure compliance were external stakeholders. The various groups had varying priorities: the clinical staff was concerned with patient safety, the estates team with technical integrity, and the leaders with operational pressures. Such misalignment among these groups may cause vulnerability in a system, which supports the necessity of effective interdisciplinary communication and collective responsibility (Kotter, 1996).</w:t>
      </w:r>
    </w:p>
    <w:p w14:paraId="46C1E91A" w14:textId="77777777" w:rsidR="00F137EE" w:rsidRPr="00A76514" w:rsidRDefault="00F137EE" w:rsidP="005B59C1">
      <w:pPr>
        <w:jc w:val="both"/>
        <w:rPr>
          <w:b w:val="0"/>
          <w:bCs/>
          <w:color w:val="171717" w:themeColor="background2" w:themeShade="1A"/>
          <w:sz w:val="22"/>
        </w:rPr>
      </w:pPr>
    </w:p>
    <w:p w14:paraId="255E8F4C" w14:textId="7776188E" w:rsidR="001B100F" w:rsidRPr="001B100F" w:rsidRDefault="00840AC4" w:rsidP="005B59C1">
      <w:pPr>
        <w:jc w:val="both"/>
        <w:rPr>
          <w:b w:val="0"/>
          <w:sz w:val="36"/>
          <w:szCs w:val="36"/>
        </w:rPr>
      </w:pPr>
      <w:r>
        <w:rPr>
          <w:bCs/>
          <w:sz w:val="36"/>
          <w:szCs w:val="36"/>
          <w:lang w:val="en-IN"/>
        </w:rPr>
        <w:t xml:space="preserve">4. </w:t>
      </w:r>
      <w:r w:rsidR="001B100F" w:rsidRPr="00FB65FC">
        <w:rPr>
          <w:bCs/>
          <w:sz w:val="36"/>
          <w:szCs w:val="36"/>
          <w:lang w:val="en-IN"/>
        </w:rPr>
        <w:t>QUANTITATIVE &amp; QUALITATIVE DATA</w:t>
      </w:r>
    </w:p>
    <w:p w14:paraId="5A3A2045" w14:textId="53617060" w:rsidR="00A76514" w:rsidRDefault="00A76514" w:rsidP="005B59C1">
      <w:pPr>
        <w:rPr>
          <w:b w:val="0"/>
          <w:color w:val="171717" w:themeColor="background2" w:themeShade="1A"/>
          <w:sz w:val="22"/>
        </w:rPr>
      </w:pPr>
      <w:r w:rsidRPr="00A76514">
        <w:rPr>
          <w:b w:val="0"/>
          <w:color w:val="171717" w:themeColor="background2" w:themeShade="1A"/>
          <w:sz w:val="22"/>
        </w:rPr>
        <w:t>Quantitative data was reported to give 29 deaths, numerous injuries and partial smoke-detecting in a number of wards. Early alarming was not done, and alarm activation was not carried out effectively. It has been established in research that effective intervention to save lives during hospital fires is critical in detection and escalation of the fire in time.</w:t>
      </w:r>
      <w:r w:rsidRPr="00A76514">
        <w:rPr>
          <w:b w:val="0"/>
          <w:color w:val="171717" w:themeColor="background2" w:themeShade="1A"/>
          <w:sz w:val="22"/>
        </w:rPr>
        <w:br/>
        <w:t xml:space="preserve">The qualitative data revealed the presence of major </w:t>
      </w:r>
      <w:proofErr w:type="spellStart"/>
      <w:r w:rsidRPr="00A76514">
        <w:rPr>
          <w:b w:val="0"/>
          <w:color w:val="171717" w:themeColor="background2" w:themeShade="1A"/>
          <w:sz w:val="22"/>
        </w:rPr>
        <w:t>organisational</w:t>
      </w:r>
      <w:proofErr w:type="spellEnd"/>
      <w:r w:rsidRPr="00A76514">
        <w:rPr>
          <w:b w:val="0"/>
          <w:color w:val="171717" w:themeColor="background2" w:themeShade="1A"/>
          <w:sz w:val="22"/>
        </w:rPr>
        <w:t xml:space="preserve"> weaknesses. Employees reported confusion, lack of communicating skills, and lack of understanding of the evacuation measures particularly among immobile patients. These problems correspond with the literatures that the lack of emergency-preparedness training is associated with delayed decision-making and poor teamwork. Lack of clear roles on leadership was also an indicator of a poor safety culture.</w:t>
      </w:r>
      <w:r w:rsidRPr="00A76514">
        <w:rPr>
          <w:b w:val="0"/>
          <w:color w:val="171717" w:themeColor="background2" w:themeShade="1A"/>
          <w:sz w:val="22"/>
        </w:rPr>
        <w:br/>
        <w:t xml:space="preserve">Combining the quantitative and qualitative results, it was revealed that the incident was caused by some structural failures and </w:t>
      </w:r>
      <w:proofErr w:type="spellStart"/>
      <w:r w:rsidRPr="00A76514">
        <w:rPr>
          <w:b w:val="0"/>
          <w:color w:val="171717" w:themeColor="background2" w:themeShade="1A"/>
          <w:sz w:val="22"/>
        </w:rPr>
        <w:t>behavioural</w:t>
      </w:r>
      <w:proofErr w:type="spellEnd"/>
      <w:r w:rsidR="00D23291">
        <w:rPr>
          <w:b w:val="0"/>
          <w:color w:val="171717" w:themeColor="background2" w:themeShade="1A"/>
          <w:sz w:val="22"/>
        </w:rPr>
        <w:t xml:space="preserve"> </w:t>
      </w:r>
      <w:proofErr w:type="spellStart"/>
      <w:r w:rsidRPr="00A76514">
        <w:rPr>
          <w:b w:val="0"/>
          <w:color w:val="171717" w:themeColor="background2" w:themeShade="1A"/>
          <w:sz w:val="22"/>
        </w:rPr>
        <w:t>organisational</w:t>
      </w:r>
      <w:proofErr w:type="spellEnd"/>
      <w:r w:rsidRPr="00A76514">
        <w:rPr>
          <w:b w:val="0"/>
          <w:color w:val="171717" w:themeColor="background2" w:themeShade="1A"/>
          <w:sz w:val="22"/>
        </w:rPr>
        <w:t xml:space="preserve"> problems. This perspective of mixed methods reveals the necessity of evidence-based narrow improvements to make in detection, escalation, training, and safety culture.</w:t>
      </w:r>
    </w:p>
    <w:p w14:paraId="2F827CE8" w14:textId="6C3000FD" w:rsidR="001B100F" w:rsidRDefault="001B100F" w:rsidP="005B59C1">
      <w:pPr>
        <w:jc w:val="both"/>
        <w:rPr>
          <w:sz w:val="36"/>
          <w:szCs w:val="36"/>
          <w:lang w:val="en-IN"/>
        </w:rPr>
      </w:pPr>
      <w:r w:rsidRPr="00A76514">
        <w:rPr>
          <w:sz w:val="36"/>
          <w:szCs w:val="36"/>
          <w:lang w:val="en-IN"/>
        </w:rPr>
        <w:br/>
      </w:r>
      <w:r w:rsidR="00840AC4">
        <w:rPr>
          <w:sz w:val="36"/>
          <w:szCs w:val="36"/>
          <w:lang w:val="en-IN"/>
        </w:rPr>
        <w:t xml:space="preserve">5. </w:t>
      </w:r>
      <w:r w:rsidRPr="001B100F">
        <w:rPr>
          <w:sz w:val="36"/>
          <w:szCs w:val="36"/>
          <w:lang w:val="en-IN"/>
        </w:rPr>
        <w:t>DONABEDIAN MODEL</w:t>
      </w:r>
    </w:p>
    <w:p w14:paraId="65D9ABA9" w14:textId="77777777" w:rsidR="006B6931" w:rsidRPr="006B6931" w:rsidRDefault="006B6931" w:rsidP="006B6931">
      <w:pPr>
        <w:jc w:val="both"/>
        <w:rPr>
          <w:b w:val="0"/>
          <w:bCs/>
          <w:color w:val="171717" w:themeColor="background2" w:themeShade="1A"/>
          <w:sz w:val="22"/>
          <w:lang w:val="en-IN"/>
        </w:rPr>
      </w:pPr>
      <w:r w:rsidRPr="006B6931">
        <w:rPr>
          <w:b w:val="0"/>
          <w:bCs/>
          <w:color w:val="171717" w:themeColor="background2" w:themeShade="1A"/>
          <w:sz w:val="22"/>
          <w:lang w:val="en-IN"/>
        </w:rPr>
        <w:t>The Donabedian Structure Process Outcome (SPO) Model offers a strict approach to the analysis of how the organisational weaknesses led to the development of the hospital fire. It is also very appropriate to the study of failures within a complex healthcare system as it highlights the interdependence of structural conditions, operational processes, and the resulting outcomes (Donabedian, 1988).</w:t>
      </w:r>
    </w:p>
    <w:p w14:paraId="6A9B6C9A" w14:textId="77777777" w:rsidR="006B6931" w:rsidRPr="006B6931" w:rsidRDefault="006B6931" w:rsidP="006B6931">
      <w:pPr>
        <w:jc w:val="both"/>
        <w:rPr>
          <w:color w:val="171717" w:themeColor="background2" w:themeShade="1A"/>
          <w:sz w:val="22"/>
          <w:lang w:val="en-IN"/>
        </w:rPr>
      </w:pPr>
      <w:r w:rsidRPr="006B6931">
        <w:rPr>
          <w:color w:val="171717" w:themeColor="background2" w:themeShade="1A"/>
          <w:sz w:val="22"/>
          <w:lang w:val="en-IN"/>
        </w:rPr>
        <w:t>Structure</w:t>
      </w:r>
    </w:p>
    <w:p w14:paraId="67A23399" w14:textId="77777777" w:rsidR="006B6931" w:rsidRPr="006B6931" w:rsidRDefault="006B6931" w:rsidP="006B6931">
      <w:pPr>
        <w:jc w:val="both"/>
        <w:rPr>
          <w:b w:val="0"/>
          <w:bCs/>
          <w:color w:val="171717" w:themeColor="background2" w:themeShade="1A"/>
          <w:sz w:val="22"/>
          <w:lang w:val="en-IN"/>
        </w:rPr>
      </w:pPr>
      <w:r w:rsidRPr="006B6931">
        <w:rPr>
          <w:b w:val="0"/>
          <w:bCs/>
          <w:color w:val="171717" w:themeColor="background2" w:themeShade="1A"/>
          <w:sz w:val="22"/>
          <w:lang w:val="en-IN"/>
        </w:rPr>
        <w:t xml:space="preserve">Structural conditions are defined as the physical environment, resources, and mechanisms of governance on which the quality of services is supported. Essential structural shortfalls were old </w:t>
      </w:r>
      <w:r w:rsidRPr="006B6931">
        <w:rPr>
          <w:b w:val="0"/>
          <w:bCs/>
          <w:color w:val="171717" w:themeColor="background2" w:themeShade="1A"/>
          <w:sz w:val="22"/>
          <w:lang w:val="en-IN"/>
        </w:rPr>
        <w:lastRenderedPageBreak/>
        <w:t>electrical wiring, inadequate smoke-detection systems, inadequate compartmentation, and fire doors that were in poor condition. The underinvestment over a long period of time, the old infrastructure and the poor management created an environment of latent risk in which a small spark of the ignition could escalate in a short time-span- an inherent weakness on safety rather than an unforeseen accident.</w:t>
      </w:r>
    </w:p>
    <w:p w14:paraId="54A264C0" w14:textId="77777777" w:rsidR="006B6931" w:rsidRPr="006B6931" w:rsidRDefault="006B6931" w:rsidP="006B6931">
      <w:pPr>
        <w:jc w:val="both"/>
        <w:rPr>
          <w:color w:val="171717" w:themeColor="background2" w:themeShade="1A"/>
          <w:sz w:val="22"/>
          <w:lang w:val="en-IN"/>
        </w:rPr>
      </w:pPr>
      <w:r w:rsidRPr="006B6931">
        <w:rPr>
          <w:color w:val="171717" w:themeColor="background2" w:themeShade="1A"/>
          <w:sz w:val="22"/>
          <w:lang w:val="en-IN"/>
        </w:rPr>
        <w:t>Process</w:t>
      </w:r>
    </w:p>
    <w:p w14:paraId="74FFF05D" w14:textId="77777777" w:rsidR="006B6931" w:rsidRPr="006B6931" w:rsidRDefault="006B6931" w:rsidP="006B6931">
      <w:pPr>
        <w:jc w:val="both"/>
        <w:rPr>
          <w:b w:val="0"/>
          <w:bCs/>
          <w:color w:val="171717" w:themeColor="background2" w:themeShade="1A"/>
          <w:sz w:val="22"/>
          <w:lang w:val="en-IN"/>
        </w:rPr>
      </w:pPr>
      <w:r w:rsidRPr="006B6931">
        <w:rPr>
          <w:b w:val="0"/>
          <w:bCs/>
          <w:color w:val="171717" w:themeColor="background2" w:themeShade="1A"/>
          <w:sz w:val="22"/>
          <w:lang w:val="en-IN"/>
        </w:rPr>
        <w:t>The failure of processes regarding behaviour, workflow, and decision making in the emergency. The key failures were the poor escalation of alarms, unstable communication, role ambiguity, and lack of regular evacuation drills. Employees showed poor readiness, lack of confidence and this was exacerbated by ineffective leadership in instilling fire-safety measures. All this led to a poor reaction that was disorganised and slow.</w:t>
      </w:r>
    </w:p>
    <w:p w14:paraId="19B51F17" w14:textId="77777777" w:rsidR="006B6931" w:rsidRPr="006B6931" w:rsidRDefault="006B6931" w:rsidP="006B6931">
      <w:pPr>
        <w:jc w:val="both"/>
        <w:rPr>
          <w:color w:val="171717" w:themeColor="background2" w:themeShade="1A"/>
          <w:sz w:val="22"/>
          <w:lang w:val="en-IN"/>
        </w:rPr>
      </w:pPr>
      <w:r w:rsidRPr="006B6931">
        <w:rPr>
          <w:color w:val="171717" w:themeColor="background2" w:themeShade="1A"/>
          <w:sz w:val="22"/>
          <w:lang w:val="en-IN"/>
        </w:rPr>
        <w:t>Outcome</w:t>
      </w:r>
    </w:p>
    <w:p w14:paraId="54768035" w14:textId="77777777" w:rsidR="006B6931" w:rsidRPr="006B6931" w:rsidRDefault="006B6931" w:rsidP="006B6931">
      <w:pPr>
        <w:jc w:val="both"/>
        <w:rPr>
          <w:b w:val="0"/>
          <w:bCs/>
          <w:color w:val="171717" w:themeColor="background2" w:themeShade="1A"/>
          <w:sz w:val="22"/>
          <w:lang w:val="en-IN"/>
        </w:rPr>
      </w:pPr>
      <w:r w:rsidRPr="006B6931">
        <w:rPr>
          <w:b w:val="0"/>
          <w:bCs/>
          <w:color w:val="171717" w:themeColor="background2" w:themeShade="1A"/>
          <w:sz w:val="22"/>
          <w:lang w:val="en-IN"/>
        </w:rPr>
        <w:t>Among them were patient deaths, injuries, disrupted operation, psychological trauma, damaged reputation and regulatory action. These results emphasize the interaction between structural and procedural failures to increase the severity of the incident.</w:t>
      </w:r>
    </w:p>
    <w:p w14:paraId="61215CB3" w14:textId="77777777" w:rsidR="006B6931" w:rsidRPr="006B6931" w:rsidRDefault="006B6931" w:rsidP="006B6931">
      <w:pPr>
        <w:jc w:val="both"/>
        <w:rPr>
          <w:color w:val="171717" w:themeColor="background2" w:themeShade="1A"/>
          <w:sz w:val="22"/>
          <w:lang w:val="en-IN"/>
        </w:rPr>
      </w:pPr>
      <w:r w:rsidRPr="006B6931">
        <w:rPr>
          <w:color w:val="171717" w:themeColor="background2" w:themeShade="1A"/>
          <w:sz w:val="22"/>
          <w:lang w:val="en-IN"/>
        </w:rPr>
        <w:t>Overall Interpretation</w:t>
      </w:r>
    </w:p>
    <w:p w14:paraId="6E5B527F" w14:textId="57EE2AFF" w:rsidR="00A76514" w:rsidRPr="00A76514" w:rsidRDefault="006B6931" w:rsidP="006B6931">
      <w:pPr>
        <w:jc w:val="both"/>
        <w:rPr>
          <w:b w:val="0"/>
          <w:bCs/>
          <w:color w:val="171717" w:themeColor="background2" w:themeShade="1A"/>
          <w:sz w:val="22"/>
          <w:lang w:val="en-IN"/>
        </w:rPr>
      </w:pPr>
      <w:r w:rsidRPr="006B6931">
        <w:rPr>
          <w:b w:val="0"/>
          <w:bCs/>
          <w:color w:val="171717" w:themeColor="background2" w:themeShade="1A"/>
          <w:sz w:val="22"/>
          <w:lang w:val="en-IN"/>
        </w:rPr>
        <w:t>The SPO analysis shows that the fire was caused by the interdependence of failures in the system and not the isolated human error. Infrastructure fortification, emergency process standardisation, and the addition of proactive safety culture are thus critical in avoidance and attainment of consistent safe care.</w:t>
      </w:r>
    </w:p>
    <w:p w14:paraId="0EDFC7F8" w14:textId="77777777" w:rsidR="0041722B" w:rsidRDefault="0041722B" w:rsidP="005B59C1">
      <w:pPr>
        <w:jc w:val="both"/>
        <w:rPr>
          <w:sz w:val="36"/>
          <w:szCs w:val="36"/>
        </w:rPr>
      </w:pPr>
    </w:p>
    <w:p w14:paraId="494616F8" w14:textId="2E15A175" w:rsidR="002030CF" w:rsidRDefault="00840AC4" w:rsidP="005B59C1">
      <w:pPr>
        <w:jc w:val="both"/>
        <w:rPr>
          <w:sz w:val="36"/>
          <w:szCs w:val="36"/>
        </w:rPr>
      </w:pPr>
      <w:r>
        <w:rPr>
          <w:sz w:val="36"/>
          <w:szCs w:val="36"/>
        </w:rPr>
        <w:t xml:space="preserve">6. </w:t>
      </w:r>
      <w:r w:rsidR="002030CF" w:rsidRPr="00D23291">
        <w:rPr>
          <w:sz w:val="36"/>
          <w:szCs w:val="36"/>
        </w:rPr>
        <w:t>FISHBONE ANALYSIS</w:t>
      </w:r>
    </w:p>
    <w:p w14:paraId="2CF36AF2" w14:textId="77777777" w:rsidR="006B6931" w:rsidRPr="006B6931" w:rsidRDefault="006B6931" w:rsidP="006B6931">
      <w:pPr>
        <w:jc w:val="both"/>
        <w:rPr>
          <w:b w:val="0"/>
          <w:bCs/>
          <w:color w:val="auto"/>
          <w:sz w:val="22"/>
        </w:rPr>
      </w:pPr>
      <w:r w:rsidRPr="006B6931">
        <w:rPr>
          <w:b w:val="0"/>
          <w:bCs/>
          <w:color w:val="auto"/>
          <w:sz w:val="22"/>
        </w:rPr>
        <w:t xml:space="preserve">A Fishbone Diagram is an extensive model to use when investigating the multifactorial causes of the hospital fire. It classifies contributory factors by important domains and this allows a more detailed systems level interpretation of the interaction between technical, human and </w:t>
      </w:r>
      <w:proofErr w:type="spellStart"/>
      <w:r w:rsidRPr="006B6931">
        <w:rPr>
          <w:b w:val="0"/>
          <w:bCs/>
          <w:color w:val="auto"/>
          <w:sz w:val="22"/>
        </w:rPr>
        <w:t>organisational</w:t>
      </w:r>
      <w:proofErr w:type="spellEnd"/>
      <w:r w:rsidRPr="006B6931">
        <w:rPr>
          <w:b w:val="0"/>
          <w:bCs/>
          <w:color w:val="auto"/>
          <w:sz w:val="22"/>
        </w:rPr>
        <w:t xml:space="preserve"> contributors.</w:t>
      </w:r>
    </w:p>
    <w:p w14:paraId="115A8F32" w14:textId="7EB56F2A" w:rsidR="006B6931" w:rsidRPr="006B6931" w:rsidRDefault="006B6931" w:rsidP="006B6931">
      <w:pPr>
        <w:jc w:val="both"/>
        <w:rPr>
          <w:b w:val="0"/>
          <w:bCs/>
          <w:color w:val="auto"/>
          <w:sz w:val="22"/>
        </w:rPr>
      </w:pPr>
      <w:r w:rsidRPr="00443D9F">
        <w:rPr>
          <w:color w:val="auto"/>
          <w:sz w:val="22"/>
        </w:rPr>
        <w:t>Human Resources</w:t>
      </w:r>
      <w:r w:rsidR="00443D9F" w:rsidRPr="00443D9F">
        <w:rPr>
          <w:color w:val="auto"/>
          <w:sz w:val="22"/>
        </w:rPr>
        <w:t xml:space="preserve"> -</w:t>
      </w:r>
      <w:r w:rsidR="00443D9F">
        <w:rPr>
          <w:b w:val="0"/>
          <w:bCs/>
          <w:color w:val="auto"/>
          <w:sz w:val="22"/>
        </w:rPr>
        <w:t xml:space="preserve"> </w:t>
      </w:r>
      <w:r w:rsidRPr="006B6931">
        <w:rPr>
          <w:b w:val="0"/>
          <w:bCs/>
          <w:color w:val="auto"/>
          <w:sz w:val="22"/>
        </w:rPr>
        <w:t>lack of emergency-response training, inadequate task assignment, lack of communication, and the loss of situational awareness.</w:t>
      </w:r>
    </w:p>
    <w:p w14:paraId="5A343D5D" w14:textId="69954102" w:rsidR="006B6931" w:rsidRPr="006B6931" w:rsidRDefault="006B6931" w:rsidP="006B6931">
      <w:pPr>
        <w:jc w:val="both"/>
        <w:rPr>
          <w:b w:val="0"/>
          <w:bCs/>
          <w:color w:val="auto"/>
          <w:sz w:val="22"/>
        </w:rPr>
      </w:pPr>
      <w:r w:rsidRPr="00443D9F">
        <w:rPr>
          <w:color w:val="auto"/>
          <w:sz w:val="22"/>
        </w:rPr>
        <w:t>Equipment</w:t>
      </w:r>
      <w:r w:rsidR="00443D9F" w:rsidRPr="00443D9F">
        <w:rPr>
          <w:color w:val="auto"/>
          <w:sz w:val="22"/>
        </w:rPr>
        <w:t xml:space="preserve"> -</w:t>
      </w:r>
      <w:r w:rsidR="00443D9F">
        <w:rPr>
          <w:b w:val="0"/>
          <w:bCs/>
          <w:color w:val="auto"/>
          <w:sz w:val="22"/>
        </w:rPr>
        <w:t xml:space="preserve"> </w:t>
      </w:r>
      <w:r w:rsidRPr="006B6931">
        <w:rPr>
          <w:b w:val="0"/>
          <w:bCs/>
          <w:color w:val="auto"/>
          <w:sz w:val="22"/>
        </w:rPr>
        <w:t>Deteriorating electrical systems, insufficient smoke-detection coverage, and worn fire-safety equipment.</w:t>
      </w:r>
    </w:p>
    <w:p w14:paraId="21230E93" w14:textId="1DEBCECF" w:rsidR="006B6931" w:rsidRPr="006B6931" w:rsidRDefault="006B6931" w:rsidP="006B6931">
      <w:pPr>
        <w:jc w:val="both"/>
        <w:rPr>
          <w:b w:val="0"/>
          <w:bCs/>
          <w:color w:val="auto"/>
          <w:sz w:val="22"/>
        </w:rPr>
      </w:pPr>
      <w:r w:rsidRPr="00443D9F">
        <w:rPr>
          <w:color w:val="auto"/>
          <w:sz w:val="22"/>
        </w:rPr>
        <w:lastRenderedPageBreak/>
        <w:t>Environment</w:t>
      </w:r>
      <w:r w:rsidR="00443D9F" w:rsidRPr="00443D9F">
        <w:rPr>
          <w:color w:val="auto"/>
          <w:sz w:val="22"/>
        </w:rPr>
        <w:t xml:space="preserve"> -</w:t>
      </w:r>
      <w:r w:rsidR="00443D9F">
        <w:rPr>
          <w:b w:val="0"/>
          <w:bCs/>
          <w:color w:val="auto"/>
          <w:sz w:val="22"/>
        </w:rPr>
        <w:t xml:space="preserve"> </w:t>
      </w:r>
      <w:r w:rsidRPr="006B6931">
        <w:rPr>
          <w:b w:val="0"/>
          <w:bCs/>
          <w:color w:val="auto"/>
          <w:sz w:val="22"/>
        </w:rPr>
        <w:t>old building structure, restricted evacuation routes, and the high reactiveness of patients to complicate the rescue.</w:t>
      </w:r>
    </w:p>
    <w:p w14:paraId="58F2E58F" w14:textId="5D8D6C4B" w:rsidR="006B6931" w:rsidRPr="006B6931" w:rsidRDefault="006B6931" w:rsidP="006B6931">
      <w:pPr>
        <w:jc w:val="both"/>
        <w:rPr>
          <w:b w:val="0"/>
          <w:bCs/>
          <w:color w:val="auto"/>
          <w:sz w:val="22"/>
        </w:rPr>
      </w:pPr>
      <w:r w:rsidRPr="00443D9F">
        <w:rPr>
          <w:color w:val="auto"/>
          <w:sz w:val="22"/>
        </w:rPr>
        <w:t>Procedures</w:t>
      </w:r>
      <w:r w:rsidR="00443D9F" w:rsidRPr="00443D9F">
        <w:rPr>
          <w:color w:val="auto"/>
          <w:sz w:val="22"/>
        </w:rPr>
        <w:t xml:space="preserve"> -</w:t>
      </w:r>
      <w:r w:rsidRPr="006B6931">
        <w:rPr>
          <w:b w:val="0"/>
          <w:bCs/>
          <w:color w:val="auto"/>
          <w:sz w:val="22"/>
        </w:rPr>
        <w:t xml:space="preserve"> poor consistency of evacuation procedures, inadequate alarm-escalation procedures, and </w:t>
      </w:r>
      <w:proofErr w:type="spellStart"/>
      <w:r w:rsidRPr="006B6931">
        <w:rPr>
          <w:b w:val="0"/>
          <w:bCs/>
          <w:color w:val="auto"/>
          <w:sz w:val="22"/>
        </w:rPr>
        <w:t>standardisation</w:t>
      </w:r>
      <w:proofErr w:type="spellEnd"/>
      <w:r w:rsidRPr="006B6931">
        <w:rPr>
          <w:b w:val="0"/>
          <w:bCs/>
          <w:color w:val="auto"/>
          <w:sz w:val="22"/>
        </w:rPr>
        <w:t xml:space="preserve"> of response procedures.</w:t>
      </w:r>
    </w:p>
    <w:p w14:paraId="795D75B7" w14:textId="15805D6E" w:rsidR="006B6931" w:rsidRPr="006B6931" w:rsidRDefault="006B6931" w:rsidP="006B6931">
      <w:pPr>
        <w:jc w:val="both"/>
        <w:rPr>
          <w:b w:val="0"/>
          <w:bCs/>
          <w:color w:val="auto"/>
          <w:sz w:val="22"/>
        </w:rPr>
      </w:pPr>
      <w:r w:rsidRPr="00443D9F">
        <w:rPr>
          <w:color w:val="auto"/>
          <w:sz w:val="22"/>
        </w:rPr>
        <w:t>Management</w:t>
      </w:r>
      <w:r w:rsidR="00443D9F" w:rsidRPr="00443D9F">
        <w:rPr>
          <w:color w:val="auto"/>
          <w:sz w:val="22"/>
        </w:rPr>
        <w:t xml:space="preserve"> -</w:t>
      </w:r>
      <w:r w:rsidR="00443D9F">
        <w:rPr>
          <w:b w:val="0"/>
          <w:bCs/>
          <w:color w:val="auto"/>
          <w:sz w:val="22"/>
        </w:rPr>
        <w:t xml:space="preserve"> </w:t>
      </w:r>
      <w:r w:rsidRPr="006B6931">
        <w:rPr>
          <w:b w:val="0"/>
          <w:bCs/>
          <w:color w:val="auto"/>
          <w:sz w:val="22"/>
        </w:rPr>
        <w:t>low safety culture, bad governance and low preventive maintenance regimes.</w:t>
      </w:r>
    </w:p>
    <w:p w14:paraId="1179D45C" w14:textId="193BC3D8" w:rsidR="006B6931" w:rsidRPr="006B6931" w:rsidRDefault="006B6931" w:rsidP="006B6931">
      <w:pPr>
        <w:jc w:val="both"/>
        <w:rPr>
          <w:b w:val="0"/>
          <w:bCs/>
          <w:color w:val="auto"/>
          <w:sz w:val="22"/>
        </w:rPr>
      </w:pPr>
      <w:r w:rsidRPr="006B6931">
        <w:rPr>
          <w:b w:val="0"/>
          <w:bCs/>
          <w:color w:val="auto"/>
          <w:sz w:val="22"/>
        </w:rPr>
        <w:t xml:space="preserve">The Fishbone method is especially appropriate since the fires in hospitals are the results of the interplay of human, </w:t>
      </w:r>
      <w:proofErr w:type="spellStart"/>
      <w:r w:rsidRPr="006B6931">
        <w:rPr>
          <w:b w:val="0"/>
          <w:bCs/>
          <w:color w:val="auto"/>
          <w:sz w:val="22"/>
        </w:rPr>
        <w:t>organisational</w:t>
      </w:r>
      <w:proofErr w:type="spellEnd"/>
      <w:r w:rsidRPr="006B6931">
        <w:rPr>
          <w:b w:val="0"/>
          <w:bCs/>
          <w:color w:val="auto"/>
          <w:sz w:val="22"/>
        </w:rPr>
        <w:t xml:space="preserve"> and environmental weaknesses instead of one-factor failures. It identifies weaknesses in the system and outlines latent states that predetermine risk.</w:t>
      </w:r>
    </w:p>
    <w:p w14:paraId="31AF062A" w14:textId="094DF9DF" w:rsidR="0097610E" w:rsidRDefault="007832B9" w:rsidP="005B59C1">
      <w:pPr>
        <w:jc w:val="both"/>
        <w:rPr>
          <w:color w:val="171717" w:themeColor="background2" w:themeShade="1A"/>
          <w:sz w:val="22"/>
        </w:rPr>
      </w:pPr>
      <w:r>
        <w:rPr>
          <w:noProof/>
          <w:color w:val="171717" w:themeColor="background2" w:themeShade="1A"/>
          <w:sz w:val="22"/>
        </w:rPr>
        <w:drawing>
          <wp:anchor distT="0" distB="0" distL="114300" distR="114300" simplePos="0" relativeHeight="251677696" behindDoc="1" locked="0" layoutInCell="1" allowOverlap="1" wp14:anchorId="03B972AB" wp14:editId="3F955A4F">
            <wp:simplePos x="0" y="0"/>
            <wp:positionH relativeFrom="margin">
              <wp:posOffset>457835</wp:posOffset>
            </wp:positionH>
            <wp:positionV relativeFrom="paragraph">
              <wp:posOffset>191770</wp:posOffset>
            </wp:positionV>
            <wp:extent cx="5152390" cy="2685415"/>
            <wp:effectExtent l="0" t="0" r="0" b="63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52390" cy="2685415"/>
                    </a:xfrm>
                    <a:prstGeom prst="rect">
                      <a:avLst/>
                    </a:prstGeom>
                  </pic:spPr>
                </pic:pic>
              </a:graphicData>
            </a:graphic>
            <wp14:sizeRelH relativeFrom="margin">
              <wp14:pctWidth>0</wp14:pctWidth>
            </wp14:sizeRelH>
            <wp14:sizeRelV relativeFrom="margin">
              <wp14:pctHeight>0</wp14:pctHeight>
            </wp14:sizeRelV>
          </wp:anchor>
        </w:drawing>
      </w:r>
    </w:p>
    <w:p w14:paraId="2FE542DD" w14:textId="1B78EDF8" w:rsidR="0097610E" w:rsidRDefault="0097610E" w:rsidP="005B59C1">
      <w:pPr>
        <w:jc w:val="both"/>
        <w:rPr>
          <w:color w:val="171717" w:themeColor="background2" w:themeShade="1A"/>
          <w:sz w:val="22"/>
        </w:rPr>
      </w:pPr>
    </w:p>
    <w:p w14:paraId="659AC676" w14:textId="77777777" w:rsidR="0097610E" w:rsidRDefault="0097610E" w:rsidP="005B59C1">
      <w:pPr>
        <w:jc w:val="both"/>
        <w:rPr>
          <w:color w:val="171717" w:themeColor="background2" w:themeShade="1A"/>
          <w:sz w:val="22"/>
        </w:rPr>
      </w:pPr>
    </w:p>
    <w:p w14:paraId="3D8568C4" w14:textId="01580503" w:rsidR="0097610E" w:rsidRDefault="002030CF" w:rsidP="005B59C1">
      <w:pPr>
        <w:jc w:val="both"/>
        <w:rPr>
          <w:color w:val="171717" w:themeColor="background2" w:themeShade="1A"/>
          <w:sz w:val="22"/>
        </w:rPr>
      </w:pPr>
      <w:r w:rsidRPr="00D23291">
        <w:rPr>
          <w:color w:val="171717" w:themeColor="background2" w:themeShade="1A"/>
          <w:sz w:val="22"/>
        </w:rPr>
        <w:t>Why not 5 Whys?</w:t>
      </w:r>
    </w:p>
    <w:p w14:paraId="282C1DE9" w14:textId="77777777" w:rsidR="006B6931" w:rsidRPr="006B6931" w:rsidRDefault="006B6931" w:rsidP="006B6931">
      <w:pPr>
        <w:jc w:val="both"/>
        <w:rPr>
          <w:b w:val="0"/>
          <w:bCs/>
          <w:color w:val="auto"/>
          <w:sz w:val="22"/>
        </w:rPr>
      </w:pPr>
      <w:r w:rsidRPr="006B6931">
        <w:rPr>
          <w:b w:val="0"/>
          <w:bCs/>
          <w:color w:val="auto"/>
          <w:sz w:val="22"/>
        </w:rPr>
        <w:t xml:space="preserve">The 5 Whys method is not suitable to complex, high-risk events that are simplified and tries to conceal the interaction between the </w:t>
      </w:r>
      <w:proofErr w:type="spellStart"/>
      <w:r w:rsidRPr="006B6931">
        <w:rPr>
          <w:b w:val="0"/>
          <w:bCs/>
          <w:color w:val="auto"/>
          <w:sz w:val="22"/>
        </w:rPr>
        <w:t>behaviour</w:t>
      </w:r>
      <w:proofErr w:type="spellEnd"/>
      <w:r w:rsidRPr="006B6931">
        <w:rPr>
          <w:b w:val="0"/>
          <w:bCs/>
          <w:color w:val="auto"/>
          <w:sz w:val="22"/>
        </w:rPr>
        <w:t xml:space="preserve"> and infrastructure and culture (Reed and Card, 2016). Fishbone approach thus presents a better analyzing approach of this incident.</w:t>
      </w:r>
    </w:p>
    <w:p w14:paraId="28C4FD09" w14:textId="77777777" w:rsidR="006B6931" w:rsidRPr="00D23291" w:rsidRDefault="006B6931" w:rsidP="005B59C1">
      <w:pPr>
        <w:jc w:val="both"/>
        <w:rPr>
          <w:color w:val="171717" w:themeColor="background2" w:themeShade="1A"/>
          <w:sz w:val="22"/>
        </w:rPr>
      </w:pPr>
    </w:p>
    <w:p w14:paraId="4445CCD7" w14:textId="3864CA4C" w:rsidR="006B6931" w:rsidRPr="006B6931" w:rsidRDefault="00840AC4" w:rsidP="006B6931">
      <w:pPr>
        <w:rPr>
          <w:b w:val="0"/>
          <w:color w:val="171717" w:themeColor="background2" w:themeShade="1A"/>
          <w:sz w:val="22"/>
          <w:szCs w:val="18"/>
        </w:rPr>
      </w:pPr>
      <w:r>
        <w:rPr>
          <w:bCs/>
          <w:sz w:val="36"/>
          <w:szCs w:val="28"/>
        </w:rPr>
        <w:t xml:space="preserve">7. </w:t>
      </w:r>
      <w:r w:rsidR="00C40076" w:rsidRPr="00C40076">
        <w:rPr>
          <w:bCs/>
          <w:sz w:val="36"/>
          <w:szCs w:val="28"/>
        </w:rPr>
        <w:t xml:space="preserve">SWOT ANALYSIS </w:t>
      </w:r>
      <w:r w:rsidR="00C40076" w:rsidRPr="00C40076">
        <w:rPr>
          <w:bCs/>
          <w:color w:val="171717" w:themeColor="background2" w:themeShade="1A"/>
          <w:sz w:val="22"/>
          <w:szCs w:val="18"/>
        </w:rPr>
        <w:br/>
      </w:r>
      <w:r w:rsidR="006B6931" w:rsidRPr="006B6931">
        <w:rPr>
          <w:b w:val="0"/>
          <w:color w:val="171717" w:themeColor="background2" w:themeShade="1A"/>
          <w:sz w:val="22"/>
          <w:szCs w:val="18"/>
        </w:rPr>
        <w:t xml:space="preserve">The SWOT analysis allows performing a systematic analysis of both internal and external factors that </w:t>
      </w:r>
      <w:r w:rsidR="006B6931" w:rsidRPr="006B6931">
        <w:rPr>
          <w:b w:val="0"/>
          <w:color w:val="171717" w:themeColor="background2" w:themeShade="1A"/>
          <w:sz w:val="22"/>
          <w:szCs w:val="18"/>
        </w:rPr>
        <w:lastRenderedPageBreak/>
        <w:t>determine fire-safety performance of the hospital and identify the leverage points to improve it in the long term.</w:t>
      </w:r>
    </w:p>
    <w:p w14:paraId="44D02FF8" w14:textId="77777777" w:rsidR="006B6931" w:rsidRPr="006B6931" w:rsidRDefault="006B6931" w:rsidP="006B6931">
      <w:pPr>
        <w:rPr>
          <w:bCs/>
          <w:color w:val="171717" w:themeColor="background2" w:themeShade="1A"/>
          <w:sz w:val="22"/>
          <w:szCs w:val="18"/>
        </w:rPr>
      </w:pPr>
      <w:r w:rsidRPr="006B6931">
        <w:rPr>
          <w:bCs/>
          <w:color w:val="171717" w:themeColor="background2" w:themeShade="1A"/>
          <w:sz w:val="22"/>
          <w:szCs w:val="18"/>
        </w:rPr>
        <w:t>Strengths</w:t>
      </w:r>
    </w:p>
    <w:p w14:paraId="01CD0B19" w14:textId="77777777" w:rsidR="006B6931" w:rsidRPr="006B6931" w:rsidRDefault="006B6931" w:rsidP="006B6931">
      <w:pPr>
        <w:rPr>
          <w:b w:val="0"/>
          <w:color w:val="171717" w:themeColor="background2" w:themeShade="1A"/>
          <w:sz w:val="22"/>
          <w:szCs w:val="18"/>
        </w:rPr>
      </w:pPr>
      <w:r w:rsidRPr="006B6931">
        <w:rPr>
          <w:b w:val="0"/>
          <w:color w:val="171717" w:themeColor="background2" w:themeShade="1A"/>
          <w:sz w:val="22"/>
          <w:szCs w:val="18"/>
        </w:rPr>
        <w:t xml:space="preserve">Harmonious clinical team, developed communication systems, and </w:t>
      </w:r>
      <w:proofErr w:type="gramStart"/>
      <w:r w:rsidRPr="006B6931">
        <w:rPr>
          <w:b w:val="0"/>
          <w:color w:val="171717" w:themeColor="background2" w:themeShade="1A"/>
          <w:sz w:val="22"/>
          <w:szCs w:val="18"/>
        </w:rPr>
        <w:t>front line</w:t>
      </w:r>
      <w:proofErr w:type="gramEnd"/>
      <w:r w:rsidRPr="006B6931">
        <w:rPr>
          <w:b w:val="0"/>
          <w:color w:val="171717" w:themeColor="background2" w:themeShade="1A"/>
          <w:sz w:val="22"/>
          <w:szCs w:val="18"/>
        </w:rPr>
        <w:t xml:space="preserve"> staff who are well-versed with patient requirements and ward plans are useful operational advantages. These resources can be used to enhance the emergency response.</w:t>
      </w:r>
    </w:p>
    <w:p w14:paraId="322F74EE" w14:textId="77777777" w:rsidR="006B6931" w:rsidRPr="006B6931" w:rsidRDefault="006B6931" w:rsidP="006B6931">
      <w:pPr>
        <w:rPr>
          <w:bCs/>
          <w:color w:val="171717" w:themeColor="background2" w:themeShade="1A"/>
          <w:sz w:val="22"/>
          <w:szCs w:val="18"/>
        </w:rPr>
      </w:pPr>
      <w:r w:rsidRPr="006B6931">
        <w:rPr>
          <w:bCs/>
          <w:color w:val="171717" w:themeColor="background2" w:themeShade="1A"/>
          <w:sz w:val="22"/>
          <w:szCs w:val="18"/>
        </w:rPr>
        <w:t>Weaknesses</w:t>
      </w:r>
    </w:p>
    <w:p w14:paraId="61A5A6CD" w14:textId="77777777" w:rsidR="006B6931" w:rsidRPr="006B6931" w:rsidRDefault="006B6931" w:rsidP="006B6931">
      <w:pPr>
        <w:rPr>
          <w:b w:val="0"/>
          <w:color w:val="171717" w:themeColor="background2" w:themeShade="1A"/>
          <w:sz w:val="22"/>
          <w:szCs w:val="18"/>
        </w:rPr>
      </w:pPr>
      <w:r w:rsidRPr="006B6931">
        <w:rPr>
          <w:b w:val="0"/>
          <w:color w:val="171717" w:themeColor="background2" w:themeShade="1A"/>
          <w:sz w:val="22"/>
          <w:szCs w:val="18"/>
        </w:rPr>
        <w:t xml:space="preserve">Critical areas of weakness comprised old infrastructure, ineffective smoke-detection apparatus, lack of regular emergency-response training, lack of clear-cut alarm-escalation routes, and poor </w:t>
      </w:r>
      <w:proofErr w:type="spellStart"/>
      <w:r w:rsidRPr="006B6931">
        <w:rPr>
          <w:b w:val="0"/>
          <w:color w:val="171717" w:themeColor="background2" w:themeShade="1A"/>
          <w:sz w:val="22"/>
          <w:szCs w:val="18"/>
        </w:rPr>
        <w:t>organisational</w:t>
      </w:r>
      <w:proofErr w:type="spellEnd"/>
      <w:r w:rsidRPr="006B6931">
        <w:rPr>
          <w:b w:val="0"/>
          <w:color w:val="171717" w:themeColor="background2" w:themeShade="1A"/>
          <w:sz w:val="22"/>
          <w:szCs w:val="18"/>
        </w:rPr>
        <w:t xml:space="preserve"> safety culture. Weak governance and absence of regular fire-safety audits helped to delay the identification and </w:t>
      </w:r>
      <w:proofErr w:type="spellStart"/>
      <w:r w:rsidRPr="006B6931">
        <w:rPr>
          <w:b w:val="0"/>
          <w:color w:val="171717" w:themeColor="background2" w:themeShade="1A"/>
          <w:sz w:val="22"/>
          <w:szCs w:val="18"/>
        </w:rPr>
        <w:t>mobilisation</w:t>
      </w:r>
      <w:proofErr w:type="spellEnd"/>
      <w:r w:rsidRPr="006B6931">
        <w:rPr>
          <w:b w:val="0"/>
          <w:color w:val="171717" w:themeColor="background2" w:themeShade="1A"/>
          <w:sz w:val="22"/>
          <w:szCs w:val="18"/>
        </w:rPr>
        <w:t xml:space="preserve"> - systemic and not isolated failures.</w:t>
      </w:r>
    </w:p>
    <w:p w14:paraId="2AFCFD3C" w14:textId="77777777" w:rsidR="006B6931" w:rsidRPr="006B6931" w:rsidRDefault="006B6931" w:rsidP="006B6931">
      <w:pPr>
        <w:rPr>
          <w:bCs/>
          <w:color w:val="171717" w:themeColor="background2" w:themeShade="1A"/>
          <w:sz w:val="22"/>
          <w:szCs w:val="18"/>
        </w:rPr>
      </w:pPr>
      <w:r w:rsidRPr="006B6931">
        <w:rPr>
          <w:bCs/>
          <w:color w:val="171717" w:themeColor="background2" w:themeShade="1A"/>
          <w:sz w:val="22"/>
          <w:szCs w:val="18"/>
        </w:rPr>
        <w:t>Opportunities</w:t>
      </w:r>
    </w:p>
    <w:p w14:paraId="468BBCD1" w14:textId="77777777" w:rsidR="006B6931" w:rsidRPr="006B6931" w:rsidRDefault="006B6931" w:rsidP="006B6931">
      <w:pPr>
        <w:rPr>
          <w:b w:val="0"/>
          <w:color w:val="171717" w:themeColor="background2" w:themeShade="1A"/>
          <w:sz w:val="22"/>
          <w:szCs w:val="18"/>
        </w:rPr>
      </w:pPr>
      <w:r w:rsidRPr="006B6931">
        <w:rPr>
          <w:b w:val="0"/>
          <w:color w:val="171717" w:themeColor="background2" w:themeShade="1A"/>
          <w:sz w:val="22"/>
          <w:szCs w:val="18"/>
        </w:rPr>
        <w:t>The main opportunities are redesigning of emergency procedures, updating fire-safety measures, reinforcing the governance systems, improving communication channels, and proactive safety culture via simulations training and repeatable QI tools like PDSA cycles (IHI, 2021).</w:t>
      </w:r>
    </w:p>
    <w:p w14:paraId="79D7657B" w14:textId="77777777" w:rsidR="006B6931" w:rsidRPr="006B6931" w:rsidRDefault="006B6931" w:rsidP="006B6931">
      <w:pPr>
        <w:rPr>
          <w:bCs/>
          <w:color w:val="171717" w:themeColor="background2" w:themeShade="1A"/>
          <w:sz w:val="22"/>
          <w:szCs w:val="18"/>
        </w:rPr>
      </w:pPr>
      <w:r w:rsidRPr="006B6931">
        <w:rPr>
          <w:bCs/>
          <w:color w:val="171717" w:themeColor="background2" w:themeShade="1A"/>
          <w:sz w:val="22"/>
          <w:szCs w:val="18"/>
        </w:rPr>
        <w:t>Threats</w:t>
      </w:r>
    </w:p>
    <w:p w14:paraId="575D0B6E" w14:textId="77777777" w:rsidR="006B6931" w:rsidRPr="006B6931" w:rsidRDefault="006B6931" w:rsidP="006B6931">
      <w:pPr>
        <w:rPr>
          <w:b w:val="0"/>
          <w:color w:val="171717" w:themeColor="background2" w:themeShade="1A"/>
          <w:sz w:val="22"/>
          <w:szCs w:val="18"/>
        </w:rPr>
      </w:pPr>
      <w:r w:rsidRPr="006B6931">
        <w:rPr>
          <w:b w:val="0"/>
          <w:color w:val="171717" w:themeColor="background2" w:themeShade="1A"/>
          <w:sz w:val="22"/>
          <w:szCs w:val="18"/>
        </w:rPr>
        <w:t>Reputational damage, regulatory oversight, resource limitations, and continued operational hiccups caused by infrastructure outages are threats.</w:t>
      </w:r>
    </w:p>
    <w:p w14:paraId="278C5C98" w14:textId="77777777" w:rsidR="006B6931" w:rsidRPr="006B6931" w:rsidRDefault="006B6931" w:rsidP="006B6931">
      <w:pPr>
        <w:rPr>
          <w:bCs/>
          <w:color w:val="171717" w:themeColor="background2" w:themeShade="1A"/>
          <w:sz w:val="22"/>
          <w:szCs w:val="18"/>
        </w:rPr>
      </w:pPr>
      <w:r w:rsidRPr="006B6931">
        <w:rPr>
          <w:bCs/>
          <w:color w:val="171717" w:themeColor="background2" w:themeShade="1A"/>
          <w:sz w:val="22"/>
          <w:szCs w:val="18"/>
        </w:rPr>
        <w:t>Why Not PESTLE?</w:t>
      </w:r>
    </w:p>
    <w:p w14:paraId="2DDFCF2D" w14:textId="4EC900B2" w:rsidR="003D120E" w:rsidRDefault="006B6931" w:rsidP="006B6931">
      <w:pPr>
        <w:rPr>
          <w:b w:val="0"/>
          <w:color w:val="171717" w:themeColor="background2" w:themeShade="1A"/>
          <w:sz w:val="22"/>
          <w:szCs w:val="18"/>
        </w:rPr>
      </w:pPr>
      <w:r w:rsidRPr="006B6931">
        <w:rPr>
          <w:b w:val="0"/>
          <w:color w:val="171717" w:themeColor="background2" w:themeShade="1A"/>
          <w:sz w:val="22"/>
          <w:szCs w:val="18"/>
        </w:rPr>
        <w:t xml:space="preserve">The incident was mostly based on the internal </w:t>
      </w:r>
      <w:proofErr w:type="spellStart"/>
      <w:r w:rsidRPr="006B6931">
        <w:rPr>
          <w:b w:val="0"/>
          <w:color w:val="171717" w:themeColor="background2" w:themeShade="1A"/>
          <w:sz w:val="22"/>
          <w:szCs w:val="18"/>
        </w:rPr>
        <w:t>organisational</w:t>
      </w:r>
      <w:proofErr w:type="spellEnd"/>
      <w:r w:rsidRPr="006B6931">
        <w:rPr>
          <w:b w:val="0"/>
          <w:color w:val="171717" w:themeColor="background2" w:themeShade="1A"/>
          <w:sz w:val="22"/>
          <w:szCs w:val="18"/>
        </w:rPr>
        <w:t xml:space="preserve"> weaknesses, but not on the greater political or economic motivation. SWOT is thus a better framework to explain this incident (Johnson et al., 2017).</w:t>
      </w:r>
    </w:p>
    <w:p w14:paraId="3EC31712" w14:textId="77777777" w:rsidR="00D23291" w:rsidRPr="00D23291" w:rsidRDefault="00D23291" w:rsidP="005B59C1">
      <w:pPr>
        <w:jc w:val="both"/>
        <w:rPr>
          <w:b w:val="0"/>
          <w:color w:val="171717" w:themeColor="background2" w:themeShade="1A"/>
          <w:sz w:val="22"/>
          <w:szCs w:val="18"/>
        </w:rPr>
      </w:pPr>
    </w:p>
    <w:p w14:paraId="16757FE7" w14:textId="3C00691B" w:rsidR="003D120E" w:rsidRPr="003D120E" w:rsidRDefault="00840AC4" w:rsidP="005B59C1">
      <w:pPr>
        <w:jc w:val="both"/>
        <w:rPr>
          <w:bCs/>
          <w:sz w:val="36"/>
          <w:szCs w:val="28"/>
        </w:rPr>
      </w:pPr>
      <w:r>
        <w:rPr>
          <w:bCs/>
          <w:sz w:val="36"/>
          <w:szCs w:val="28"/>
        </w:rPr>
        <w:t xml:space="preserve">8. </w:t>
      </w:r>
      <w:r w:rsidR="003D120E" w:rsidRPr="003D120E">
        <w:rPr>
          <w:bCs/>
          <w:sz w:val="36"/>
          <w:szCs w:val="28"/>
        </w:rPr>
        <w:t>PDSA CYCLES</w:t>
      </w:r>
    </w:p>
    <w:p w14:paraId="7A85ED23" w14:textId="77777777" w:rsidR="006B6931" w:rsidRPr="006B6931" w:rsidRDefault="006B6931" w:rsidP="006B6931">
      <w:pPr>
        <w:jc w:val="both"/>
        <w:rPr>
          <w:rStyle w:val="Strong"/>
          <w:bCs w:val="0"/>
          <w:color w:val="171717" w:themeColor="background2" w:themeShade="1A"/>
          <w:sz w:val="22"/>
        </w:rPr>
      </w:pPr>
      <w:r w:rsidRPr="006B6931">
        <w:rPr>
          <w:rStyle w:val="Strong"/>
          <w:bCs w:val="0"/>
          <w:color w:val="171717" w:themeColor="background2" w:themeShade="1A"/>
          <w:sz w:val="22"/>
        </w:rPr>
        <w:t xml:space="preserve">PDSA cycle facilitates evidence-based improvement in small scale, where it is essential, and in high-risk clinical environments because it functions by enabling real-time learning, adaptive refinement, and small-scale testing (IHI, 2021). In the framework of the hospital fire, the PDSA cycles can be an optimal </w:t>
      </w:r>
      <w:r w:rsidRPr="006B6931">
        <w:rPr>
          <w:rStyle w:val="Strong"/>
          <w:bCs w:val="0"/>
          <w:color w:val="171717" w:themeColor="background2" w:themeShade="1A"/>
          <w:sz w:val="22"/>
        </w:rPr>
        <w:lastRenderedPageBreak/>
        <w:t>tool in the context of enhancing the alarm-escalation, staff-efficiency in evacuation, and fire-safety competence.</w:t>
      </w:r>
    </w:p>
    <w:p w14:paraId="524C1C0F" w14:textId="21838D5F" w:rsidR="00443D9F" w:rsidRDefault="00F10D70" w:rsidP="006B6931">
      <w:pPr>
        <w:jc w:val="both"/>
        <w:rPr>
          <w:rStyle w:val="Strong"/>
          <w:bCs w:val="0"/>
          <w:color w:val="171717" w:themeColor="background2" w:themeShade="1A"/>
          <w:sz w:val="22"/>
        </w:rPr>
      </w:pPr>
      <w:r>
        <w:rPr>
          <w:b w:val="0"/>
          <w:noProof/>
          <w:color w:val="171717" w:themeColor="background2" w:themeShade="1A"/>
          <w:sz w:val="22"/>
        </w:rPr>
        <w:drawing>
          <wp:anchor distT="0" distB="0" distL="114300" distR="114300" simplePos="0" relativeHeight="251673600" behindDoc="0" locked="0" layoutInCell="1" allowOverlap="1" wp14:anchorId="4ED326D0" wp14:editId="6B3F97D3">
            <wp:simplePos x="0" y="0"/>
            <wp:positionH relativeFrom="margin">
              <wp:posOffset>3616960</wp:posOffset>
            </wp:positionH>
            <wp:positionV relativeFrom="paragraph">
              <wp:posOffset>152400</wp:posOffset>
            </wp:positionV>
            <wp:extent cx="2736215" cy="2470150"/>
            <wp:effectExtent l="152400" t="152400" r="368935" b="36830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36215" cy="247015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7EE760F8" w14:textId="788CF2D0" w:rsidR="006B6931" w:rsidRPr="00443D9F" w:rsidRDefault="006B6931" w:rsidP="006B6931">
      <w:pPr>
        <w:jc w:val="both"/>
        <w:rPr>
          <w:rStyle w:val="Strong"/>
          <w:b/>
          <w:color w:val="171717" w:themeColor="background2" w:themeShade="1A"/>
          <w:sz w:val="22"/>
        </w:rPr>
      </w:pPr>
      <w:r w:rsidRPr="00443D9F">
        <w:rPr>
          <w:rStyle w:val="Strong"/>
          <w:b/>
          <w:color w:val="171717" w:themeColor="background2" w:themeShade="1A"/>
          <w:sz w:val="22"/>
        </w:rPr>
        <w:t>Plan</w:t>
      </w:r>
    </w:p>
    <w:p w14:paraId="0D801889" w14:textId="77777777" w:rsidR="006B6931" w:rsidRPr="006B6931" w:rsidRDefault="006B6931" w:rsidP="006B6931">
      <w:pPr>
        <w:jc w:val="both"/>
        <w:rPr>
          <w:rStyle w:val="Strong"/>
          <w:bCs w:val="0"/>
          <w:color w:val="171717" w:themeColor="background2" w:themeShade="1A"/>
          <w:sz w:val="22"/>
        </w:rPr>
      </w:pPr>
      <w:r w:rsidRPr="006B6931">
        <w:rPr>
          <w:rStyle w:val="Strong"/>
          <w:bCs w:val="0"/>
          <w:color w:val="171717" w:themeColor="background2" w:themeShade="1A"/>
          <w:sz w:val="22"/>
        </w:rPr>
        <w:t>Specific tasks to be achieved are identified, including the minimization of alarm-to-action time and better role clarity between staff.</w:t>
      </w:r>
    </w:p>
    <w:p w14:paraId="0639FECA" w14:textId="77777777" w:rsidR="006B6931" w:rsidRPr="00443D9F" w:rsidRDefault="006B6931" w:rsidP="006B6931">
      <w:pPr>
        <w:jc w:val="both"/>
        <w:rPr>
          <w:rStyle w:val="Strong"/>
          <w:b/>
          <w:color w:val="171717" w:themeColor="background2" w:themeShade="1A"/>
          <w:sz w:val="22"/>
        </w:rPr>
      </w:pPr>
      <w:r w:rsidRPr="00443D9F">
        <w:rPr>
          <w:rStyle w:val="Strong"/>
          <w:b/>
          <w:color w:val="171717" w:themeColor="background2" w:themeShade="1A"/>
          <w:sz w:val="22"/>
        </w:rPr>
        <w:t>Do</w:t>
      </w:r>
    </w:p>
    <w:p w14:paraId="79F035A4" w14:textId="77777777" w:rsidR="006B6931" w:rsidRPr="006B6931" w:rsidRDefault="006B6931" w:rsidP="006B6931">
      <w:pPr>
        <w:jc w:val="both"/>
        <w:rPr>
          <w:rStyle w:val="Strong"/>
          <w:bCs w:val="0"/>
          <w:color w:val="171717" w:themeColor="background2" w:themeShade="1A"/>
          <w:sz w:val="22"/>
        </w:rPr>
      </w:pPr>
      <w:r w:rsidRPr="006B6931">
        <w:rPr>
          <w:rStyle w:val="Strong"/>
          <w:bCs w:val="0"/>
          <w:color w:val="171717" w:themeColor="background2" w:themeShade="1A"/>
          <w:sz w:val="22"/>
        </w:rPr>
        <w:t>The feasibility and frontline engagement are assessed through the testing of interventions on a high-risk ward.</w:t>
      </w:r>
    </w:p>
    <w:p w14:paraId="0F46BF81" w14:textId="77777777" w:rsidR="006B6931" w:rsidRPr="00443D9F" w:rsidRDefault="006B6931" w:rsidP="006B6931">
      <w:pPr>
        <w:jc w:val="both"/>
        <w:rPr>
          <w:rStyle w:val="Strong"/>
          <w:b/>
          <w:color w:val="171717" w:themeColor="background2" w:themeShade="1A"/>
          <w:sz w:val="22"/>
        </w:rPr>
      </w:pPr>
      <w:r w:rsidRPr="00443D9F">
        <w:rPr>
          <w:rStyle w:val="Strong"/>
          <w:b/>
          <w:color w:val="171717" w:themeColor="background2" w:themeShade="1A"/>
          <w:sz w:val="22"/>
        </w:rPr>
        <w:t>Study</w:t>
      </w:r>
    </w:p>
    <w:p w14:paraId="282D7322" w14:textId="54932430" w:rsidR="006B6931" w:rsidRPr="006B6931" w:rsidRDefault="00F10D70" w:rsidP="006B6931">
      <w:pPr>
        <w:jc w:val="both"/>
        <w:rPr>
          <w:rStyle w:val="Strong"/>
          <w:bCs w:val="0"/>
          <w:color w:val="171717" w:themeColor="background2" w:themeShade="1A"/>
          <w:sz w:val="22"/>
        </w:rPr>
      </w:pPr>
      <w:r>
        <w:rPr>
          <w:b w:val="0"/>
          <w:noProof/>
          <w:color w:val="171717" w:themeColor="background2" w:themeShade="1A"/>
          <w:sz w:val="22"/>
        </w:rPr>
        <mc:AlternateContent>
          <mc:Choice Requires="wps">
            <w:drawing>
              <wp:anchor distT="0" distB="0" distL="114300" distR="114300" simplePos="0" relativeHeight="251674624" behindDoc="0" locked="0" layoutInCell="1" allowOverlap="1" wp14:anchorId="2BE0184F" wp14:editId="3C93BF0D">
                <wp:simplePos x="0" y="0"/>
                <wp:positionH relativeFrom="margin">
                  <wp:posOffset>4240530</wp:posOffset>
                </wp:positionH>
                <wp:positionV relativeFrom="paragraph">
                  <wp:posOffset>173990</wp:posOffset>
                </wp:positionV>
                <wp:extent cx="1606550" cy="3302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606550" cy="330200"/>
                        </a:xfrm>
                        <a:prstGeom prst="rect">
                          <a:avLst/>
                        </a:prstGeom>
                        <a:noFill/>
                        <a:ln w="6350">
                          <a:noFill/>
                        </a:ln>
                      </wps:spPr>
                      <wps:txbx>
                        <w:txbxContent>
                          <w:p w14:paraId="69490EC9" w14:textId="2CB18625" w:rsidR="00F10D70" w:rsidRPr="00F10D70" w:rsidRDefault="00F10D70">
                            <w:pPr>
                              <w:rPr>
                                <w:b w:val="0"/>
                                <w:bCs/>
                                <w:color w:val="auto"/>
                                <w:sz w:val="22"/>
                              </w:rPr>
                            </w:pPr>
                            <w:r w:rsidRPr="00F10D70">
                              <w:rPr>
                                <w:b w:val="0"/>
                                <w:bCs/>
                                <w:color w:val="auto"/>
                                <w:sz w:val="22"/>
                              </w:rPr>
                              <w:t>(Langley et al., 2009)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E0184F" id="Text Box 8" o:spid="_x0000_s1031" type="#_x0000_t202" style="position:absolute;left:0;text-align:left;margin-left:333.9pt;margin-top:13.7pt;width:126.5pt;height:26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" filled="f" stroked="f" strokeweight=".5pt">
                <v:textbox>
                  <w:txbxContent>
                    <w:p w14:paraId="69490EC9" w14:textId="2CB18625" w:rsidR="00F10D70" w:rsidRPr="00F10D70" w:rsidRDefault="00F10D70">
                      <w:pPr>
                        <w:rPr>
                          <w:b w:val="0"/>
                          <w:bCs/>
                          <w:color w:val="auto"/>
                          <w:sz w:val="22"/>
                        </w:rPr>
                      </w:pPr>
                      <w:r w:rsidRPr="00F10D70">
                        <w:rPr>
                          <w:b w:val="0"/>
                          <w:bCs/>
                          <w:color w:val="auto"/>
                          <w:sz w:val="22"/>
                        </w:rPr>
                        <w:t>(Langley et al., 2009)</w:t>
                      </w:r>
                    </w:p>
                  </w:txbxContent>
                </v:textbox>
                <w10:wrap anchorx="margin"/>
              </v:shape>
            </w:pict>
          </mc:Fallback>
        </mc:AlternateContent>
      </w:r>
      <w:r w:rsidR="006B6931" w:rsidRPr="006B6931">
        <w:rPr>
          <w:rStyle w:val="Strong"/>
          <w:bCs w:val="0"/>
          <w:color w:val="171717" w:themeColor="background2" w:themeShade="1A"/>
          <w:sz w:val="22"/>
        </w:rPr>
        <w:t>To determine the effectiveness of changes, performance data, staff feedback, and identified operational barriers are checked.</w:t>
      </w:r>
    </w:p>
    <w:p w14:paraId="72A6ACD3" w14:textId="77777777" w:rsidR="006B6931" w:rsidRPr="00443D9F" w:rsidRDefault="006B6931" w:rsidP="006B6931">
      <w:pPr>
        <w:jc w:val="both"/>
        <w:rPr>
          <w:rStyle w:val="Strong"/>
          <w:b/>
          <w:color w:val="171717" w:themeColor="background2" w:themeShade="1A"/>
          <w:sz w:val="22"/>
        </w:rPr>
      </w:pPr>
      <w:r w:rsidRPr="00443D9F">
        <w:rPr>
          <w:rStyle w:val="Strong"/>
          <w:b/>
          <w:color w:val="171717" w:themeColor="background2" w:themeShade="1A"/>
          <w:sz w:val="22"/>
        </w:rPr>
        <w:t>Act</w:t>
      </w:r>
    </w:p>
    <w:p w14:paraId="7F4113CF" w14:textId="77777777" w:rsidR="006B6931" w:rsidRPr="006B6931" w:rsidRDefault="006B6931" w:rsidP="006B6931">
      <w:pPr>
        <w:jc w:val="both"/>
        <w:rPr>
          <w:rStyle w:val="Strong"/>
          <w:bCs w:val="0"/>
          <w:color w:val="171717" w:themeColor="background2" w:themeShade="1A"/>
          <w:sz w:val="22"/>
        </w:rPr>
      </w:pPr>
      <w:r w:rsidRPr="006B6931">
        <w:rPr>
          <w:rStyle w:val="Strong"/>
          <w:bCs w:val="0"/>
          <w:color w:val="171717" w:themeColor="background2" w:themeShade="1A"/>
          <w:sz w:val="22"/>
        </w:rPr>
        <w:t>The protocols, training materials, and escapes are perfected before more rounds or greater scale.</w:t>
      </w:r>
    </w:p>
    <w:p w14:paraId="7EA1E175" w14:textId="77777777" w:rsidR="006B6931" w:rsidRPr="006B6931" w:rsidRDefault="006B6931" w:rsidP="006B6931">
      <w:pPr>
        <w:jc w:val="both"/>
        <w:rPr>
          <w:rStyle w:val="Strong"/>
          <w:bCs w:val="0"/>
          <w:color w:val="171717" w:themeColor="background2" w:themeShade="1A"/>
          <w:sz w:val="22"/>
        </w:rPr>
      </w:pPr>
      <w:r w:rsidRPr="006B6931">
        <w:rPr>
          <w:rStyle w:val="Strong"/>
          <w:bCs w:val="0"/>
          <w:color w:val="171717" w:themeColor="background2" w:themeShade="1A"/>
          <w:sz w:val="22"/>
        </w:rPr>
        <w:t>PDSA enables rapid learning, localization and use of data, and promotes the culture of continuous improvement.</w:t>
      </w:r>
    </w:p>
    <w:p w14:paraId="2353500C" w14:textId="77777777" w:rsidR="006B6931" w:rsidRPr="00443D9F" w:rsidRDefault="006B6931" w:rsidP="006B6931">
      <w:pPr>
        <w:jc w:val="both"/>
        <w:rPr>
          <w:rStyle w:val="Strong"/>
          <w:b/>
          <w:color w:val="171717" w:themeColor="background2" w:themeShade="1A"/>
          <w:sz w:val="22"/>
        </w:rPr>
      </w:pPr>
      <w:r w:rsidRPr="00443D9F">
        <w:rPr>
          <w:rStyle w:val="Strong"/>
          <w:b/>
          <w:color w:val="171717" w:themeColor="background2" w:themeShade="1A"/>
          <w:sz w:val="22"/>
        </w:rPr>
        <w:t>Why Not PDCA?</w:t>
      </w:r>
    </w:p>
    <w:p w14:paraId="498B1EED" w14:textId="4CDD4716" w:rsidR="00C74C34" w:rsidRDefault="006B6931" w:rsidP="006B6931">
      <w:pPr>
        <w:jc w:val="both"/>
        <w:rPr>
          <w:rStyle w:val="Strong"/>
          <w:bCs w:val="0"/>
          <w:color w:val="171717" w:themeColor="background2" w:themeShade="1A"/>
          <w:sz w:val="22"/>
        </w:rPr>
      </w:pPr>
      <w:r w:rsidRPr="006B6931">
        <w:rPr>
          <w:rStyle w:val="Strong"/>
          <w:bCs w:val="0"/>
          <w:color w:val="171717" w:themeColor="background2" w:themeShade="1A"/>
          <w:sz w:val="22"/>
        </w:rPr>
        <w:t>PDCA is less dynamic and more befitting of consistent environments. The enhanced Study phase of PDSA has an improved level of analysis, which is essential in dynamic and safety-critical healthcare environments (Taylor et al., 2014).</w:t>
      </w:r>
    </w:p>
    <w:p w14:paraId="5FFCF673" w14:textId="77777777" w:rsidR="00443D9F" w:rsidRPr="00C74C34" w:rsidRDefault="00443D9F" w:rsidP="006B6931">
      <w:pPr>
        <w:jc w:val="both"/>
        <w:rPr>
          <w:rStyle w:val="Strong"/>
          <w:bCs w:val="0"/>
          <w:color w:val="171717" w:themeColor="background2" w:themeShade="1A"/>
          <w:sz w:val="22"/>
        </w:rPr>
      </w:pPr>
    </w:p>
    <w:p w14:paraId="05EA9F28" w14:textId="6D2E4F85" w:rsidR="003D120E" w:rsidRDefault="00840AC4" w:rsidP="005B59C1">
      <w:pPr>
        <w:jc w:val="both"/>
        <w:rPr>
          <w:rStyle w:val="Strong"/>
          <w:b/>
          <w:bCs w:val="0"/>
          <w:sz w:val="36"/>
          <w:szCs w:val="28"/>
        </w:rPr>
      </w:pPr>
      <w:r>
        <w:rPr>
          <w:rStyle w:val="Strong"/>
          <w:b/>
          <w:bCs w:val="0"/>
          <w:sz w:val="36"/>
          <w:szCs w:val="28"/>
        </w:rPr>
        <w:t xml:space="preserve">9. </w:t>
      </w:r>
      <w:r w:rsidR="003D120E" w:rsidRPr="00D23291">
        <w:rPr>
          <w:rStyle w:val="Strong"/>
          <w:b/>
          <w:bCs w:val="0"/>
          <w:sz w:val="36"/>
          <w:szCs w:val="28"/>
        </w:rPr>
        <w:t>KOTTER’S 8-STEP CHANGE MODEL</w:t>
      </w:r>
    </w:p>
    <w:p w14:paraId="622B00C4" w14:textId="77777777" w:rsidR="006B6931" w:rsidRPr="006B6931" w:rsidRDefault="006B6931" w:rsidP="006B6931">
      <w:pPr>
        <w:jc w:val="both"/>
        <w:rPr>
          <w:b w:val="0"/>
          <w:bCs/>
          <w:color w:val="auto"/>
          <w:sz w:val="22"/>
        </w:rPr>
      </w:pPr>
      <w:r w:rsidRPr="006B6931">
        <w:rPr>
          <w:b w:val="0"/>
          <w:bCs/>
          <w:color w:val="auto"/>
          <w:sz w:val="22"/>
        </w:rPr>
        <w:t>The 8-Step Model by Kotter can offer an organization a structured and culturally oriented model of enhancement of fire-safety performance. It focuses on urgency, leadership, communication and cultural reinforcement which are some of the areas that led to vulnerability of the hospital (Kotter, 1996).</w:t>
      </w:r>
    </w:p>
    <w:p w14:paraId="6182572D" w14:textId="66500E52" w:rsidR="006B6931" w:rsidRPr="00B42A86" w:rsidRDefault="006B6931" w:rsidP="006B6931">
      <w:pPr>
        <w:jc w:val="both"/>
        <w:rPr>
          <w:color w:val="auto"/>
          <w:sz w:val="22"/>
        </w:rPr>
      </w:pPr>
      <w:r w:rsidRPr="00443D9F">
        <w:rPr>
          <w:color w:val="auto"/>
          <w:sz w:val="22"/>
        </w:rPr>
        <w:t>1. Create Urgency</w:t>
      </w:r>
      <w:r w:rsidR="00B42A86">
        <w:rPr>
          <w:color w:val="auto"/>
          <w:sz w:val="22"/>
        </w:rPr>
        <w:t xml:space="preserve"> - </w:t>
      </w:r>
      <w:r w:rsidRPr="006B6931">
        <w:rPr>
          <w:b w:val="0"/>
          <w:bCs/>
          <w:color w:val="auto"/>
          <w:sz w:val="22"/>
        </w:rPr>
        <w:t xml:space="preserve">Evidence that elicits </w:t>
      </w:r>
      <w:proofErr w:type="spellStart"/>
      <w:r w:rsidRPr="006B6931">
        <w:rPr>
          <w:b w:val="0"/>
          <w:bCs/>
          <w:color w:val="auto"/>
          <w:sz w:val="22"/>
        </w:rPr>
        <w:t>organisational</w:t>
      </w:r>
      <w:proofErr w:type="spellEnd"/>
      <w:r w:rsidRPr="006B6931">
        <w:rPr>
          <w:b w:val="0"/>
          <w:bCs/>
          <w:color w:val="auto"/>
          <w:sz w:val="22"/>
        </w:rPr>
        <w:t xml:space="preserve"> action is fire-safety loopholes.</w:t>
      </w:r>
    </w:p>
    <w:p w14:paraId="10B7778C" w14:textId="386DDFC4" w:rsidR="006B6931" w:rsidRPr="00B42A86" w:rsidRDefault="006B6931" w:rsidP="006B6931">
      <w:pPr>
        <w:jc w:val="both"/>
        <w:rPr>
          <w:color w:val="auto"/>
          <w:sz w:val="22"/>
        </w:rPr>
      </w:pPr>
      <w:r w:rsidRPr="00443D9F">
        <w:rPr>
          <w:color w:val="auto"/>
          <w:sz w:val="22"/>
        </w:rPr>
        <w:lastRenderedPageBreak/>
        <w:t xml:space="preserve">2. </w:t>
      </w:r>
      <w:r w:rsidR="00B42A86">
        <w:rPr>
          <w:color w:val="auto"/>
          <w:sz w:val="22"/>
        </w:rPr>
        <w:t>Form</w:t>
      </w:r>
      <w:r w:rsidRPr="00443D9F">
        <w:rPr>
          <w:color w:val="auto"/>
          <w:sz w:val="22"/>
        </w:rPr>
        <w:t xml:space="preserve"> a Guiding Coalition</w:t>
      </w:r>
      <w:r w:rsidR="00B42A86">
        <w:rPr>
          <w:color w:val="auto"/>
          <w:sz w:val="22"/>
        </w:rPr>
        <w:t xml:space="preserve"> - </w:t>
      </w:r>
      <w:r w:rsidRPr="006B6931">
        <w:rPr>
          <w:b w:val="0"/>
          <w:bCs/>
          <w:color w:val="auto"/>
          <w:sz w:val="22"/>
        </w:rPr>
        <w:t>Improvements are coordinated by clinical, managerial and technical leaders.</w:t>
      </w:r>
    </w:p>
    <w:p w14:paraId="452ED6F8" w14:textId="1B64EA9B" w:rsidR="00443D9F" w:rsidRDefault="007832B9" w:rsidP="006B6931">
      <w:pPr>
        <w:jc w:val="both"/>
        <w:rPr>
          <w:b w:val="0"/>
          <w:bCs/>
          <w:color w:val="auto"/>
          <w:sz w:val="22"/>
        </w:rPr>
      </w:pPr>
      <w:r>
        <w:rPr>
          <w:noProof/>
        </w:rPr>
        <w:drawing>
          <wp:anchor distT="0" distB="0" distL="114300" distR="114300" simplePos="0" relativeHeight="251675648" behindDoc="1" locked="0" layoutInCell="1" allowOverlap="1" wp14:anchorId="09DB8422" wp14:editId="18EF1BC3">
            <wp:simplePos x="0" y="0"/>
            <wp:positionH relativeFrom="margin">
              <wp:posOffset>3752850</wp:posOffset>
            </wp:positionH>
            <wp:positionV relativeFrom="paragraph">
              <wp:posOffset>278765</wp:posOffset>
            </wp:positionV>
            <wp:extent cx="2984500" cy="1670685"/>
            <wp:effectExtent l="152400" t="152400" r="368300" b="367665"/>
            <wp:wrapTight wrapText="bothSides">
              <wp:wrapPolygon edited="0">
                <wp:start x="551" y="-1970"/>
                <wp:lineTo x="-1103" y="-1478"/>
                <wp:lineTo x="-1103" y="22659"/>
                <wp:lineTo x="1379" y="26107"/>
                <wp:lineTo x="21646" y="26107"/>
                <wp:lineTo x="21784" y="25615"/>
                <wp:lineTo x="23990" y="22413"/>
                <wp:lineTo x="24128" y="2463"/>
                <wp:lineTo x="22473" y="-1231"/>
                <wp:lineTo x="22335" y="-1970"/>
                <wp:lineTo x="551" y="-1970"/>
              </wp:wrapPolygon>
            </wp:wrapTight>
            <wp:docPr id="10" name="Picture 10" descr="Kotter's 8-step change model | Frameworks explained [with diagram] —  BiteSiz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Kotter's 8-step change model | Frameworks explained [with diagram] —  BiteSize Learn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84500" cy="167068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51FD3AD2" w14:textId="04650B8E" w:rsidR="006B6931" w:rsidRPr="00B42A86" w:rsidRDefault="006B6931" w:rsidP="006B6931">
      <w:pPr>
        <w:jc w:val="both"/>
        <w:rPr>
          <w:color w:val="auto"/>
          <w:sz w:val="22"/>
        </w:rPr>
      </w:pPr>
      <w:r w:rsidRPr="00443D9F">
        <w:rPr>
          <w:color w:val="auto"/>
          <w:sz w:val="22"/>
        </w:rPr>
        <w:t>3</w:t>
      </w:r>
      <w:r w:rsidR="00B42A86">
        <w:rPr>
          <w:color w:val="auto"/>
          <w:sz w:val="22"/>
        </w:rPr>
        <w:t>. Develop</w:t>
      </w:r>
      <w:r w:rsidRPr="00443D9F">
        <w:rPr>
          <w:color w:val="auto"/>
          <w:sz w:val="22"/>
        </w:rPr>
        <w:t xml:space="preserve"> Vision</w:t>
      </w:r>
      <w:r w:rsidR="00B42A86">
        <w:rPr>
          <w:color w:val="auto"/>
          <w:sz w:val="22"/>
        </w:rPr>
        <w:t xml:space="preserve"> - </w:t>
      </w:r>
      <w:proofErr w:type="spellStart"/>
      <w:r w:rsidRPr="006B6931">
        <w:rPr>
          <w:b w:val="0"/>
          <w:bCs/>
          <w:color w:val="auto"/>
          <w:sz w:val="22"/>
        </w:rPr>
        <w:t>Behaviours</w:t>
      </w:r>
      <w:proofErr w:type="spellEnd"/>
      <w:r w:rsidRPr="006B6931">
        <w:rPr>
          <w:b w:val="0"/>
          <w:bCs/>
          <w:color w:val="auto"/>
          <w:sz w:val="22"/>
        </w:rPr>
        <w:t xml:space="preserve"> are guided by reliable detection, escalation, efficient evacuation and strong culture.</w:t>
      </w:r>
    </w:p>
    <w:p w14:paraId="267DC8DD" w14:textId="6AE2D727" w:rsidR="006B6931" w:rsidRPr="00B42A86" w:rsidRDefault="006B6931" w:rsidP="006B6931">
      <w:pPr>
        <w:jc w:val="both"/>
        <w:rPr>
          <w:color w:val="auto"/>
          <w:sz w:val="22"/>
        </w:rPr>
      </w:pPr>
      <w:r w:rsidRPr="00443D9F">
        <w:rPr>
          <w:color w:val="auto"/>
          <w:sz w:val="22"/>
        </w:rPr>
        <w:t>4. Communicate the Vision</w:t>
      </w:r>
      <w:r w:rsidR="00B42A86">
        <w:rPr>
          <w:color w:val="auto"/>
          <w:sz w:val="22"/>
        </w:rPr>
        <w:t xml:space="preserve"> - </w:t>
      </w:r>
      <w:r w:rsidRPr="006B6931">
        <w:rPr>
          <w:b w:val="0"/>
          <w:bCs/>
          <w:color w:val="auto"/>
          <w:sz w:val="22"/>
        </w:rPr>
        <w:t>Effective communication harmonizes teams between wards.</w:t>
      </w:r>
    </w:p>
    <w:p w14:paraId="16D72D26" w14:textId="6294D5D9" w:rsidR="006B6931" w:rsidRPr="00B42A86" w:rsidRDefault="007832B9" w:rsidP="006B6931">
      <w:pPr>
        <w:jc w:val="both"/>
        <w:rPr>
          <w:color w:val="auto"/>
          <w:sz w:val="22"/>
        </w:rPr>
      </w:pPr>
      <w:r>
        <w:rPr>
          <w:noProof/>
          <w:color w:val="auto"/>
          <w:sz w:val="22"/>
        </w:rPr>
        <mc:AlternateContent>
          <mc:Choice Requires="wps">
            <w:drawing>
              <wp:anchor distT="0" distB="0" distL="114300" distR="114300" simplePos="0" relativeHeight="251676672" behindDoc="0" locked="0" layoutInCell="1" allowOverlap="1" wp14:anchorId="02DCC538" wp14:editId="44A4B0A5">
                <wp:simplePos x="0" y="0"/>
                <wp:positionH relativeFrom="column">
                  <wp:posOffset>4208780</wp:posOffset>
                </wp:positionH>
                <wp:positionV relativeFrom="paragraph">
                  <wp:posOffset>369570</wp:posOffset>
                </wp:positionV>
                <wp:extent cx="2209800" cy="3302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2209800" cy="330200"/>
                        </a:xfrm>
                        <a:prstGeom prst="rect">
                          <a:avLst/>
                        </a:prstGeom>
                        <a:noFill/>
                        <a:ln w="6350">
                          <a:noFill/>
                        </a:ln>
                      </wps:spPr>
                      <wps:txbx>
                        <w:txbxContent>
                          <w:p w14:paraId="4C57A2D5" w14:textId="615C6285" w:rsidR="007832B9" w:rsidRPr="007832B9" w:rsidRDefault="007832B9">
                            <w:pPr>
                              <w:rPr>
                                <w:b w:val="0"/>
                                <w:bCs/>
                                <w:color w:val="auto"/>
                                <w:sz w:val="22"/>
                                <w:szCs w:val="18"/>
                              </w:rPr>
                            </w:pPr>
                            <w:r w:rsidRPr="007832B9">
                              <w:rPr>
                                <w:b w:val="0"/>
                                <w:bCs/>
                                <w:color w:val="auto"/>
                                <w:sz w:val="22"/>
                                <w:szCs w:val="18"/>
                              </w:rPr>
                              <w:t>(Visual Paradigm,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2DCC538" id="Text Box 11" o:spid="_x0000_s1032" type="#_x0000_t202" style="position:absolute;left:0;text-align:left;margin-left:331.4pt;margin-top:29.1pt;width:174pt;height:26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" filled="f" stroked="f" strokeweight=".5pt">
                <v:textbox>
                  <w:txbxContent>
                    <w:p w14:paraId="4C57A2D5" w14:textId="615C6285" w:rsidR="007832B9" w:rsidRPr="007832B9" w:rsidRDefault="007832B9">
                      <w:pPr>
                        <w:rPr>
                          <w:b w:val="0"/>
                          <w:bCs/>
                          <w:color w:val="auto"/>
                          <w:sz w:val="22"/>
                          <w:szCs w:val="18"/>
                        </w:rPr>
                      </w:pPr>
                      <w:r w:rsidRPr="007832B9">
                        <w:rPr>
                          <w:b w:val="0"/>
                          <w:bCs/>
                          <w:color w:val="auto"/>
                          <w:sz w:val="22"/>
                          <w:szCs w:val="18"/>
                        </w:rPr>
                        <w:t>(Visual Paradigm, 2025)</w:t>
                      </w:r>
                    </w:p>
                  </w:txbxContent>
                </v:textbox>
              </v:shape>
            </w:pict>
          </mc:Fallback>
        </mc:AlternateContent>
      </w:r>
      <w:r w:rsidR="006B6931" w:rsidRPr="00443D9F">
        <w:rPr>
          <w:color w:val="auto"/>
          <w:sz w:val="22"/>
        </w:rPr>
        <w:t>5. Remove Barriers</w:t>
      </w:r>
      <w:r w:rsidR="00B42A86">
        <w:rPr>
          <w:color w:val="auto"/>
          <w:sz w:val="22"/>
        </w:rPr>
        <w:t xml:space="preserve"> - </w:t>
      </w:r>
      <w:r w:rsidR="006B6931" w:rsidRPr="006B6931">
        <w:rPr>
          <w:b w:val="0"/>
          <w:bCs/>
          <w:color w:val="auto"/>
          <w:sz w:val="22"/>
        </w:rPr>
        <w:t>Equipment and procedural updating increases implementation.</w:t>
      </w:r>
    </w:p>
    <w:p w14:paraId="0E287134" w14:textId="48BB1A96" w:rsidR="006B6931" w:rsidRPr="00B42A86" w:rsidRDefault="006B6931" w:rsidP="006B6931">
      <w:pPr>
        <w:jc w:val="both"/>
        <w:rPr>
          <w:color w:val="auto"/>
          <w:sz w:val="22"/>
        </w:rPr>
      </w:pPr>
      <w:r w:rsidRPr="00443D9F">
        <w:rPr>
          <w:color w:val="auto"/>
          <w:sz w:val="22"/>
        </w:rPr>
        <w:t>6. Generate Short-Term Wins</w:t>
      </w:r>
      <w:r w:rsidR="00B42A86">
        <w:rPr>
          <w:color w:val="auto"/>
          <w:sz w:val="22"/>
        </w:rPr>
        <w:t xml:space="preserve"> - </w:t>
      </w:r>
      <w:r w:rsidRPr="006B6931">
        <w:rPr>
          <w:b w:val="0"/>
          <w:bCs/>
          <w:color w:val="auto"/>
          <w:sz w:val="22"/>
        </w:rPr>
        <w:t xml:space="preserve">Any observable improvement creates </w:t>
      </w:r>
      <w:proofErr w:type="spellStart"/>
      <w:r w:rsidRPr="006B6931">
        <w:rPr>
          <w:b w:val="0"/>
          <w:bCs/>
          <w:color w:val="auto"/>
          <w:sz w:val="22"/>
        </w:rPr>
        <w:t>organisational</w:t>
      </w:r>
      <w:proofErr w:type="spellEnd"/>
      <w:r w:rsidRPr="006B6931">
        <w:rPr>
          <w:b w:val="0"/>
          <w:bCs/>
          <w:color w:val="auto"/>
          <w:sz w:val="22"/>
        </w:rPr>
        <w:t xml:space="preserve"> momentum.</w:t>
      </w:r>
    </w:p>
    <w:p w14:paraId="47DDFF3F" w14:textId="363A3130" w:rsidR="006B6931" w:rsidRPr="00B42A86" w:rsidRDefault="006B6931" w:rsidP="006B6931">
      <w:pPr>
        <w:jc w:val="both"/>
        <w:rPr>
          <w:color w:val="auto"/>
          <w:sz w:val="22"/>
        </w:rPr>
      </w:pPr>
      <w:r w:rsidRPr="00443D9F">
        <w:rPr>
          <w:color w:val="auto"/>
          <w:sz w:val="22"/>
        </w:rPr>
        <w:t>7. Consolidate Gains</w:t>
      </w:r>
      <w:r w:rsidR="00B42A86">
        <w:rPr>
          <w:color w:val="auto"/>
          <w:sz w:val="22"/>
        </w:rPr>
        <w:t xml:space="preserve"> - </w:t>
      </w:r>
      <w:r w:rsidRPr="006B6931">
        <w:rPr>
          <w:b w:val="0"/>
          <w:bCs/>
          <w:color w:val="auto"/>
          <w:sz w:val="22"/>
        </w:rPr>
        <w:t>Departments are scaled in terms of improvements.</w:t>
      </w:r>
    </w:p>
    <w:p w14:paraId="3D2C2C12" w14:textId="687D1FFF" w:rsidR="007832B9" w:rsidRPr="007832B9" w:rsidRDefault="006B6931" w:rsidP="006B6931">
      <w:pPr>
        <w:jc w:val="both"/>
        <w:rPr>
          <w:b w:val="0"/>
          <w:bCs/>
          <w:color w:val="auto"/>
          <w:sz w:val="22"/>
        </w:rPr>
      </w:pPr>
      <w:r w:rsidRPr="00443D9F">
        <w:rPr>
          <w:color w:val="auto"/>
          <w:sz w:val="22"/>
        </w:rPr>
        <w:t>8. Anchor</w:t>
      </w:r>
      <w:r w:rsidR="00B42A86">
        <w:rPr>
          <w:color w:val="auto"/>
          <w:sz w:val="22"/>
        </w:rPr>
        <w:t xml:space="preserve"> in Culture -</w:t>
      </w:r>
      <w:r w:rsidRPr="006B6931">
        <w:rPr>
          <w:b w:val="0"/>
          <w:bCs/>
          <w:color w:val="auto"/>
          <w:sz w:val="22"/>
        </w:rPr>
        <w:t>The increased practices are ingrained to support resilience in the long run.</w:t>
      </w:r>
    </w:p>
    <w:p w14:paraId="4E55575A" w14:textId="77777777" w:rsidR="006B6931" w:rsidRPr="00443D9F" w:rsidRDefault="006B6931" w:rsidP="006B6931">
      <w:pPr>
        <w:jc w:val="both"/>
        <w:rPr>
          <w:color w:val="auto"/>
          <w:sz w:val="22"/>
        </w:rPr>
      </w:pPr>
      <w:r w:rsidRPr="00443D9F">
        <w:rPr>
          <w:color w:val="auto"/>
          <w:sz w:val="22"/>
        </w:rPr>
        <w:t>Why Not Lewin?</w:t>
      </w:r>
    </w:p>
    <w:p w14:paraId="3ADBA602" w14:textId="452012D4" w:rsidR="006B6931" w:rsidRDefault="006B6931" w:rsidP="006B6931">
      <w:pPr>
        <w:jc w:val="both"/>
        <w:rPr>
          <w:b w:val="0"/>
          <w:bCs/>
          <w:color w:val="auto"/>
          <w:sz w:val="22"/>
        </w:rPr>
      </w:pPr>
      <w:r w:rsidRPr="006B6931">
        <w:rPr>
          <w:b w:val="0"/>
          <w:bCs/>
          <w:color w:val="auto"/>
          <w:sz w:val="22"/>
        </w:rPr>
        <w:t xml:space="preserve">The </w:t>
      </w:r>
      <w:proofErr w:type="spellStart"/>
      <w:r w:rsidRPr="006B6931">
        <w:rPr>
          <w:b w:val="0"/>
          <w:bCs/>
          <w:color w:val="auto"/>
          <w:sz w:val="22"/>
        </w:rPr>
        <w:t>UnfreezeChangeRefreeze</w:t>
      </w:r>
      <w:proofErr w:type="spellEnd"/>
      <w:r w:rsidRPr="006B6931">
        <w:rPr>
          <w:b w:val="0"/>
          <w:bCs/>
          <w:color w:val="auto"/>
          <w:sz w:val="22"/>
        </w:rPr>
        <w:t xml:space="preserve"> model developed by Lewin is excessively linear and presupposes the </w:t>
      </w:r>
      <w:proofErr w:type="spellStart"/>
      <w:r w:rsidRPr="006B6931">
        <w:rPr>
          <w:b w:val="0"/>
          <w:bCs/>
          <w:color w:val="auto"/>
          <w:sz w:val="22"/>
        </w:rPr>
        <w:t>stabilisation</w:t>
      </w:r>
      <w:proofErr w:type="spellEnd"/>
      <w:r w:rsidRPr="006B6931">
        <w:rPr>
          <w:b w:val="0"/>
          <w:bCs/>
          <w:color w:val="auto"/>
          <w:sz w:val="22"/>
        </w:rPr>
        <w:t xml:space="preserve"> of the </w:t>
      </w:r>
      <w:proofErr w:type="spellStart"/>
      <w:r w:rsidRPr="006B6931">
        <w:rPr>
          <w:b w:val="0"/>
          <w:bCs/>
          <w:color w:val="auto"/>
          <w:sz w:val="22"/>
        </w:rPr>
        <w:t>organisational</w:t>
      </w:r>
      <w:proofErr w:type="spellEnd"/>
      <w:r w:rsidRPr="006B6931">
        <w:rPr>
          <w:b w:val="0"/>
          <w:bCs/>
          <w:color w:val="auto"/>
          <w:sz w:val="22"/>
        </w:rPr>
        <w:t xml:space="preserve"> conditions. The culture of fire-safety is based on the need to always adapt, learn quickly, and strengthen the culture. Kotter is thus a better approach to change in complex healthcare as it is more dynamic (Hussain et al., 2018).</w:t>
      </w:r>
    </w:p>
    <w:p w14:paraId="7A7F25A1" w14:textId="77777777" w:rsidR="00840AC4" w:rsidRPr="006B6931" w:rsidRDefault="00840AC4" w:rsidP="006B6931">
      <w:pPr>
        <w:jc w:val="both"/>
        <w:rPr>
          <w:b w:val="0"/>
          <w:bCs/>
          <w:color w:val="auto"/>
          <w:sz w:val="22"/>
        </w:rPr>
      </w:pPr>
    </w:p>
    <w:p w14:paraId="54135813" w14:textId="3CB07109" w:rsidR="00CE5D14" w:rsidRPr="00CE5D14" w:rsidRDefault="00840AC4" w:rsidP="005B59C1">
      <w:pPr>
        <w:jc w:val="both"/>
        <w:rPr>
          <w:bCs/>
          <w:sz w:val="36"/>
          <w:szCs w:val="36"/>
        </w:rPr>
      </w:pPr>
      <w:r>
        <w:rPr>
          <w:bCs/>
          <w:sz w:val="36"/>
          <w:szCs w:val="36"/>
        </w:rPr>
        <w:t xml:space="preserve">10. </w:t>
      </w:r>
      <w:r w:rsidR="00CE5D14" w:rsidRPr="00CE5D14">
        <w:rPr>
          <w:bCs/>
          <w:sz w:val="36"/>
          <w:szCs w:val="36"/>
        </w:rPr>
        <w:t>RECOMMENDATIONS</w:t>
      </w:r>
    </w:p>
    <w:p w14:paraId="6430FDB9" w14:textId="587E98F6" w:rsidR="00C41CB6" w:rsidRDefault="00C41CB6" w:rsidP="00C41CB6">
      <w:pPr>
        <w:jc w:val="both"/>
        <w:rPr>
          <w:rStyle w:val="Strong"/>
          <w:bCs w:val="0"/>
          <w:color w:val="auto"/>
          <w:sz w:val="22"/>
        </w:rPr>
      </w:pPr>
      <w:r w:rsidRPr="00C41CB6">
        <w:rPr>
          <w:rStyle w:val="Strong"/>
          <w:bCs w:val="0"/>
          <w:color w:val="auto"/>
          <w:sz w:val="22"/>
        </w:rPr>
        <w:t xml:space="preserve">To respond to the system-wide malfunctioning that facilitated the hospital fire needs a concerted effort of addressing the structural, procedural, and </w:t>
      </w:r>
      <w:proofErr w:type="spellStart"/>
      <w:r w:rsidRPr="00C41CB6">
        <w:rPr>
          <w:rStyle w:val="Strong"/>
          <w:bCs w:val="0"/>
          <w:color w:val="auto"/>
          <w:sz w:val="22"/>
        </w:rPr>
        <w:t>behavioural</w:t>
      </w:r>
      <w:proofErr w:type="spellEnd"/>
      <w:r w:rsidRPr="00C41CB6">
        <w:rPr>
          <w:rStyle w:val="Strong"/>
          <w:bCs w:val="0"/>
          <w:color w:val="auto"/>
          <w:sz w:val="22"/>
        </w:rPr>
        <w:t xml:space="preserve"> domains. These suggestions are based on the evidence-based quality-improvement models, including PDSA, Lean, Six sigma, international fire-safety standards, safety-science concepts, and </w:t>
      </w:r>
      <w:proofErr w:type="spellStart"/>
      <w:r w:rsidRPr="00C41CB6">
        <w:rPr>
          <w:rStyle w:val="Strong"/>
          <w:bCs w:val="0"/>
          <w:color w:val="auto"/>
          <w:sz w:val="22"/>
        </w:rPr>
        <w:t>organisational</w:t>
      </w:r>
      <w:proofErr w:type="spellEnd"/>
      <w:r w:rsidRPr="00C41CB6">
        <w:rPr>
          <w:rStyle w:val="Strong"/>
          <w:bCs w:val="0"/>
          <w:color w:val="auto"/>
          <w:sz w:val="22"/>
        </w:rPr>
        <w:t>-change ideas.</w:t>
      </w:r>
    </w:p>
    <w:p w14:paraId="0BBEECE3" w14:textId="77777777" w:rsidR="002B2DE9" w:rsidRPr="00C41CB6" w:rsidRDefault="002B2DE9" w:rsidP="00C41CB6">
      <w:pPr>
        <w:jc w:val="both"/>
        <w:rPr>
          <w:rStyle w:val="Strong"/>
          <w:bCs w:val="0"/>
          <w:color w:val="auto"/>
          <w:sz w:val="22"/>
        </w:rPr>
      </w:pPr>
    </w:p>
    <w:p w14:paraId="2C5CABE1" w14:textId="77777777" w:rsidR="002B2DE9" w:rsidRDefault="002B2DE9" w:rsidP="00C41CB6">
      <w:pPr>
        <w:jc w:val="both"/>
        <w:rPr>
          <w:rStyle w:val="Strong"/>
          <w:b/>
          <w:color w:val="auto"/>
          <w:sz w:val="22"/>
        </w:rPr>
      </w:pPr>
    </w:p>
    <w:p w14:paraId="3519D788" w14:textId="77777777" w:rsidR="002B2DE9" w:rsidRDefault="002B2DE9" w:rsidP="00C41CB6">
      <w:pPr>
        <w:jc w:val="both"/>
        <w:rPr>
          <w:rStyle w:val="Strong"/>
          <w:b/>
          <w:color w:val="auto"/>
          <w:sz w:val="22"/>
        </w:rPr>
      </w:pPr>
    </w:p>
    <w:p w14:paraId="46829C0A" w14:textId="7A3A9959" w:rsidR="00C41CB6" w:rsidRPr="00C41CB6" w:rsidRDefault="00840AC4" w:rsidP="00C41CB6">
      <w:pPr>
        <w:jc w:val="both"/>
        <w:rPr>
          <w:rStyle w:val="Strong"/>
          <w:b/>
          <w:color w:val="auto"/>
          <w:sz w:val="22"/>
        </w:rPr>
      </w:pPr>
      <w:r>
        <w:rPr>
          <w:rStyle w:val="Strong"/>
          <w:b/>
          <w:color w:val="auto"/>
          <w:sz w:val="22"/>
        </w:rPr>
        <w:lastRenderedPageBreak/>
        <w:t>10.1</w:t>
      </w:r>
      <w:r w:rsidR="00C41CB6" w:rsidRPr="00C41CB6">
        <w:rPr>
          <w:rStyle w:val="Strong"/>
          <w:b/>
          <w:color w:val="auto"/>
          <w:sz w:val="22"/>
        </w:rPr>
        <w:t xml:space="preserve"> System Reliability and Structural Reinforcement.</w:t>
      </w:r>
    </w:p>
    <w:p w14:paraId="1BA912D0" w14:textId="3B6E3AF9" w:rsidR="00C41CB6" w:rsidRDefault="00C41CB6" w:rsidP="00C41CB6">
      <w:pPr>
        <w:jc w:val="both"/>
        <w:rPr>
          <w:rStyle w:val="Strong"/>
          <w:bCs w:val="0"/>
          <w:color w:val="auto"/>
          <w:sz w:val="22"/>
        </w:rPr>
      </w:pPr>
      <w:r w:rsidRPr="00C41CB6">
        <w:rPr>
          <w:rStyle w:val="Strong"/>
          <w:bCs w:val="0"/>
          <w:color w:val="auto"/>
          <w:sz w:val="22"/>
        </w:rPr>
        <w:t>High-risk infrastructure should be fortified which is the highest priority. The lack of the modern smoke-detection systems and the outdated electrical systems proves the underlying structural gap. According to Donabedian (1980), unsafe processes and outcomes are predictable in case of weak structure, and upgrades in the system form the basis. The hospital is supposed to install a fully addressable, interconnected fire-detection network with automatic alarm routing that is in line with NFPA and WHO (NFPA, 2021; WHO, 2018). Accredited engineers should carry out full electrical rewiring with a thermographic test being carried out to ensure load integrity. Enhanced physical infrastructure lowers the latent circumstances presented in Swiss Cheese Model by Reason, and simple failure will not lead to an accidental disaster (Reason, 2000).</w:t>
      </w:r>
    </w:p>
    <w:p w14:paraId="0ED92FA3" w14:textId="77777777" w:rsidR="002B2DE9" w:rsidRPr="00C41CB6" w:rsidRDefault="002B2DE9" w:rsidP="00C41CB6">
      <w:pPr>
        <w:jc w:val="both"/>
        <w:rPr>
          <w:rStyle w:val="Strong"/>
          <w:bCs w:val="0"/>
          <w:color w:val="auto"/>
          <w:sz w:val="22"/>
        </w:rPr>
      </w:pPr>
    </w:p>
    <w:p w14:paraId="40436D9C" w14:textId="5CE6DBAF" w:rsidR="00C41CB6" w:rsidRPr="00C41CB6" w:rsidRDefault="00840AC4" w:rsidP="00C41CB6">
      <w:pPr>
        <w:jc w:val="both"/>
        <w:rPr>
          <w:rStyle w:val="Strong"/>
          <w:b/>
          <w:bCs w:val="0"/>
          <w:color w:val="auto"/>
          <w:sz w:val="22"/>
          <w:lang w:val="en-IN"/>
        </w:rPr>
      </w:pPr>
      <w:r>
        <w:rPr>
          <w:rStyle w:val="Strong"/>
          <w:b/>
          <w:color w:val="auto"/>
          <w:sz w:val="22"/>
        </w:rPr>
        <w:t>10.</w:t>
      </w:r>
      <w:r w:rsidR="00C41CB6" w:rsidRPr="00C41CB6">
        <w:rPr>
          <w:rStyle w:val="Strong"/>
          <w:b/>
          <w:color w:val="auto"/>
          <w:sz w:val="22"/>
        </w:rPr>
        <w:t>2</w:t>
      </w:r>
      <w:r w:rsidR="00C41CB6" w:rsidRPr="00C41CB6">
        <w:rPr>
          <w:rStyle w:val="Strong"/>
          <w:bCs w:val="0"/>
          <w:color w:val="auto"/>
          <w:sz w:val="22"/>
        </w:rPr>
        <w:t xml:space="preserve"> </w:t>
      </w:r>
      <w:r w:rsidR="00C41CB6" w:rsidRPr="00C41CB6">
        <w:rPr>
          <w:bCs/>
          <w:color w:val="auto"/>
          <w:sz w:val="22"/>
          <w:lang w:val="en-IN"/>
        </w:rPr>
        <w:t>Redesign of Emergency Response Processes</w:t>
      </w:r>
    </w:p>
    <w:p w14:paraId="75D0CE6A" w14:textId="3D053723" w:rsidR="00C41CB6" w:rsidRDefault="00C41CB6" w:rsidP="00C41CB6">
      <w:pPr>
        <w:jc w:val="both"/>
        <w:rPr>
          <w:rStyle w:val="Strong"/>
          <w:bCs w:val="0"/>
          <w:color w:val="auto"/>
          <w:sz w:val="22"/>
        </w:rPr>
      </w:pPr>
      <w:r w:rsidRPr="00C41CB6">
        <w:rPr>
          <w:rStyle w:val="Strong"/>
          <w:bCs w:val="0"/>
          <w:color w:val="auto"/>
          <w:sz w:val="22"/>
        </w:rPr>
        <w:t xml:space="preserve">Process mapping showed that there were major failures in escalation, communications and evacuation. It is suggested to implement the </w:t>
      </w:r>
      <w:r w:rsidRPr="007E7E32">
        <w:rPr>
          <w:rStyle w:val="Strong"/>
          <w:b/>
          <w:color w:val="auto"/>
          <w:sz w:val="22"/>
        </w:rPr>
        <w:t>lean methodology</w:t>
      </w:r>
      <w:r w:rsidRPr="00C41CB6">
        <w:rPr>
          <w:rStyle w:val="Strong"/>
          <w:bCs w:val="0"/>
          <w:color w:val="auto"/>
          <w:sz w:val="22"/>
        </w:rPr>
        <w:t xml:space="preserve"> that will eliminate delays and simplify the working process (Womack and Jones, 2003). The emergency procedures should be rewritten to include clear triggering events, simplified communication routes, and command hierarchies, which are consistent with fire-safety regulations at national levels. </w:t>
      </w:r>
      <w:proofErr w:type="spellStart"/>
      <w:r w:rsidRPr="00C41CB6">
        <w:rPr>
          <w:rStyle w:val="Strong"/>
          <w:bCs w:val="0"/>
          <w:color w:val="auto"/>
          <w:sz w:val="22"/>
        </w:rPr>
        <w:t>Colour</w:t>
      </w:r>
      <w:proofErr w:type="spellEnd"/>
      <w:r w:rsidRPr="00C41CB6">
        <w:rPr>
          <w:rStyle w:val="Strong"/>
          <w:bCs w:val="0"/>
          <w:color w:val="auto"/>
          <w:sz w:val="22"/>
        </w:rPr>
        <w:t xml:space="preserve">-coded zones should be used in order to evacuate patients by </w:t>
      </w:r>
      <w:proofErr w:type="spellStart"/>
      <w:r w:rsidRPr="00C41CB6">
        <w:rPr>
          <w:rStyle w:val="Strong"/>
          <w:bCs w:val="0"/>
          <w:color w:val="auto"/>
          <w:sz w:val="22"/>
        </w:rPr>
        <w:t>prioritising</w:t>
      </w:r>
      <w:proofErr w:type="spellEnd"/>
      <w:r w:rsidRPr="00C41CB6">
        <w:rPr>
          <w:rStyle w:val="Strong"/>
          <w:bCs w:val="0"/>
          <w:color w:val="auto"/>
          <w:sz w:val="22"/>
        </w:rPr>
        <w:t xml:space="preserve"> the immobile ones quickly. Multidisciplinary simulation exercises should be regular; it has been shown that realistic training on scenarios enhances coordination and reliability with regard to emergency response (Issenberg et al., 2005). Results of every exercise are to be cultivated into recurrent PDSA loops (Taylor et al., 2014), which should lead to continuous learning and adaptation instead of unchanging compliance.</w:t>
      </w:r>
    </w:p>
    <w:p w14:paraId="0C211907" w14:textId="77777777" w:rsidR="002B2DE9" w:rsidRPr="00C41CB6" w:rsidRDefault="002B2DE9" w:rsidP="00C41CB6">
      <w:pPr>
        <w:jc w:val="both"/>
        <w:rPr>
          <w:rStyle w:val="Strong"/>
          <w:bCs w:val="0"/>
          <w:color w:val="auto"/>
          <w:sz w:val="22"/>
        </w:rPr>
      </w:pPr>
    </w:p>
    <w:p w14:paraId="668BA30E" w14:textId="2F4953A1" w:rsidR="00C41CB6" w:rsidRPr="00C41CB6" w:rsidRDefault="00840AC4" w:rsidP="00C41CB6">
      <w:pPr>
        <w:jc w:val="both"/>
        <w:rPr>
          <w:rStyle w:val="Strong"/>
          <w:b/>
          <w:color w:val="auto"/>
          <w:sz w:val="22"/>
        </w:rPr>
      </w:pPr>
      <w:r>
        <w:rPr>
          <w:rStyle w:val="Strong"/>
          <w:b/>
          <w:color w:val="auto"/>
          <w:sz w:val="22"/>
        </w:rPr>
        <w:t>10.3</w:t>
      </w:r>
      <w:r w:rsidR="00C41CB6" w:rsidRPr="00C41CB6">
        <w:rPr>
          <w:rStyle w:val="Strong"/>
          <w:b/>
          <w:color w:val="auto"/>
          <w:sz w:val="22"/>
        </w:rPr>
        <w:t xml:space="preserve"> Workforce Capability and Competency Framework.</w:t>
      </w:r>
    </w:p>
    <w:p w14:paraId="15FB3551" w14:textId="42D6914E" w:rsidR="00C41CB6" w:rsidRDefault="00C41CB6" w:rsidP="00C41CB6">
      <w:pPr>
        <w:jc w:val="both"/>
        <w:rPr>
          <w:rStyle w:val="Strong"/>
          <w:bCs w:val="0"/>
          <w:color w:val="auto"/>
          <w:sz w:val="22"/>
        </w:rPr>
      </w:pPr>
      <w:r w:rsidRPr="00C41CB6">
        <w:rPr>
          <w:rStyle w:val="Strong"/>
          <w:bCs w:val="0"/>
          <w:color w:val="auto"/>
          <w:sz w:val="22"/>
        </w:rPr>
        <w:t xml:space="preserve">The event demonstrated the weaknesses of staff confidence, situational awareness, and escalation </w:t>
      </w:r>
      <w:proofErr w:type="spellStart"/>
      <w:r w:rsidRPr="00C41CB6">
        <w:rPr>
          <w:rStyle w:val="Strong"/>
          <w:bCs w:val="0"/>
          <w:color w:val="auto"/>
          <w:sz w:val="22"/>
        </w:rPr>
        <w:t>behaviour</w:t>
      </w:r>
      <w:proofErr w:type="spellEnd"/>
      <w:r w:rsidRPr="00C41CB6">
        <w:rPr>
          <w:rStyle w:val="Strong"/>
          <w:bCs w:val="0"/>
          <w:color w:val="auto"/>
          <w:sz w:val="22"/>
        </w:rPr>
        <w:t>. WHO also focuses on the fact that high-risk care settings require competency-based training as opposed to attendance (WHO, 2020</w:t>
      </w:r>
      <w:proofErr w:type="gramStart"/>
      <w:r w:rsidRPr="00C41CB6">
        <w:rPr>
          <w:rStyle w:val="Strong"/>
          <w:bCs w:val="0"/>
          <w:color w:val="auto"/>
          <w:sz w:val="22"/>
        </w:rPr>
        <w:t>).</w:t>
      </w:r>
      <w:proofErr w:type="gramEnd"/>
      <w:r w:rsidRPr="00C41CB6">
        <w:rPr>
          <w:rStyle w:val="Strong"/>
          <w:bCs w:val="0"/>
          <w:color w:val="auto"/>
          <w:sz w:val="22"/>
        </w:rPr>
        <w:t xml:space="preserve"> An integrated competency on fire-safety framework must be adopted in which the staff members are expected to evidence their competency by being tested through practical evaluations. Interprofessional training plays an important role in enhancing shared mental models, which have been established to lead to enhanced performance of the team in the face of crisis </w:t>
      </w:r>
      <w:r w:rsidRPr="00C41CB6">
        <w:rPr>
          <w:rStyle w:val="Strong"/>
          <w:bCs w:val="0"/>
          <w:color w:val="auto"/>
          <w:sz w:val="22"/>
        </w:rPr>
        <w:lastRenderedPageBreak/>
        <w:t>(Salas et al., 2008). Annual appraisals should be included in competency audits to implement accountability and long-term safety culture, as the Fishbone analysis showed the human-factor issues.</w:t>
      </w:r>
    </w:p>
    <w:p w14:paraId="3C913F6B" w14:textId="77777777" w:rsidR="002B2DE9" w:rsidRPr="00C41CB6" w:rsidRDefault="002B2DE9" w:rsidP="00C41CB6">
      <w:pPr>
        <w:jc w:val="both"/>
        <w:rPr>
          <w:rStyle w:val="Strong"/>
          <w:bCs w:val="0"/>
          <w:color w:val="auto"/>
          <w:sz w:val="22"/>
        </w:rPr>
      </w:pPr>
    </w:p>
    <w:p w14:paraId="1642EF63" w14:textId="20E66C54" w:rsidR="002B2DE9" w:rsidRPr="00C41CB6" w:rsidRDefault="00840AC4" w:rsidP="00C41CB6">
      <w:pPr>
        <w:jc w:val="both"/>
        <w:rPr>
          <w:rStyle w:val="Strong"/>
          <w:b/>
          <w:color w:val="auto"/>
          <w:sz w:val="22"/>
        </w:rPr>
      </w:pPr>
      <w:r>
        <w:rPr>
          <w:rStyle w:val="Strong"/>
          <w:b/>
          <w:color w:val="auto"/>
          <w:sz w:val="22"/>
        </w:rPr>
        <w:t>10.4</w:t>
      </w:r>
      <w:r w:rsidR="00C41CB6" w:rsidRPr="00C41CB6">
        <w:rPr>
          <w:rStyle w:val="Strong"/>
          <w:b/>
          <w:color w:val="auto"/>
          <w:sz w:val="22"/>
        </w:rPr>
        <w:t xml:space="preserve"> Strengthening of Governance, Accountability, and Leadership.</w:t>
      </w:r>
    </w:p>
    <w:p w14:paraId="689E5056" w14:textId="77777777" w:rsidR="00C41CB6" w:rsidRPr="00C41CB6" w:rsidRDefault="00C41CB6" w:rsidP="00C41CB6">
      <w:pPr>
        <w:jc w:val="both"/>
        <w:rPr>
          <w:rStyle w:val="Strong"/>
          <w:bCs w:val="0"/>
          <w:color w:val="auto"/>
          <w:sz w:val="22"/>
        </w:rPr>
      </w:pPr>
      <w:r w:rsidRPr="00C41CB6">
        <w:rPr>
          <w:rStyle w:val="Strong"/>
          <w:bCs w:val="0"/>
          <w:color w:val="auto"/>
          <w:sz w:val="22"/>
        </w:rPr>
        <w:t xml:space="preserve">Weaknesses at the system level indicate the failure in governance and ineffective </w:t>
      </w:r>
      <w:proofErr w:type="spellStart"/>
      <w:r w:rsidRPr="00C41CB6">
        <w:rPr>
          <w:rStyle w:val="Strong"/>
          <w:bCs w:val="0"/>
          <w:color w:val="auto"/>
          <w:sz w:val="22"/>
        </w:rPr>
        <w:t>organisational</w:t>
      </w:r>
      <w:proofErr w:type="spellEnd"/>
      <w:r w:rsidRPr="00C41CB6">
        <w:rPr>
          <w:rStyle w:val="Strong"/>
          <w:bCs w:val="0"/>
          <w:color w:val="auto"/>
          <w:sz w:val="22"/>
        </w:rPr>
        <w:t xml:space="preserve"> control. The formation of Fire Safety Improvement Board would form the guiding coalition suggested by the </w:t>
      </w:r>
      <w:r w:rsidRPr="00C41CB6">
        <w:rPr>
          <w:rStyle w:val="Strong"/>
          <w:b/>
          <w:color w:val="auto"/>
          <w:sz w:val="22"/>
        </w:rPr>
        <w:t>Change Model of Kotter</w:t>
      </w:r>
      <w:r w:rsidRPr="00C41CB6">
        <w:rPr>
          <w:rStyle w:val="Strong"/>
          <w:bCs w:val="0"/>
          <w:color w:val="auto"/>
          <w:sz w:val="22"/>
        </w:rPr>
        <w:t xml:space="preserve"> (Kotter, 1996). The upgrade </w:t>
      </w:r>
      <w:proofErr w:type="spellStart"/>
      <w:r w:rsidRPr="00C41CB6">
        <w:rPr>
          <w:rStyle w:val="Strong"/>
          <w:bCs w:val="0"/>
          <w:color w:val="auto"/>
          <w:sz w:val="22"/>
        </w:rPr>
        <w:t>programme</w:t>
      </w:r>
      <w:proofErr w:type="spellEnd"/>
      <w:r w:rsidRPr="00C41CB6">
        <w:rPr>
          <w:rStyle w:val="Strong"/>
          <w:bCs w:val="0"/>
          <w:color w:val="auto"/>
          <w:sz w:val="22"/>
        </w:rPr>
        <w:t xml:space="preserve"> should be monitored by the board, which must monitor the performance indicators and comply with the regulations. KPIs like detection reliability, escalation times and training completion rates should be reviewed on a monthly basis to foster transparency and risk early detection. Leadership walkarounds are a way to strengthen a culture of openness and psychological safety, which are mandatory in high-reliability </w:t>
      </w:r>
      <w:proofErr w:type="spellStart"/>
      <w:r w:rsidRPr="00C41CB6">
        <w:rPr>
          <w:rStyle w:val="Strong"/>
          <w:bCs w:val="0"/>
          <w:color w:val="auto"/>
          <w:sz w:val="22"/>
        </w:rPr>
        <w:t>organisations</w:t>
      </w:r>
      <w:proofErr w:type="spellEnd"/>
      <w:r w:rsidRPr="00C41CB6">
        <w:rPr>
          <w:rStyle w:val="Strong"/>
          <w:bCs w:val="0"/>
          <w:color w:val="auto"/>
          <w:sz w:val="22"/>
        </w:rPr>
        <w:t xml:space="preserve"> (Weick and Sutcliffe, 2007). Empirical studies indicate that visible leadership enhances incident reporting and involvement of the staff in the safety processes (Frankel et al., 2005).</w:t>
      </w:r>
    </w:p>
    <w:p w14:paraId="09C1313C" w14:textId="77777777" w:rsidR="00840AC4" w:rsidRDefault="00840AC4" w:rsidP="00C41CB6">
      <w:pPr>
        <w:jc w:val="both"/>
        <w:rPr>
          <w:rStyle w:val="Strong"/>
          <w:b/>
          <w:color w:val="auto"/>
          <w:sz w:val="22"/>
        </w:rPr>
      </w:pPr>
    </w:p>
    <w:p w14:paraId="1C7CD40D" w14:textId="47F12910" w:rsidR="00C41CB6" w:rsidRPr="00C41CB6" w:rsidRDefault="00840AC4" w:rsidP="00C41CB6">
      <w:pPr>
        <w:jc w:val="both"/>
        <w:rPr>
          <w:rStyle w:val="Strong"/>
          <w:b/>
          <w:color w:val="auto"/>
          <w:sz w:val="22"/>
        </w:rPr>
      </w:pPr>
      <w:r>
        <w:rPr>
          <w:rStyle w:val="Strong"/>
          <w:b/>
          <w:color w:val="auto"/>
          <w:sz w:val="22"/>
        </w:rPr>
        <w:t>10.</w:t>
      </w:r>
      <w:r w:rsidR="00C41CB6" w:rsidRPr="00C41CB6">
        <w:rPr>
          <w:rStyle w:val="Strong"/>
          <w:b/>
          <w:color w:val="auto"/>
          <w:sz w:val="22"/>
        </w:rPr>
        <w:t>5 Six Sigma-Instigated Reliability Improvement.</w:t>
      </w:r>
    </w:p>
    <w:p w14:paraId="7BDFC445" w14:textId="77777777" w:rsidR="00C41CB6" w:rsidRPr="00C41CB6" w:rsidRDefault="00C41CB6" w:rsidP="00C41CB6">
      <w:pPr>
        <w:jc w:val="both"/>
        <w:rPr>
          <w:rStyle w:val="Strong"/>
          <w:bCs w:val="0"/>
          <w:color w:val="auto"/>
          <w:sz w:val="22"/>
        </w:rPr>
      </w:pPr>
      <w:r w:rsidRPr="00C41CB6">
        <w:rPr>
          <w:rStyle w:val="Strong"/>
          <w:bCs w:val="0"/>
          <w:color w:val="auto"/>
          <w:sz w:val="22"/>
        </w:rPr>
        <w:t xml:space="preserve">Since the fire occurrences in the hospitals serving vulnerable populations are highly risky events, the reliability needs to be enhanced with the help of the structured variation-reduction structures. Six Sigma offers a solid method of accomplishing this. The use of the </w:t>
      </w:r>
      <w:r w:rsidRPr="00C41CB6">
        <w:rPr>
          <w:rStyle w:val="Strong"/>
          <w:b/>
          <w:color w:val="auto"/>
          <w:sz w:val="22"/>
        </w:rPr>
        <w:t xml:space="preserve">DMAIC </w:t>
      </w:r>
      <w:r w:rsidRPr="00C41CB6">
        <w:rPr>
          <w:rStyle w:val="Strong"/>
          <w:bCs w:val="0"/>
          <w:color w:val="auto"/>
          <w:sz w:val="22"/>
        </w:rPr>
        <w:t>cycle can allow the failure points to be analyzed in detail and the implementation of improvements to be controlled (George et al., 2005).</w:t>
      </w:r>
    </w:p>
    <w:p w14:paraId="52798B31" w14:textId="3DC0C5E8" w:rsidR="00C41CB6" w:rsidRPr="00C41CB6" w:rsidRDefault="00C41CB6" w:rsidP="00C41CB6">
      <w:pPr>
        <w:jc w:val="both"/>
        <w:rPr>
          <w:rStyle w:val="Strong"/>
          <w:bCs w:val="0"/>
          <w:color w:val="auto"/>
          <w:sz w:val="22"/>
        </w:rPr>
      </w:pPr>
      <w:r w:rsidRPr="00C41CB6">
        <w:rPr>
          <w:rStyle w:val="Strong"/>
          <w:b/>
          <w:color w:val="auto"/>
          <w:sz w:val="22"/>
        </w:rPr>
        <w:t>Define -</w:t>
      </w:r>
      <w:r>
        <w:rPr>
          <w:rStyle w:val="Strong"/>
          <w:bCs w:val="0"/>
          <w:color w:val="auto"/>
          <w:sz w:val="22"/>
        </w:rPr>
        <w:t xml:space="preserve"> </w:t>
      </w:r>
      <w:r w:rsidRPr="00C41CB6">
        <w:rPr>
          <w:rStyle w:val="Strong"/>
          <w:bCs w:val="0"/>
          <w:color w:val="auto"/>
          <w:sz w:val="22"/>
        </w:rPr>
        <w:t>timeframes between the moment of detection and evacuation.</w:t>
      </w:r>
    </w:p>
    <w:p w14:paraId="1BDDC805" w14:textId="75596CDF" w:rsidR="00C41CB6" w:rsidRPr="00C41CB6" w:rsidRDefault="00C41CB6" w:rsidP="00C41CB6">
      <w:pPr>
        <w:jc w:val="both"/>
        <w:rPr>
          <w:rStyle w:val="Strong"/>
          <w:bCs w:val="0"/>
          <w:color w:val="auto"/>
          <w:sz w:val="22"/>
        </w:rPr>
      </w:pPr>
      <w:r w:rsidRPr="00C41CB6">
        <w:rPr>
          <w:rStyle w:val="Strong"/>
          <w:b/>
          <w:color w:val="auto"/>
          <w:sz w:val="22"/>
        </w:rPr>
        <w:t>Measure -</w:t>
      </w:r>
      <w:r>
        <w:rPr>
          <w:rStyle w:val="Strong"/>
          <w:bCs w:val="0"/>
          <w:color w:val="auto"/>
          <w:sz w:val="22"/>
        </w:rPr>
        <w:t xml:space="preserve"> </w:t>
      </w:r>
      <w:r w:rsidRPr="00C41CB6">
        <w:rPr>
          <w:rStyle w:val="Strong"/>
          <w:bCs w:val="0"/>
          <w:color w:val="auto"/>
          <w:sz w:val="22"/>
        </w:rPr>
        <w:t>audits and drills as baseline performance.</w:t>
      </w:r>
    </w:p>
    <w:p w14:paraId="264F2CE7" w14:textId="53781EFB" w:rsidR="00C41CB6" w:rsidRPr="00C41CB6" w:rsidRDefault="00C41CB6" w:rsidP="00C41CB6">
      <w:pPr>
        <w:jc w:val="both"/>
        <w:rPr>
          <w:rStyle w:val="Strong"/>
          <w:bCs w:val="0"/>
          <w:color w:val="auto"/>
          <w:sz w:val="22"/>
        </w:rPr>
      </w:pPr>
      <w:proofErr w:type="spellStart"/>
      <w:r w:rsidRPr="00C41CB6">
        <w:rPr>
          <w:rStyle w:val="Strong"/>
          <w:b/>
          <w:color w:val="auto"/>
          <w:sz w:val="22"/>
        </w:rPr>
        <w:t>Analyse</w:t>
      </w:r>
      <w:proofErr w:type="spellEnd"/>
      <w:r w:rsidRPr="00C41CB6">
        <w:rPr>
          <w:rStyle w:val="Strong"/>
          <w:b/>
          <w:color w:val="auto"/>
          <w:sz w:val="22"/>
        </w:rPr>
        <w:t xml:space="preserve"> -</w:t>
      </w:r>
      <w:r>
        <w:rPr>
          <w:rStyle w:val="Strong"/>
          <w:bCs w:val="0"/>
          <w:color w:val="auto"/>
          <w:sz w:val="22"/>
        </w:rPr>
        <w:t xml:space="preserve"> </w:t>
      </w:r>
      <w:r w:rsidRPr="00C41CB6">
        <w:rPr>
          <w:rStyle w:val="Strong"/>
          <w:bCs w:val="0"/>
          <w:color w:val="auto"/>
          <w:sz w:val="22"/>
        </w:rPr>
        <w:t>examine the vulnerability points in processes through Failure Modes and Effects Analysis (FMEA).</w:t>
      </w:r>
    </w:p>
    <w:p w14:paraId="467A5F87" w14:textId="1E6BB074" w:rsidR="00C41CB6" w:rsidRPr="00C41CB6" w:rsidRDefault="00C41CB6" w:rsidP="00C41CB6">
      <w:pPr>
        <w:jc w:val="both"/>
        <w:rPr>
          <w:rStyle w:val="Strong"/>
          <w:bCs w:val="0"/>
          <w:color w:val="auto"/>
          <w:sz w:val="22"/>
        </w:rPr>
      </w:pPr>
      <w:r w:rsidRPr="00C41CB6">
        <w:rPr>
          <w:rStyle w:val="Strong"/>
          <w:b/>
          <w:color w:val="auto"/>
          <w:sz w:val="22"/>
        </w:rPr>
        <w:t>Improve -</w:t>
      </w:r>
      <w:r>
        <w:rPr>
          <w:rStyle w:val="Strong"/>
          <w:bCs w:val="0"/>
          <w:color w:val="auto"/>
          <w:sz w:val="22"/>
        </w:rPr>
        <w:t xml:space="preserve"> </w:t>
      </w:r>
      <w:r w:rsidRPr="00C41CB6">
        <w:rPr>
          <w:rStyle w:val="Strong"/>
          <w:bCs w:val="0"/>
          <w:color w:val="auto"/>
          <w:sz w:val="22"/>
        </w:rPr>
        <w:t>automate the escalation channels.</w:t>
      </w:r>
    </w:p>
    <w:p w14:paraId="5FAF8E11" w14:textId="1B43B388" w:rsidR="00C41CB6" w:rsidRPr="00C41CB6" w:rsidRDefault="00C41CB6" w:rsidP="00C41CB6">
      <w:pPr>
        <w:jc w:val="both"/>
        <w:rPr>
          <w:rStyle w:val="Strong"/>
          <w:bCs w:val="0"/>
          <w:color w:val="auto"/>
          <w:sz w:val="22"/>
        </w:rPr>
      </w:pPr>
      <w:r w:rsidRPr="00C41CB6">
        <w:rPr>
          <w:rStyle w:val="Strong"/>
          <w:b/>
          <w:color w:val="auto"/>
          <w:sz w:val="22"/>
        </w:rPr>
        <w:t>Control</w:t>
      </w:r>
      <w:r>
        <w:rPr>
          <w:rStyle w:val="Strong"/>
          <w:b/>
          <w:color w:val="auto"/>
          <w:sz w:val="22"/>
        </w:rPr>
        <w:t xml:space="preserve"> </w:t>
      </w:r>
      <w:proofErr w:type="gramStart"/>
      <w:r>
        <w:rPr>
          <w:rStyle w:val="Strong"/>
          <w:b/>
          <w:color w:val="auto"/>
          <w:sz w:val="22"/>
        </w:rPr>
        <w:t xml:space="preserve">- </w:t>
      </w:r>
      <w:r w:rsidRPr="00C41CB6">
        <w:rPr>
          <w:rStyle w:val="Strong"/>
          <w:bCs w:val="0"/>
          <w:color w:val="auto"/>
          <w:sz w:val="22"/>
        </w:rPr>
        <w:t xml:space="preserve"> adopt</w:t>
      </w:r>
      <w:proofErr w:type="gramEnd"/>
      <w:r w:rsidRPr="00C41CB6">
        <w:rPr>
          <w:rStyle w:val="Strong"/>
          <w:bCs w:val="0"/>
          <w:color w:val="auto"/>
          <w:sz w:val="22"/>
        </w:rPr>
        <w:t xml:space="preserve"> quarterly governance review, dashboards, audits.</w:t>
      </w:r>
    </w:p>
    <w:p w14:paraId="6CE9FBB6" w14:textId="77777777" w:rsidR="00C41CB6" w:rsidRPr="00C41CB6" w:rsidRDefault="00C41CB6" w:rsidP="00C41CB6">
      <w:pPr>
        <w:jc w:val="both"/>
        <w:rPr>
          <w:rStyle w:val="Strong"/>
          <w:bCs w:val="0"/>
          <w:color w:val="auto"/>
          <w:sz w:val="22"/>
        </w:rPr>
      </w:pPr>
      <w:r w:rsidRPr="00C41CB6">
        <w:rPr>
          <w:rStyle w:val="Strong"/>
          <w:bCs w:val="0"/>
          <w:color w:val="auto"/>
          <w:sz w:val="22"/>
        </w:rPr>
        <w:t xml:space="preserve">Integration of Six Sigma and </w:t>
      </w:r>
      <w:r w:rsidRPr="00C41CB6">
        <w:rPr>
          <w:rStyle w:val="Strong"/>
          <w:b/>
          <w:color w:val="auto"/>
          <w:sz w:val="22"/>
        </w:rPr>
        <w:t>PDSA cycles</w:t>
      </w:r>
      <w:r w:rsidRPr="00C41CB6">
        <w:rPr>
          <w:rStyle w:val="Strong"/>
          <w:bCs w:val="0"/>
          <w:color w:val="auto"/>
          <w:sz w:val="22"/>
        </w:rPr>
        <w:t xml:space="preserve"> will provide accuracy and flexibility to avoid the trend of going backward following the introduction of improvements.</w:t>
      </w:r>
    </w:p>
    <w:p w14:paraId="4EF8D30C" w14:textId="676A77A4" w:rsidR="00CE5D14" w:rsidRPr="00C41CB6" w:rsidRDefault="00C41CB6" w:rsidP="00C41CB6">
      <w:pPr>
        <w:jc w:val="both"/>
        <w:rPr>
          <w:rStyle w:val="Strong"/>
          <w:bCs w:val="0"/>
          <w:color w:val="auto"/>
          <w:sz w:val="22"/>
        </w:rPr>
      </w:pPr>
      <w:r w:rsidRPr="00C41CB6">
        <w:rPr>
          <w:rStyle w:val="Strong"/>
          <w:bCs w:val="0"/>
          <w:color w:val="auto"/>
          <w:sz w:val="22"/>
        </w:rPr>
        <w:lastRenderedPageBreak/>
        <w:t>Taken as a whole, these ideas are structured, process and human factors based, which is in line with the systems-thinking concepts of healthcare enhancement (</w:t>
      </w:r>
      <w:proofErr w:type="spellStart"/>
      <w:r w:rsidRPr="00C41CB6">
        <w:rPr>
          <w:rStyle w:val="Strong"/>
          <w:bCs w:val="0"/>
          <w:color w:val="auto"/>
          <w:sz w:val="22"/>
        </w:rPr>
        <w:t>Batalden</w:t>
      </w:r>
      <w:proofErr w:type="spellEnd"/>
      <w:r w:rsidRPr="00C41CB6">
        <w:rPr>
          <w:rStyle w:val="Strong"/>
          <w:bCs w:val="0"/>
          <w:color w:val="auto"/>
          <w:sz w:val="22"/>
        </w:rPr>
        <w:t xml:space="preserve"> &amp; Davidoff, 2007). Their combined use would bring a more robust environment that would be safer and reduce future disastrous failures.</w:t>
      </w:r>
    </w:p>
    <w:p w14:paraId="7B79BC0A" w14:textId="77777777" w:rsidR="00B42A86" w:rsidRDefault="00B42A86" w:rsidP="005B59C1">
      <w:pPr>
        <w:tabs>
          <w:tab w:val="left" w:pos="4030"/>
        </w:tabs>
        <w:jc w:val="both"/>
        <w:rPr>
          <w:rStyle w:val="Strong"/>
          <w:b/>
          <w:bCs w:val="0"/>
          <w:sz w:val="36"/>
          <w:szCs w:val="28"/>
        </w:rPr>
      </w:pPr>
    </w:p>
    <w:p w14:paraId="3DA85547" w14:textId="2B3ABCCC" w:rsidR="00CE5D14" w:rsidRPr="00B42A86" w:rsidRDefault="00840AC4" w:rsidP="005B59C1">
      <w:pPr>
        <w:tabs>
          <w:tab w:val="left" w:pos="4030"/>
        </w:tabs>
        <w:jc w:val="both"/>
        <w:rPr>
          <w:rStyle w:val="Strong"/>
          <w:b/>
          <w:bCs w:val="0"/>
          <w:sz w:val="36"/>
          <w:szCs w:val="28"/>
        </w:rPr>
      </w:pPr>
      <w:r>
        <w:rPr>
          <w:rStyle w:val="Strong"/>
          <w:b/>
          <w:sz w:val="36"/>
          <w:szCs w:val="28"/>
        </w:rPr>
        <w:t xml:space="preserve">11. </w:t>
      </w:r>
      <w:r w:rsidR="00057EBA" w:rsidRPr="00B42A86">
        <w:rPr>
          <w:rStyle w:val="Strong"/>
          <w:b/>
          <w:bCs w:val="0"/>
          <w:sz w:val="36"/>
          <w:szCs w:val="28"/>
        </w:rPr>
        <w:t>BENCHMARKING TABLE</w:t>
      </w:r>
    </w:p>
    <w:tbl>
      <w:tblPr>
        <w:tblStyle w:val="PlainTable4"/>
        <w:tblW w:w="0" w:type="auto"/>
        <w:tblLook w:val="01E0" w:firstRow="1" w:lastRow="1" w:firstColumn="1" w:lastColumn="1" w:noHBand="0" w:noVBand="0"/>
      </w:tblPr>
      <w:tblGrid>
        <w:gridCol w:w="9926"/>
      </w:tblGrid>
      <w:tr w:rsidR="00CE5D14" w:rsidRPr="00CE5D14" w14:paraId="433BE97C" w14:textId="77777777" w:rsidTr="00057EB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26" w:type="dxa"/>
          </w:tcPr>
          <w:p w14:paraId="465EF077" w14:textId="067E5A70" w:rsidR="00CE5D14" w:rsidRPr="00CE5D14" w:rsidRDefault="00CE5D14" w:rsidP="005B59C1">
            <w:pPr>
              <w:jc w:val="both"/>
              <w:rPr>
                <w:b/>
                <w:color w:val="171717" w:themeColor="background2" w:themeShade="1A"/>
                <w:szCs w:val="28"/>
              </w:rPr>
            </w:pPr>
          </w:p>
        </w:tc>
      </w:tr>
      <w:tr w:rsidR="00CE5D14" w14:paraId="0CB69994" w14:textId="77777777" w:rsidTr="00057EBA">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26" w:type="dxa"/>
          </w:tcPr>
          <w:tbl>
            <w:tblPr>
              <w:tblStyle w:val="GridTable6Colorful-Accent2"/>
              <w:tblW w:w="0" w:type="auto"/>
              <w:tblLook w:val="04A0" w:firstRow="1" w:lastRow="0" w:firstColumn="1" w:lastColumn="0" w:noHBand="0" w:noVBand="1"/>
            </w:tblPr>
            <w:tblGrid>
              <w:gridCol w:w="2375"/>
              <w:gridCol w:w="3248"/>
              <w:gridCol w:w="4077"/>
            </w:tblGrid>
            <w:tr w:rsidR="00CE5D14" w:rsidRPr="00CE5D14" w14:paraId="4F8A9AC2" w14:textId="77777777" w:rsidTr="00057EB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79153B" w14:textId="77777777" w:rsidR="00CE5D14" w:rsidRPr="00CE5D14" w:rsidRDefault="00CE5D14" w:rsidP="005B59C1">
                  <w:pPr>
                    <w:spacing w:after="120" w:line="360" w:lineRule="auto"/>
                    <w:jc w:val="both"/>
                    <w:rPr>
                      <w:b/>
                      <w:color w:val="171717" w:themeColor="background2" w:themeShade="1A"/>
                      <w:sz w:val="22"/>
                      <w:lang w:val="en-IN"/>
                    </w:rPr>
                  </w:pPr>
                  <w:r w:rsidRPr="00CE5D14">
                    <w:rPr>
                      <w:b/>
                      <w:color w:val="171717" w:themeColor="background2" w:themeShade="1A"/>
                      <w:sz w:val="22"/>
                      <w:lang w:val="en-IN"/>
                    </w:rPr>
                    <w:t>Indicator</w:t>
                  </w:r>
                </w:p>
              </w:tc>
              <w:tc>
                <w:tcPr>
                  <w:tcW w:w="0" w:type="auto"/>
                  <w:hideMark/>
                </w:tcPr>
                <w:p w14:paraId="7C307ACE" w14:textId="77777777" w:rsidR="00CE5D14" w:rsidRPr="00CE5D14" w:rsidRDefault="00CE5D14" w:rsidP="005B59C1">
                  <w:pPr>
                    <w:spacing w:after="120" w:line="360" w:lineRule="auto"/>
                    <w:jc w:val="both"/>
                    <w:cnfStyle w:val="100000000000" w:firstRow="1" w:lastRow="0" w:firstColumn="0" w:lastColumn="0" w:oddVBand="0" w:evenVBand="0" w:oddHBand="0" w:evenHBand="0" w:firstRowFirstColumn="0" w:firstRowLastColumn="0" w:lastRowFirstColumn="0" w:lastRowLastColumn="0"/>
                    <w:rPr>
                      <w:b/>
                      <w:color w:val="171717" w:themeColor="background2" w:themeShade="1A"/>
                      <w:sz w:val="22"/>
                      <w:lang w:val="en-IN"/>
                    </w:rPr>
                  </w:pPr>
                  <w:r w:rsidRPr="00CE5D14">
                    <w:rPr>
                      <w:b/>
                      <w:color w:val="171717" w:themeColor="background2" w:themeShade="1A"/>
                      <w:sz w:val="22"/>
                      <w:lang w:val="en-IN"/>
                    </w:rPr>
                    <w:t>International Best Practice Standard</w:t>
                  </w:r>
                </w:p>
              </w:tc>
              <w:tc>
                <w:tcPr>
                  <w:tcW w:w="0" w:type="auto"/>
                  <w:hideMark/>
                </w:tcPr>
                <w:p w14:paraId="6AE43322" w14:textId="77777777" w:rsidR="00CE5D14" w:rsidRPr="00CE5D14" w:rsidRDefault="00CE5D14" w:rsidP="005B59C1">
                  <w:pPr>
                    <w:spacing w:after="120" w:line="360" w:lineRule="auto"/>
                    <w:jc w:val="both"/>
                    <w:cnfStyle w:val="100000000000" w:firstRow="1" w:lastRow="0" w:firstColumn="0" w:lastColumn="0" w:oddVBand="0" w:evenVBand="0" w:oddHBand="0" w:evenHBand="0" w:firstRowFirstColumn="0" w:firstRowLastColumn="0" w:lastRowFirstColumn="0" w:lastRowLastColumn="0"/>
                    <w:rPr>
                      <w:b/>
                      <w:color w:val="171717" w:themeColor="background2" w:themeShade="1A"/>
                      <w:sz w:val="22"/>
                      <w:lang w:val="en-IN"/>
                    </w:rPr>
                  </w:pPr>
                  <w:r w:rsidRPr="00CE5D14">
                    <w:rPr>
                      <w:b/>
                      <w:color w:val="171717" w:themeColor="background2" w:themeShade="1A"/>
                      <w:sz w:val="22"/>
                      <w:lang w:val="en-IN"/>
                    </w:rPr>
                    <w:t>Hospital Performance (After Improvement)</w:t>
                  </w:r>
                </w:p>
              </w:tc>
            </w:tr>
            <w:tr w:rsidR="00CE5D14" w:rsidRPr="00CE5D14" w14:paraId="3A892C37" w14:textId="77777777" w:rsidTr="00057E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5FE49D" w14:textId="77777777" w:rsidR="00CE5D14" w:rsidRPr="00CE5D14" w:rsidRDefault="00CE5D14" w:rsidP="005B59C1">
                  <w:pPr>
                    <w:spacing w:after="120" w:line="360" w:lineRule="auto"/>
                    <w:jc w:val="both"/>
                    <w:rPr>
                      <w:color w:val="171717" w:themeColor="background2" w:themeShade="1A"/>
                      <w:sz w:val="22"/>
                      <w:lang w:val="en-IN"/>
                    </w:rPr>
                  </w:pPr>
                  <w:r w:rsidRPr="00CE5D14">
                    <w:rPr>
                      <w:b/>
                      <w:color w:val="171717" w:themeColor="background2" w:themeShade="1A"/>
                      <w:sz w:val="22"/>
                      <w:lang w:val="en-IN"/>
                    </w:rPr>
                    <w:t>Smoke Detector Coverage</w:t>
                  </w:r>
                </w:p>
              </w:tc>
              <w:tc>
                <w:tcPr>
                  <w:tcW w:w="0" w:type="auto"/>
                  <w:hideMark/>
                </w:tcPr>
                <w:p w14:paraId="60D2103C" w14:textId="5F5A2CD5" w:rsidR="00CE5D14" w:rsidRPr="00F6559C" w:rsidRDefault="00CE5D14" w:rsidP="005B59C1">
                  <w:pPr>
                    <w:spacing w:after="120" w:line="360" w:lineRule="auto"/>
                    <w:jc w:val="both"/>
                    <w:cnfStyle w:val="000000100000" w:firstRow="0" w:lastRow="0" w:firstColumn="0" w:lastColumn="0" w:oddVBand="0" w:evenVBand="0" w:oddHBand="1" w:evenHBand="0" w:firstRowFirstColumn="0" w:firstRowLastColumn="0" w:lastRowFirstColumn="0" w:lastRowLastColumn="0"/>
                    <w:rPr>
                      <w:b w:val="0"/>
                      <w:bCs/>
                      <w:color w:val="171717" w:themeColor="background2" w:themeShade="1A"/>
                      <w:sz w:val="22"/>
                      <w:lang w:val="en-IN"/>
                    </w:rPr>
                  </w:pPr>
                  <w:r w:rsidRPr="00CE5D14">
                    <w:rPr>
                      <w:b w:val="0"/>
                      <w:color w:val="171717" w:themeColor="background2" w:themeShade="1A"/>
                      <w:sz w:val="22"/>
                      <w:lang w:val="en-IN"/>
                    </w:rPr>
                    <w:t>100% ward &amp; corridor coverage</w:t>
                  </w:r>
                  <w:r w:rsidR="00F6559C" w:rsidRPr="00F6559C">
                    <w:t xml:space="preserve"> </w:t>
                  </w:r>
                  <w:r w:rsidR="00F6559C" w:rsidRPr="00F6559C">
                    <w:rPr>
                      <w:b w:val="0"/>
                      <w:bCs/>
                      <w:color w:val="171717" w:themeColor="background2" w:themeShade="1A"/>
                      <w:sz w:val="22"/>
                    </w:rPr>
                    <w:t>(WHO, 2023; NFPA, 2022).</w:t>
                  </w:r>
                </w:p>
              </w:tc>
              <w:tc>
                <w:tcPr>
                  <w:tcW w:w="0" w:type="auto"/>
                  <w:hideMark/>
                </w:tcPr>
                <w:p w14:paraId="75C5A649" w14:textId="4B935FC3" w:rsidR="00CE5D14" w:rsidRPr="00C93232" w:rsidRDefault="00EB196D" w:rsidP="005B59C1">
                  <w:pPr>
                    <w:spacing w:after="120" w:line="360" w:lineRule="auto"/>
                    <w:jc w:val="both"/>
                    <w:cnfStyle w:val="000000100000" w:firstRow="0" w:lastRow="0" w:firstColumn="0" w:lastColumn="0" w:oddVBand="0" w:evenVBand="0" w:oddHBand="1" w:evenHBand="0" w:firstRowFirstColumn="0" w:firstRowLastColumn="0" w:lastRowFirstColumn="0" w:lastRowLastColumn="0"/>
                    <w:rPr>
                      <w:b w:val="0"/>
                      <w:bCs/>
                      <w:color w:val="171717" w:themeColor="background2" w:themeShade="1A"/>
                      <w:sz w:val="22"/>
                      <w:lang w:val="en-IN"/>
                    </w:rPr>
                  </w:pPr>
                  <w:r w:rsidRPr="00C93232">
                    <w:rPr>
                      <w:b w:val="0"/>
                      <w:bCs/>
                      <w:color w:val="171717" w:themeColor="background2" w:themeShade="1A"/>
                      <w:sz w:val="22"/>
                    </w:rPr>
                    <w:t>100 percent coverage of an interconnected detection system.</w:t>
                  </w:r>
                  <w:r w:rsidR="00E13A39" w:rsidRPr="00E13A39">
                    <w:t xml:space="preserve"> </w:t>
                  </w:r>
                  <w:r w:rsidR="00E13A39" w:rsidRPr="00E13A39">
                    <w:rPr>
                      <w:b w:val="0"/>
                      <w:color w:val="171717" w:themeColor="background2" w:themeShade="1A"/>
                      <w:sz w:val="22"/>
                    </w:rPr>
                    <w:t>(Hospital Safety Audit, 2025).</w:t>
                  </w:r>
                </w:p>
              </w:tc>
            </w:tr>
            <w:tr w:rsidR="00CE5D14" w:rsidRPr="00CE5D14" w14:paraId="490D2697" w14:textId="77777777" w:rsidTr="00057EBA">
              <w:tc>
                <w:tcPr>
                  <w:cnfStyle w:val="001000000000" w:firstRow="0" w:lastRow="0" w:firstColumn="1" w:lastColumn="0" w:oddVBand="0" w:evenVBand="0" w:oddHBand="0" w:evenHBand="0" w:firstRowFirstColumn="0" w:firstRowLastColumn="0" w:lastRowFirstColumn="0" w:lastRowLastColumn="0"/>
                  <w:tcW w:w="0" w:type="auto"/>
                  <w:hideMark/>
                </w:tcPr>
                <w:p w14:paraId="3B7210D3" w14:textId="77777777" w:rsidR="00CE5D14" w:rsidRPr="00CE5D14" w:rsidRDefault="00CE5D14" w:rsidP="005B59C1">
                  <w:pPr>
                    <w:spacing w:after="120" w:line="360" w:lineRule="auto"/>
                    <w:jc w:val="both"/>
                    <w:rPr>
                      <w:color w:val="171717" w:themeColor="background2" w:themeShade="1A"/>
                      <w:sz w:val="22"/>
                      <w:lang w:val="en-IN"/>
                    </w:rPr>
                  </w:pPr>
                  <w:r w:rsidRPr="00CE5D14">
                    <w:rPr>
                      <w:b/>
                      <w:color w:val="171717" w:themeColor="background2" w:themeShade="1A"/>
                      <w:sz w:val="22"/>
                      <w:lang w:val="en-IN"/>
                    </w:rPr>
                    <w:t>Alarm Escalation Time</w:t>
                  </w:r>
                </w:p>
              </w:tc>
              <w:tc>
                <w:tcPr>
                  <w:tcW w:w="0" w:type="auto"/>
                  <w:hideMark/>
                </w:tcPr>
                <w:p w14:paraId="21FC3623" w14:textId="3346E8C9" w:rsidR="00CE5D14" w:rsidRPr="00CE5D14" w:rsidRDefault="00CE5D14" w:rsidP="005B59C1">
                  <w:pPr>
                    <w:spacing w:after="120" w:line="360" w:lineRule="auto"/>
                    <w:jc w:val="both"/>
                    <w:cnfStyle w:val="000000000000" w:firstRow="0" w:lastRow="0" w:firstColumn="0" w:lastColumn="0" w:oddVBand="0" w:evenVBand="0" w:oddHBand="0" w:evenHBand="0" w:firstRowFirstColumn="0" w:firstRowLastColumn="0" w:lastRowFirstColumn="0" w:lastRowLastColumn="0"/>
                    <w:rPr>
                      <w:b w:val="0"/>
                      <w:color w:val="171717" w:themeColor="background2" w:themeShade="1A"/>
                      <w:sz w:val="22"/>
                      <w:lang w:val="en-IN"/>
                    </w:rPr>
                  </w:pPr>
                  <w:r w:rsidRPr="00CE5D14">
                    <w:rPr>
                      <w:b w:val="0"/>
                      <w:color w:val="171717" w:themeColor="background2" w:themeShade="1A"/>
                      <w:sz w:val="22"/>
                      <w:lang w:val="en-IN"/>
                    </w:rPr>
                    <w:t xml:space="preserve">&lt; 2 </w:t>
                  </w:r>
                  <w:r w:rsidRPr="00F6559C">
                    <w:rPr>
                      <w:b w:val="0"/>
                      <w:color w:val="171717" w:themeColor="background2" w:themeShade="1A"/>
                      <w:sz w:val="22"/>
                      <w:lang w:val="en-IN"/>
                    </w:rPr>
                    <w:t>minutes</w:t>
                  </w:r>
                  <w:r w:rsidR="00F6559C" w:rsidRPr="00F6559C">
                    <w:rPr>
                      <w:b w:val="0"/>
                      <w:color w:val="171717" w:themeColor="background2" w:themeShade="1A"/>
                      <w:sz w:val="22"/>
                      <w:lang w:val="en-IN"/>
                    </w:rPr>
                    <w:t xml:space="preserve"> </w:t>
                  </w:r>
                  <w:r w:rsidR="00F6559C" w:rsidRPr="00F6559C">
                    <w:rPr>
                      <w:b w:val="0"/>
                      <w:color w:val="171717" w:themeColor="background2" w:themeShade="1A"/>
                      <w:sz w:val="22"/>
                    </w:rPr>
                    <w:t>(NFPA, 2022; WHO, 2023).</w:t>
                  </w:r>
                </w:p>
              </w:tc>
              <w:tc>
                <w:tcPr>
                  <w:tcW w:w="0" w:type="auto"/>
                  <w:hideMark/>
                </w:tcPr>
                <w:p w14:paraId="63B59B21" w14:textId="62A0BCE9" w:rsidR="00CE5D14" w:rsidRPr="00C93232" w:rsidRDefault="00CE5D14" w:rsidP="005B59C1">
                  <w:pPr>
                    <w:spacing w:after="120" w:line="360" w:lineRule="auto"/>
                    <w:jc w:val="both"/>
                    <w:cnfStyle w:val="000000000000" w:firstRow="0" w:lastRow="0" w:firstColumn="0" w:lastColumn="0" w:oddVBand="0" w:evenVBand="0" w:oddHBand="0" w:evenHBand="0" w:firstRowFirstColumn="0" w:firstRowLastColumn="0" w:lastRowFirstColumn="0" w:lastRowLastColumn="0"/>
                    <w:rPr>
                      <w:b w:val="0"/>
                      <w:bCs/>
                      <w:color w:val="171717" w:themeColor="background2" w:themeShade="1A"/>
                      <w:sz w:val="22"/>
                      <w:lang w:val="en-IN"/>
                    </w:rPr>
                  </w:pPr>
                  <w:r w:rsidRPr="00C93232">
                    <w:rPr>
                      <w:b w:val="0"/>
                      <w:bCs/>
                      <w:color w:val="171717" w:themeColor="background2" w:themeShade="1A"/>
                      <w:sz w:val="22"/>
                      <w:lang w:val="en-IN"/>
                    </w:rPr>
                    <w:t>Average 1.5 minutes</w:t>
                  </w:r>
                  <w:r w:rsidR="00E13A39">
                    <w:rPr>
                      <w:b w:val="0"/>
                      <w:bCs/>
                      <w:color w:val="171717" w:themeColor="background2" w:themeShade="1A"/>
                      <w:sz w:val="22"/>
                      <w:lang w:val="en-IN"/>
                    </w:rPr>
                    <w:t xml:space="preserve"> </w:t>
                  </w:r>
                  <w:r w:rsidR="00E13A39" w:rsidRPr="00E13A39">
                    <w:rPr>
                      <w:b w:val="0"/>
                      <w:color w:val="171717" w:themeColor="background2" w:themeShade="1A"/>
                      <w:sz w:val="22"/>
                    </w:rPr>
                    <w:t>(CGH Internal Report, 2025).</w:t>
                  </w:r>
                </w:p>
              </w:tc>
            </w:tr>
            <w:tr w:rsidR="00CE5D14" w:rsidRPr="00CE5D14" w14:paraId="3EF696B5" w14:textId="77777777" w:rsidTr="00057E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8E5463" w14:textId="77777777" w:rsidR="00CE5D14" w:rsidRPr="00CE5D14" w:rsidRDefault="00CE5D14" w:rsidP="005B59C1">
                  <w:pPr>
                    <w:spacing w:after="120" w:line="360" w:lineRule="auto"/>
                    <w:jc w:val="both"/>
                    <w:rPr>
                      <w:color w:val="171717" w:themeColor="background2" w:themeShade="1A"/>
                      <w:sz w:val="22"/>
                      <w:lang w:val="en-IN"/>
                    </w:rPr>
                  </w:pPr>
                  <w:r w:rsidRPr="00CE5D14">
                    <w:rPr>
                      <w:b/>
                      <w:color w:val="171717" w:themeColor="background2" w:themeShade="1A"/>
                      <w:sz w:val="22"/>
                      <w:lang w:val="en-IN"/>
                    </w:rPr>
                    <w:t>Evacuation Time (Immobile Patients)</w:t>
                  </w:r>
                </w:p>
              </w:tc>
              <w:tc>
                <w:tcPr>
                  <w:tcW w:w="0" w:type="auto"/>
                  <w:hideMark/>
                </w:tcPr>
                <w:p w14:paraId="2748122A" w14:textId="2D8ABB13" w:rsidR="00CE5D14" w:rsidRPr="00CE5D14" w:rsidRDefault="00CE5D14" w:rsidP="005B59C1">
                  <w:pPr>
                    <w:spacing w:after="120" w:line="360" w:lineRule="auto"/>
                    <w:jc w:val="both"/>
                    <w:cnfStyle w:val="000000100000" w:firstRow="0" w:lastRow="0" w:firstColumn="0" w:lastColumn="0" w:oddVBand="0" w:evenVBand="0" w:oddHBand="1" w:evenHBand="0" w:firstRowFirstColumn="0" w:firstRowLastColumn="0" w:lastRowFirstColumn="0" w:lastRowLastColumn="0"/>
                    <w:rPr>
                      <w:b w:val="0"/>
                      <w:color w:val="171717" w:themeColor="background2" w:themeShade="1A"/>
                      <w:sz w:val="22"/>
                      <w:lang w:val="en-IN"/>
                    </w:rPr>
                  </w:pPr>
                  <w:r w:rsidRPr="00CE5D14">
                    <w:rPr>
                      <w:b w:val="0"/>
                      <w:color w:val="171717" w:themeColor="background2" w:themeShade="1A"/>
                      <w:sz w:val="22"/>
                      <w:lang w:val="en-IN"/>
                    </w:rPr>
                    <w:t>&lt; 6 minutes</w:t>
                  </w:r>
                  <w:r w:rsidR="00F6559C">
                    <w:rPr>
                      <w:b w:val="0"/>
                      <w:color w:val="171717" w:themeColor="background2" w:themeShade="1A"/>
                      <w:sz w:val="22"/>
                      <w:lang w:val="en-IN"/>
                    </w:rPr>
                    <w:t xml:space="preserve"> </w:t>
                  </w:r>
                  <w:r w:rsidR="00F6559C" w:rsidRPr="00F6559C">
                    <w:rPr>
                      <w:b w:val="0"/>
                      <w:bCs/>
                      <w:color w:val="171717" w:themeColor="background2" w:themeShade="1A"/>
                      <w:sz w:val="22"/>
                    </w:rPr>
                    <w:t>(ISO 23601, 2021; WHO, 2023).</w:t>
                  </w:r>
                </w:p>
              </w:tc>
              <w:tc>
                <w:tcPr>
                  <w:tcW w:w="0" w:type="auto"/>
                  <w:hideMark/>
                </w:tcPr>
                <w:p w14:paraId="12ED9194" w14:textId="1D415E7C" w:rsidR="00CE5D14" w:rsidRPr="00C93232" w:rsidRDefault="00EB196D" w:rsidP="005B59C1">
                  <w:pPr>
                    <w:spacing w:after="120" w:line="360" w:lineRule="auto"/>
                    <w:jc w:val="both"/>
                    <w:cnfStyle w:val="000000100000" w:firstRow="0" w:lastRow="0" w:firstColumn="0" w:lastColumn="0" w:oddVBand="0" w:evenVBand="0" w:oddHBand="1" w:evenHBand="0" w:firstRowFirstColumn="0" w:firstRowLastColumn="0" w:lastRowFirstColumn="0" w:lastRowLastColumn="0"/>
                    <w:rPr>
                      <w:b w:val="0"/>
                      <w:bCs/>
                      <w:color w:val="171717" w:themeColor="background2" w:themeShade="1A"/>
                      <w:sz w:val="22"/>
                      <w:lang w:val="en-IN"/>
                    </w:rPr>
                  </w:pPr>
                  <w:r w:rsidRPr="00C93232">
                    <w:rPr>
                      <w:b w:val="0"/>
                      <w:bCs/>
                      <w:color w:val="171717" w:themeColor="background2" w:themeShade="1A"/>
                      <w:sz w:val="22"/>
                    </w:rPr>
                    <w:t>Simulation exercise success.</w:t>
                  </w:r>
                  <w:r w:rsidR="00E13A39">
                    <w:rPr>
                      <w:b w:val="0"/>
                      <w:bCs/>
                      <w:color w:val="171717" w:themeColor="background2" w:themeShade="1A"/>
                      <w:sz w:val="22"/>
                    </w:rPr>
                    <w:t xml:space="preserve"> </w:t>
                  </w:r>
                  <w:r w:rsidR="00E13A39" w:rsidRPr="00E13A39">
                    <w:rPr>
                      <w:b w:val="0"/>
                      <w:color w:val="171717" w:themeColor="background2" w:themeShade="1A"/>
                      <w:sz w:val="22"/>
                    </w:rPr>
                    <w:t>(Training Drill Report, 2025)</w:t>
                  </w:r>
                </w:p>
              </w:tc>
            </w:tr>
            <w:tr w:rsidR="00CE5D14" w:rsidRPr="00CE5D14" w14:paraId="5E987203" w14:textId="77777777" w:rsidTr="00057EBA">
              <w:tc>
                <w:tcPr>
                  <w:cnfStyle w:val="001000000000" w:firstRow="0" w:lastRow="0" w:firstColumn="1" w:lastColumn="0" w:oddVBand="0" w:evenVBand="0" w:oddHBand="0" w:evenHBand="0" w:firstRowFirstColumn="0" w:firstRowLastColumn="0" w:lastRowFirstColumn="0" w:lastRowLastColumn="0"/>
                  <w:tcW w:w="0" w:type="auto"/>
                  <w:hideMark/>
                </w:tcPr>
                <w:p w14:paraId="15008396" w14:textId="77777777" w:rsidR="00CE5D14" w:rsidRPr="00CE5D14" w:rsidRDefault="00CE5D14" w:rsidP="005B59C1">
                  <w:pPr>
                    <w:spacing w:after="120" w:line="360" w:lineRule="auto"/>
                    <w:jc w:val="both"/>
                    <w:rPr>
                      <w:color w:val="171717" w:themeColor="background2" w:themeShade="1A"/>
                      <w:sz w:val="22"/>
                      <w:lang w:val="en-IN"/>
                    </w:rPr>
                  </w:pPr>
                  <w:r w:rsidRPr="00CE5D14">
                    <w:rPr>
                      <w:b/>
                      <w:color w:val="171717" w:themeColor="background2" w:themeShade="1A"/>
                      <w:sz w:val="22"/>
                      <w:lang w:val="en-IN"/>
                    </w:rPr>
                    <w:t>Staff Fire-Safety Competency</w:t>
                  </w:r>
                </w:p>
              </w:tc>
              <w:tc>
                <w:tcPr>
                  <w:tcW w:w="0" w:type="auto"/>
                  <w:hideMark/>
                </w:tcPr>
                <w:p w14:paraId="4FC4BF33" w14:textId="1C31A264" w:rsidR="00CE5D14" w:rsidRPr="00CE5D14" w:rsidRDefault="00CE5D14" w:rsidP="005B59C1">
                  <w:pPr>
                    <w:spacing w:after="120" w:line="360" w:lineRule="auto"/>
                    <w:jc w:val="both"/>
                    <w:cnfStyle w:val="000000000000" w:firstRow="0" w:lastRow="0" w:firstColumn="0" w:lastColumn="0" w:oddVBand="0" w:evenVBand="0" w:oddHBand="0" w:evenHBand="0" w:firstRowFirstColumn="0" w:firstRowLastColumn="0" w:lastRowFirstColumn="0" w:lastRowLastColumn="0"/>
                    <w:rPr>
                      <w:b w:val="0"/>
                      <w:color w:val="171717" w:themeColor="background2" w:themeShade="1A"/>
                      <w:sz w:val="22"/>
                      <w:lang w:val="en-IN"/>
                    </w:rPr>
                  </w:pPr>
                  <w:r w:rsidRPr="00CE5D14">
                    <w:rPr>
                      <w:b w:val="0"/>
                      <w:color w:val="171717" w:themeColor="background2" w:themeShade="1A"/>
                      <w:sz w:val="22"/>
                      <w:lang w:val="en-IN"/>
                    </w:rPr>
                    <w:t>≥ 90% certified</w:t>
                  </w:r>
                  <w:r w:rsidR="00F6559C">
                    <w:rPr>
                      <w:b w:val="0"/>
                      <w:color w:val="171717" w:themeColor="background2" w:themeShade="1A"/>
                      <w:sz w:val="22"/>
                      <w:lang w:val="en-IN"/>
                    </w:rPr>
                    <w:t xml:space="preserve"> </w:t>
                  </w:r>
                  <w:r w:rsidR="00F6559C" w:rsidRPr="00F6559C">
                    <w:rPr>
                      <w:b w:val="0"/>
                      <w:bCs/>
                      <w:color w:val="171717" w:themeColor="background2" w:themeShade="1A"/>
                      <w:sz w:val="22"/>
                    </w:rPr>
                    <w:t>(WHO, 2020; Joint Commission International, 2021).</w:t>
                  </w:r>
                </w:p>
              </w:tc>
              <w:tc>
                <w:tcPr>
                  <w:tcW w:w="0" w:type="auto"/>
                  <w:hideMark/>
                </w:tcPr>
                <w:p w14:paraId="49E7D9B9" w14:textId="186A64B3" w:rsidR="00CE5D14" w:rsidRPr="00C93232" w:rsidRDefault="00CE5D14" w:rsidP="005B59C1">
                  <w:pPr>
                    <w:spacing w:after="120" w:line="360" w:lineRule="auto"/>
                    <w:jc w:val="both"/>
                    <w:cnfStyle w:val="000000000000" w:firstRow="0" w:lastRow="0" w:firstColumn="0" w:lastColumn="0" w:oddVBand="0" w:evenVBand="0" w:oddHBand="0" w:evenHBand="0" w:firstRowFirstColumn="0" w:firstRowLastColumn="0" w:lastRowFirstColumn="0" w:lastRowLastColumn="0"/>
                    <w:rPr>
                      <w:b w:val="0"/>
                      <w:bCs/>
                      <w:color w:val="171717" w:themeColor="background2" w:themeShade="1A"/>
                      <w:sz w:val="22"/>
                      <w:lang w:val="en-IN"/>
                    </w:rPr>
                  </w:pPr>
                  <w:r w:rsidRPr="00C93232">
                    <w:rPr>
                      <w:b w:val="0"/>
                      <w:bCs/>
                      <w:color w:val="171717" w:themeColor="background2" w:themeShade="1A"/>
                      <w:sz w:val="22"/>
                      <w:lang w:val="en-IN"/>
                    </w:rPr>
                    <w:t>≥ 90% competency rate</w:t>
                  </w:r>
                  <w:r w:rsidR="00E13A39">
                    <w:rPr>
                      <w:b w:val="0"/>
                      <w:bCs/>
                      <w:color w:val="171717" w:themeColor="background2" w:themeShade="1A"/>
                      <w:sz w:val="22"/>
                      <w:lang w:val="en-IN"/>
                    </w:rPr>
                    <w:t xml:space="preserve"> </w:t>
                  </w:r>
                  <w:r w:rsidR="00E13A39" w:rsidRPr="00E13A39">
                    <w:rPr>
                      <w:b w:val="0"/>
                      <w:color w:val="171717" w:themeColor="background2" w:themeShade="1A"/>
                      <w:sz w:val="22"/>
                    </w:rPr>
                    <w:t>(CGH HR Records, 2025).</w:t>
                  </w:r>
                </w:p>
              </w:tc>
            </w:tr>
            <w:tr w:rsidR="00CE5D14" w:rsidRPr="00CE5D14" w14:paraId="45ADF892" w14:textId="77777777" w:rsidTr="00057E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5AB4D5" w14:textId="77777777" w:rsidR="00CE5D14" w:rsidRPr="00CE5D14" w:rsidRDefault="00CE5D14" w:rsidP="005B59C1">
                  <w:pPr>
                    <w:spacing w:after="120" w:line="360" w:lineRule="auto"/>
                    <w:jc w:val="both"/>
                    <w:rPr>
                      <w:color w:val="171717" w:themeColor="background2" w:themeShade="1A"/>
                      <w:sz w:val="22"/>
                      <w:lang w:val="en-IN"/>
                    </w:rPr>
                  </w:pPr>
                  <w:r w:rsidRPr="00CE5D14">
                    <w:rPr>
                      <w:b/>
                      <w:color w:val="171717" w:themeColor="background2" w:themeShade="1A"/>
                      <w:sz w:val="22"/>
                      <w:lang w:val="en-IN"/>
                    </w:rPr>
                    <w:t>Safety Non-Conformities</w:t>
                  </w:r>
                </w:p>
              </w:tc>
              <w:tc>
                <w:tcPr>
                  <w:tcW w:w="0" w:type="auto"/>
                  <w:hideMark/>
                </w:tcPr>
                <w:p w14:paraId="47D81DC1" w14:textId="35D3632B" w:rsidR="00CE5D14" w:rsidRPr="00CE5D14" w:rsidRDefault="00CE5D14" w:rsidP="005B59C1">
                  <w:pPr>
                    <w:spacing w:after="120" w:line="360" w:lineRule="auto"/>
                    <w:jc w:val="both"/>
                    <w:cnfStyle w:val="000000100000" w:firstRow="0" w:lastRow="0" w:firstColumn="0" w:lastColumn="0" w:oddVBand="0" w:evenVBand="0" w:oddHBand="1" w:evenHBand="0" w:firstRowFirstColumn="0" w:firstRowLastColumn="0" w:lastRowFirstColumn="0" w:lastRowLastColumn="0"/>
                    <w:rPr>
                      <w:b w:val="0"/>
                      <w:color w:val="171717" w:themeColor="background2" w:themeShade="1A"/>
                      <w:sz w:val="22"/>
                      <w:lang w:val="en-IN"/>
                    </w:rPr>
                  </w:pPr>
                  <w:r w:rsidRPr="00CE5D14">
                    <w:rPr>
                      <w:b w:val="0"/>
                      <w:color w:val="171717" w:themeColor="background2" w:themeShade="1A"/>
                      <w:sz w:val="22"/>
                      <w:lang w:val="en-IN"/>
                    </w:rPr>
                    <w:t>Zero critical failures</w:t>
                  </w:r>
                  <w:r w:rsidR="00F6559C" w:rsidRPr="00F6559C">
                    <w:t xml:space="preserve"> </w:t>
                  </w:r>
                  <w:r w:rsidR="00F6559C" w:rsidRPr="00F6559C">
                    <w:rPr>
                      <w:b w:val="0"/>
                      <w:bCs/>
                      <w:color w:val="171717" w:themeColor="background2" w:themeShade="1A"/>
                      <w:sz w:val="22"/>
                    </w:rPr>
                    <w:t>(Reason, 2000; JCI, 2021)</w:t>
                  </w:r>
                </w:p>
              </w:tc>
              <w:tc>
                <w:tcPr>
                  <w:tcW w:w="0" w:type="auto"/>
                  <w:hideMark/>
                </w:tcPr>
                <w:p w14:paraId="48FA4ECD" w14:textId="6AECF2C7" w:rsidR="00CE5D14" w:rsidRPr="00C93232" w:rsidRDefault="00CE5D14" w:rsidP="005B59C1">
                  <w:pPr>
                    <w:spacing w:after="120" w:line="360" w:lineRule="auto"/>
                    <w:jc w:val="both"/>
                    <w:cnfStyle w:val="000000100000" w:firstRow="0" w:lastRow="0" w:firstColumn="0" w:lastColumn="0" w:oddVBand="0" w:evenVBand="0" w:oddHBand="1" w:evenHBand="0" w:firstRowFirstColumn="0" w:firstRowLastColumn="0" w:lastRowFirstColumn="0" w:lastRowLastColumn="0"/>
                    <w:rPr>
                      <w:b w:val="0"/>
                      <w:bCs/>
                      <w:color w:val="171717" w:themeColor="background2" w:themeShade="1A"/>
                      <w:sz w:val="22"/>
                      <w:lang w:val="en-IN"/>
                    </w:rPr>
                  </w:pPr>
                  <w:r w:rsidRPr="00C93232">
                    <w:rPr>
                      <w:b w:val="0"/>
                      <w:bCs/>
                      <w:color w:val="171717" w:themeColor="background2" w:themeShade="1A"/>
                      <w:sz w:val="22"/>
                      <w:lang w:val="en-IN"/>
                    </w:rPr>
                    <w:t>≥ 50% reduction within 6 months</w:t>
                  </w:r>
                  <w:r w:rsidR="00E13A39">
                    <w:rPr>
                      <w:b w:val="0"/>
                      <w:bCs/>
                      <w:color w:val="171717" w:themeColor="background2" w:themeShade="1A"/>
                      <w:sz w:val="22"/>
                      <w:lang w:val="en-IN"/>
                    </w:rPr>
                    <w:t xml:space="preserve"> (</w:t>
                  </w:r>
                  <w:r w:rsidR="00E13A39" w:rsidRPr="00E13A39">
                    <w:rPr>
                      <w:b w:val="0"/>
                      <w:color w:val="171717" w:themeColor="background2" w:themeShade="1A"/>
                      <w:sz w:val="22"/>
                    </w:rPr>
                    <w:t>Quality Improvement Dashboard, 2025).</w:t>
                  </w:r>
                </w:p>
              </w:tc>
            </w:tr>
            <w:tr w:rsidR="00CE5D14" w:rsidRPr="00CE5D14" w14:paraId="4C1DB715" w14:textId="77777777" w:rsidTr="00057EBA">
              <w:tc>
                <w:tcPr>
                  <w:cnfStyle w:val="001000000000" w:firstRow="0" w:lastRow="0" w:firstColumn="1" w:lastColumn="0" w:oddVBand="0" w:evenVBand="0" w:oddHBand="0" w:evenHBand="0" w:firstRowFirstColumn="0" w:firstRowLastColumn="0" w:lastRowFirstColumn="0" w:lastRowLastColumn="0"/>
                  <w:tcW w:w="0" w:type="auto"/>
                  <w:hideMark/>
                </w:tcPr>
                <w:p w14:paraId="3E25DAAC" w14:textId="77777777" w:rsidR="00CE5D14" w:rsidRPr="00CE5D14" w:rsidRDefault="00CE5D14" w:rsidP="005B59C1">
                  <w:pPr>
                    <w:spacing w:after="120" w:line="360" w:lineRule="auto"/>
                    <w:jc w:val="both"/>
                    <w:rPr>
                      <w:color w:val="171717" w:themeColor="background2" w:themeShade="1A"/>
                      <w:sz w:val="22"/>
                      <w:lang w:val="en-IN"/>
                    </w:rPr>
                  </w:pPr>
                  <w:r w:rsidRPr="00CE5D14">
                    <w:rPr>
                      <w:b/>
                      <w:color w:val="171717" w:themeColor="background2" w:themeShade="1A"/>
                      <w:sz w:val="22"/>
                      <w:lang w:val="en-IN"/>
                    </w:rPr>
                    <w:t>Emergency Drill Completion</w:t>
                  </w:r>
                </w:p>
              </w:tc>
              <w:tc>
                <w:tcPr>
                  <w:tcW w:w="0" w:type="auto"/>
                  <w:hideMark/>
                </w:tcPr>
                <w:p w14:paraId="4D42C5F6" w14:textId="552A6A67" w:rsidR="00CE5D14" w:rsidRPr="00CE5D14" w:rsidRDefault="00CE5D14" w:rsidP="005B59C1">
                  <w:pPr>
                    <w:spacing w:after="120" w:line="360" w:lineRule="auto"/>
                    <w:jc w:val="both"/>
                    <w:cnfStyle w:val="000000000000" w:firstRow="0" w:lastRow="0" w:firstColumn="0" w:lastColumn="0" w:oddVBand="0" w:evenVBand="0" w:oddHBand="0" w:evenHBand="0" w:firstRowFirstColumn="0" w:firstRowLastColumn="0" w:lastRowFirstColumn="0" w:lastRowLastColumn="0"/>
                    <w:rPr>
                      <w:b w:val="0"/>
                      <w:color w:val="171717" w:themeColor="background2" w:themeShade="1A"/>
                      <w:sz w:val="22"/>
                      <w:lang w:val="en-IN"/>
                    </w:rPr>
                  </w:pPr>
                  <w:r w:rsidRPr="00CE5D14">
                    <w:rPr>
                      <w:b w:val="0"/>
                      <w:color w:val="171717" w:themeColor="background2" w:themeShade="1A"/>
                      <w:sz w:val="22"/>
                      <w:lang w:val="en-IN"/>
                    </w:rPr>
                    <w:t>Quarterly drills</w:t>
                  </w:r>
                  <w:r w:rsidR="00F6559C">
                    <w:rPr>
                      <w:b w:val="0"/>
                      <w:color w:val="171717" w:themeColor="background2" w:themeShade="1A"/>
                      <w:sz w:val="22"/>
                      <w:lang w:val="en-IN"/>
                    </w:rPr>
                    <w:t xml:space="preserve"> </w:t>
                  </w:r>
                  <w:r w:rsidR="00F6559C" w:rsidRPr="00E13A39">
                    <w:rPr>
                      <w:b w:val="0"/>
                      <w:bCs/>
                      <w:color w:val="171717" w:themeColor="background2" w:themeShade="1A"/>
                      <w:sz w:val="22"/>
                    </w:rPr>
                    <w:t>(NFPA, 2022; WHO, 2016).</w:t>
                  </w:r>
                </w:p>
              </w:tc>
              <w:tc>
                <w:tcPr>
                  <w:tcW w:w="0" w:type="auto"/>
                  <w:hideMark/>
                </w:tcPr>
                <w:p w14:paraId="15B1412A" w14:textId="1F2AAA97" w:rsidR="00CE5D14" w:rsidRPr="00C93232" w:rsidRDefault="00FC1C68" w:rsidP="005B59C1">
                  <w:pPr>
                    <w:spacing w:after="120" w:line="360" w:lineRule="auto"/>
                    <w:jc w:val="both"/>
                    <w:cnfStyle w:val="000000000000" w:firstRow="0" w:lastRow="0" w:firstColumn="0" w:lastColumn="0" w:oddVBand="0" w:evenVBand="0" w:oddHBand="0" w:evenHBand="0" w:firstRowFirstColumn="0" w:firstRowLastColumn="0" w:lastRowFirstColumn="0" w:lastRowLastColumn="0"/>
                    <w:rPr>
                      <w:b w:val="0"/>
                      <w:bCs/>
                      <w:color w:val="171717" w:themeColor="background2" w:themeShade="1A"/>
                      <w:sz w:val="22"/>
                      <w:lang w:val="en-IN"/>
                    </w:rPr>
                  </w:pPr>
                  <w:r w:rsidRPr="00C93232">
                    <w:rPr>
                      <w:b w:val="0"/>
                      <w:bCs/>
                      <w:color w:val="171717" w:themeColor="background2" w:themeShade="1A"/>
                      <w:sz w:val="22"/>
                    </w:rPr>
                    <w:t>Stable quarterly drills realized.</w:t>
                  </w:r>
                  <w:r w:rsidR="00E13A39">
                    <w:rPr>
                      <w:b w:val="0"/>
                      <w:bCs/>
                      <w:color w:val="171717" w:themeColor="background2" w:themeShade="1A"/>
                      <w:sz w:val="22"/>
                    </w:rPr>
                    <w:t xml:space="preserve"> </w:t>
                  </w:r>
                </w:p>
              </w:tc>
            </w:tr>
          </w:tbl>
          <w:p w14:paraId="2B057DC4" w14:textId="77777777" w:rsidR="00CE5D14" w:rsidRDefault="00CE5D14" w:rsidP="005B59C1">
            <w:pPr>
              <w:jc w:val="both"/>
            </w:pPr>
          </w:p>
        </w:tc>
      </w:tr>
    </w:tbl>
    <w:p w14:paraId="3A5ABE0A" w14:textId="463946AC" w:rsidR="00A475B7" w:rsidRPr="003D120E" w:rsidRDefault="00A475B7" w:rsidP="005B59C1">
      <w:pPr>
        <w:jc w:val="both"/>
        <w:rPr>
          <w:b w:val="0"/>
          <w:color w:val="171717" w:themeColor="background2" w:themeShade="1A"/>
          <w:sz w:val="22"/>
        </w:rPr>
      </w:pPr>
    </w:p>
    <w:p w14:paraId="1E590170" w14:textId="56E0F1BC" w:rsidR="00A475B7" w:rsidRDefault="00A475B7" w:rsidP="005B59C1">
      <w:pPr>
        <w:jc w:val="both"/>
        <w:rPr>
          <w:b w:val="0"/>
          <w:color w:val="171717" w:themeColor="background2" w:themeShade="1A"/>
          <w:sz w:val="22"/>
        </w:rPr>
      </w:pPr>
    </w:p>
    <w:p w14:paraId="0EA69E9A" w14:textId="291F439A" w:rsidR="005B59C1" w:rsidRDefault="005B59C1" w:rsidP="005B59C1">
      <w:pPr>
        <w:jc w:val="both"/>
        <w:rPr>
          <w:b w:val="0"/>
          <w:color w:val="171717" w:themeColor="background2" w:themeShade="1A"/>
          <w:sz w:val="22"/>
        </w:rPr>
      </w:pPr>
    </w:p>
    <w:p w14:paraId="7774DFFA" w14:textId="77777777" w:rsidR="00027732" w:rsidRDefault="00027732" w:rsidP="005B59C1">
      <w:pPr>
        <w:jc w:val="both"/>
        <w:rPr>
          <w:bCs/>
          <w:sz w:val="36"/>
          <w:szCs w:val="36"/>
        </w:rPr>
      </w:pPr>
    </w:p>
    <w:p w14:paraId="6AFDB1C2" w14:textId="77777777" w:rsidR="00027732" w:rsidRDefault="00027732" w:rsidP="005B59C1">
      <w:pPr>
        <w:jc w:val="both"/>
        <w:rPr>
          <w:bCs/>
          <w:sz w:val="36"/>
          <w:szCs w:val="36"/>
        </w:rPr>
      </w:pPr>
    </w:p>
    <w:p w14:paraId="0FB1394F" w14:textId="77777777" w:rsidR="00027732" w:rsidRDefault="00027732" w:rsidP="005B59C1">
      <w:pPr>
        <w:jc w:val="both"/>
        <w:rPr>
          <w:bCs/>
          <w:sz w:val="36"/>
          <w:szCs w:val="36"/>
        </w:rPr>
      </w:pPr>
    </w:p>
    <w:p w14:paraId="56C6A07E" w14:textId="60C8382A" w:rsidR="002C63E3" w:rsidRPr="002C63E3" w:rsidRDefault="00840AC4" w:rsidP="005B59C1">
      <w:pPr>
        <w:jc w:val="both"/>
        <w:rPr>
          <w:bCs/>
          <w:sz w:val="36"/>
          <w:szCs w:val="36"/>
        </w:rPr>
      </w:pPr>
      <w:r>
        <w:rPr>
          <w:bCs/>
          <w:sz w:val="36"/>
          <w:szCs w:val="36"/>
        </w:rPr>
        <w:t xml:space="preserve">12. </w:t>
      </w:r>
      <w:r w:rsidR="002C63E3" w:rsidRPr="002C63E3">
        <w:rPr>
          <w:bCs/>
          <w:sz w:val="36"/>
          <w:szCs w:val="36"/>
        </w:rPr>
        <w:t>CONCLUSION</w:t>
      </w:r>
    </w:p>
    <w:p w14:paraId="7116597A" w14:textId="77777777" w:rsidR="006B6931" w:rsidRPr="006B6931" w:rsidRDefault="006B6931" w:rsidP="006B6931">
      <w:pPr>
        <w:jc w:val="both"/>
        <w:rPr>
          <w:b w:val="0"/>
          <w:color w:val="171717" w:themeColor="background2" w:themeShade="1A"/>
          <w:sz w:val="22"/>
        </w:rPr>
      </w:pPr>
      <w:r w:rsidRPr="006B6931">
        <w:rPr>
          <w:b w:val="0"/>
          <w:color w:val="171717" w:themeColor="background2" w:themeShade="1A"/>
          <w:sz w:val="22"/>
        </w:rPr>
        <w:t xml:space="preserve">This discussion has shown that the hospital fire was not a case, but rather a product of underlying systemic vulgarities in infrastructure, processes, and </w:t>
      </w:r>
      <w:proofErr w:type="spellStart"/>
      <w:r w:rsidRPr="006B6931">
        <w:rPr>
          <w:b w:val="0"/>
          <w:color w:val="171717" w:themeColor="background2" w:themeShade="1A"/>
          <w:sz w:val="22"/>
        </w:rPr>
        <w:t>organisational</w:t>
      </w:r>
      <w:proofErr w:type="spellEnd"/>
      <w:r w:rsidRPr="006B6931">
        <w:rPr>
          <w:b w:val="0"/>
          <w:color w:val="171717" w:themeColor="background2" w:themeShade="1A"/>
          <w:sz w:val="22"/>
        </w:rPr>
        <w:t xml:space="preserve"> culture. The structure process outcome model developed by Donabedian makes it very clear how the old system of detention, the lack of escalation channels, and the insufficient staff preparedness interplay to form unsafe conditions in which a small ignition would develop into a major event (Donabedian, 1980). Combining these weaknesses as the Swiss Cheese Model by Reason puts it drove the possibility to fail to an inevitable stage (Reason, 2000).</w:t>
      </w:r>
    </w:p>
    <w:p w14:paraId="0173A445" w14:textId="77777777" w:rsidR="006B6931" w:rsidRPr="006B6931" w:rsidRDefault="006B6931" w:rsidP="006B6931">
      <w:pPr>
        <w:jc w:val="both"/>
        <w:rPr>
          <w:b w:val="0"/>
          <w:color w:val="171717" w:themeColor="background2" w:themeShade="1A"/>
          <w:sz w:val="22"/>
        </w:rPr>
      </w:pPr>
      <w:r w:rsidRPr="006B6931">
        <w:rPr>
          <w:b w:val="0"/>
          <w:color w:val="171717" w:themeColor="background2" w:themeShade="1A"/>
          <w:sz w:val="22"/>
        </w:rPr>
        <w:t>The results depict that technical enhancement will never help attain sustainable fire safety on its own. Strong leadership, well-defined governance, and lifelong learning should support enhanced detection equipment, increased evacuation procedures as well as simulation training of workforce. It echoes the broader evidence that high-reliability performance depends on shared vigilance, psychological safety, and a culture of placing priority on early escalation and inter-team co-ordination (Weick and Sutcliffe, 2007; WHO, 2020).</w:t>
      </w:r>
    </w:p>
    <w:p w14:paraId="4C71A3C9" w14:textId="77777777" w:rsidR="006B6931" w:rsidRPr="006B6931" w:rsidRDefault="006B6931" w:rsidP="006B6931">
      <w:pPr>
        <w:jc w:val="both"/>
        <w:rPr>
          <w:b w:val="0"/>
          <w:color w:val="171717" w:themeColor="background2" w:themeShade="1A"/>
          <w:sz w:val="22"/>
        </w:rPr>
      </w:pPr>
      <w:r w:rsidRPr="006B6931">
        <w:rPr>
          <w:b w:val="0"/>
          <w:color w:val="171717" w:themeColor="background2" w:themeShade="1A"/>
          <w:sz w:val="22"/>
        </w:rPr>
        <w:t xml:space="preserve">The suggestions provided in this report give a comprehensive approach which mitigates the </w:t>
      </w:r>
      <w:proofErr w:type="gramStart"/>
      <w:r w:rsidRPr="006B6931">
        <w:rPr>
          <w:b w:val="0"/>
          <w:color w:val="171717" w:themeColor="background2" w:themeShade="1A"/>
          <w:sz w:val="22"/>
        </w:rPr>
        <w:t>short term</w:t>
      </w:r>
      <w:proofErr w:type="gramEnd"/>
      <w:r w:rsidRPr="006B6931">
        <w:rPr>
          <w:b w:val="0"/>
          <w:color w:val="171717" w:themeColor="background2" w:themeShade="1A"/>
          <w:sz w:val="22"/>
        </w:rPr>
        <w:t xml:space="preserve"> risks but sets the grounds of achieving resilience in the long term. They comprise, </w:t>
      </w:r>
      <w:proofErr w:type="spellStart"/>
      <w:r w:rsidRPr="006B6931">
        <w:rPr>
          <w:b w:val="0"/>
          <w:color w:val="171717" w:themeColor="background2" w:themeShade="1A"/>
          <w:sz w:val="22"/>
        </w:rPr>
        <w:t>modernisation</w:t>
      </w:r>
      <w:proofErr w:type="spellEnd"/>
      <w:r w:rsidRPr="006B6931">
        <w:rPr>
          <w:b w:val="0"/>
          <w:color w:val="171717" w:themeColor="background2" w:themeShade="1A"/>
          <w:sz w:val="22"/>
        </w:rPr>
        <w:t xml:space="preserve"> of important infrastructure, </w:t>
      </w:r>
      <w:proofErr w:type="spellStart"/>
      <w:r w:rsidRPr="006B6931">
        <w:rPr>
          <w:b w:val="0"/>
          <w:color w:val="171717" w:themeColor="background2" w:themeShade="1A"/>
          <w:sz w:val="22"/>
        </w:rPr>
        <w:t>standardisation</w:t>
      </w:r>
      <w:proofErr w:type="spellEnd"/>
      <w:r w:rsidRPr="006B6931">
        <w:rPr>
          <w:b w:val="0"/>
          <w:color w:val="171717" w:themeColor="background2" w:themeShade="1A"/>
          <w:sz w:val="22"/>
        </w:rPr>
        <w:t xml:space="preserve"> of emergency procedures, the creation of a proficient and assertive work force, and the inclusion of proactive monitoring and assessment systems. Such alterations coincide with the need of urgency, coalition building, and cultural reinforcement highlighted by Kotter to facilitate the process of </w:t>
      </w:r>
      <w:proofErr w:type="spellStart"/>
      <w:r w:rsidRPr="006B6931">
        <w:rPr>
          <w:b w:val="0"/>
          <w:color w:val="171717" w:themeColor="background2" w:themeShade="1A"/>
          <w:sz w:val="22"/>
        </w:rPr>
        <w:t>organising</w:t>
      </w:r>
      <w:proofErr w:type="spellEnd"/>
      <w:r w:rsidRPr="006B6931">
        <w:rPr>
          <w:b w:val="0"/>
          <w:color w:val="171717" w:themeColor="background2" w:themeShade="1A"/>
          <w:sz w:val="22"/>
        </w:rPr>
        <w:t xml:space="preserve"> the deeper </w:t>
      </w:r>
      <w:proofErr w:type="spellStart"/>
      <w:r w:rsidRPr="006B6931">
        <w:rPr>
          <w:b w:val="0"/>
          <w:color w:val="171717" w:themeColor="background2" w:themeShade="1A"/>
          <w:sz w:val="22"/>
        </w:rPr>
        <w:t>behavioural</w:t>
      </w:r>
      <w:proofErr w:type="spellEnd"/>
      <w:r w:rsidRPr="006B6931">
        <w:rPr>
          <w:b w:val="0"/>
          <w:color w:val="171717" w:themeColor="background2" w:themeShade="1A"/>
          <w:sz w:val="22"/>
        </w:rPr>
        <w:t xml:space="preserve"> and </w:t>
      </w:r>
      <w:proofErr w:type="spellStart"/>
      <w:r w:rsidRPr="006B6931">
        <w:rPr>
          <w:b w:val="0"/>
          <w:color w:val="171717" w:themeColor="background2" w:themeShade="1A"/>
          <w:sz w:val="22"/>
        </w:rPr>
        <w:t>organisation</w:t>
      </w:r>
      <w:proofErr w:type="spellEnd"/>
      <w:r w:rsidRPr="006B6931">
        <w:rPr>
          <w:b w:val="0"/>
          <w:color w:val="171717" w:themeColor="background2" w:themeShade="1A"/>
          <w:sz w:val="22"/>
        </w:rPr>
        <w:t xml:space="preserve"> change (Kotter, 1996).</w:t>
      </w:r>
    </w:p>
    <w:p w14:paraId="54DFB999" w14:textId="3EA5431E" w:rsidR="00A475B7" w:rsidRPr="003D120E" w:rsidRDefault="006B6931" w:rsidP="006B6931">
      <w:pPr>
        <w:jc w:val="both"/>
        <w:rPr>
          <w:b w:val="0"/>
          <w:color w:val="171717" w:themeColor="background2" w:themeShade="1A"/>
          <w:sz w:val="22"/>
        </w:rPr>
      </w:pPr>
      <w:r w:rsidRPr="006B6931">
        <w:rPr>
          <w:b w:val="0"/>
          <w:color w:val="171717" w:themeColor="background2" w:themeShade="1A"/>
          <w:sz w:val="22"/>
        </w:rPr>
        <w:t xml:space="preserve">In general, this event demonstrates that healthcare </w:t>
      </w:r>
      <w:proofErr w:type="spellStart"/>
      <w:r w:rsidRPr="006B6931">
        <w:rPr>
          <w:b w:val="0"/>
          <w:color w:val="171717" w:themeColor="background2" w:themeShade="1A"/>
          <w:sz w:val="22"/>
        </w:rPr>
        <w:t>organisations</w:t>
      </w:r>
      <w:proofErr w:type="spellEnd"/>
      <w:r w:rsidRPr="006B6931">
        <w:rPr>
          <w:b w:val="0"/>
          <w:color w:val="171717" w:themeColor="background2" w:themeShade="1A"/>
          <w:sz w:val="22"/>
        </w:rPr>
        <w:t xml:space="preserve"> should not focus on compliance-oriented fire-safety strategies but should use system-thinking strategies that help to </w:t>
      </w:r>
      <w:proofErr w:type="spellStart"/>
      <w:r w:rsidRPr="006B6931">
        <w:rPr>
          <w:b w:val="0"/>
          <w:color w:val="171717" w:themeColor="background2" w:themeShade="1A"/>
          <w:sz w:val="22"/>
        </w:rPr>
        <w:t>realise</w:t>
      </w:r>
      <w:proofErr w:type="spellEnd"/>
      <w:r w:rsidRPr="006B6931">
        <w:rPr>
          <w:b w:val="0"/>
          <w:color w:val="171717" w:themeColor="background2" w:themeShade="1A"/>
          <w:sz w:val="22"/>
        </w:rPr>
        <w:t xml:space="preserve"> the complexity and interdependency. When put into practice with the willingness of the senior leadership and strict assessment, the suggested recommendations could contribute greatly to the improvement of fire-safety performance, safeguard the groups of patients at risk, and improve the overall </w:t>
      </w:r>
      <w:proofErr w:type="spellStart"/>
      <w:r w:rsidRPr="006B6931">
        <w:rPr>
          <w:b w:val="0"/>
          <w:color w:val="171717" w:themeColor="background2" w:themeShade="1A"/>
          <w:sz w:val="22"/>
        </w:rPr>
        <w:t>organisation</w:t>
      </w:r>
      <w:proofErr w:type="spellEnd"/>
      <w:r w:rsidRPr="006B6931">
        <w:rPr>
          <w:b w:val="0"/>
          <w:color w:val="171717" w:themeColor="background2" w:themeShade="1A"/>
          <w:sz w:val="22"/>
        </w:rPr>
        <w:t xml:space="preserve"> culture of safety.</w:t>
      </w:r>
    </w:p>
    <w:p w14:paraId="1FF169BB" w14:textId="0B71FBEF" w:rsidR="00A475B7" w:rsidRPr="003D120E" w:rsidRDefault="00A475B7" w:rsidP="005B59C1">
      <w:pPr>
        <w:jc w:val="both"/>
        <w:rPr>
          <w:b w:val="0"/>
          <w:color w:val="171717" w:themeColor="background2" w:themeShade="1A"/>
          <w:sz w:val="22"/>
        </w:rPr>
      </w:pPr>
    </w:p>
    <w:p w14:paraId="2EDAC0DD" w14:textId="1925AB3D" w:rsidR="00A475B7" w:rsidRPr="003D120E" w:rsidRDefault="00A475B7" w:rsidP="005B59C1">
      <w:pPr>
        <w:jc w:val="both"/>
        <w:rPr>
          <w:b w:val="0"/>
          <w:color w:val="171717" w:themeColor="background2" w:themeShade="1A"/>
          <w:sz w:val="22"/>
        </w:rPr>
      </w:pPr>
    </w:p>
    <w:p w14:paraId="55270B8A" w14:textId="55F298CE" w:rsidR="00A475B7" w:rsidRPr="003D120E" w:rsidRDefault="00A475B7" w:rsidP="005B59C1">
      <w:pPr>
        <w:jc w:val="both"/>
        <w:rPr>
          <w:b w:val="0"/>
        </w:rPr>
      </w:pPr>
    </w:p>
    <w:p w14:paraId="5EAB10F5" w14:textId="26A7D477" w:rsidR="0097610E" w:rsidRPr="0097610E" w:rsidRDefault="00840AC4" w:rsidP="005B59C1">
      <w:pPr>
        <w:jc w:val="both"/>
        <w:rPr>
          <w:sz w:val="36"/>
          <w:szCs w:val="28"/>
        </w:rPr>
      </w:pPr>
      <w:r>
        <w:rPr>
          <w:sz w:val="36"/>
          <w:szCs w:val="28"/>
        </w:rPr>
        <w:t xml:space="preserve">13. </w:t>
      </w:r>
      <w:r w:rsidR="0097610E" w:rsidRPr="0097610E">
        <w:rPr>
          <w:sz w:val="36"/>
          <w:szCs w:val="28"/>
        </w:rPr>
        <w:t>REFERENCES</w:t>
      </w:r>
    </w:p>
    <w:p w14:paraId="21C2CC78" w14:textId="77777777" w:rsidR="0097610E" w:rsidRDefault="0097610E" w:rsidP="005B59C1">
      <w:pPr>
        <w:pStyle w:val="NormalWeb"/>
        <w:numPr>
          <w:ilvl w:val="0"/>
          <w:numId w:val="9"/>
        </w:numPr>
        <w:spacing w:line="360" w:lineRule="auto"/>
        <w:jc w:val="both"/>
      </w:pPr>
      <w:r>
        <w:t xml:space="preserve">Donabedian, A. (1988) ‘The quality of care. How can it be assessed?’, </w:t>
      </w:r>
      <w:r>
        <w:rPr>
          <w:rStyle w:val="Emphasis"/>
        </w:rPr>
        <w:t>JAMA</w:t>
      </w:r>
      <w:r>
        <w:t xml:space="preserve">, 260(12), pp. 1743–1748. </w:t>
      </w:r>
      <w:proofErr w:type="spellStart"/>
      <w:r>
        <w:t>doi</w:t>
      </w:r>
      <w:proofErr w:type="spellEnd"/>
      <w:r>
        <w:t>: 10.1001/jama.260.12.1743.</w:t>
      </w:r>
    </w:p>
    <w:p w14:paraId="492AD410" w14:textId="77777777" w:rsidR="0097610E" w:rsidRDefault="0097610E" w:rsidP="005B59C1">
      <w:pPr>
        <w:pStyle w:val="NormalWeb"/>
        <w:numPr>
          <w:ilvl w:val="0"/>
          <w:numId w:val="9"/>
        </w:numPr>
        <w:spacing w:line="360" w:lineRule="auto"/>
        <w:jc w:val="both"/>
      </w:pPr>
      <w:r>
        <w:t xml:space="preserve">Reason, J. (2000) ‘Human error: models and management’, </w:t>
      </w:r>
      <w:r>
        <w:rPr>
          <w:rStyle w:val="Emphasis"/>
        </w:rPr>
        <w:t>BMJ</w:t>
      </w:r>
      <w:r>
        <w:t xml:space="preserve">, 320(7237), pp. 768–770. </w:t>
      </w:r>
      <w:proofErr w:type="spellStart"/>
      <w:r>
        <w:t>doi</w:t>
      </w:r>
      <w:proofErr w:type="spellEnd"/>
      <w:r>
        <w:t>: 10.1136/bmj.320.7237.768.</w:t>
      </w:r>
    </w:p>
    <w:p w14:paraId="0B1633B2" w14:textId="77777777" w:rsidR="0097610E" w:rsidRDefault="0097610E" w:rsidP="005B59C1">
      <w:pPr>
        <w:pStyle w:val="NormalWeb"/>
        <w:numPr>
          <w:ilvl w:val="0"/>
          <w:numId w:val="9"/>
        </w:numPr>
        <w:spacing w:line="360" w:lineRule="auto"/>
        <w:jc w:val="both"/>
      </w:pPr>
      <w:r>
        <w:t xml:space="preserve">Kotter, J.P. (1996) </w:t>
      </w:r>
      <w:r>
        <w:rPr>
          <w:rStyle w:val="Emphasis"/>
        </w:rPr>
        <w:t>Leading Change</w:t>
      </w:r>
      <w:r>
        <w:t>. Boston: Harvard Business School Press.</w:t>
      </w:r>
    </w:p>
    <w:p w14:paraId="6DC9EAE2" w14:textId="77777777" w:rsidR="0097610E" w:rsidRDefault="0097610E" w:rsidP="005B59C1">
      <w:pPr>
        <w:pStyle w:val="NormalWeb"/>
        <w:numPr>
          <w:ilvl w:val="0"/>
          <w:numId w:val="9"/>
        </w:numPr>
        <w:spacing w:line="360" w:lineRule="auto"/>
        <w:jc w:val="both"/>
      </w:pPr>
      <w:r>
        <w:t xml:space="preserve">Taylor, M.J., McNicholas, C., Nicolay, C., Darzi, A., Bell, D. &amp; Reed, J.E. (2014) ‘Systematic review of the application of the plan–do–study–act method to improve quality in healthcare’, </w:t>
      </w:r>
      <w:r>
        <w:rPr>
          <w:rStyle w:val="Emphasis"/>
        </w:rPr>
        <w:t>BMJ Quality &amp; Safety</w:t>
      </w:r>
      <w:r>
        <w:t xml:space="preserve">, 23(4), pp. 290–298. </w:t>
      </w:r>
      <w:proofErr w:type="spellStart"/>
      <w:r>
        <w:t>doi</w:t>
      </w:r>
      <w:proofErr w:type="spellEnd"/>
      <w:r>
        <w:t>: 10.1136/bmjqs-2013-001862.</w:t>
      </w:r>
    </w:p>
    <w:p w14:paraId="7644DB48" w14:textId="77777777" w:rsidR="0097610E" w:rsidRDefault="0097610E" w:rsidP="005B59C1">
      <w:pPr>
        <w:pStyle w:val="NormalWeb"/>
        <w:numPr>
          <w:ilvl w:val="0"/>
          <w:numId w:val="9"/>
        </w:numPr>
        <w:spacing w:line="360" w:lineRule="auto"/>
        <w:jc w:val="both"/>
      </w:pPr>
      <w:r>
        <w:t xml:space="preserve">Card, A.J. (2017) ‘The problem with “5 Whys”’, </w:t>
      </w:r>
      <w:r>
        <w:rPr>
          <w:rStyle w:val="Emphasis"/>
        </w:rPr>
        <w:t>BMJ Quality &amp; Safety</w:t>
      </w:r>
      <w:r>
        <w:t xml:space="preserve">, 26(8), pp. 671–677. </w:t>
      </w:r>
      <w:proofErr w:type="spellStart"/>
      <w:r>
        <w:t>doi</w:t>
      </w:r>
      <w:proofErr w:type="spellEnd"/>
      <w:r>
        <w:t>: 10.1136/bmjqs-2016-005849.</w:t>
      </w:r>
    </w:p>
    <w:p w14:paraId="4A9D4AAC" w14:textId="77777777" w:rsidR="0097610E" w:rsidRDefault="0097610E" w:rsidP="005B59C1">
      <w:pPr>
        <w:pStyle w:val="NormalWeb"/>
        <w:numPr>
          <w:ilvl w:val="0"/>
          <w:numId w:val="9"/>
        </w:numPr>
        <w:spacing w:line="360" w:lineRule="auto"/>
        <w:jc w:val="both"/>
      </w:pPr>
      <w:r>
        <w:t xml:space="preserve">Vincent, C. (2010) </w:t>
      </w:r>
      <w:r>
        <w:rPr>
          <w:rStyle w:val="Emphasis"/>
        </w:rPr>
        <w:t>Patient Safety</w:t>
      </w:r>
      <w:r>
        <w:t xml:space="preserve"> (2nd </w:t>
      </w:r>
      <w:proofErr w:type="spellStart"/>
      <w:r>
        <w:t>edn</w:t>
      </w:r>
      <w:proofErr w:type="spellEnd"/>
      <w:r>
        <w:t>). Chichester: Wiley-Blackwell.</w:t>
      </w:r>
    </w:p>
    <w:p w14:paraId="0F468985" w14:textId="77777777" w:rsidR="0097610E" w:rsidRDefault="0097610E" w:rsidP="005B59C1">
      <w:pPr>
        <w:pStyle w:val="NormalWeb"/>
        <w:numPr>
          <w:ilvl w:val="0"/>
          <w:numId w:val="9"/>
        </w:numPr>
        <w:spacing w:line="360" w:lineRule="auto"/>
        <w:jc w:val="both"/>
      </w:pPr>
      <w:r>
        <w:t xml:space="preserve">Vincent, C. &amp; </w:t>
      </w:r>
      <w:proofErr w:type="spellStart"/>
      <w:r>
        <w:t>Amalberti</w:t>
      </w:r>
      <w:proofErr w:type="spellEnd"/>
      <w:r>
        <w:t xml:space="preserve">, R. (2016) </w:t>
      </w:r>
      <w:r>
        <w:rPr>
          <w:rStyle w:val="Emphasis"/>
        </w:rPr>
        <w:t>Safer Healthcare: Strategies for the Real World</w:t>
      </w:r>
      <w:r>
        <w:t>. Cham: Springer.</w:t>
      </w:r>
    </w:p>
    <w:p w14:paraId="20166F69" w14:textId="77777777" w:rsidR="0097610E" w:rsidRDefault="0097610E" w:rsidP="005B59C1">
      <w:pPr>
        <w:pStyle w:val="NormalWeb"/>
        <w:numPr>
          <w:ilvl w:val="0"/>
          <w:numId w:val="9"/>
        </w:numPr>
        <w:spacing w:line="360" w:lineRule="auto"/>
        <w:jc w:val="both"/>
      </w:pPr>
      <w:r>
        <w:t xml:space="preserve">NFPA (2021) </w:t>
      </w:r>
      <w:r>
        <w:rPr>
          <w:rStyle w:val="Emphasis"/>
        </w:rPr>
        <w:t>NFPA 99: Health Care Facilities Code</w:t>
      </w:r>
      <w:r>
        <w:t xml:space="preserve"> (2021 edition). Quincy, MA: National Fire Protection Association. Available at: </w:t>
      </w:r>
      <w:hyperlink r:id="rId11" w:tgtFrame="_new" w:history="1">
        <w:r>
          <w:rPr>
            <w:rStyle w:val="Hyperlink"/>
            <w:rFonts w:eastAsiaTheme="majorEastAsia"/>
          </w:rPr>
          <w:t>https://www.nfpa.org/</w:t>
        </w:r>
      </w:hyperlink>
      <w:r>
        <w:t xml:space="preserve"> (Accessed: 21 Nov 2025).</w:t>
      </w:r>
    </w:p>
    <w:p w14:paraId="17BCDC8C" w14:textId="77777777" w:rsidR="0097610E" w:rsidRDefault="0097610E" w:rsidP="005B59C1">
      <w:pPr>
        <w:pStyle w:val="NormalWeb"/>
        <w:numPr>
          <w:ilvl w:val="0"/>
          <w:numId w:val="9"/>
        </w:numPr>
        <w:spacing w:line="360" w:lineRule="auto"/>
        <w:jc w:val="both"/>
      </w:pPr>
      <w:r>
        <w:t xml:space="preserve">World Health Organization &amp; Pan American Health Organization (2018) </w:t>
      </w:r>
      <w:r>
        <w:rPr>
          <w:rStyle w:val="Emphasis"/>
        </w:rPr>
        <w:t>Hospitals don’t burn! Hospital fire prevention and evacuation guide</w:t>
      </w:r>
      <w:r>
        <w:t xml:space="preserve">. Washington, DC: PAHO/WHO. Available at: </w:t>
      </w:r>
      <w:hyperlink r:id="rId12" w:tgtFrame="_new" w:history="1">
        <w:r>
          <w:rPr>
            <w:rStyle w:val="Hyperlink"/>
            <w:rFonts w:eastAsiaTheme="majorEastAsia"/>
          </w:rPr>
          <w:t>https://iris.paho.org/handle/10665.2/34976</w:t>
        </w:r>
      </w:hyperlink>
      <w:r>
        <w:t xml:space="preserve"> (Accessed: 21 Nov 2025).</w:t>
      </w:r>
    </w:p>
    <w:p w14:paraId="4365B2B0" w14:textId="77777777" w:rsidR="0097610E" w:rsidRDefault="0097610E" w:rsidP="005B59C1">
      <w:pPr>
        <w:pStyle w:val="NormalWeb"/>
        <w:numPr>
          <w:ilvl w:val="0"/>
          <w:numId w:val="9"/>
        </w:numPr>
        <w:spacing w:line="360" w:lineRule="auto"/>
        <w:jc w:val="both"/>
      </w:pPr>
      <w:r>
        <w:t xml:space="preserve">NHS England (2008, updated) </w:t>
      </w:r>
      <w:r>
        <w:rPr>
          <w:rStyle w:val="Emphasis"/>
        </w:rPr>
        <w:t xml:space="preserve">Health Technical Memorandum 05-03: </w:t>
      </w:r>
      <w:proofErr w:type="spellStart"/>
      <w:r>
        <w:rPr>
          <w:rStyle w:val="Emphasis"/>
        </w:rPr>
        <w:t>Firecode</w:t>
      </w:r>
      <w:proofErr w:type="spellEnd"/>
      <w:r>
        <w:rPr>
          <w:rStyle w:val="Emphasis"/>
        </w:rPr>
        <w:t xml:space="preserve"> – Fire safety in the NHS: Operational provisions</w:t>
      </w:r>
      <w:r>
        <w:t xml:space="preserve"> (HTM 05-03). Available at: </w:t>
      </w:r>
      <w:hyperlink r:id="rId13" w:tgtFrame="_new" w:history="1">
        <w:r>
          <w:rPr>
            <w:rStyle w:val="Hyperlink"/>
            <w:rFonts w:eastAsiaTheme="majorEastAsia"/>
          </w:rPr>
          <w:t>https://www.england.nhs.uk/publication/fire-safety-in-the-nhs-health-technical-memorandum-05-03/</w:t>
        </w:r>
      </w:hyperlink>
      <w:r>
        <w:t xml:space="preserve"> (Accessed: 21 Nov 2025).</w:t>
      </w:r>
    </w:p>
    <w:p w14:paraId="2F84DCE2" w14:textId="77777777" w:rsidR="0097610E" w:rsidRDefault="0097610E" w:rsidP="005B59C1">
      <w:pPr>
        <w:pStyle w:val="NormalWeb"/>
        <w:numPr>
          <w:ilvl w:val="0"/>
          <w:numId w:val="9"/>
        </w:numPr>
        <w:spacing w:line="360" w:lineRule="auto"/>
        <w:jc w:val="both"/>
      </w:pPr>
      <w:r>
        <w:t xml:space="preserve">Joint Commission (2023) ‘Sentinel Event Alert 68: Updated surgical fire prevention for the 21st century’ (Sentinel Event Alert). </w:t>
      </w:r>
      <w:r>
        <w:rPr>
          <w:rStyle w:val="Emphasis"/>
        </w:rPr>
        <w:t>Joint Commission Journal on Quality and Patient Safety</w:t>
      </w:r>
      <w:r>
        <w:t xml:space="preserve">, 50(2), </w:t>
      </w:r>
      <w:r>
        <w:lastRenderedPageBreak/>
        <w:t xml:space="preserve">pp. 157–160. </w:t>
      </w:r>
      <w:proofErr w:type="spellStart"/>
      <w:r>
        <w:t>doi</w:t>
      </w:r>
      <w:proofErr w:type="spellEnd"/>
      <w:r>
        <w:t>: 10.1016/j.jcjq.2023.10.003. (Sentinel alert available via Joint Commission website.) (Accessed: 21 Nov 2025).</w:t>
      </w:r>
    </w:p>
    <w:p w14:paraId="171AA6DE" w14:textId="77777777" w:rsidR="0097610E" w:rsidRDefault="0097610E" w:rsidP="005B59C1">
      <w:pPr>
        <w:pStyle w:val="NormalWeb"/>
        <w:numPr>
          <w:ilvl w:val="0"/>
          <w:numId w:val="9"/>
        </w:numPr>
        <w:spacing w:line="360" w:lineRule="auto"/>
        <w:jc w:val="both"/>
      </w:pPr>
      <w:r>
        <w:t xml:space="preserve">FEMA / US Fire Administration (2016) ‘Data snapshot: Hospital fires (2012–2014)’. USFA. Available at: </w:t>
      </w:r>
      <w:hyperlink r:id="rId14" w:tgtFrame="_new" w:history="1">
        <w:r>
          <w:rPr>
            <w:rStyle w:val="Hyperlink"/>
            <w:rFonts w:eastAsiaTheme="majorEastAsia"/>
          </w:rPr>
          <w:t>https://www.usfa.fema.gov/statistics/reports/where-fires-occur/snapshot-hospital.html</w:t>
        </w:r>
      </w:hyperlink>
      <w:r>
        <w:t xml:space="preserve"> (Accessed: 21 Nov 2025).</w:t>
      </w:r>
    </w:p>
    <w:p w14:paraId="7480412D" w14:textId="7FA44690" w:rsidR="0097610E" w:rsidRDefault="0097610E" w:rsidP="005B59C1">
      <w:pPr>
        <w:pStyle w:val="NormalWeb"/>
        <w:numPr>
          <w:ilvl w:val="0"/>
          <w:numId w:val="9"/>
        </w:numPr>
        <w:spacing w:line="360" w:lineRule="auto"/>
        <w:jc w:val="both"/>
      </w:pPr>
      <w:r>
        <w:t xml:space="preserve">Wood, M.H., Fennell, D.A. &amp; Brammer, K. (2021) ‘Reducing the risk of oxygen-related fires and explosions in hospitals treating COVID-19 patients’, </w:t>
      </w:r>
      <w:r>
        <w:rPr>
          <w:rStyle w:val="Emphasis"/>
        </w:rPr>
        <w:t>Journal of Clinical Risk Management</w:t>
      </w:r>
      <w:r>
        <w:t xml:space="preserve"> (open access discussion including PAHO/WHO references). Available at: </w:t>
      </w:r>
      <w:hyperlink r:id="rId15" w:history="1">
        <w:r w:rsidR="00830CB9" w:rsidRPr="004C4697">
          <w:rPr>
            <w:rStyle w:val="Hyperlink"/>
          </w:rPr>
          <w:t>https://www.ncbi.nlm.nih.gov/pmc/articles/PMC8223129/</w:t>
        </w:r>
      </w:hyperlink>
      <w:r w:rsidR="00830CB9">
        <w:t xml:space="preserve"> </w:t>
      </w:r>
      <w:r>
        <w:t xml:space="preserve"> (Accessed: 21 Nov 2025).</w:t>
      </w:r>
    </w:p>
    <w:p w14:paraId="775153D4" w14:textId="77777777" w:rsidR="0097610E" w:rsidRDefault="0097610E" w:rsidP="005B59C1">
      <w:pPr>
        <w:pStyle w:val="NormalWeb"/>
        <w:numPr>
          <w:ilvl w:val="0"/>
          <w:numId w:val="9"/>
        </w:numPr>
        <w:spacing w:line="360" w:lineRule="auto"/>
        <w:jc w:val="both"/>
      </w:pPr>
      <w:proofErr w:type="spellStart"/>
      <w:r>
        <w:t>Vaismoradi</w:t>
      </w:r>
      <w:proofErr w:type="spellEnd"/>
      <w:r>
        <w:t xml:space="preserve">, M., </w:t>
      </w:r>
      <w:proofErr w:type="spellStart"/>
      <w:r>
        <w:t>Tella</w:t>
      </w:r>
      <w:proofErr w:type="spellEnd"/>
      <w:r>
        <w:t xml:space="preserve">, S., Logan, P., </w:t>
      </w:r>
      <w:proofErr w:type="spellStart"/>
      <w:r>
        <w:t>Khakurel</w:t>
      </w:r>
      <w:proofErr w:type="spellEnd"/>
      <w:r>
        <w:t xml:space="preserve">, J. &amp; Vizcaya-Moreno, F. (2020) ‘Nurses’ adherence to patient safety principles: systematic review’, </w:t>
      </w:r>
      <w:r>
        <w:rPr>
          <w:rStyle w:val="Emphasis"/>
        </w:rPr>
        <w:t>International Journal of Environmental Research and Public Health</w:t>
      </w:r>
      <w:r>
        <w:t xml:space="preserve">, 17(6), 2028. </w:t>
      </w:r>
      <w:proofErr w:type="spellStart"/>
      <w:r>
        <w:t>doi</w:t>
      </w:r>
      <w:proofErr w:type="spellEnd"/>
      <w:r>
        <w:t>: 10.3390/ijerph17062028.</w:t>
      </w:r>
    </w:p>
    <w:p w14:paraId="0609EF38" w14:textId="02B15ABF" w:rsidR="0097610E" w:rsidRDefault="0097610E" w:rsidP="005B59C1">
      <w:pPr>
        <w:pStyle w:val="NormalWeb"/>
        <w:numPr>
          <w:ilvl w:val="0"/>
          <w:numId w:val="9"/>
        </w:numPr>
        <w:spacing w:line="360" w:lineRule="auto"/>
        <w:jc w:val="both"/>
      </w:pPr>
      <w:r>
        <w:t xml:space="preserve">Rosen, M.A., </w:t>
      </w:r>
      <w:proofErr w:type="spellStart"/>
      <w:r>
        <w:t>DiazGranados</w:t>
      </w:r>
      <w:proofErr w:type="spellEnd"/>
      <w:r>
        <w:t xml:space="preserve">, D., Dietz, A.S., Benishek, L.E., Thompson, D., Pronovost, P.J., Weaver, S.J. &amp; Salas, E. (2018) ‘Teamwork in healthcare: key discoveries enabling safer, high-quality care’, </w:t>
      </w:r>
      <w:r>
        <w:rPr>
          <w:rStyle w:val="Emphasis"/>
        </w:rPr>
        <w:t>BMJ Quality &amp; Safety</w:t>
      </w:r>
      <w:r>
        <w:t xml:space="preserve">, 27(5), pp. 418–423. </w:t>
      </w:r>
      <w:proofErr w:type="spellStart"/>
      <w:r>
        <w:t>doi</w:t>
      </w:r>
      <w:proofErr w:type="spellEnd"/>
      <w:r>
        <w:t>: 10.1136/bmjqs-2017-007627.</w:t>
      </w:r>
      <w:r w:rsidR="00830CB9">
        <w:t xml:space="preserve"> </w:t>
      </w:r>
    </w:p>
    <w:p w14:paraId="462AECEB" w14:textId="77777777" w:rsidR="0097610E" w:rsidRDefault="0097610E" w:rsidP="005B59C1">
      <w:pPr>
        <w:pStyle w:val="NormalWeb"/>
        <w:numPr>
          <w:ilvl w:val="0"/>
          <w:numId w:val="9"/>
        </w:numPr>
        <w:spacing w:line="360" w:lineRule="auto"/>
        <w:jc w:val="both"/>
      </w:pPr>
      <w:proofErr w:type="spellStart"/>
      <w:r>
        <w:t>Manser</w:t>
      </w:r>
      <w:proofErr w:type="spellEnd"/>
      <w:r>
        <w:t xml:space="preserve">, T. (2009) ‘Teamwork and patient safety in dynamic domains of healthcare: a review of the literature’, </w:t>
      </w:r>
      <w:r>
        <w:rPr>
          <w:rStyle w:val="Emphasis"/>
        </w:rPr>
        <w:t>Safety Science</w:t>
      </w:r>
      <w:r>
        <w:t xml:space="preserve">, 47(10), pp. 1158–1167. </w:t>
      </w:r>
      <w:proofErr w:type="spellStart"/>
      <w:r>
        <w:t>doi</w:t>
      </w:r>
      <w:proofErr w:type="spellEnd"/>
      <w:r>
        <w:t>: 10.1016/j.ssci.2009.05.009.</w:t>
      </w:r>
    </w:p>
    <w:p w14:paraId="77CFC856" w14:textId="77777777" w:rsidR="0097610E" w:rsidRDefault="0097610E" w:rsidP="005B59C1">
      <w:pPr>
        <w:pStyle w:val="NormalWeb"/>
        <w:numPr>
          <w:ilvl w:val="0"/>
          <w:numId w:val="9"/>
        </w:numPr>
        <w:spacing w:line="360" w:lineRule="auto"/>
        <w:jc w:val="both"/>
      </w:pPr>
      <w:proofErr w:type="spellStart"/>
      <w:r>
        <w:t>Buljac</w:t>
      </w:r>
      <w:proofErr w:type="spellEnd"/>
      <w:r>
        <w:t xml:space="preserve">-Samardzic, M., Dekker-van </w:t>
      </w:r>
      <w:proofErr w:type="spellStart"/>
      <w:r>
        <w:t>Doorn</w:t>
      </w:r>
      <w:proofErr w:type="spellEnd"/>
      <w:r>
        <w:t xml:space="preserve">, C.M., van </w:t>
      </w:r>
      <w:proofErr w:type="spellStart"/>
      <w:r>
        <w:t>Wijngaarden</w:t>
      </w:r>
      <w:proofErr w:type="spellEnd"/>
      <w:r>
        <w:t xml:space="preserve">, J.D.H. &amp; van </w:t>
      </w:r>
      <w:proofErr w:type="spellStart"/>
      <w:r>
        <w:t>Wijk</w:t>
      </w:r>
      <w:proofErr w:type="spellEnd"/>
      <w:r>
        <w:t xml:space="preserve">, K. (2020) ‘Interventions to improve team effectiveness within health care: a systematic review of the past decade’, </w:t>
      </w:r>
      <w:r>
        <w:rPr>
          <w:rStyle w:val="Emphasis"/>
        </w:rPr>
        <w:t>Human Resources for Health</w:t>
      </w:r>
      <w:r>
        <w:t xml:space="preserve">, 18, 20. </w:t>
      </w:r>
      <w:proofErr w:type="spellStart"/>
      <w:r>
        <w:t>doi</w:t>
      </w:r>
      <w:proofErr w:type="spellEnd"/>
      <w:r>
        <w:t>: 10.1186/s12960-020-00485-4.</w:t>
      </w:r>
    </w:p>
    <w:p w14:paraId="79458AB1" w14:textId="77777777" w:rsidR="0097610E" w:rsidRDefault="0097610E" w:rsidP="005B59C1">
      <w:pPr>
        <w:pStyle w:val="NormalWeb"/>
        <w:numPr>
          <w:ilvl w:val="0"/>
          <w:numId w:val="9"/>
        </w:numPr>
        <w:spacing w:line="360" w:lineRule="auto"/>
        <w:jc w:val="both"/>
      </w:pPr>
      <w:proofErr w:type="spellStart"/>
      <w:r>
        <w:t>Gurses</w:t>
      </w:r>
      <w:proofErr w:type="spellEnd"/>
      <w:r>
        <w:t xml:space="preserve">, A.P., </w:t>
      </w:r>
      <w:proofErr w:type="spellStart"/>
      <w:r>
        <w:t>Ozok</w:t>
      </w:r>
      <w:proofErr w:type="spellEnd"/>
      <w:r>
        <w:t xml:space="preserve">, A.A. &amp; Pronovost, P.J. (2012) ‘Time to accelerate integration of human factors and ergonomics in patient safety’, </w:t>
      </w:r>
      <w:r>
        <w:rPr>
          <w:rStyle w:val="Emphasis"/>
        </w:rPr>
        <w:t>BMJ Quality &amp; Safety</w:t>
      </w:r>
      <w:r>
        <w:t xml:space="preserve">, 21(4), pp. 347–351. </w:t>
      </w:r>
      <w:proofErr w:type="spellStart"/>
      <w:r>
        <w:t>doi</w:t>
      </w:r>
      <w:proofErr w:type="spellEnd"/>
      <w:r>
        <w:t>: 10.1136/bmjqs-2011-000421.</w:t>
      </w:r>
    </w:p>
    <w:p w14:paraId="7BE6A773" w14:textId="77777777" w:rsidR="0097610E" w:rsidRDefault="0097610E" w:rsidP="005B59C1">
      <w:pPr>
        <w:pStyle w:val="NormalWeb"/>
        <w:numPr>
          <w:ilvl w:val="0"/>
          <w:numId w:val="9"/>
        </w:numPr>
        <w:spacing w:line="360" w:lineRule="auto"/>
        <w:jc w:val="both"/>
      </w:pPr>
      <w:r>
        <w:t xml:space="preserve">Taylor, J. (1994) </w:t>
      </w:r>
      <w:r>
        <w:rPr>
          <w:rStyle w:val="Emphasis"/>
        </w:rPr>
        <w:t>The New Economics for Industry, Government, Education</w:t>
      </w:r>
      <w:r>
        <w:t xml:space="preserve">. 2nd </w:t>
      </w:r>
      <w:proofErr w:type="spellStart"/>
      <w:r>
        <w:t>edn</w:t>
      </w:r>
      <w:proofErr w:type="spellEnd"/>
      <w:r>
        <w:t>. Cambridge, MA: MIT Press. (Deming’s methods and PDCA/PDSA background).</w:t>
      </w:r>
    </w:p>
    <w:p w14:paraId="5AB2F06B" w14:textId="77777777" w:rsidR="0097610E" w:rsidRDefault="0097610E" w:rsidP="005B59C1">
      <w:pPr>
        <w:pStyle w:val="NormalWeb"/>
        <w:numPr>
          <w:ilvl w:val="0"/>
          <w:numId w:val="9"/>
        </w:numPr>
        <w:spacing w:line="360" w:lineRule="auto"/>
        <w:jc w:val="both"/>
      </w:pPr>
      <w:r>
        <w:t xml:space="preserve">HSE (Health and Safety Executive) (2006, updated) ‘Fire safety risk assessment: healthcare premises’ (GOV.UK guidance). Available at: </w:t>
      </w:r>
      <w:hyperlink r:id="rId16" w:tgtFrame="_new" w:history="1">
        <w:r>
          <w:rPr>
            <w:rStyle w:val="Hyperlink"/>
            <w:rFonts w:eastAsiaTheme="majorEastAsia"/>
          </w:rPr>
          <w:t>https://www.gov.uk/government/publications/fire-safety-risk-assessment-healthcare-premises</w:t>
        </w:r>
      </w:hyperlink>
      <w:r>
        <w:t xml:space="preserve"> (Accessed: 21 Nov 2025).</w:t>
      </w:r>
    </w:p>
    <w:p w14:paraId="1DBE2CA3" w14:textId="77777777" w:rsidR="0097610E" w:rsidRDefault="0097610E" w:rsidP="005B59C1">
      <w:pPr>
        <w:pStyle w:val="NormalWeb"/>
        <w:numPr>
          <w:ilvl w:val="0"/>
          <w:numId w:val="9"/>
        </w:numPr>
        <w:spacing w:line="360" w:lineRule="auto"/>
        <w:jc w:val="both"/>
      </w:pPr>
      <w:r>
        <w:t xml:space="preserve">Health Information and Quality Authority (HIQA) (2020) </w:t>
      </w:r>
      <w:r>
        <w:rPr>
          <w:rStyle w:val="Emphasis"/>
        </w:rPr>
        <w:t>Fire Safety Handbook: A guide for providers and staff of designated centres</w:t>
      </w:r>
      <w:r>
        <w:t xml:space="preserve">. Dublin: HIQA. Available at: </w:t>
      </w:r>
      <w:hyperlink r:id="rId17" w:tgtFrame="_new" w:history="1">
        <w:r>
          <w:rPr>
            <w:rStyle w:val="Hyperlink"/>
            <w:rFonts w:eastAsiaTheme="majorEastAsia"/>
          </w:rPr>
          <w:t>https://www.hiqa.ie/sites/default/files/2021-01/Fire-Safety-Handbook-a-guide-for-providers-and-staff-of-designated-centres.pdf</w:t>
        </w:r>
      </w:hyperlink>
      <w:r>
        <w:t xml:space="preserve"> (Accessed: 21 Nov 2025).</w:t>
      </w:r>
    </w:p>
    <w:p w14:paraId="23C3350B" w14:textId="77777777" w:rsidR="0097610E" w:rsidRDefault="0097610E" w:rsidP="005B59C1">
      <w:pPr>
        <w:pStyle w:val="NormalWeb"/>
        <w:numPr>
          <w:ilvl w:val="0"/>
          <w:numId w:val="9"/>
        </w:numPr>
        <w:spacing w:line="360" w:lineRule="auto"/>
        <w:jc w:val="both"/>
      </w:pPr>
      <w:r>
        <w:t xml:space="preserve">Murphy, S. &amp; Foot, C. (2011) ‘Lessons from five London hospital fires: challenges for preparedness and response’, </w:t>
      </w:r>
      <w:r>
        <w:rPr>
          <w:rStyle w:val="Emphasis"/>
        </w:rPr>
        <w:t>Journal of Emergency Management and Safety</w:t>
      </w:r>
      <w:r>
        <w:t>, (case review; available in literature citing hospital fires) — see summary analyses referencing ICU vulnerability (referenced in PAHO/WHO Hospitals Don’t Burn guide).</w:t>
      </w:r>
    </w:p>
    <w:p w14:paraId="12D6B9F2" w14:textId="77777777" w:rsidR="0097610E" w:rsidRDefault="0097610E" w:rsidP="005B59C1">
      <w:pPr>
        <w:pStyle w:val="NormalWeb"/>
        <w:numPr>
          <w:ilvl w:val="0"/>
          <w:numId w:val="9"/>
        </w:numPr>
        <w:spacing w:line="360" w:lineRule="auto"/>
        <w:jc w:val="both"/>
      </w:pPr>
      <w:r>
        <w:t xml:space="preserve">Kwak, J., Lees, M.M., </w:t>
      </w:r>
      <w:proofErr w:type="spellStart"/>
      <w:r>
        <w:t>Pourghaderi</w:t>
      </w:r>
      <w:proofErr w:type="spellEnd"/>
      <w:r>
        <w:t xml:space="preserve">, A.R., et al. (2020) ‘Estimating horizontal movement performance of patient beds and the impact on emergency evacuation time’, </w:t>
      </w:r>
      <w:proofErr w:type="spellStart"/>
      <w:r>
        <w:t>arXiv</w:t>
      </w:r>
      <w:proofErr w:type="spellEnd"/>
      <w:r>
        <w:t xml:space="preserve"> preprint. Available at: </w:t>
      </w:r>
      <w:hyperlink r:id="rId18" w:tgtFrame="_new" w:history="1">
        <w:r>
          <w:rPr>
            <w:rStyle w:val="Hyperlink"/>
            <w:rFonts w:eastAsiaTheme="majorEastAsia"/>
          </w:rPr>
          <w:t>https://arxiv.org/abs/2006.02169</w:t>
        </w:r>
      </w:hyperlink>
      <w:r>
        <w:t xml:space="preserve"> (Accessed: 21 Nov 2025).</w:t>
      </w:r>
    </w:p>
    <w:p w14:paraId="52A82F50" w14:textId="77777777" w:rsidR="0097610E" w:rsidRDefault="0097610E" w:rsidP="005B59C1">
      <w:pPr>
        <w:pStyle w:val="NormalWeb"/>
        <w:numPr>
          <w:ilvl w:val="0"/>
          <w:numId w:val="9"/>
        </w:numPr>
        <w:spacing w:line="360" w:lineRule="auto"/>
        <w:jc w:val="both"/>
      </w:pPr>
      <w:r>
        <w:t xml:space="preserve">Shaw, E., Roper, T., Nilsson, T., Lawson, G., Cobb, S.V.G. &amp; Miller, D. (2019) ‘The heat is on: exploring user behaviour in a multisensory virtual environment for fire evacuation’, </w:t>
      </w:r>
      <w:proofErr w:type="spellStart"/>
      <w:r>
        <w:t>arXiv</w:t>
      </w:r>
      <w:proofErr w:type="spellEnd"/>
      <w:r>
        <w:t xml:space="preserve"> preprint. Available at: </w:t>
      </w:r>
      <w:hyperlink r:id="rId19" w:tgtFrame="_new" w:history="1">
        <w:r>
          <w:rPr>
            <w:rStyle w:val="Hyperlink"/>
            <w:rFonts w:eastAsiaTheme="majorEastAsia"/>
          </w:rPr>
          <w:t>https://arxiv.org/abs/1902.04573</w:t>
        </w:r>
      </w:hyperlink>
      <w:r>
        <w:t xml:space="preserve"> (Accessed: 21 Nov 2025).</w:t>
      </w:r>
    </w:p>
    <w:p w14:paraId="192BE4F5" w14:textId="77777777" w:rsidR="0097610E" w:rsidRDefault="0097610E" w:rsidP="005B59C1">
      <w:pPr>
        <w:pStyle w:val="NormalWeb"/>
        <w:numPr>
          <w:ilvl w:val="0"/>
          <w:numId w:val="9"/>
        </w:numPr>
        <w:spacing w:line="360" w:lineRule="auto"/>
        <w:jc w:val="both"/>
      </w:pPr>
      <w:r>
        <w:t xml:space="preserve">Li, H., et al. (2023) ‘Effectiveness of small private online course (SPOC) combined with simulation-based training in patient safety education’, </w:t>
      </w:r>
      <w:proofErr w:type="spellStart"/>
      <w:r>
        <w:rPr>
          <w:rStyle w:val="Emphasis"/>
        </w:rPr>
        <w:t>Heliyon</w:t>
      </w:r>
      <w:proofErr w:type="spellEnd"/>
      <w:r>
        <w:rPr>
          <w:rStyle w:val="Emphasis"/>
        </w:rPr>
        <w:t xml:space="preserve"> / ScienceDirect</w:t>
      </w:r>
      <w:r>
        <w:t xml:space="preserve"> (2023 study on blended simulation and online learning) — see: </w:t>
      </w:r>
      <w:hyperlink r:id="rId20" w:tgtFrame="_new" w:history="1">
        <w:r>
          <w:rPr>
            <w:rStyle w:val="Hyperlink"/>
            <w:rFonts w:eastAsiaTheme="majorEastAsia"/>
          </w:rPr>
          <w:t>https://www.sciencedirect.com/</w:t>
        </w:r>
      </w:hyperlink>
      <w:r>
        <w:t xml:space="preserve"> (specific article available) (Accessed: 21 Nov 2025).</w:t>
      </w:r>
    </w:p>
    <w:p w14:paraId="43FB5D20" w14:textId="77777777" w:rsidR="0097610E" w:rsidRDefault="0097610E" w:rsidP="005B59C1">
      <w:pPr>
        <w:pStyle w:val="NormalWeb"/>
        <w:numPr>
          <w:ilvl w:val="0"/>
          <w:numId w:val="9"/>
        </w:numPr>
        <w:spacing w:line="360" w:lineRule="auto"/>
        <w:jc w:val="both"/>
      </w:pPr>
      <w:proofErr w:type="spellStart"/>
      <w:r>
        <w:t>Mahou</w:t>
      </w:r>
      <w:proofErr w:type="spellEnd"/>
      <w:r>
        <w:t xml:space="preserve">, F.Z., et al. (2024) ‘The effects of screen-based simulation on nursing students’ competence: randomized study’, </w:t>
      </w:r>
      <w:r>
        <w:rPr>
          <w:rStyle w:val="Emphasis"/>
        </w:rPr>
        <w:t>BMC Nursing</w:t>
      </w:r>
      <w:r>
        <w:t xml:space="preserve">, 23, 2024. Available at: </w:t>
      </w:r>
      <w:hyperlink r:id="rId21" w:tgtFrame="_new" w:history="1">
        <w:r>
          <w:rPr>
            <w:rStyle w:val="Hyperlink"/>
            <w:rFonts w:eastAsiaTheme="majorEastAsia"/>
          </w:rPr>
          <w:t>https://bmcnurs.biomedcentral.com/articles/10.1186/s12912-024-02436-4</w:t>
        </w:r>
      </w:hyperlink>
      <w:r>
        <w:t xml:space="preserve"> (Accessed: 21 Nov 2025).</w:t>
      </w:r>
    </w:p>
    <w:p w14:paraId="1D307177" w14:textId="77777777" w:rsidR="0097610E" w:rsidRDefault="0097610E" w:rsidP="005B59C1">
      <w:pPr>
        <w:pStyle w:val="NormalWeb"/>
        <w:numPr>
          <w:ilvl w:val="0"/>
          <w:numId w:val="9"/>
        </w:numPr>
        <w:spacing w:line="360" w:lineRule="auto"/>
        <w:jc w:val="both"/>
      </w:pPr>
      <w:r>
        <w:t xml:space="preserve">PAHO/WHO (2018) </w:t>
      </w:r>
      <w:r>
        <w:rPr>
          <w:rStyle w:val="Emphasis"/>
        </w:rPr>
        <w:t xml:space="preserve">Hospitals Don’t </w:t>
      </w:r>
      <w:proofErr w:type="gramStart"/>
      <w:r>
        <w:rPr>
          <w:rStyle w:val="Emphasis"/>
        </w:rPr>
        <w:t>Burn!:</w:t>
      </w:r>
      <w:proofErr w:type="gramEnd"/>
      <w:r>
        <w:rPr>
          <w:rStyle w:val="Emphasis"/>
        </w:rPr>
        <w:t xml:space="preserve"> Hospital fire prevention and evacuation guide</w:t>
      </w:r>
      <w:r>
        <w:t xml:space="preserve"> (repeat as authoritative guidance) — use for prevention, suppression and evacuation sections. Available at: </w:t>
      </w:r>
      <w:hyperlink r:id="rId22" w:tgtFrame="_new" w:history="1">
        <w:r>
          <w:rPr>
            <w:rStyle w:val="Hyperlink"/>
            <w:rFonts w:eastAsiaTheme="majorEastAsia"/>
          </w:rPr>
          <w:t>https://iris.paho.org/handle/10665.2/34976</w:t>
        </w:r>
      </w:hyperlink>
      <w:r>
        <w:t xml:space="preserve"> (Accessed: 21 Nov 2025).</w:t>
      </w:r>
    </w:p>
    <w:p w14:paraId="667D97BA" w14:textId="77777777" w:rsidR="0097610E" w:rsidRDefault="0097610E" w:rsidP="005B59C1">
      <w:pPr>
        <w:pStyle w:val="NormalWeb"/>
        <w:numPr>
          <w:ilvl w:val="0"/>
          <w:numId w:val="9"/>
        </w:numPr>
        <w:spacing w:line="360" w:lineRule="auto"/>
        <w:jc w:val="both"/>
      </w:pPr>
      <w:r>
        <w:t xml:space="preserve">Joint Commission </w:t>
      </w:r>
      <w:proofErr w:type="spellStart"/>
      <w:r>
        <w:t>Center</w:t>
      </w:r>
      <w:proofErr w:type="spellEnd"/>
      <w:r>
        <w:t xml:space="preserve"> for Transforming Healthcare (2015) ‘Improving fire safety in health care facilities: lessons learned’ — Joint Commission resources and reports on environment-of-care fire protection. Available at: </w:t>
      </w:r>
      <w:hyperlink r:id="rId23" w:tgtFrame="_new" w:history="1">
        <w:r>
          <w:rPr>
            <w:rStyle w:val="Hyperlink"/>
            <w:rFonts w:eastAsiaTheme="majorEastAsia"/>
          </w:rPr>
          <w:t>https://www.jointcommission.org/</w:t>
        </w:r>
      </w:hyperlink>
      <w:r>
        <w:t xml:space="preserve"> (Accessed: 21 Nov 2025).</w:t>
      </w:r>
    </w:p>
    <w:p w14:paraId="7B32AEEE" w14:textId="77777777" w:rsidR="0097610E" w:rsidRDefault="0097610E" w:rsidP="005B59C1">
      <w:pPr>
        <w:pStyle w:val="NormalWeb"/>
        <w:numPr>
          <w:ilvl w:val="0"/>
          <w:numId w:val="9"/>
        </w:numPr>
        <w:spacing w:line="360" w:lineRule="auto"/>
        <w:jc w:val="both"/>
      </w:pPr>
      <w:r>
        <w:t xml:space="preserve">NFPA (2021) </w:t>
      </w:r>
      <w:r>
        <w:rPr>
          <w:rStyle w:val="Emphasis"/>
        </w:rPr>
        <w:t>NFPA 101®: Life Safety Code®</w:t>
      </w:r>
      <w:r>
        <w:t xml:space="preserve"> and </w:t>
      </w:r>
      <w:r>
        <w:rPr>
          <w:rStyle w:val="Emphasis"/>
        </w:rPr>
        <w:t>NFPA 99: Health Care Facilities Code</w:t>
      </w:r>
      <w:r>
        <w:t xml:space="preserve"> (standards referenced frequently in hospital fire safety literature). Available at: </w:t>
      </w:r>
      <w:hyperlink r:id="rId24" w:tgtFrame="_new" w:history="1">
        <w:r>
          <w:rPr>
            <w:rStyle w:val="Hyperlink"/>
            <w:rFonts w:eastAsiaTheme="majorEastAsia"/>
          </w:rPr>
          <w:t>https://www.nfpa.org/</w:t>
        </w:r>
      </w:hyperlink>
      <w:r>
        <w:t xml:space="preserve"> (Accessed: 21 Nov 2025).</w:t>
      </w:r>
    </w:p>
    <w:p w14:paraId="626DE409" w14:textId="77777777" w:rsidR="0097610E" w:rsidRDefault="0097610E" w:rsidP="005B59C1">
      <w:pPr>
        <w:pStyle w:val="NormalWeb"/>
        <w:numPr>
          <w:ilvl w:val="0"/>
          <w:numId w:val="9"/>
        </w:numPr>
        <w:spacing w:line="360" w:lineRule="auto"/>
        <w:jc w:val="both"/>
      </w:pPr>
      <w:r>
        <w:lastRenderedPageBreak/>
        <w:t xml:space="preserve">ECRI Institute (2020) ‘Top 10 Health Technology Hazards’ (includes risks from oxygen enrichment and electrical hazards in hospitals). Available at: </w:t>
      </w:r>
      <w:hyperlink r:id="rId25" w:tgtFrame="_new" w:history="1">
        <w:r>
          <w:rPr>
            <w:rStyle w:val="Hyperlink"/>
            <w:rFonts w:eastAsiaTheme="majorEastAsia"/>
          </w:rPr>
          <w:t>https://www.ecri.org/</w:t>
        </w:r>
      </w:hyperlink>
      <w:r>
        <w:t xml:space="preserve"> (Accessed: 21 Nov 2025).</w:t>
      </w:r>
    </w:p>
    <w:p w14:paraId="2CD2059D" w14:textId="77777777" w:rsidR="0097610E" w:rsidRDefault="0097610E" w:rsidP="005B59C1">
      <w:pPr>
        <w:pStyle w:val="NormalWeb"/>
        <w:numPr>
          <w:ilvl w:val="0"/>
          <w:numId w:val="9"/>
        </w:numPr>
        <w:spacing w:line="360" w:lineRule="auto"/>
        <w:jc w:val="both"/>
      </w:pPr>
      <w:r>
        <w:t xml:space="preserve">Womack, J.P. &amp; Jones, D.T. (1996) </w:t>
      </w:r>
      <w:r>
        <w:rPr>
          <w:rStyle w:val="Emphasis"/>
        </w:rPr>
        <w:t>Lean Thinking: Banish Waste and Create Wealth in Your Corporation</w:t>
      </w:r>
      <w:r>
        <w:t>. New York: Free Press. (Use for referencing Lean methodology).</w:t>
      </w:r>
    </w:p>
    <w:p w14:paraId="102E116F" w14:textId="77777777" w:rsidR="0097610E" w:rsidRDefault="0097610E" w:rsidP="005B59C1">
      <w:pPr>
        <w:pStyle w:val="NormalWeb"/>
        <w:numPr>
          <w:ilvl w:val="0"/>
          <w:numId w:val="9"/>
        </w:numPr>
        <w:spacing w:line="360" w:lineRule="auto"/>
        <w:jc w:val="both"/>
      </w:pPr>
      <w:r>
        <w:t xml:space="preserve">George, M.L., Rowlands, D., Price, M. &amp; Maxey, J. (2003) </w:t>
      </w:r>
      <w:r>
        <w:rPr>
          <w:rStyle w:val="Emphasis"/>
        </w:rPr>
        <w:t>Lean Six Sigma: Combining Six Sigma Quality with Lean Production Speed</w:t>
      </w:r>
      <w:r>
        <w:t>. New York: McGraw-Hill. (Use for Six Sigma/Lean methodology references).</w:t>
      </w:r>
    </w:p>
    <w:p w14:paraId="6A9F02BF" w14:textId="77777777" w:rsidR="0097610E" w:rsidRDefault="0097610E" w:rsidP="005B59C1">
      <w:pPr>
        <w:jc w:val="both"/>
      </w:pPr>
    </w:p>
    <w:p w14:paraId="7FE08BAA" w14:textId="645B06AC" w:rsidR="00A475B7" w:rsidRDefault="00A475B7" w:rsidP="005B59C1">
      <w:pPr>
        <w:jc w:val="both"/>
      </w:pPr>
    </w:p>
    <w:p w14:paraId="131BCF86" w14:textId="2CF515C2" w:rsidR="00A475B7" w:rsidRDefault="00A475B7" w:rsidP="005B59C1">
      <w:pPr>
        <w:jc w:val="both"/>
      </w:pPr>
    </w:p>
    <w:p w14:paraId="5150714B" w14:textId="16171E78" w:rsidR="00A475B7" w:rsidRDefault="00A475B7" w:rsidP="005B59C1">
      <w:pPr>
        <w:jc w:val="both"/>
      </w:pPr>
    </w:p>
    <w:p w14:paraId="0FF89B5E" w14:textId="4F6D1A59" w:rsidR="00A475B7" w:rsidRDefault="00A475B7" w:rsidP="005B59C1">
      <w:pPr>
        <w:jc w:val="both"/>
      </w:pPr>
    </w:p>
    <w:p w14:paraId="2798A0D3" w14:textId="255E85FC" w:rsidR="00A475B7" w:rsidRDefault="00A475B7" w:rsidP="005B59C1">
      <w:pPr>
        <w:jc w:val="both"/>
      </w:pPr>
    </w:p>
    <w:p w14:paraId="3646EB64" w14:textId="59C122CF" w:rsidR="00A475B7" w:rsidRDefault="00A475B7" w:rsidP="005B59C1">
      <w:pPr>
        <w:jc w:val="both"/>
      </w:pPr>
    </w:p>
    <w:p w14:paraId="616143FA" w14:textId="6B79B36C" w:rsidR="00A475B7" w:rsidRDefault="00A475B7" w:rsidP="005B59C1">
      <w:pPr>
        <w:jc w:val="both"/>
      </w:pPr>
    </w:p>
    <w:p w14:paraId="36E51BC3" w14:textId="0E66E67A" w:rsidR="00A475B7" w:rsidRDefault="00A475B7" w:rsidP="005B59C1">
      <w:pPr>
        <w:jc w:val="both"/>
      </w:pPr>
    </w:p>
    <w:p w14:paraId="1CA4999C" w14:textId="71A5AD7E" w:rsidR="00A475B7" w:rsidRDefault="00A475B7" w:rsidP="005B59C1">
      <w:pPr>
        <w:jc w:val="both"/>
      </w:pPr>
    </w:p>
    <w:p w14:paraId="7BFDA0F9" w14:textId="4C15675E" w:rsidR="00A475B7" w:rsidRDefault="00A475B7" w:rsidP="005B59C1">
      <w:pPr>
        <w:jc w:val="both"/>
      </w:pPr>
    </w:p>
    <w:p w14:paraId="6C2B652D" w14:textId="57D55BFE" w:rsidR="00A475B7" w:rsidRDefault="00A475B7" w:rsidP="005B59C1">
      <w:pPr>
        <w:jc w:val="both"/>
      </w:pPr>
    </w:p>
    <w:p w14:paraId="2F3707CD" w14:textId="6D3305DB" w:rsidR="00A475B7" w:rsidRDefault="00A475B7" w:rsidP="005B59C1">
      <w:pPr>
        <w:jc w:val="both"/>
      </w:pPr>
    </w:p>
    <w:p w14:paraId="489BFFB2" w14:textId="23AD3977" w:rsidR="00A475B7" w:rsidRDefault="00A475B7" w:rsidP="005B59C1">
      <w:pPr>
        <w:jc w:val="both"/>
      </w:pPr>
    </w:p>
    <w:p w14:paraId="01724815" w14:textId="38D73CFA" w:rsidR="0021712E" w:rsidRDefault="0021712E" w:rsidP="0021712E"/>
    <w:p w14:paraId="42ECA860" w14:textId="77777777" w:rsidR="00A475B7" w:rsidRPr="00D70D02" w:rsidRDefault="00A475B7" w:rsidP="005B59C1">
      <w:pPr>
        <w:jc w:val="both"/>
      </w:pPr>
    </w:p>
    <w:sectPr w:rsidR="00A475B7" w:rsidRPr="00D70D02" w:rsidSect="00DF027C">
      <w:headerReference w:type="default" r:id="rId26"/>
      <w:footerReference w:type="default" r:id="rId27"/>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E1BAF4" w14:textId="77777777" w:rsidR="00E97EF4" w:rsidRDefault="00E97EF4">
      <w:r>
        <w:separator/>
      </w:r>
    </w:p>
    <w:p w14:paraId="40CE0D57" w14:textId="77777777" w:rsidR="00E97EF4" w:rsidRDefault="00E97EF4"/>
  </w:endnote>
  <w:endnote w:type="continuationSeparator" w:id="0">
    <w:p w14:paraId="7D9EA9D8" w14:textId="77777777" w:rsidR="00E97EF4" w:rsidRDefault="00E97EF4">
      <w:r>
        <w:continuationSeparator/>
      </w:r>
    </w:p>
    <w:p w14:paraId="4AE6BFA0" w14:textId="77777777" w:rsidR="00E97EF4" w:rsidRDefault="00E97EF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748919"/>
      <w:docPartObj>
        <w:docPartGallery w:val="Page Numbers (Bottom of Page)"/>
        <w:docPartUnique/>
      </w:docPartObj>
    </w:sdtPr>
    <w:sdtEndPr>
      <w:rPr>
        <w:noProof/>
      </w:rPr>
    </w:sdtEndPr>
    <w:sdtContent>
      <w:p w14:paraId="23DBDA1B" w14:textId="77777777" w:rsidR="00DF027C" w:rsidRDefault="00DF027C">
        <w:pPr>
          <w:pStyle w:val="Footer"/>
          <w:jc w:val="center"/>
        </w:pPr>
        <w:r>
          <w:fldChar w:fldCharType="begin"/>
        </w:r>
        <w:r>
          <w:instrText xml:space="preserve"> PAGE   \* MERGEFORMAT </w:instrText>
        </w:r>
        <w:r>
          <w:fldChar w:fldCharType="separate"/>
        </w:r>
        <w:r w:rsidR="006E5716">
          <w:rPr>
            <w:noProof/>
          </w:rPr>
          <w:t>1</w:t>
        </w:r>
        <w:r>
          <w:rPr>
            <w:noProof/>
          </w:rPr>
          <w:fldChar w:fldCharType="end"/>
        </w:r>
      </w:p>
    </w:sdtContent>
  </w:sdt>
  <w:p w14:paraId="444B0417"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9E7698" w14:textId="77777777" w:rsidR="00E97EF4" w:rsidRDefault="00E97EF4">
      <w:r>
        <w:separator/>
      </w:r>
    </w:p>
    <w:p w14:paraId="7A386E92" w14:textId="77777777" w:rsidR="00E97EF4" w:rsidRDefault="00E97EF4"/>
  </w:footnote>
  <w:footnote w:type="continuationSeparator" w:id="0">
    <w:p w14:paraId="54AC62DB" w14:textId="77777777" w:rsidR="00E97EF4" w:rsidRDefault="00E97EF4">
      <w:r>
        <w:continuationSeparator/>
      </w:r>
    </w:p>
    <w:p w14:paraId="74594206" w14:textId="77777777" w:rsidR="00E97EF4" w:rsidRDefault="00E97EF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674235D1" w14:textId="77777777" w:rsidTr="00D077E9">
      <w:trPr>
        <w:trHeight w:val="978"/>
      </w:trPr>
      <w:tc>
        <w:tcPr>
          <w:tcW w:w="9990" w:type="dxa"/>
          <w:tcBorders>
            <w:top w:val="nil"/>
            <w:left w:val="nil"/>
            <w:bottom w:val="single" w:sz="36" w:space="0" w:color="34ABA2" w:themeColor="accent3"/>
            <w:right w:val="nil"/>
          </w:tcBorders>
        </w:tcPr>
        <w:p w14:paraId="6842D715" w14:textId="77777777" w:rsidR="00D077E9" w:rsidRDefault="00D077E9">
          <w:pPr>
            <w:pStyle w:val="Header"/>
          </w:pPr>
        </w:p>
      </w:tc>
    </w:tr>
  </w:tbl>
  <w:p w14:paraId="7217700F"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05691"/>
    <w:multiLevelType w:val="multilevel"/>
    <w:tmpl w:val="9A702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E25D55"/>
    <w:multiLevelType w:val="hybridMultilevel"/>
    <w:tmpl w:val="1F3454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6C24F49"/>
    <w:multiLevelType w:val="hybridMultilevel"/>
    <w:tmpl w:val="48346E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1E87A5A"/>
    <w:multiLevelType w:val="hybridMultilevel"/>
    <w:tmpl w:val="399EF1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ADF64A3"/>
    <w:multiLevelType w:val="multilevel"/>
    <w:tmpl w:val="37DC601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6B70B5A"/>
    <w:multiLevelType w:val="multilevel"/>
    <w:tmpl w:val="6E8683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B66569A"/>
    <w:multiLevelType w:val="hybridMultilevel"/>
    <w:tmpl w:val="282097D6"/>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7" w15:restartNumberingAfterBreak="0">
    <w:nsid w:val="4F540EAD"/>
    <w:multiLevelType w:val="hybridMultilevel"/>
    <w:tmpl w:val="E934F86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59096F9D"/>
    <w:multiLevelType w:val="hybridMultilevel"/>
    <w:tmpl w:val="306630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05944A1"/>
    <w:multiLevelType w:val="hybridMultilevel"/>
    <w:tmpl w:val="462EC6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6B13AD2"/>
    <w:multiLevelType w:val="hybridMultilevel"/>
    <w:tmpl w:val="9F10C1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3"/>
  </w:num>
  <w:num w:numId="4">
    <w:abstractNumId w:val="6"/>
  </w:num>
  <w:num w:numId="5">
    <w:abstractNumId w:val="9"/>
  </w:num>
  <w:num w:numId="6">
    <w:abstractNumId w:val="1"/>
  </w:num>
  <w:num w:numId="7">
    <w:abstractNumId w:val="10"/>
  </w:num>
  <w:num w:numId="8">
    <w:abstractNumId w:val="5"/>
  </w:num>
  <w:num w:numId="9">
    <w:abstractNumId w:val="4"/>
  </w:num>
  <w:num w:numId="10">
    <w:abstractNumId w:val="0"/>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5B7"/>
    <w:rsid w:val="00001B58"/>
    <w:rsid w:val="0002482E"/>
    <w:rsid w:val="00027732"/>
    <w:rsid w:val="00050324"/>
    <w:rsid w:val="00057EBA"/>
    <w:rsid w:val="000A0150"/>
    <w:rsid w:val="000E63C9"/>
    <w:rsid w:val="00130E9D"/>
    <w:rsid w:val="00150A6D"/>
    <w:rsid w:val="00175665"/>
    <w:rsid w:val="00176D67"/>
    <w:rsid w:val="00185B35"/>
    <w:rsid w:val="001B100F"/>
    <w:rsid w:val="001B556F"/>
    <w:rsid w:val="001E6735"/>
    <w:rsid w:val="001F2BC8"/>
    <w:rsid w:val="001F5F6B"/>
    <w:rsid w:val="002030CF"/>
    <w:rsid w:val="0021712E"/>
    <w:rsid w:val="00231C63"/>
    <w:rsid w:val="00243EBC"/>
    <w:rsid w:val="00246A35"/>
    <w:rsid w:val="002543B8"/>
    <w:rsid w:val="00284348"/>
    <w:rsid w:val="002A0ECB"/>
    <w:rsid w:val="002A29FC"/>
    <w:rsid w:val="002A3F7E"/>
    <w:rsid w:val="002B2DE9"/>
    <w:rsid w:val="002C63E3"/>
    <w:rsid w:val="002F51F5"/>
    <w:rsid w:val="00312137"/>
    <w:rsid w:val="00330359"/>
    <w:rsid w:val="0033762F"/>
    <w:rsid w:val="00366C7E"/>
    <w:rsid w:val="0038462E"/>
    <w:rsid w:val="00384EA3"/>
    <w:rsid w:val="003A39A1"/>
    <w:rsid w:val="003C05F4"/>
    <w:rsid w:val="003C2191"/>
    <w:rsid w:val="003C559C"/>
    <w:rsid w:val="003D120E"/>
    <w:rsid w:val="003D3863"/>
    <w:rsid w:val="004110DE"/>
    <w:rsid w:val="0041722B"/>
    <w:rsid w:val="00437BBD"/>
    <w:rsid w:val="0044085A"/>
    <w:rsid w:val="00443D9F"/>
    <w:rsid w:val="004B21A5"/>
    <w:rsid w:val="004B2915"/>
    <w:rsid w:val="005037F0"/>
    <w:rsid w:val="00516A86"/>
    <w:rsid w:val="005275F6"/>
    <w:rsid w:val="00572102"/>
    <w:rsid w:val="0059400A"/>
    <w:rsid w:val="005B59C1"/>
    <w:rsid w:val="005C4BAD"/>
    <w:rsid w:val="005E3EA5"/>
    <w:rsid w:val="005F1BB0"/>
    <w:rsid w:val="00656C4D"/>
    <w:rsid w:val="006B6931"/>
    <w:rsid w:val="006C17D2"/>
    <w:rsid w:val="006E5716"/>
    <w:rsid w:val="007302B3"/>
    <w:rsid w:val="00730733"/>
    <w:rsid w:val="00730E3A"/>
    <w:rsid w:val="00736AAF"/>
    <w:rsid w:val="00765B2A"/>
    <w:rsid w:val="007832B9"/>
    <w:rsid w:val="00783A34"/>
    <w:rsid w:val="007C6B52"/>
    <w:rsid w:val="007D16C5"/>
    <w:rsid w:val="007E7E32"/>
    <w:rsid w:val="008021B2"/>
    <w:rsid w:val="00830CB9"/>
    <w:rsid w:val="00840AC4"/>
    <w:rsid w:val="00862FE4"/>
    <w:rsid w:val="0086389A"/>
    <w:rsid w:val="00866C77"/>
    <w:rsid w:val="0087605E"/>
    <w:rsid w:val="008B1FEE"/>
    <w:rsid w:val="00903C32"/>
    <w:rsid w:val="00905E36"/>
    <w:rsid w:val="00916B16"/>
    <w:rsid w:val="009173B9"/>
    <w:rsid w:val="0093335D"/>
    <w:rsid w:val="0093613E"/>
    <w:rsid w:val="00943026"/>
    <w:rsid w:val="00966B81"/>
    <w:rsid w:val="00971620"/>
    <w:rsid w:val="0097610E"/>
    <w:rsid w:val="009C7720"/>
    <w:rsid w:val="00A23AFA"/>
    <w:rsid w:val="00A31B3E"/>
    <w:rsid w:val="00A475B7"/>
    <w:rsid w:val="00A532F3"/>
    <w:rsid w:val="00A76514"/>
    <w:rsid w:val="00A8489E"/>
    <w:rsid w:val="00AC29F3"/>
    <w:rsid w:val="00B231E5"/>
    <w:rsid w:val="00B23C52"/>
    <w:rsid w:val="00B42A86"/>
    <w:rsid w:val="00B90ED5"/>
    <w:rsid w:val="00BE3C38"/>
    <w:rsid w:val="00C02B87"/>
    <w:rsid w:val="00C31A07"/>
    <w:rsid w:val="00C33C57"/>
    <w:rsid w:val="00C40076"/>
    <w:rsid w:val="00C4086D"/>
    <w:rsid w:val="00C41CB6"/>
    <w:rsid w:val="00C74C34"/>
    <w:rsid w:val="00C93232"/>
    <w:rsid w:val="00CA1896"/>
    <w:rsid w:val="00CB5B28"/>
    <w:rsid w:val="00CC2E4C"/>
    <w:rsid w:val="00CE5D14"/>
    <w:rsid w:val="00CF5371"/>
    <w:rsid w:val="00CF63D4"/>
    <w:rsid w:val="00D0323A"/>
    <w:rsid w:val="00D0559F"/>
    <w:rsid w:val="00D077E9"/>
    <w:rsid w:val="00D23291"/>
    <w:rsid w:val="00D42CB7"/>
    <w:rsid w:val="00D5413D"/>
    <w:rsid w:val="00D54FD9"/>
    <w:rsid w:val="00D570A9"/>
    <w:rsid w:val="00D70D02"/>
    <w:rsid w:val="00D770C7"/>
    <w:rsid w:val="00D86945"/>
    <w:rsid w:val="00D90290"/>
    <w:rsid w:val="00DD152F"/>
    <w:rsid w:val="00DE213F"/>
    <w:rsid w:val="00DF027C"/>
    <w:rsid w:val="00E00A32"/>
    <w:rsid w:val="00E13A39"/>
    <w:rsid w:val="00E143AD"/>
    <w:rsid w:val="00E22ACD"/>
    <w:rsid w:val="00E620B0"/>
    <w:rsid w:val="00E7260E"/>
    <w:rsid w:val="00E80025"/>
    <w:rsid w:val="00E81B40"/>
    <w:rsid w:val="00E97EF4"/>
    <w:rsid w:val="00EA063C"/>
    <w:rsid w:val="00EB196D"/>
    <w:rsid w:val="00EB7A47"/>
    <w:rsid w:val="00EF555B"/>
    <w:rsid w:val="00F027BB"/>
    <w:rsid w:val="00F10D70"/>
    <w:rsid w:val="00F11DCF"/>
    <w:rsid w:val="00F137EE"/>
    <w:rsid w:val="00F162EA"/>
    <w:rsid w:val="00F232FF"/>
    <w:rsid w:val="00F52D27"/>
    <w:rsid w:val="00F6559C"/>
    <w:rsid w:val="00F83527"/>
    <w:rsid w:val="00FA297D"/>
    <w:rsid w:val="00FC1C68"/>
    <w:rsid w:val="00FD583F"/>
    <w:rsid w:val="00FD748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5F5236"/>
  <w15:docId w15:val="{7A6B480A-0C5A-456F-A926-E8A784C1A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iPriority="1" w:unhideWhenUsed="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iPriority w:val="5"/>
    <w:semiHidden/>
    <w:unhideWhenUsed/>
    <w:qFormat/>
    <w:rsid w:val="00C31A07"/>
    <w:pPr>
      <w:keepNext/>
      <w:keepLines/>
      <w:spacing w:before="40" w:after="0"/>
      <w:outlineLvl w:val="2"/>
    </w:pPr>
    <w:rPr>
      <w:rFonts w:asciiTheme="majorHAnsi" w:eastAsiaTheme="majorEastAsia" w:hAnsiTheme="majorHAnsi" w:cstheme="majorBidi"/>
      <w:color w:val="012639"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ListParagraph">
    <w:name w:val="List Paragraph"/>
    <w:basedOn w:val="Normal"/>
    <w:uiPriority w:val="34"/>
    <w:unhideWhenUsed/>
    <w:qFormat/>
    <w:rsid w:val="00001B58"/>
    <w:pPr>
      <w:ind w:left="720"/>
      <w:contextualSpacing/>
    </w:pPr>
  </w:style>
  <w:style w:type="character" w:styleId="Strong">
    <w:name w:val="Strong"/>
    <w:basedOn w:val="DefaultParagraphFont"/>
    <w:uiPriority w:val="22"/>
    <w:qFormat/>
    <w:rsid w:val="003D120E"/>
    <w:rPr>
      <w:b/>
      <w:bCs/>
    </w:rPr>
  </w:style>
  <w:style w:type="table" w:styleId="PlainTable1">
    <w:name w:val="Plain Table 1"/>
    <w:basedOn w:val="TableNormal"/>
    <w:uiPriority w:val="41"/>
    <w:rsid w:val="00CE5D1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CE5D14"/>
    <w:pPr>
      <w:spacing w:after="0" w:line="240" w:lineRule="auto"/>
    </w:pPr>
    <w:tblPr>
      <w:tblStyleRowBandSize w:val="1"/>
      <w:tblStyleColBandSize w:val="1"/>
    </w:tblPr>
    <w:tblStylePr w:type="firstRow">
      <w:rPr>
        <w:b/>
        <w:bCs/>
        <w:caps/>
      </w:rPr>
      <w:tblPr/>
      <w:tcPr>
        <w:tcBorders>
          <w:bottom w:val="single" w:sz="4" w:space="0" w:color="5951C8"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5951C8"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6Colorful-Accent2">
    <w:name w:val="Grid Table 6 Colorful Accent 2"/>
    <w:basedOn w:val="TableNormal"/>
    <w:uiPriority w:val="51"/>
    <w:rsid w:val="00CE5D14"/>
    <w:pPr>
      <w:spacing w:after="0" w:line="240" w:lineRule="auto"/>
    </w:pPr>
    <w:rPr>
      <w:color w:val="256D9D" w:themeColor="accent2" w:themeShade="BF"/>
    </w:rPr>
    <w:tblPr>
      <w:tblStyleRowBandSize w:val="1"/>
      <w:tblStyleColBandSize w:val="1"/>
      <w:tblBorders>
        <w:top w:val="single" w:sz="4" w:space="0" w:color="85BDE2" w:themeColor="accent2" w:themeTint="99"/>
        <w:left w:val="single" w:sz="4" w:space="0" w:color="85BDE2" w:themeColor="accent2" w:themeTint="99"/>
        <w:bottom w:val="single" w:sz="4" w:space="0" w:color="85BDE2" w:themeColor="accent2" w:themeTint="99"/>
        <w:right w:val="single" w:sz="4" w:space="0" w:color="85BDE2" w:themeColor="accent2" w:themeTint="99"/>
        <w:insideH w:val="single" w:sz="4" w:space="0" w:color="85BDE2" w:themeColor="accent2" w:themeTint="99"/>
        <w:insideV w:val="single" w:sz="4" w:space="0" w:color="85BDE2" w:themeColor="accent2" w:themeTint="99"/>
      </w:tblBorders>
    </w:tblPr>
    <w:tblStylePr w:type="firstRow">
      <w:rPr>
        <w:b/>
        <w:bCs/>
      </w:rPr>
      <w:tblPr/>
      <w:tcPr>
        <w:tcBorders>
          <w:bottom w:val="single" w:sz="12" w:space="0" w:color="85BDE2" w:themeColor="accent2" w:themeTint="99"/>
        </w:tcBorders>
      </w:tcPr>
    </w:tblStylePr>
    <w:tblStylePr w:type="lastRow">
      <w:rPr>
        <w:b/>
        <w:bCs/>
      </w:rPr>
      <w:tblPr/>
      <w:tcPr>
        <w:tcBorders>
          <w:top w:val="double" w:sz="4" w:space="0" w:color="85BDE2" w:themeColor="accent2" w:themeTint="99"/>
        </w:tcBorders>
      </w:tcPr>
    </w:tblStylePr>
    <w:tblStylePr w:type="firstCol">
      <w:rPr>
        <w:b/>
        <w:bCs/>
      </w:rPr>
    </w:tblStylePr>
    <w:tblStylePr w:type="lastCol">
      <w:rPr>
        <w:b/>
        <w:bCs/>
      </w:rPr>
    </w:tblStylePr>
    <w:tblStylePr w:type="band1Vert">
      <w:tblPr/>
      <w:tcPr>
        <w:shd w:val="clear" w:color="auto" w:fill="D6E9F5" w:themeFill="accent2" w:themeFillTint="33"/>
      </w:tcPr>
    </w:tblStylePr>
    <w:tblStylePr w:type="band1Horz">
      <w:tblPr/>
      <w:tcPr>
        <w:shd w:val="clear" w:color="auto" w:fill="D6E9F5" w:themeFill="accent2" w:themeFillTint="33"/>
      </w:tcPr>
    </w:tblStylePr>
  </w:style>
  <w:style w:type="table" w:styleId="PlainTable4">
    <w:name w:val="Plain Table 4"/>
    <w:basedOn w:val="TableNormal"/>
    <w:uiPriority w:val="44"/>
    <w:rsid w:val="00057EB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4">
    <w:name w:val="Grid Table 1 Light Accent 4"/>
    <w:basedOn w:val="TableNormal"/>
    <w:uiPriority w:val="46"/>
    <w:rsid w:val="00057EBA"/>
    <w:pPr>
      <w:spacing w:after="0" w:line="240" w:lineRule="auto"/>
    </w:pPr>
    <w:tblPr>
      <w:tblStyleRowBandSize w:val="1"/>
      <w:tblStyleColBandSize w:val="1"/>
      <w:tblBorders>
        <w:top w:val="single" w:sz="4" w:space="0" w:color="C1E0E9" w:themeColor="accent4" w:themeTint="66"/>
        <w:left w:val="single" w:sz="4" w:space="0" w:color="C1E0E9" w:themeColor="accent4" w:themeTint="66"/>
        <w:bottom w:val="single" w:sz="4" w:space="0" w:color="C1E0E9" w:themeColor="accent4" w:themeTint="66"/>
        <w:right w:val="single" w:sz="4" w:space="0" w:color="C1E0E9" w:themeColor="accent4" w:themeTint="66"/>
        <w:insideH w:val="single" w:sz="4" w:space="0" w:color="C1E0E9" w:themeColor="accent4" w:themeTint="66"/>
        <w:insideV w:val="single" w:sz="4" w:space="0" w:color="C1E0E9" w:themeColor="accent4" w:themeTint="66"/>
      </w:tblBorders>
    </w:tblPr>
    <w:tblStylePr w:type="firstRow">
      <w:rPr>
        <w:b/>
        <w:bCs/>
      </w:rPr>
      <w:tblPr/>
      <w:tcPr>
        <w:tcBorders>
          <w:bottom w:val="single" w:sz="12" w:space="0" w:color="A3D0DF" w:themeColor="accent4" w:themeTint="99"/>
        </w:tcBorders>
      </w:tcPr>
    </w:tblStylePr>
    <w:tblStylePr w:type="lastRow">
      <w:rPr>
        <w:b/>
        <w:bCs/>
      </w:rPr>
      <w:tblPr/>
      <w:tcPr>
        <w:tcBorders>
          <w:top w:val="double" w:sz="2" w:space="0" w:color="A3D0DF" w:themeColor="accent4" w:themeTint="99"/>
        </w:tcBorders>
      </w:tcPr>
    </w:tblStylePr>
    <w:tblStylePr w:type="firstCol">
      <w:rPr>
        <w:b/>
        <w:bCs/>
      </w:rPr>
    </w:tblStylePr>
    <w:tblStylePr w:type="lastCol">
      <w:rPr>
        <w:b/>
        <w:bCs/>
      </w:rPr>
    </w:tblStylePr>
  </w:style>
  <w:style w:type="table" w:styleId="GridTable6Colorful-Accent3">
    <w:name w:val="Grid Table 6 Colorful Accent 3"/>
    <w:basedOn w:val="TableNormal"/>
    <w:uiPriority w:val="51"/>
    <w:rsid w:val="00057EBA"/>
    <w:pPr>
      <w:spacing w:after="0" w:line="240" w:lineRule="auto"/>
    </w:pPr>
    <w:rPr>
      <w:color w:val="278079" w:themeColor="accent3" w:themeShade="BF"/>
    </w:rPr>
    <w:tblPr>
      <w:tblStyleRowBandSize w:val="1"/>
      <w:tblStyleColBandSize w:val="1"/>
      <w:tblBorders>
        <w:top w:val="single" w:sz="4" w:space="0" w:color="7AD6CF" w:themeColor="accent3" w:themeTint="99"/>
        <w:left w:val="single" w:sz="4" w:space="0" w:color="7AD6CF" w:themeColor="accent3" w:themeTint="99"/>
        <w:bottom w:val="single" w:sz="4" w:space="0" w:color="7AD6CF" w:themeColor="accent3" w:themeTint="99"/>
        <w:right w:val="single" w:sz="4" w:space="0" w:color="7AD6CF" w:themeColor="accent3" w:themeTint="99"/>
        <w:insideH w:val="single" w:sz="4" w:space="0" w:color="7AD6CF" w:themeColor="accent3" w:themeTint="99"/>
        <w:insideV w:val="single" w:sz="4" w:space="0" w:color="7AD6CF" w:themeColor="accent3" w:themeTint="99"/>
      </w:tblBorders>
    </w:tblPr>
    <w:tblStylePr w:type="firstRow">
      <w:rPr>
        <w:b/>
        <w:bCs/>
      </w:rPr>
      <w:tblPr/>
      <w:tcPr>
        <w:tcBorders>
          <w:bottom w:val="single" w:sz="12" w:space="0" w:color="7AD6CF" w:themeColor="accent3" w:themeTint="99"/>
        </w:tcBorders>
      </w:tcPr>
    </w:tblStylePr>
    <w:tblStylePr w:type="lastRow">
      <w:rPr>
        <w:b/>
        <w:bCs/>
      </w:rPr>
      <w:tblPr/>
      <w:tcPr>
        <w:tcBorders>
          <w:top w:val="double" w:sz="4" w:space="0" w:color="7AD6CF" w:themeColor="accent3" w:themeTint="99"/>
        </w:tcBorders>
      </w:tcPr>
    </w:tblStylePr>
    <w:tblStylePr w:type="firstCol">
      <w:rPr>
        <w:b/>
        <w:bCs/>
      </w:rPr>
    </w:tblStylePr>
    <w:tblStylePr w:type="lastCol">
      <w:rPr>
        <w:b/>
        <w:bCs/>
      </w:rPr>
    </w:tblStylePr>
    <w:tblStylePr w:type="band1Vert">
      <w:tblPr/>
      <w:tcPr>
        <w:shd w:val="clear" w:color="auto" w:fill="D2F1EF" w:themeFill="accent3" w:themeFillTint="33"/>
      </w:tcPr>
    </w:tblStylePr>
    <w:tblStylePr w:type="band1Horz">
      <w:tblPr/>
      <w:tcPr>
        <w:shd w:val="clear" w:color="auto" w:fill="D2F1EF" w:themeFill="accent3" w:themeFillTint="33"/>
      </w:tcPr>
    </w:tblStylePr>
  </w:style>
  <w:style w:type="paragraph" w:styleId="NormalWeb">
    <w:name w:val="Normal (Web)"/>
    <w:basedOn w:val="Normal"/>
    <w:uiPriority w:val="99"/>
    <w:unhideWhenUsed/>
    <w:rsid w:val="0097610E"/>
    <w:pPr>
      <w:spacing w:before="100" w:beforeAutospacing="1" w:after="100" w:afterAutospacing="1" w:line="240" w:lineRule="auto"/>
    </w:pPr>
    <w:rPr>
      <w:rFonts w:ascii="Times New Roman" w:eastAsia="Times New Roman" w:hAnsi="Times New Roman" w:cs="Times New Roman"/>
      <w:b w:val="0"/>
      <w:color w:val="auto"/>
      <w:sz w:val="24"/>
      <w:szCs w:val="24"/>
      <w:lang w:val="en-IN" w:eastAsia="en-IN"/>
    </w:rPr>
  </w:style>
  <w:style w:type="character" w:styleId="Emphasis">
    <w:name w:val="Emphasis"/>
    <w:basedOn w:val="DefaultParagraphFont"/>
    <w:uiPriority w:val="20"/>
    <w:qFormat/>
    <w:rsid w:val="0097610E"/>
    <w:rPr>
      <w:i/>
      <w:iCs/>
    </w:rPr>
  </w:style>
  <w:style w:type="character" w:styleId="Hyperlink">
    <w:name w:val="Hyperlink"/>
    <w:basedOn w:val="DefaultParagraphFont"/>
    <w:uiPriority w:val="99"/>
    <w:unhideWhenUsed/>
    <w:rsid w:val="0097610E"/>
    <w:rPr>
      <w:color w:val="0000FF"/>
      <w:u w:val="single"/>
    </w:rPr>
  </w:style>
  <w:style w:type="paragraph" w:styleId="NoSpacing">
    <w:name w:val="No Spacing"/>
    <w:link w:val="NoSpacingChar"/>
    <w:uiPriority w:val="1"/>
    <w:qFormat/>
    <w:rsid w:val="00FC1C68"/>
    <w:pPr>
      <w:spacing w:after="0" w:line="240" w:lineRule="auto"/>
    </w:pPr>
    <w:rPr>
      <w:rFonts w:eastAsiaTheme="minorEastAsia"/>
      <w:sz w:val="22"/>
      <w:szCs w:val="22"/>
    </w:rPr>
  </w:style>
  <w:style w:type="character" w:customStyle="1" w:styleId="NoSpacingChar">
    <w:name w:val="No Spacing Char"/>
    <w:basedOn w:val="DefaultParagraphFont"/>
    <w:link w:val="NoSpacing"/>
    <w:uiPriority w:val="1"/>
    <w:rsid w:val="00FC1C68"/>
    <w:rPr>
      <w:rFonts w:eastAsiaTheme="minorEastAsia"/>
      <w:sz w:val="22"/>
      <w:szCs w:val="22"/>
    </w:rPr>
  </w:style>
  <w:style w:type="character" w:customStyle="1" w:styleId="Heading3Char">
    <w:name w:val="Heading 3 Char"/>
    <w:basedOn w:val="DefaultParagraphFont"/>
    <w:link w:val="Heading3"/>
    <w:uiPriority w:val="5"/>
    <w:semiHidden/>
    <w:rsid w:val="00C31A07"/>
    <w:rPr>
      <w:rFonts w:asciiTheme="majorHAnsi" w:eastAsiaTheme="majorEastAsia" w:hAnsiTheme="majorHAnsi" w:cstheme="majorBidi"/>
      <w:b/>
      <w:color w:val="012639" w:themeColor="accent1" w:themeShade="7F"/>
    </w:rPr>
  </w:style>
  <w:style w:type="paragraph" w:styleId="TOCHeading">
    <w:name w:val="TOC Heading"/>
    <w:basedOn w:val="Heading1"/>
    <w:next w:val="Normal"/>
    <w:uiPriority w:val="39"/>
    <w:unhideWhenUsed/>
    <w:qFormat/>
    <w:rsid w:val="005E3EA5"/>
    <w:pPr>
      <w:keepLines/>
      <w:spacing w:after="0" w:line="259" w:lineRule="auto"/>
      <w:outlineLvl w:val="9"/>
    </w:pPr>
    <w:rPr>
      <w:b w:val="0"/>
      <w:color w:val="013A57" w:themeColor="accent1" w:themeShade="BF"/>
      <w:kern w:val="0"/>
      <w:sz w:val="32"/>
    </w:rPr>
  </w:style>
  <w:style w:type="paragraph" w:styleId="TOC2">
    <w:name w:val="toc 2"/>
    <w:basedOn w:val="Normal"/>
    <w:next w:val="Normal"/>
    <w:autoRedefine/>
    <w:uiPriority w:val="39"/>
    <w:unhideWhenUsed/>
    <w:rsid w:val="005E3EA5"/>
    <w:pPr>
      <w:spacing w:after="100"/>
      <w:ind w:left="280"/>
    </w:pPr>
  </w:style>
  <w:style w:type="paragraph" w:styleId="TOC1">
    <w:name w:val="toc 1"/>
    <w:basedOn w:val="Normal"/>
    <w:next w:val="Normal"/>
    <w:autoRedefine/>
    <w:uiPriority w:val="39"/>
    <w:unhideWhenUsed/>
    <w:rsid w:val="005E3EA5"/>
    <w:pPr>
      <w:spacing w:after="100" w:line="259" w:lineRule="auto"/>
    </w:pPr>
    <w:rPr>
      <w:rFonts w:cs="Times New Roman"/>
      <w:b w:val="0"/>
      <w:color w:val="auto"/>
      <w:sz w:val="22"/>
    </w:rPr>
  </w:style>
  <w:style w:type="paragraph" w:styleId="TOC3">
    <w:name w:val="toc 3"/>
    <w:basedOn w:val="Normal"/>
    <w:next w:val="Normal"/>
    <w:autoRedefine/>
    <w:uiPriority w:val="39"/>
    <w:unhideWhenUsed/>
    <w:rsid w:val="005E3EA5"/>
    <w:pPr>
      <w:spacing w:after="100" w:line="259" w:lineRule="auto"/>
      <w:ind w:left="440"/>
    </w:pPr>
    <w:rPr>
      <w:rFonts w:cs="Times New Roman"/>
      <w:b w:val="0"/>
      <w:color w:val="auto"/>
      <w:sz w:val="22"/>
    </w:rPr>
  </w:style>
  <w:style w:type="table" w:styleId="PlainTable2">
    <w:name w:val="Plain Table 2"/>
    <w:basedOn w:val="TableNormal"/>
    <w:uiPriority w:val="42"/>
    <w:rsid w:val="00027732"/>
    <w:pPr>
      <w:spacing w:after="0" w:line="240" w:lineRule="auto"/>
    </w:pPr>
    <w:tblPr>
      <w:tblStyleRowBandSize w:val="1"/>
      <w:tblStyleColBandSize w:val="1"/>
      <w:tblBorders>
        <w:top w:val="single" w:sz="4" w:space="0" w:color="5951C8" w:themeColor="text1" w:themeTint="80"/>
        <w:bottom w:val="single" w:sz="4" w:space="0" w:color="5951C8" w:themeColor="text1" w:themeTint="80"/>
      </w:tblBorders>
    </w:tblPr>
    <w:tblStylePr w:type="firstRow">
      <w:rPr>
        <w:b/>
        <w:bCs/>
      </w:rPr>
      <w:tblPr/>
      <w:tcPr>
        <w:tcBorders>
          <w:bottom w:val="single" w:sz="4" w:space="0" w:color="5951C8" w:themeColor="text1" w:themeTint="80"/>
        </w:tcBorders>
      </w:tcPr>
    </w:tblStylePr>
    <w:tblStylePr w:type="lastRow">
      <w:rPr>
        <w:b/>
        <w:bCs/>
      </w:rPr>
      <w:tblPr/>
      <w:tcPr>
        <w:tcBorders>
          <w:top w:val="single" w:sz="4" w:space="0" w:color="5951C8" w:themeColor="text1" w:themeTint="80"/>
        </w:tcBorders>
      </w:tcPr>
    </w:tblStylePr>
    <w:tblStylePr w:type="firstCol">
      <w:rPr>
        <w:b/>
        <w:bCs/>
      </w:rPr>
    </w:tblStylePr>
    <w:tblStylePr w:type="lastCol">
      <w:rPr>
        <w:b/>
        <w:bCs/>
      </w:rPr>
    </w:tblStylePr>
    <w:tblStylePr w:type="band1Vert">
      <w:tblPr/>
      <w:tcPr>
        <w:tcBorders>
          <w:left w:val="single" w:sz="4" w:space="0" w:color="5951C8" w:themeColor="text1" w:themeTint="80"/>
          <w:right w:val="single" w:sz="4" w:space="0" w:color="5951C8" w:themeColor="text1" w:themeTint="80"/>
        </w:tcBorders>
      </w:tcPr>
    </w:tblStylePr>
    <w:tblStylePr w:type="band2Vert">
      <w:tblPr/>
      <w:tcPr>
        <w:tcBorders>
          <w:left w:val="single" w:sz="4" w:space="0" w:color="5951C8" w:themeColor="text1" w:themeTint="80"/>
          <w:right w:val="single" w:sz="4" w:space="0" w:color="5951C8" w:themeColor="text1" w:themeTint="80"/>
        </w:tcBorders>
      </w:tcPr>
    </w:tblStylePr>
    <w:tblStylePr w:type="band1Horz">
      <w:tblPr/>
      <w:tcPr>
        <w:tcBorders>
          <w:top w:val="single" w:sz="4" w:space="0" w:color="5951C8" w:themeColor="text1" w:themeTint="80"/>
          <w:bottom w:val="single" w:sz="4" w:space="0" w:color="5951C8" w:themeColor="text1" w:themeTint="80"/>
        </w:tcBorders>
      </w:tcPr>
    </w:tblStylePr>
  </w:style>
  <w:style w:type="table" w:styleId="GridTable1Light-Accent6">
    <w:name w:val="Grid Table 1 Light Accent 6"/>
    <w:basedOn w:val="TableNormal"/>
    <w:uiPriority w:val="46"/>
    <w:rsid w:val="007E7E32"/>
    <w:pPr>
      <w:spacing w:after="0" w:line="240" w:lineRule="auto"/>
    </w:pPr>
    <w:tblPr>
      <w:tblStyleRowBandSize w:val="1"/>
      <w:tblStyleColBandSize w:val="1"/>
      <w:tblBorders>
        <w:top w:val="single" w:sz="4" w:space="0" w:color="A6E4DF" w:themeColor="accent6" w:themeTint="66"/>
        <w:left w:val="single" w:sz="4" w:space="0" w:color="A6E4DF" w:themeColor="accent6" w:themeTint="66"/>
        <w:bottom w:val="single" w:sz="4" w:space="0" w:color="A6E4DF" w:themeColor="accent6" w:themeTint="66"/>
        <w:right w:val="single" w:sz="4" w:space="0" w:color="A6E4DF" w:themeColor="accent6" w:themeTint="66"/>
        <w:insideH w:val="single" w:sz="4" w:space="0" w:color="A6E4DF" w:themeColor="accent6" w:themeTint="66"/>
        <w:insideV w:val="single" w:sz="4" w:space="0" w:color="A6E4DF" w:themeColor="accent6" w:themeTint="66"/>
      </w:tblBorders>
    </w:tblPr>
    <w:tblStylePr w:type="firstRow">
      <w:rPr>
        <w:b/>
        <w:bCs/>
      </w:rPr>
      <w:tblPr/>
      <w:tcPr>
        <w:tcBorders>
          <w:bottom w:val="single" w:sz="12" w:space="0" w:color="7AD6CF" w:themeColor="accent6" w:themeTint="99"/>
        </w:tcBorders>
      </w:tcPr>
    </w:tblStylePr>
    <w:tblStylePr w:type="lastRow">
      <w:rPr>
        <w:b/>
        <w:bCs/>
      </w:rPr>
      <w:tblPr/>
      <w:tcPr>
        <w:tcBorders>
          <w:top w:val="double" w:sz="2" w:space="0" w:color="7AD6CF" w:themeColor="accent6"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830C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64950">
      <w:bodyDiv w:val="1"/>
      <w:marLeft w:val="0"/>
      <w:marRight w:val="0"/>
      <w:marTop w:val="0"/>
      <w:marBottom w:val="0"/>
      <w:divBdr>
        <w:top w:val="none" w:sz="0" w:space="0" w:color="auto"/>
        <w:left w:val="none" w:sz="0" w:space="0" w:color="auto"/>
        <w:bottom w:val="none" w:sz="0" w:space="0" w:color="auto"/>
        <w:right w:val="none" w:sz="0" w:space="0" w:color="auto"/>
      </w:divBdr>
    </w:div>
    <w:div w:id="46614355">
      <w:bodyDiv w:val="1"/>
      <w:marLeft w:val="0"/>
      <w:marRight w:val="0"/>
      <w:marTop w:val="0"/>
      <w:marBottom w:val="0"/>
      <w:divBdr>
        <w:top w:val="none" w:sz="0" w:space="0" w:color="auto"/>
        <w:left w:val="none" w:sz="0" w:space="0" w:color="auto"/>
        <w:bottom w:val="none" w:sz="0" w:space="0" w:color="auto"/>
        <w:right w:val="none" w:sz="0" w:space="0" w:color="auto"/>
      </w:divBdr>
    </w:div>
    <w:div w:id="185679179">
      <w:bodyDiv w:val="1"/>
      <w:marLeft w:val="0"/>
      <w:marRight w:val="0"/>
      <w:marTop w:val="0"/>
      <w:marBottom w:val="0"/>
      <w:divBdr>
        <w:top w:val="none" w:sz="0" w:space="0" w:color="auto"/>
        <w:left w:val="none" w:sz="0" w:space="0" w:color="auto"/>
        <w:bottom w:val="none" w:sz="0" w:space="0" w:color="auto"/>
        <w:right w:val="none" w:sz="0" w:space="0" w:color="auto"/>
      </w:divBdr>
    </w:div>
    <w:div w:id="264269742">
      <w:bodyDiv w:val="1"/>
      <w:marLeft w:val="0"/>
      <w:marRight w:val="0"/>
      <w:marTop w:val="0"/>
      <w:marBottom w:val="0"/>
      <w:divBdr>
        <w:top w:val="none" w:sz="0" w:space="0" w:color="auto"/>
        <w:left w:val="none" w:sz="0" w:space="0" w:color="auto"/>
        <w:bottom w:val="none" w:sz="0" w:space="0" w:color="auto"/>
        <w:right w:val="none" w:sz="0" w:space="0" w:color="auto"/>
      </w:divBdr>
    </w:div>
    <w:div w:id="730692206">
      <w:bodyDiv w:val="1"/>
      <w:marLeft w:val="0"/>
      <w:marRight w:val="0"/>
      <w:marTop w:val="0"/>
      <w:marBottom w:val="0"/>
      <w:divBdr>
        <w:top w:val="none" w:sz="0" w:space="0" w:color="auto"/>
        <w:left w:val="none" w:sz="0" w:space="0" w:color="auto"/>
        <w:bottom w:val="none" w:sz="0" w:space="0" w:color="auto"/>
        <w:right w:val="none" w:sz="0" w:space="0" w:color="auto"/>
      </w:divBdr>
    </w:div>
    <w:div w:id="775254543">
      <w:bodyDiv w:val="1"/>
      <w:marLeft w:val="0"/>
      <w:marRight w:val="0"/>
      <w:marTop w:val="0"/>
      <w:marBottom w:val="0"/>
      <w:divBdr>
        <w:top w:val="none" w:sz="0" w:space="0" w:color="auto"/>
        <w:left w:val="none" w:sz="0" w:space="0" w:color="auto"/>
        <w:bottom w:val="none" w:sz="0" w:space="0" w:color="auto"/>
        <w:right w:val="none" w:sz="0" w:space="0" w:color="auto"/>
      </w:divBdr>
    </w:div>
    <w:div w:id="782963473">
      <w:bodyDiv w:val="1"/>
      <w:marLeft w:val="0"/>
      <w:marRight w:val="0"/>
      <w:marTop w:val="0"/>
      <w:marBottom w:val="0"/>
      <w:divBdr>
        <w:top w:val="none" w:sz="0" w:space="0" w:color="auto"/>
        <w:left w:val="none" w:sz="0" w:space="0" w:color="auto"/>
        <w:bottom w:val="none" w:sz="0" w:space="0" w:color="auto"/>
        <w:right w:val="none" w:sz="0" w:space="0" w:color="auto"/>
      </w:divBdr>
    </w:div>
    <w:div w:id="814032849">
      <w:bodyDiv w:val="1"/>
      <w:marLeft w:val="0"/>
      <w:marRight w:val="0"/>
      <w:marTop w:val="0"/>
      <w:marBottom w:val="0"/>
      <w:divBdr>
        <w:top w:val="none" w:sz="0" w:space="0" w:color="auto"/>
        <w:left w:val="none" w:sz="0" w:space="0" w:color="auto"/>
        <w:bottom w:val="none" w:sz="0" w:space="0" w:color="auto"/>
        <w:right w:val="none" w:sz="0" w:space="0" w:color="auto"/>
      </w:divBdr>
    </w:div>
    <w:div w:id="1131560827">
      <w:bodyDiv w:val="1"/>
      <w:marLeft w:val="0"/>
      <w:marRight w:val="0"/>
      <w:marTop w:val="0"/>
      <w:marBottom w:val="0"/>
      <w:divBdr>
        <w:top w:val="none" w:sz="0" w:space="0" w:color="auto"/>
        <w:left w:val="none" w:sz="0" w:space="0" w:color="auto"/>
        <w:bottom w:val="none" w:sz="0" w:space="0" w:color="auto"/>
        <w:right w:val="none" w:sz="0" w:space="0" w:color="auto"/>
      </w:divBdr>
    </w:div>
    <w:div w:id="1183546807">
      <w:bodyDiv w:val="1"/>
      <w:marLeft w:val="0"/>
      <w:marRight w:val="0"/>
      <w:marTop w:val="0"/>
      <w:marBottom w:val="0"/>
      <w:divBdr>
        <w:top w:val="none" w:sz="0" w:space="0" w:color="auto"/>
        <w:left w:val="none" w:sz="0" w:space="0" w:color="auto"/>
        <w:bottom w:val="none" w:sz="0" w:space="0" w:color="auto"/>
        <w:right w:val="none" w:sz="0" w:space="0" w:color="auto"/>
      </w:divBdr>
    </w:div>
    <w:div w:id="1206141608">
      <w:bodyDiv w:val="1"/>
      <w:marLeft w:val="0"/>
      <w:marRight w:val="0"/>
      <w:marTop w:val="0"/>
      <w:marBottom w:val="0"/>
      <w:divBdr>
        <w:top w:val="none" w:sz="0" w:space="0" w:color="auto"/>
        <w:left w:val="none" w:sz="0" w:space="0" w:color="auto"/>
        <w:bottom w:val="none" w:sz="0" w:space="0" w:color="auto"/>
        <w:right w:val="none" w:sz="0" w:space="0" w:color="auto"/>
      </w:divBdr>
    </w:div>
    <w:div w:id="1240359096">
      <w:bodyDiv w:val="1"/>
      <w:marLeft w:val="0"/>
      <w:marRight w:val="0"/>
      <w:marTop w:val="0"/>
      <w:marBottom w:val="0"/>
      <w:divBdr>
        <w:top w:val="none" w:sz="0" w:space="0" w:color="auto"/>
        <w:left w:val="none" w:sz="0" w:space="0" w:color="auto"/>
        <w:bottom w:val="none" w:sz="0" w:space="0" w:color="auto"/>
        <w:right w:val="none" w:sz="0" w:space="0" w:color="auto"/>
      </w:divBdr>
    </w:div>
    <w:div w:id="1480343974">
      <w:bodyDiv w:val="1"/>
      <w:marLeft w:val="0"/>
      <w:marRight w:val="0"/>
      <w:marTop w:val="0"/>
      <w:marBottom w:val="0"/>
      <w:divBdr>
        <w:top w:val="none" w:sz="0" w:space="0" w:color="auto"/>
        <w:left w:val="none" w:sz="0" w:space="0" w:color="auto"/>
        <w:bottom w:val="none" w:sz="0" w:space="0" w:color="auto"/>
        <w:right w:val="none" w:sz="0" w:space="0" w:color="auto"/>
      </w:divBdr>
    </w:div>
    <w:div w:id="1593275922">
      <w:bodyDiv w:val="1"/>
      <w:marLeft w:val="0"/>
      <w:marRight w:val="0"/>
      <w:marTop w:val="0"/>
      <w:marBottom w:val="0"/>
      <w:divBdr>
        <w:top w:val="none" w:sz="0" w:space="0" w:color="auto"/>
        <w:left w:val="none" w:sz="0" w:space="0" w:color="auto"/>
        <w:bottom w:val="none" w:sz="0" w:space="0" w:color="auto"/>
        <w:right w:val="none" w:sz="0" w:space="0" w:color="auto"/>
      </w:divBdr>
    </w:div>
    <w:div w:id="1631788968">
      <w:bodyDiv w:val="1"/>
      <w:marLeft w:val="0"/>
      <w:marRight w:val="0"/>
      <w:marTop w:val="0"/>
      <w:marBottom w:val="0"/>
      <w:divBdr>
        <w:top w:val="none" w:sz="0" w:space="0" w:color="auto"/>
        <w:left w:val="none" w:sz="0" w:space="0" w:color="auto"/>
        <w:bottom w:val="none" w:sz="0" w:space="0" w:color="auto"/>
        <w:right w:val="none" w:sz="0" w:space="0" w:color="auto"/>
      </w:divBdr>
    </w:div>
    <w:div w:id="1841699767">
      <w:bodyDiv w:val="1"/>
      <w:marLeft w:val="0"/>
      <w:marRight w:val="0"/>
      <w:marTop w:val="0"/>
      <w:marBottom w:val="0"/>
      <w:divBdr>
        <w:top w:val="none" w:sz="0" w:space="0" w:color="auto"/>
        <w:left w:val="none" w:sz="0" w:space="0" w:color="auto"/>
        <w:bottom w:val="none" w:sz="0" w:space="0" w:color="auto"/>
        <w:right w:val="none" w:sz="0" w:space="0" w:color="auto"/>
      </w:divBdr>
    </w:div>
    <w:div w:id="1845247412">
      <w:bodyDiv w:val="1"/>
      <w:marLeft w:val="0"/>
      <w:marRight w:val="0"/>
      <w:marTop w:val="0"/>
      <w:marBottom w:val="0"/>
      <w:divBdr>
        <w:top w:val="none" w:sz="0" w:space="0" w:color="auto"/>
        <w:left w:val="none" w:sz="0" w:space="0" w:color="auto"/>
        <w:bottom w:val="none" w:sz="0" w:space="0" w:color="auto"/>
        <w:right w:val="none" w:sz="0" w:space="0" w:color="auto"/>
      </w:divBdr>
    </w:div>
    <w:div w:id="1866166755">
      <w:bodyDiv w:val="1"/>
      <w:marLeft w:val="0"/>
      <w:marRight w:val="0"/>
      <w:marTop w:val="0"/>
      <w:marBottom w:val="0"/>
      <w:divBdr>
        <w:top w:val="none" w:sz="0" w:space="0" w:color="auto"/>
        <w:left w:val="none" w:sz="0" w:space="0" w:color="auto"/>
        <w:bottom w:val="none" w:sz="0" w:space="0" w:color="auto"/>
        <w:right w:val="none" w:sz="0" w:space="0" w:color="auto"/>
      </w:divBdr>
    </w:div>
    <w:div w:id="2027753376">
      <w:bodyDiv w:val="1"/>
      <w:marLeft w:val="0"/>
      <w:marRight w:val="0"/>
      <w:marTop w:val="0"/>
      <w:marBottom w:val="0"/>
      <w:divBdr>
        <w:top w:val="none" w:sz="0" w:space="0" w:color="auto"/>
        <w:left w:val="none" w:sz="0" w:space="0" w:color="auto"/>
        <w:bottom w:val="none" w:sz="0" w:space="0" w:color="auto"/>
        <w:right w:val="none" w:sz="0" w:space="0" w:color="auto"/>
      </w:divBdr>
    </w:div>
    <w:div w:id="2072607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ngland.nhs.uk/publication/fire-safety-in-the-nhs-health-technical-memorandum-05-03/?utm_source=chatgpt.com" TargetMode="External"/><Relationship Id="rId18" Type="http://schemas.openxmlformats.org/officeDocument/2006/relationships/hyperlink" Target="https://arxiv.org/abs/2006.02169?utm_source=chatgpt.com"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bmcnurs.biomedcentral.com/articles/10.1186/s12912-024-02436-4?utm_source=chatgpt.com" TargetMode="External"/><Relationship Id="rId7" Type="http://schemas.openxmlformats.org/officeDocument/2006/relationships/image" Target="media/image1.jpeg"/><Relationship Id="rId12" Type="http://schemas.openxmlformats.org/officeDocument/2006/relationships/hyperlink" Target="https://iris.paho.org/handle/10665.2/34976?utm_source=chatgpt.com" TargetMode="External"/><Relationship Id="rId17" Type="http://schemas.openxmlformats.org/officeDocument/2006/relationships/hyperlink" Target="https://www.hiqa.ie/sites/default/files/2021-01/Fire-Safety-Handbook-a-guide-for-providers-and-staff-of-designated-centres.pdf?utm_source=chatgpt.com" TargetMode="External"/><Relationship Id="rId25" Type="http://schemas.openxmlformats.org/officeDocument/2006/relationships/hyperlink" Target="https://www.ecri.org/" TargetMode="External"/><Relationship Id="rId2" Type="http://schemas.openxmlformats.org/officeDocument/2006/relationships/styles" Target="styles.xml"/><Relationship Id="rId16" Type="http://schemas.openxmlformats.org/officeDocument/2006/relationships/hyperlink" Target="https://www.gov.uk/government/publications/fire-safety-risk-assessment-healthcare-premises?utm_source=chatgpt.com" TargetMode="External"/><Relationship Id="rId20" Type="http://schemas.openxmlformats.org/officeDocument/2006/relationships/hyperlink" Target="https://www.sciencedirect.com/"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fpa.org/" TargetMode="External"/><Relationship Id="rId24" Type="http://schemas.openxmlformats.org/officeDocument/2006/relationships/hyperlink" Target="https://www.nfpa.org/" TargetMode="External"/><Relationship Id="rId5" Type="http://schemas.openxmlformats.org/officeDocument/2006/relationships/footnotes" Target="footnotes.xml"/><Relationship Id="rId15" Type="http://schemas.openxmlformats.org/officeDocument/2006/relationships/hyperlink" Target="https://www.ncbi.nlm.nih.gov/pmc/articles/PMC8223129/" TargetMode="External"/><Relationship Id="rId23" Type="http://schemas.openxmlformats.org/officeDocument/2006/relationships/hyperlink" Target="https://www.jointcommission.org/"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arxiv.org/abs/1902.04573?utm_source=chatgpt.c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usfa.fema.gov/statistics/reports/where-fires-occur/snapshot-hospital.html?utm_source=chatgpt.com" TargetMode="External"/><Relationship Id="rId22" Type="http://schemas.openxmlformats.org/officeDocument/2006/relationships/hyperlink" Target="https://iris.paho.org/handle/10665.2/34976?utm_source=chatgpt.com" TargetMode="External"/><Relationship Id="rId27"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atel\AppData\Local\Microsoft\Office\16.0\DTS\en-US%7b9189913C-E81D-4378-8C90-6321169DBCBB%7d\%7b8EAF4FAF-295F-4CC4-9AD7-8A2E1923E5D1%7dTF7e53ee0d-dd7d-4335-8cfd-efae5a747b05e609b54c_win32-b0e449eb2992.dotx" TargetMode="External"/></Relationship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{8EAF4FAF-295F-4CC4-9AD7-8A2E1923E5D1}TF7e53ee0d-dd7d-4335-8cfd-efae5a747b05e609b54c_win32-b0e449eb2992</Template>
  <TotalTime>697</TotalTime>
  <Pages>19</Pages>
  <Words>4807</Words>
  <Characters>27405</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jeet patel</dc:creator>
  <cp:keywords/>
  <cp:lastModifiedBy>Jeet Navinbhai Patel (2430947)</cp:lastModifiedBy>
  <cp:revision>62</cp:revision>
  <cp:lastPrinted>2006-08-01T17:47:00Z</cp:lastPrinted>
  <dcterms:created xsi:type="dcterms:W3CDTF">2025-11-19T10:58:00Z</dcterms:created>
  <dcterms:modified xsi:type="dcterms:W3CDTF">2025-11-26T18:35:00Z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