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0686" w:rsidRPr="00405FCB" w:rsidRDefault="00A358C5" w:rsidP="00405FCB">
      <w:pPr>
        <w:spacing w:line="360" w:lineRule="auto"/>
        <w:rPr>
          <w:rFonts w:ascii="Times New Roman" w:hAnsi="Times New Roman" w:cs="Times New Roman"/>
          <w:sz w:val="24"/>
          <w:szCs w:val="24"/>
          <w:u w:val="single"/>
        </w:rPr>
      </w:pPr>
      <w:r w:rsidRPr="00405FCB">
        <w:rPr>
          <w:rFonts w:ascii="Times New Roman" w:hAnsi="Times New Roman" w:cs="Times New Roman"/>
          <w:sz w:val="24"/>
          <w:szCs w:val="24"/>
          <w:u w:val="single"/>
        </w:rPr>
        <w:t>What is the Purpose of Herodotus’ ‘ethnographic’ presentations?</w:t>
      </w:r>
    </w:p>
    <w:p w:rsidR="00A358C5" w:rsidRPr="00405FCB" w:rsidRDefault="00A358C5" w:rsidP="00405FCB">
      <w:pPr>
        <w:spacing w:line="360" w:lineRule="auto"/>
        <w:rPr>
          <w:rFonts w:ascii="Times New Roman" w:hAnsi="Times New Roman" w:cs="Times New Roman"/>
          <w:sz w:val="24"/>
          <w:szCs w:val="24"/>
        </w:rPr>
      </w:pPr>
      <w:r w:rsidRPr="00405FCB">
        <w:rPr>
          <w:rFonts w:ascii="Times New Roman" w:hAnsi="Times New Roman" w:cs="Times New Roman"/>
          <w:sz w:val="24"/>
          <w:szCs w:val="24"/>
        </w:rPr>
        <w:t xml:space="preserve">What was Herodotus’ purpose for writing the histories, the general consensus between scholars is that </w:t>
      </w:r>
      <w:r w:rsidR="00DC2237" w:rsidRPr="00405FCB">
        <w:rPr>
          <w:rFonts w:ascii="Times New Roman" w:hAnsi="Times New Roman" w:cs="Times New Roman"/>
          <w:sz w:val="24"/>
          <w:szCs w:val="24"/>
        </w:rPr>
        <w:t>Herodotus’ inclusion of the barbarian cultures was a device by which to compare and contrast to the Greeks.</w:t>
      </w:r>
      <w:r w:rsidRPr="00405FCB">
        <w:rPr>
          <w:rFonts w:ascii="Times New Roman" w:hAnsi="Times New Roman" w:cs="Times New Roman"/>
          <w:sz w:val="24"/>
          <w:szCs w:val="24"/>
        </w:rPr>
        <w:t xml:space="preserve">  Lateiner</w:t>
      </w:r>
      <w:r w:rsidR="00DC2237" w:rsidRPr="00405FCB">
        <w:rPr>
          <w:rFonts w:ascii="Times New Roman" w:hAnsi="Times New Roman" w:cs="Times New Roman"/>
          <w:sz w:val="24"/>
          <w:szCs w:val="24"/>
        </w:rPr>
        <w:t xml:space="preserve"> also </w:t>
      </w:r>
      <w:r w:rsidR="00DE6904" w:rsidRPr="00405FCB">
        <w:rPr>
          <w:rFonts w:ascii="Times New Roman" w:hAnsi="Times New Roman" w:cs="Times New Roman"/>
          <w:sz w:val="24"/>
          <w:szCs w:val="24"/>
        </w:rPr>
        <w:t>further</w:t>
      </w:r>
      <w:r w:rsidR="00DC2237" w:rsidRPr="00405FCB">
        <w:rPr>
          <w:rFonts w:ascii="Times New Roman" w:hAnsi="Times New Roman" w:cs="Times New Roman"/>
          <w:sz w:val="24"/>
          <w:szCs w:val="24"/>
        </w:rPr>
        <w:t xml:space="preserve"> postulates that the reason the Histories is an ethnographic work as opposed to a historical one is due to the fact that “Herodotus was not seeking battles, kings, and revolutions for his narrative, but a prolegomenon to understanding the war he was to record.”</w:t>
      </w:r>
      <w:r w:rsidR="00DC2237" w:rsidRPr="00405FCB">
        <w:rPr>
          <w:rStyle w:val="FootnoteReference"/>
          <w:rFonts w:ascii="Times New Roman" w:hAnsi="Times New Roman" w:cs="Times New Roman"/>
          <w:sz w:val="24"/>
          <w:szCs w:val="24"/>
        </w:rPr>
        <w:footnoteReference w:id="2"/>
      </w:r>
      <w:r w:rsidR="00DE6904" w:rsidRPr="00405FCB">
        <w:rPr>
          <w:rFonts w:ascii="Times New Roman" w:hAnsi="Times New Roman" w:cs="Times New Roman"/>
          <w:sz w:val="24"/>
          <w:szCs w:val="24"/>
        </w:rPr>
        <w:t xml:space="preserve"> The Oxford dictionary defines ethnography as “</w:t>
      </w:r>
      <w:r w:rsidR="00DE6904" w:rsidRPr="00405FCB">
        <w:rPr>
          <w:rFonts w:ascii="Times New Roman" w:hAnsi="Times New Roman" w:cs="Times New Roman"/>
          <w:sz w:val="24"/>
          <w:szCs w:val="24"/>
          <w:shd w:val="clear" w:color="auto" w:fill="FFFFFF"/>
        </w:rPr>
        <w:t>The scientific description of peoples and cultures with their customs, habits, and mutual differences”</w:t>
      </w:r>
      <w:r w:rsidR="00DE6904" w:rsidRPr="00405FCB">
        <w:rPr>
          <w:rStyle w:val="FootnoteReference"/>
          <w:rFonts w:ascii="Times New Roman" w:hAnsi="Times New Roman" w:cs="Times New Roman"/>
          <w:sz w:val="24"/>
          <w:szCs w:val="24"/>
          <w:shd w:val="clear" w:color="auto" w:fill="FFFFFF"/>
        </w:rPr>
        <w:footnoteReference w:id="3"/>
      </w:r>
      <w:r w:rsidR="00DE6904" w:rsidRPr="00405FCB">
        <w:rPr>
          <w:rFonts w:ascii="Times New Roman" w:hAnsi="Times New Roman" w:cs="Times New Roman"/>
          <w:sz w:val="24"/>
          <w:szCs w:val="24"/>
          <w:shd w:val="clear" w:color="auto" w:fill="FFFFFF"/>
        </w:rPr>
        <w:t xml:space="preserve"> </w:t>
      </w:r>
      <w:r w:rsidR="006A203D" w:rsidRPr="00405FCB">
        <w:rPr>
          <w:rFonts w:ascii="Times New Roman" w:hAnsi="Times New Roman" w:cs="Times New Roman"/>
          <w:sz w:val="24"/>
          <w:szCs w:val="24"/>
          <w:shd w:val="clear" w:color="auto" w:fill="FFFFFF"/>
        </w:rPr>
        <w:t>, the Cambridge definition has the addition of it being “by</w:t>
      </w:r>
      <w:r w:rsidR="006A203D" w:rsidRPr="00405FCB">
        <w:rPr>
          <w:rFonts w:ascii="Times New Roman" w:hAnsi="Times New Roman" w:cs="Times New Roman"/>
          <w:bCs/>
          <w:sz w:val="24"/>
          <w:szCs w:val="24"/>
          <w:shd w:val="clear" w:color="auto" w:fill="FFFFFF"/>
        </w:rPr>
        <w:t xml:space="preserve"> someone who has </w:t>
      </w:r>
      <w:hyperlink r:id="rId8" w:tooltip="lived" w:history="1">
        <w:r w:rsidR="006A203D" w:rsidRPr="00405FCB">
          <w:rPr>
            <w:rStyle w:val="Hyperlink"/>
            <w:rFonts w:ascii="Times New Roman" w:hAnsi="Times New Roman" w:cs="Times New Roman"/>
            <w:bCs/>
            <w:color w:val="auto"/>
            <w:sz w:val="24"/>
            <w:szCs w:val="24"/>
            <w:u w:val="none"/>
          </w:rPr>
          <w:t>lived</w:t>
        </w:r>
      </w:hyperlink>
      <w:r w:rsidR="006A203D" w:rsidRPr="00405FCB">
        <w:rPr>
          <w:rFonts w:ascii="Times New Roman" w:hAnsi="Times New Roman" w:cs="Times New Roman"/>
          <w:bCs/>
          <w:sz w:val="24"/>
          <w:szCs w:val="24"/>
          <w:shd w:val="clear" w:color="auto" w:fill="FFFFFF"/>
        </w:rPr>
        <w:t> in it</w:t>
      </w:r>
      <w:r w:rsidR="006A203D" w:rsidRPr="00405FCB">
        <w:rPr>
          <w:rFonts w:ascii="Times New Roman" w:hAnsi="Times New Roman" w:cs="Times New Roman"/>
          <w:b/>
          <w:bCs/>
          <w:color w:val="292929"/>
          <w:sz w:val="24"/>
          <w:szCs w:val="24"/>
          <w:shd w:val="clear" w:color="auto" w:fill="FFFFFF"/>
        </w:rPr>
        <w:t>”</w:t>
      </w:r>
      <w:r w:rsidR="006A203D" w:rsidRPr="00405FCB">
        <w:rPr>
          <w:rStyle w:val="FootnoteReference"/>
          <w:rFonts w:ascii="Times New Roman" w:hAnsi="Times New Roman" w:cs="Times New Roman"/>
          <w:b/>
          <w:bCs/>
          <w:color w:val="292929"/>
          <w:sz w:val="24"/>
          <w:szCs w:val="24"/>
          <w:shd w:val="clear" w:color="auto" w:fill="FFFFFF"/>
        </w:rPr>
        <w:footnoteReference w:id="4"/>
      </w:r>
      <w:r w:rsidR="006A203D" w:rsidRPr="00405FCB">
        <w:rPr>
          <w:rFonts w:ascii="Times New Roman" w:hAnsi="Times New Roman" w:cs="Times New Roman"/>
          <w:sz w:val="24"/>
          <w:szCs w:val="24"/>
          <w:shd w:val="clear" w:color="auto" w:fill="FFFFFF"/>
        </w:rPr>
        <w:t xml:space="preserve"> </w:t>
      </w:r>
      <w:r w:rsidR="00DE6904" w:rsidRPr="00405FCB">
        <w:rPr>
          <w:rFonts w:ascii="Times New Roman" w:hAnsi="Times New Roman" w:cs="Times New Roman"/>
          <w:sz w:val="24"/>
          <w:szCs w:val="24"/>
          <w:shd w:val="clear" w:color="auto" w:fill="FFFFFF"/>
        </w:rPr>
        <w:t xml:space="preserve">I feel that this </w:t>
      </w:r>
      <w:r w:rsidR="00D16420" w:rsidRPr="00405FCB">
        <w:rPr>
          <w:rFonts w:ascii="Times New Roman" w:hAnsi="Times New Roman" w:cs="Times New Roman"/>
          <w:sz w:val="24"/>
          <w:szCs w:val="24"/>
          <w:shd w:val="clear" w:color="auto" w:fill="FFFFFF"/>
        </w:rPr>
        <w:t>corroborates Lateiners hypothesis as it fits the majority of Herodotus’ narrative as books 1-6 discuss people and their customs rather than war which we find has been built up to in book 7. The cultures I am going to look at are the Egyptians, Persians and Scythians, I will discuss their individual purpose and then I will examine if this fits the overarching narrative purpose of the Histories.</w:t>
      </w:r>
    </w:p>
    <w:p w:rsidR="00F72120" w:rsidRPr="00405FCB" w:rsidRDefault="00A358C5" w:rsidP="00405FCB">
      <w:pPr>
        <w:spacing w:line="360" w:lineRule="auto"/>
        <w:rPr>
          <w:rFonts w:ascii="Times New Roman" w:hAnsi="Times New Roman" w:cs="Times New Roman"/>
          <w:sz w:val="24"/>
          <w:szCs w:val="24"/>
        </w:rPr>
      </w:pPr>
      <w:r w:rsidRPr="00405FCB">
        <w:rPr>
          <w:rFonts w:ascii="Times New Roman" w:hAnsi="Times New Roman" w:cs="Times New Roman"/>
          <w:sz w:val="24"/>
          <w:szCs w:val="24"/>
        </w:rPr>
        <w:t>The Egyptians</w:t>
      </w:r>
      <w:r w:rsidR="00D16420" w:rsidRPr="00405FCB">
        <w:rPr>
          <w:rFonts w:ascii="Times New Roman" w:hAnsi="Times New Roman" w:cs="Times New Roman"/>
          <w:sz w:val="24"/>
          <w:szCs w:val="24"/>
        </w:rPr>
        <w:t xml:space="preserve"> are discussed in book two of Herodotus, for context</w:t>
      </w:r>
      <w:r w:rsidR="0097467E" w:rsidRPr="00405FCB">
        <w:rPr>
          <w:rFonts w:ascii="Times New Roman" w:hAnsi="Times New Roman" w:cs="Times New Roman"/>
          <w:sz w:val="24"/>
          <w:szCs w:val="24"/>
        </w:rPr>
        <w:t xml:space="preserve"> visited during the 27</w:t>
      </w:r>
      <w:r w:rsidR="0097467E" w:rsidRPr="00405FCB">
        <w:rPr>
          <w:rFonts w:ascii="Times New Roman" w:hAnsi="Times New Roman" w:cs="Times New Roman"/>
          <w:sz w:val="24"/>
          <w:szCs w:val="24"/>
          <w:vertAlign w:val="superscript"/>
        </w:rPr>
        <w:t>th</w:t>
      </w:r>
      <w:r w:rsidR="0097467E" w:rsidRPr="00405FCB">
        <w:rPr>
          <w:rFonts w:ascii="Times New Roman" w:hAnsi="Times New Roman" w:cs="Times New Roman"/>
          <w:sz w:val="24"/>
          <w:szCs w:val="24"/>
        </w:rPr>
        <w:t xml:space="preserve"> dynasty (circa 450BCE)</w:t>
      </w:r>
      <w:r w:rsidR="00D16420" w:rsidRPr="00405FCB">
        <w:rPr>
          <w:rFonts w:ascii="Times New Roman" w:hAnsi="Times New Roman" w:cs="Times New Roman"/>
          <w:sz w:val="24"/>
          <w:szCs w:val="24"/>
        </w:rPr>
        <w:t xml:space="preserve"> at the time </w:t>
      </w:r>
      <w:r w:rsidR="0097467E" w:rsidRPr="00405FCB">
        <w:rPr>
          <w:rFonts w:ascii="Times New Roman" w:hAnsi="Times New Roman" w:cs="Times New Roman"/>
          <w:sz w:val="24"/>
          <w:szCs w:val="24"/>
        </w:rPr>
        <w:t>Egypt was under Persian influence having been conquered by Darius in 525BCE</w:t>
      </w:r>
      <w:r w:rsidR="006A203D" w:rsidRPr="00405FCB">
        <w:rPr>
          <w:rFonts w:ascii="Times New Roman" w:hAnsi="Times New Roman" w:cs="Times New Roman"/>
          <w:sz w:val="24"/>
          <w:szCs w:val="24"/>
        </w:rPr>
        <w:t>. His logos in Egypt takes place after the death of Cyrus when his son Cambyses ascends to the throne</w:t>
      </w:r>
      <w:r w:rsidR="006A203D" w:rsidRPr="00405FCB">
        <w:rPr>
          <w:rStyle w:val="FootnoteReference"/>
          <w:rFonts w:ascii="Times New Roman" w:hAnsi="Times New Roman" w:cs="Times New Roman"/>
          <w:sz w:val="24"/>
          <w:szCs w:val="24"/>
        </w:rPr>
        <w:footnoteReference w:id="5"/>
      </w:r>
      <w:r w:rsidR="006A203D" w:rsidRPr="00405FCB">
        <w:rPr>
          <w:rFonts w:ascii="Times New Roman" w:hAnsi="Times New Roman" w:cs="Times New Roman"/>
          <w:sz w:val="24"/>
          <w:szCs w:val="24"/>
        </w:rPr>
        <w:t xml:space="preserve"> in 530BCE and during the Egyptian rule of Amasis the 26</w:t>
      </w:r>
      <w:r w:rsidR="006A203D" w:rsidRPr="00405FCB">
        <w:rPr>
          <w:rFonts w:ascii="Times New Roman" w:hAnsi="Times New Roman" w:cs="Times New Roman"/>
          <w:sz w:val="24"/>
          <w:szCs w:val="24"/>
          <w:vertAlign w:val="superscript"/>
        </w:rPr>
        <w:t>th</w:t>
      </w:r>
      <w:r w:rsidR="006A203D" w:rsidRPr="00405FCB">
        <w:rPr>
          <w:rFonts w:ascii="Times New Roman" w:hAnsi="Times New Roman" w:cs="Times New Roman"/>
          <w:sz w:val="24"/>
          <w:szCs w:val="24"/>
        </w:rPr>
        <w:t xml:space="preserve"> dynasty (570BCE-526BCE), under Amasis </w:t>
      </w:r>
      <w:r w:rsidR="0097467E" w:rsidRPr="00405FCB">
        <w:rPr>
          <w:rFonts w:ascii="Times New Roman" w:hAnsi="Times New Roman" w:cs="Times New Roman"/>
          <w:sz w:val="24"/>
          <w:szCs w:val="24"/>
        </w:rPr>
        <w:t>a Greek settlement at Naucratis</w:t>
      </w:r>
      <w:r w:rsidR="006A203D" w:rsidRPr="00405FCB">
        <w:rPr>
          <w:rFonts w:ascii="Times New Roman" w:hAnsi="Times New Roman" w:cs="Times New Roman"/>
          <w:sz w:val="24"/>
          <w:szCs w:val="24"/>
        </w:rPr>
        <w:t xml:space="preserve"> was built</w:t>
      </w:r>
      <w:r w:rsidR="0097467E" w:rsidRPr="00405FCB">
        <w:rPr>
          <w:rFonts w:ascii="Times New Roman" w:hAnsi="Times New Roman" w:cs="Times New Roman"/>
          <w:sz w:val="24"/>
          <w:szCs w:val="24"/>
        </w:rPr>
        <w:t>, Herodotus’ inclusion of this detail at the end of the Egyptian logos could be foreshadowing to the war and what could have happened if Greece had been defeated.</w:t>
      </w:r>
      <w:r w:rsidR="0097467E" w:rsidRPr="00405FCB">
        <w:rPr>
          <w:rStyle w:val="FootnoteReference"/>
          <w:rFonts w:ascii="Times New Roman" w:hAnsi="Times New Roman" w:cs="Times New Roman"/>
          <w:sz w:val="24"/>
          <w:szCs w:val="24"/>
        </w:rPr>
        <w:footnoteReference w:id="6"/>
      </w:r>
      <w:r w:rsidR="006A203D" w:rsidRPr="00405FCB">
        <w:rPr>
          <w:rFonts w:ascii="Times New Roman" w:hAnsi="Times New Roman" w:cs="Times New Roman"/>
          <w:sz w:val="24"/>
          <w:szCs w:val="24"/>
        </w:rPr>
        <w:t xml:space="preserve"> Herodotus’ says that he “learnt at Memphis from the priests of Hephaestus”</w:t>
      </w:r>
      <w:r w:rsidR="006A203D" w:rsidRPr="00405FCB">
        <w:rPr>
          <w:rStyle w:val="FootnoteReference"/>
          <w:rFonts w:ascii="Times New Roman" w:hAnsi="Times New Roman" w:cs="Times New Roman"/>
          <w:sz w:val="24"/>
          <w:szCs w:val="24"/>
        </w:rPr>
        <w:footnoteReference w:id="7"/>
      </w:r>
      <w:r w:rsidR="007870AC" w:rsidRPr="00405FCB">
        <w:rPr>
          <w:rFonts w:ascii="Times New Roman" w:hAnsi="Times New Roman" w:cs="Times New Roman"/>
          <w:sz w:val="24"/>
          <w:szCs w:val="24"/>
        </w:rPr>
        <w:t xml:space="preserve"> this helps establish the Egyptian logos as a ethnographic work as if we refer back to the Cambridge definition the information must be from a person who has lived in it. </w:t>
      </w:r>
      <w:r w:rsidR="007870AC" w:rsidRPr="00405FCB">
        <w:rPr>
          <w:rFonts w:ascii="Times New Roman" w:hAnsi="Times New Roman" w:cs="Times New Roman"/>
          <w:sz w:val="24"/>
          <w:szCs w:val="24"/>
        </w:rPr>
        <w:br/>
        <w:t>I believe that the purpose for the inclusion of the Egyptian logos can be found in book 2 when Herodotus says</w:t>
      </w:r>
      <w:r w:rsidR="00F72120" w:rsidRPr="00405FCB">
        <w:rPr>
          <w:rFonts w:ascii="Times New Roman" w:hAnsi="Times New Roman" w:cs="Times New Roman"/>
          <w:sz w:val="24"/>
          <w:szCs w:val="24"/>
        </w:rPr>
        <w:t xml:space="preserve">: </w:t>
      </w:r>
      <w:r w:rsidR="00F72120" w:rsidRPr="00405FCB">
        <w:rPr>
          <w:rFonts w:ascii="Times New Roman" w:hAnsi="Times New Roman" w:cs="Times New Roman"/>
          <w:sz w:val="24"/>
          <w:szCs w:val="24"/>
        </w:rPr>
        <w:br/>
      </w:r>
      <w:r w:rsidR="007870AC" w:rsidRPr="00405FCB">
        <w:rPr>
          <w:rFonts w:ascii="Times New Roman" w:hAnsi="Times New Roman" w:cs="Times New Roman"/>
          <w:sz w:val="24"/>
          <w:szCs w:val="24"/>
        </w:rPr>
        <w:t xml:space="preserve">Concerning Egypt itself I shall extend my remarks to a great length because there is no country that possesses so many wonders, nor any that has such a number of works which defy </w:t>
      </w:r>
      <w:r w:rsidR="007870AC" w:rsidRPr="00405FCB">
        <w:rPr>
          <w:rFonts w:ascii="Times New Roman" w:hAnsi="Times New Roman" w:cs="Times New Roman"/>
          <w:sz w:val="24"/>
          <w:szCs w:val="24"/>
        </w:rPr>
        <w:lastRenderedPageBreak/>
        <w:t xml:space="preserve">description. Not only is the climate different from that of the rest of the world, and the rivers unlike any of </w:t>
      </w:r>
      <w:r w:rsidR="00F72120" w:rsidRPr="00405FCB">
        <w:rPr>
          <w:rFonts w:ascii="Times New Roman" w:hAnsi="Times New Roman" w:cs="Times New Roman"/>
          <w:sz w:val="24"/>
          <w:szCs w:val="24"/>
        </w:rPr>
        <w:t>their</w:t>
      </w:r>
      <w:r w:rsidR="007870AC" w:rsidRPr="00405FCB">
        <w:rPr>
          <w:rFonts w:ascii="Times New Roman" w:hAnsi="Times New Roman" w:cs="Times New Roman"/>
          <w:sz w:val="24"/>
          <w:szCs w:val="24"/>
        </w:rPr>
        <w:t xml:space="preserve"> rivers, but the people also, in most of their manner and customs, exactly reverse the common practice of mankind</w:t>
      </w:r>
      <w:r w:rsidR="00F72120" w:rsidRPr="00405FCB">
        <w:rPr>
          <w:rFonts w:ascii="Times New Roman" w:hAnsi="Times New Roman" w:cs="Times New Roman"/>
          <w:sz w:val="24"/>
          <w:szCs w:val="24"/>
        </w:rPr>
        <w:t>. (Herodotus 2, 35)”</w:t>
      </w:r>
      <w:r w:rsidR="00F72120" w:rsidRPr="00405FCB">
        <w:rPr>
          <w:rStyle w:val="FootnoteReference"/>
          <w:rFonts w:ascii="Times New Roman" w:hAnsi="Times New Roman" w:cs="Times New Roman"/>
          <w:sz w:val="24"/>
          <w:szCs w:val="24"/>
        </w:rPr>
        <w:footnoteReference w:id="8"/>
      </w:r>
    </w:p>
    <w:p w:rsidR="00F72120" w:rsidRPr="00405FCB" w:rsidRDefault="00F72120" w:rsidP="00405FCB">
      <w:pPr>
        <w:spacing w:line="360" w:lineRule="auto"/>
        <w:rPr>
          <w:rFonts w:ascii="Times New Roman" w:hAnsi="Times New Roman" w:cs="Times New Roman"/>
          <w:sz w:val="24"/>
          <w:szCs w:val="24"/>
        </w:rPr>
      </w:pPr>
      <w:r w:rsidRPr="00405FCB">
        <w:rPr>
          <w:rFonts w:ascii="Times New Roman" w:hAnsi="Times New Roman" w:cs="Times New Roman"/>
          <w:sz w:val="24"/>
          <w:szCs w:val="24"/>
        </w:rPr>
        <w:t>I believe that this passage is key to understanding that purpose of the Egyptian logos if we break it down and look at in two parts, firstly when Herodotus is discussing the wonders, this has been interpreted by Lateiner to establish the Egyptians as a developed and civilised people but the second half considers the</w:t>
      </w:r>
      <w:r w:rsidR="00B92D4F" w:rsidRPr="00405FCB">
        <w:rPr>
          <w:rFonts w:ascii="Times New Roman" w:hAnsi="Times New Roman" w:cs="Times New Roman"/>
          <w:sz w:val="24"/>
          <w:szCs w:val="24"/>
        </w:rPr>
        <w:t xml:space="preserve"> ethnography of them as being completely opposite from the Greeks.</w:t>
      </w:r>
      <w:r w:rsidR="00B92D4F" w:rsidRPr="00405FCB">
        <w:rPr>
          <w:rStyle w:val="FootnoteReference"/>
          <w:rFonts w:ascii="Times New Roman" w:hAnsi="Times New Roman" w:cs="Times New Roman"/>
          <w:sz w:val="24"/>
          <w:szCs w:val="24"/>
        </w:rPr>
        <w:footnoteReference w:id="9"/>
      </w:r>
      <w:r w:rsidRPr="00405FCB">
        <w:rPr>
          <w:rFonts w:ascii="Times New Roman" w:hAnsi="Times New Roman" w:cs="Times New Roman"/>
          <w:sz w:val="24"/>
          <w:szCs w:val="24"/>
        </w:rPr>
        <w:t xml:space="preserve"> </w:t>
      </w:r>
      <w:r w:rsidR="00A11C4A" w:rsidRPr="00405FCB">
        <w:rPr>
          <w:rFonts w:ascii="Times New Roman" w:hAnsi="Times New Roman" w:cs="Times New Roman"/>
          <w:bCs/>
          <w:sz w:val="24"/>
          <w:szCs w:val="24"/>
          <w:shd w:val="clear" w:color="auto" w:fill="FFFFFF"/>
        </w:rPr>
        <w:t>If there is a need for more concrete evidence at the end of 36 Herodotus directly compares to the Greeks “When they write or calculate, instead of going, like the Greeks, from left to right, they move their hand from right to left”.</w:t>
      </w:r>
      <w:r w:rsidR="00A11C4A" w:rsidRPr="00405FCB">
        <w:rPr>
          <w:rStyle w:val="FootnoteReference"/>
          <w:rFonts w:ascii="Times New Roman" w:hAnsi="Times New Roman" w:cs="Times New Roman"/>
          <w:bCs/>
          <w:sz w:val="24"/>
          <w:szCs w:val="24"/>
          <w:shd w:val="clear" w:color="auto" w:fill="FFFFFF"/>
        </w:rPr>
        <w:footnoteReference w:id="10"/>
      </w:r>
      <w:r w:rsidR="00A11C4A" w:rsidRPr="00405FCB">
        <w:rPr>
          <w:rFonts w:ascii="Times New Roman" w:hAnsi="Times New Roman" w:cs="Times New Roman"/>
          <w:bCs/>
          <w:sz w:val="24"/>
          <w:szCs w:val="24"/>
          <w:shd w:val="clear" w:color="auto" w:fill="FFFFFF"/>
        </w:rPr>
        <w:t xml:space="preserve"> </w:t>
      </w:r>
      <w:r w:rsidR="00B92D4F" w:rsidRPr="00405FCB">
        <w:rPr>
          <w:rFonts w:ascii="Times New Roman" w:hAnsi="Times New Roman" w:cs="Times New Roman"/>
          <w:sz w:val="24"/>
          <w:szCs w:val="24"/>
        </w:rPr>
        <w:t xml:space="preserve">I support this assertion by Lateiner that the purpose of the Egyptian logos is </w:t>
      </w:r>
      <w:r w:rsidR="008779BB" w:rsidRPr="00405FCB">
        <w:rPr>
          <w:rFonts w:ascii="Times New Roman" w:hAnsi="Times New Roman" w:cs="Times New Roman"/>
          <w:sz w:val="24"/>
          <w:szCs w:val="24"/>
        </w:rPr>
        <w:t xml:space="preserve">a comparison of a civilised but </w:t>
      </w:r>
      <w:r w:rsidR="008779BB" w:rsidRPr="00405FCB">
        <w:rPr>
          <w:rFonts w:ascii="Times New Roman" w:hAnsi="Times New Roman" w:cs="Times New Roman"/>
          <w:bCs/>
          <w:sz w:val="24"/>
          <w:szCs w:val="24"/>
          <w:shd w:val="clear" w:color="auto" w:fill="FFFFFF"/>
        </w:rPr>
        <w:t>antithetical people to the Greeks. Does Herodotus achieve this comparison from an ethnographic point of view, by using our definitions as a base for this analysis throughout passages 35 to 36 Herodotus lists all the different custom the Egyptians have such as eating food outside, the women going to the market while the men stay home to loom and the priests having their head shaven.</w:t>
      </w:r>
      <w:r w:rsidR="00A11C4A" w:rsidRPr="00405FCB">
        <w:rPr>
          <w:rFonts w:ascii="Times New Roman" w:hAnsi="Times New Roman" w:cs="Times New Roman"/>
          <w:bCs/>
          <w:sz w:val="24"/>
          <w:szCs w:val="24"/>
          <w:shd w:val="clear" w:color="auto" w:fill="FFFFFF"/>
        </w:rPr>
        <w:t xml:space="preserve"> Looking at the logos more broadly we can see that a majority of it is taken up by ethnographic topics</w:t>
      </w:r>
      <w:r w:rsidR="004C28DF" w:rsidRPr="00405FCB">
        <w:rPr>
          <w:rFonts w:ascii="Times New Roman" w:hAnsi="Times New Roman" w:cs="Times New Roman"/>
          <w:bCs/>
          <w:sz w:val="24"/>
          <w:szCs w:val="24"/>
          <w:shd w:val="clear" w:color="auto" w:fill="FFFFFF"/>
        </w:rPr>
        <w:t xml:space="preserve"> the introduction looks at their scientific developments (the solar year) 2.1-4)), in 2.35-41 he observes the opposite characteristics of behaviour, in 2.77-97 there is observation of the customs, then the lineage of Kings in 2.99-120 and finally from an ethnographical point of view he looks at the pyramid builders in 2.121-146. </w:t>
      </w:r>
    </w:p>
    <w:p w:rsidR="00A358C5" w:rsidRPr="00405FCB" w:rsidRDefault="004641C7" w:rsidP="00405FCB">
      <w:pPr>
        <w:spacing w:line="360" w:lineRule="auto"/>
        <w:rPr>
          <w:rFonts w:ascii="Times New Roman" w:hAnsi="Times New Roman" w:cs="Times New Roman"/>
          <w:sz w:val="24"/>
          <w:szCs w:val="24"/>
        </w:rPr>
      </w:pPr>
      <w:r w:rsidRPr="00405FCB">
        <w:rPr>
          <w:rFonts w:ascii="Times New Roman" w:hAnsi="Times New Roman" w:cs="Times New Roman"/>
          <w:sz w:val="24"/>
          <w:szCs w:val="24"/>
        </w:rPr>
        <w:t>The view of the Egyptians having all these grand and marvellous monuments and the incomparable size of the Nile is a device by which Herodotus challenges Greek readers assumptions of their own greatness, if Herodotus was trying to imply a direct  superiority of one culture I am unsure but Lateiner says that Herodotus wasn’t just writing and ethnographic account for the sake of it but wanted to help the Hellas define their own unique qualities, “the new and different helps explain the old and familiar”.</w:t>
      </w:r>
      <w:r w:rsidRPr="00405FCB">
        <w:rPr>
          <w:rStyle w:val="FootnoteReference"/>
          <w:rFonts w:ascii="Times New Roman" w:hAnsi="Times New Roman" w:cs="Times New Roman"/>
          <w:sz w:val="24"/>
          <w:szCs w:val="24"/>
        </w:rPr>
        <w:footnoteReference w:id="11"/>
      </w:r>
    </w:p>
    <w:p w:rsidR="008F626B" w:rsidRPr="00405FCB" w:rsidRDefault="004641C7" w:rsidP="00405FCB">
      <w:pPr>
        <w:spacing w:line="360" w:lineRule="auto"/>
        <w:rPr>
          <w:rFonts w:ascii="Times New Roman" w:hAnsi="Times New Roman" w:cs="Times New Roman"/>
          <w:sz w:val="24"/>
          <w:szCs w:val="24"/>
        </w:rPr>
      </w:pPr>
      <w:r w:rsidRPr="00405FCB">
        <w:rPr>
          <w:rFonts w:ascii="Times New Roman" w:hAnsi="Times New Roman" w:cs="Times New Roman"/>
          <w:sz w:val="24"/>
          <w:szCs w:val="24"/>
        </w:rPr>
        <w:t xml:space="preserve">Just as there </w:t>
      </w:r>
      <w:r w:rsidR="00C823FF" w:rsidRPr="00405FCB">
        <w:rPr>
          <w:rFonts w:ascii="Times New Roman" w:hAnsi="Times New Roman" w:cs="Times New Roman"/>
          <w:sz w:val="24"/>
          <w:szCs w:val="24"/>
        </w:rPr>
        <w:t>are no specific Greek logos</w:t>
      </w:r>
      <w:r w:rsidRPr="00405FCB">
        <w:rPr>
          <w:rFonts w:ascii="Times New Roman" w:hAnsi="Times New Roman" w:cs="Times New Roman"/>
          <w:sz w:val="24"/>
          <w:szCs w:val="24"/>
        </w:rPr>
        <w:t xml:space="preserve"> in Herodotus’ Histories there is no Persian logos </w:t>
      </w:r>
      <w:r w:rsidR="00C823FF" w:rsidRPr="00405FCB">
        <w:rPr>
          <w:rFonts w:ascii="Times New Roman" w:hAnsi="Times New Roman" w:cs="Times New Roman"/>
          <w:sz w:val="24"/>
          <w:szCs w:val="24"/>
        </w:rPr>
        <w:t xml:space="preserve">however there is an extensive ethnography of them. The different between the Egyptian and Persian ethnography is that in the case of the Persian Herodotus is building toward the </w:t>
      </w:r>
      <w:r w:rsidR="00C823FF" w:rsidRPr="00405FCB">
        <w:rPr>
          <w:rFonts w:ascii="Times New Roman" w:hAnsi="Times New Roman" w:cs="Times New Roman"/>
          <w:sz w:val="24"/>
          <w:szCs w:val="24"/>
        </w:rPr>
        <w:lastRenderedPageBreak/>
        <w:t>inevitable conflict between them and the Greeks so it gives understanding to the whole Greeks against Persian</w:t>
      </w:r>
      <w:r w:rsidR="00B15D33" w:rsidRPr="00405FCB">
        <w:rPr>
          <w:rFonts w:ascii="Times New Roman" w:hAnsi="Times New Roman" w:cs="Times New Roman"/>
          <w:sz w:val="24"/>
          <w:szCs w:val="24"/>
        </w:rPr>
        <w:t xml:space="preserve"> narrative; where as in the case of the Egyptians there is no conflict surround them and the Greeks. Interestingly however Herodotus shows an admiration toward the Persians that he does not the Egyptians. Herodotus</w:t>
      </w:r>
      <w:r w:rsidR="00F71C7E" w:rsidRPr="00405FCB">
        <w:rPr>
          <w:rFonts w:ascii="Times New Roman" w:hAnsi="Times New Roman" w:cs="Times New Roman"/>
          <w:sz w:val="24"/>
          <w:szCs w:val="24"/>
        </w:rPr>
        <w:t xml:space="preserve"> when speaking of what he knows of the Persians describes them accepting of other cultures which has made them superior in many respects, he professes his admiration of their prowess in arms and excellence of the method they use to achieve this</w:t>
      </w:r>
      <w:r w:rsidR="00F71C7E" w:rsidRPr="00405FCB">
        <w:rPr>
          <w:rStyle w:val="FootnoteReference"/>
          <w:rFonts w:ascii="Times New Roman" w:hAnsi="Times New Roman" w:cs="Times New Roman"/>
          <w:sz w:val="24"/>
          <w:szCs w:val="24"/>
        </w:rPr>
        <w:footnoteReference w:id="12"/>
      </w:r>
      <w:r w:rsidR="00F71C7E" w:rsidRPr="00405FCB">
        <w:rPr>
          <w:rFonts w:ascii="Times New Roman" w:hAnsi="Times New Roman" w:cs="Times New Roman"/>
          <w:sz w:val="24"/>
          <w:szCs w:val="24"/>
        </w:rPr>
        <w:t xml:space="preserve"> the next is that they believe the most disgraceful thing they can do is to tell a lie or to owe a debt</w:t>
      </w:r>
      <w:r w:rsidR="00F71C7E" w:rsidRPr="00405FCB">
        <w:rPr>
          <w:rStyle w:val="FootnoteReference"/>
          <w:rFonts w:ascii="Times New Roman" w:hAnsi="Times New Roman" w:cs="Times New Roman"/>
          <w:sz w:val="24"/>
          <w:szCs w:val="24"/>
        </w:rPr>
        <w:footnoteReference w:id="13"/>
      </w:r>
      <w:r w:rsidR="00F71C7E" w:rsidRPr="00405FCB">
        <w:rPr>
          <w:rFonts w:ascii="Times New Roman" w:hAnsi="Times New Roman" w:cs="Times New Roman"/>
          <w:sz w:val="24"/>
          <w:szCs w:val="24"/>
        </w:rPr>
        <w:t xml:space="preserve">. </w:t>
      </w:r>
      <w:r w:rsidR="00BB4405" w:rsidRPr="00405FCB">
        <w:rPr>
          <w:rFonts w:ascii="Times New Roman" w:hAnsi="Times New Roman" w:cs="Times New Roman"/>
          <w:sz w:val="24"/>
          <w:szCs w:val="24"/>
        </w:rPr>
        <w:t>This in my mind presents the Persians with a tone far more akin to respect than that with which his discussed the Egyptians.</w:t>
      </w:r>
      <w:r w:rsidR="00024D23" w:rsidRPr="00405FCB">
        <w:rPr>
          <w:rFonts w:ascii="Times New Roman" w:hAnsi="Times New Roman" w:cs="Times New Roman"/>
          <w:sz w:val="24"/>
          <w:szCs w:val="24"/>
        </w:rPr>
        <w:t xml:space="preserve"> This is however balanced by the fact that Herodotus always shows the comeuppance of the Persia kings who all meet their end in some form of unnecessary war. In book 7 Herodotus</w:t>
      </w:r>
      <w:r w:rsidR="00DD3EC8" w:rsidRPr="00405FCB">
        <w:rPr>
          <w:rFonts w:ascii="Times New Roman" w:hAnsi="Times New Roman" w:cs="Times New Roman"/>
          <w:sz w:val="24"/>
          <w:szCs w:val="24"/>
        </w:rPr>
        <w:t xml:space="preserve"> draws a comparison to Spartan values </w:t>
      </w:r>
      <w:r w:rsidR="001D4CEA" w:rsidRPr="00405FCB">
        <w:rPr>
          <w:rFonts w:ascii="Times New Roman" w:hAnsi="Times New Roman" w:cs="Times New Roman"/>
          <w:sz w:val="24"/>
          <w:szCs w:val="24"/>
        </w:rPr>
        <w:t xml:space="preserve">of freedom and </w:t>
      </w:r>
      <w:r w:rsidR="00F37476" w:rsidRPr="00405FCB">
        <w:rPr>
          <w:rFonts w:ascii="Times New Roman" w:hAnsi="Times New Roman" w:cs="Times New Roman"/>
          <w:sz w:val="24"/>
          <w:szCs w:val="24"/>
        </w:rPr>
        <w:t>self preservation.</w:t>
      </w:r>
    </w:p>
    <w:p w:rsidR="00F37476" w:rsidRPr="00405FCB" w:rsidRDefault="00F37476" w:rsidP="00405FCB">
      <w:pPr>
        <w:spacing w:line="360" w:lineRule="auto"/>
        <w:rPr>
          <w:rFonts w:ascii="Times New Roman" w:hAnsi="Times New Roman" w:cs="Times New Roman"/>
          <w:sz w:val="24"/>
          <w:szCs w:val="24"/>
        </w:rPr>
      </w:pPr>
      <w:r w:rsidRPr="00405FCB">
        <w:rPr>
          <w:rFonts w:ascii="Times New Roman" w:hAnsi="Times New Roman" w:cs="Times New Roman"/>
          <w:sz w:val="24"/>
          <w:szCs w:val="24"/>
        </w:rPr>
        <w:t>Herodotus gives a very personal and in depth account of the Persian kings: Cyrus, Cambyses, Darius and Xerxes, they all look into them as individuals about how their traits as individuals affect their rule, which although unparallel in detail is not always correct.</w:t>
      </w:r>
      <w:r w:rsidRPr="00405FCB">
        <w:rPr>
          <w:rStyle w:val="FootnoteReference"/>
          <w:rFonts w:ascii="Times New Roman" w:hAnsi="Times New Roman" w:cs="Times New Roman"/>
          <w:sz w:val="24"/>
          <w:szCs w:val="24"/>
        </w:rPr>
        <w:footnoteReference w:id="14"/>
      </w:r>
      <w:r w:rsidRPr="00405FCB">
        <w:rPr>
          <w:rFonts w:ascii="Times New Roman" w:hAnsi="Times New Roman" w:cs="Times New Roman"/>
          <w:sz w:val="24"/>
          <w:szCs w:val="24"/>
        </w:rPr>
        <w:t xml:space="preserve"> Even the inaccuracies however do give an insight into the workings of the courts and the interactions between the members</w:t>
      </w:r>
      <w:r w:rsidR="00CE04F2" w:rsidRPr="00405FCB">
        <w:rPr>
          <w:rFonts w:ascii="Times New Roman" w:hAnsi="Times New Roman" w:cs="Times New Roman"/>
          <w:sz w:val="24"/>
          <w:szCs w:val="24"/>
        </w:rPr>
        <w:t>, the Persians themselves are greatly focused on in Herodotus’ narrative and great detail is given to their ethnography as a people not just the king.</w:t>
      </w:r>
      <w:r w:rsidR="00CE04F2" w:rsidRPr="00405FCB">
        <w:rPr>
          <w:rStyle w:val="FootnoteReference"/>
          <w:rFonts w:ascii="Times New Roman" w:hAnsi="Times New Roman" w:cs="Times New Roman"/>
          <w:sz w:val="24"/>
          <w:szCs w:val="24"/>
        </w:rPr>
        <w:footnoteReference w:id="15"/>
      </w:r>
      <w:r w:rsidR="00C5651C" w:rsidRPr="00405FCB">
        <w:rPr>
          <w:rFonts w:ascii="Times New Roman" w:hAnsi="Times New Roman" w:cs="Times New Roman"/>
          <w:sz w:val="24"/>
          <w:szCs w:val="24"/>
        </w:rPr>
        <w:t xml:space="preserve"> This is important I believe as the definitions of ethnography being used as the base for this essay say that it has to be a description of peoples, not just the monarchs and Herodotus does go into great detail about the people.</w:t>
      </w:r>
    </w:p>
    <w:p w:rsidR="00F37B21" w:rsidRPr="00405FCB" w:rsidRDefault="00F37B21" w:rsidP="00405FCB">
      <w:pPr>
        <w:spacing w:line="360" w:lineRule="auto"/>
        <w:rPr>
          <w:rFonts w:ascii="Times New Roman" w:hAnsi="Times New Roman" w:cs="Times New Roman"/>
          <w:sz w:val="24"/>
          <w:szCs w:val="24"/>
        </w:rPr>
      </w:pPr>
      <w:r w:rsidRPr="00405FCB">
        <w:rPr>
          <w:rFonts w:ascii="Times New Roman" w:hAnsi="Times New Roman" w:cs="Times New Roman"/>
          <w:sz w:val="24"/>
          <w:szCs w:val="24"/>
        </w:rPr>
        <w:t>In terms of the genealogy of the Persian kings Herodotus was fairly inaccurate, he claimed that Cyrus’ mother was the daughter of the king of Media and his father Cambyses was simply from a good family, from Babylonian records however we know that Cambyses was actually the king of Anshan, this is possibly to a trend started by later kings in order to strengthen their claim to the throne.</w:t>
      </w:r>
      <w:r w:rsidRPr="00405FCB">
        <w:rPr>
          <w:rStyle w:val="FootnoteReference"/>
          <w:rFonts w:ascii="Times New Roman" w:hAnsi="Times New Roman" w:cs="Times New Roman"/>
          <w:sz w:val="24"/>
          <w:szCs w:val="24"/>
        </w:rPr>
        <w:footnoteReference w:id="16"/>
      </w:r>
    </w:p>
    <w:p w:rsidR="00F37B21" w:rsidRPr="00405FCB" w:rsidRDefault="00F37B21" w:rsidP="00405FCB">
      <w:pPr>
        <w:spacing w:line="360" w:lineRule="auto"/>
        <w:rPr>
          <w:rFonts w:ascii="Times New Roman" w:hAnsi="Times New Roman" w:cs="Times New Roman"/>
          <w:sz w:val="24"/>
          <w:szCs w:val="24"/>
        </w:rPr>
      </w:pPr>
      <w:r w:rsidRPr="00405FCB">
        <w:rPr>
          <w:rFonts w:ascii="Times New Roman" w:hAnsi="Times New Roman" w:cs="Times New Roman"/>
          <w:sz w:val="24"/>
          <w:szCs w:val="24"/>
        </w:rPr>
        <w:lastRenderedPageBreak/>
        <w:t xml:space="preserve">Herodotus devotes a large section of his narrative to discussing the tale of the ascension of Darius to the throne, the story goes as follows: Darius and his fellow conspirators </w:t>
      </w:r>
      <w:r w:rsidR="00AA56B0" w:rsidRPr="00405FCB">
        <w:rPr>
          <w:rFonts w:ascii="Times New Roman" w:hAnsi="Times New Roman" w:cs="Times New Roman"/>
          <w:sz w:val="24"/>
          <w:szCs w:val="24"/>
        </w:rPr>
        <w:t xml:space="preserve">revolt against the current leadership and upon their victory they engage in a debate about how they shall rule the land they have just won, Otanes believes that they should be run as a democracy, Maegabyzus says it should be an oligarchy and finally Darius believes there should be a monarchy. After putting their suggestions forward the remaining members of the revolt vote and it is decided there will be a monarchy, who shall rule was decided by chance on whose horse should neigh first at sun rise the next morning, Darius cheats and becomes king. I think that the interesting points that we can glean from this narrative is that the Persians could have been rule in a very different manor and that the Greek people would have recognised the potential similarities that would have arisen between them if the democracy had been triumphant. With this in mind given the similarities between the Greeks and the Persians had another form of rule emerged victorious and their civilisation been built on different morals would the outcome of the war been different or even happened at all. I believe that these are some of the questions that Herodotus was trying in to raise by including this constitutional debate. Throughout his Persian logos Herodotus seems to evoke many what ifs for example the beginning of book 7 when Xerxes is going to war, I believe that the reason that Xerxes is indecisive and it is implied that the invasion of Greece were to not have happened is another what if and this links to the purpose of the inclusion of ethnography in the histories. This attempt to evoke a thoughtfulness and almost self aware questioning is part of the reason for ethnographic presentation </w:t>
      </w:r>
      <w:r w:rsidR="00560251" w:rsidRPr="00405FCB">
        <w:rPr>
          <w:rFonts w:ascii="Times New Roman" w:hAnsi="Times New Roman" w:cs="Times New Roman"/>
          <w:sz w:val="24"/>
          <w:szCs w:val="24"/>
        </w:rPr>
        <w:t>by giving the Greeks this aware nature of questioning and then breaking that down by posing questions of what if events hadn’t happened this way would also force the Greeks, who obviously knew the outcome of the war, to maybe delve into the way of thinking if their own ethnography is intertwined with that of the Persian and would they be the same if it hadn’t happened.</w:t>
      </w:r>
    </w:p>
    <w:p w:rsidR="00560251" w:rsidRPr="00405FCB" w:rsidRDefault="00560251" w:rsidP="00405FCB">
      <w:pPr>
        <w:spacing w:line="360" w:lineRule="auto"/>
        <w:rPr>
          <w:rFonts w:ascii="Times New Roman" w:hAnsi="Times New Roman" w:cs="Times New Roman"/>
          <w:sz w:val="24"/>
          <w:szCs w:val="24"/>
        </w:rPr>
      </w:pPr>
      <w:r w:rsidRPr="00405FCB">
        <w:rPr>
          <w:rFonts w:ascii="Times New Roman" w:hAnsi="Times New Roman" w:cs="Times New Roman"/>
          <w:sz w:val="24"/>
          <w:szCs w:val="24"/>
        </w:rPr>
        <w:t xml:space="preserve">Returning to the indecisiveness of Xerxes, which in the large narrative shows his duality when compared to his decisive behaviour when observing his fleet, Baragwanath posses a different point of view that this was not Xerxes being indecisive by it was him taking his time to deliberate in a cause of action. He is in fact portrayed as cautious and reflective, when he meets with his advisers he is calculative in his actions, later conveying his respect for his elders and playing down his own views and opinions and highlighting the importance of history and the opinion of the other member but later declaring that he wants their opinion and then declares what he desires. By doing this he does not come off as a victim of his own </w:t>
      </w:r>
      <w:r w:rsidRPr="00405FCB">
        <w:rPr>
          <w:rFonts w:ascii="Times New Roman" w:hAnsi="Times New Roman" w:cs="Times New Roman"/>
          <w:sz w:val="24"/>
          <w:szCs w:val="24"/>
        </w:rPr>
        <w:lastRenderedPageBreak/>
        <w:t>personal lust. I think this is a very compelling presentation of Xerxes, one which I am inclined to support.</w:t>
      </w:r>
      <w:r w:rsidRPr="00405FCB">
        <w:rPr>
          <w:rStyle w:val="FootnoteReference"/>
          <w:rFonts w:ascii="Times New Roman" w:hAnsi="Times New Roman" w:cs="Times New Roman"/>
          <w:sz w:val="24"/>
          <w:szCs w:val="24"/>
        </w:rPr>
        <w:footnoteReference w:id="17"/>
      </w:r>
    </w:p>
    <w:p w:rsidR="001D4CEA" w:rsidRPr="00405FCB" w:rsidRDefault="008C516A" w:rsidP="00405FCB">
      <w:pPr>
        <w:spacing w:line="360" w:lineRule="auto"/>
        <w:rPr>
          <w:rFonts w:ascii="Times New Roman" w:hAnsi="Times New Roman" w:cs="Times New Roman"/>
          <w:sz w:val="24"/>
          <w:szCs w:val="24"/>
        </w:rPr>
      </w:pPr>
      <w:r w:rsidRPr="00405FCB">
        <w:rPr>
          <w:rFonts w:ascii="Times New Roman" w:hAnsi="Times New Roman" w:cs="Times New Roman"/>
          <w:sz w:val="24"/>
          <w:szCs w:val="24"/>
        </w:rPr>
        <w:t>The inclusion of the Scythian logos stands out so strongly because they are such a contracting people from the Greeks, Egyptians and Persians. They are a nomadic people who believe themselves to be the youngest of earth</w:t>
      </w:r>
      <w:r w:rsidR="00867D8F" w:rsidRPr="00405FCB">
        <w:rPr>
          <w:rFonts w:ascii="Times New Roman" w:hAnsi="Times New Roman" w:cs="Times New Roman"/>
          <w:sz w:val="24"/>
          <w:szCs w:val="24"/>
        </w:rPr>
        <w:t>’</w:t>
      </w:r>
      <w:r w:rsidRPr="00405FCB">
        <w:rPr>
          <w:rFonts w:ascii="Times New Roman" w:hAnsi="Times New Roman" w:cs="Times New Roman"/>
          <w:sz w:val="24"/>
          <w:szCs w:val="24"/>
        </w:rPr>
        <w:t>s peoples</w:t>
      </w:r>
      <w:r w:rsidR="00867D8F" w:rsidRPr="00405FCB">
        <w:rPr>
          <w:rFonts w:ascii="Times New Roman" w:hAnsi="Times New Roman" w:cs="Times New Roman"/>
          <w:sz w:val="24"/>
          <w:szCs w:val="24"/>
        </w:rPr>
        <w:t xml:space="preserve"> and have no real structure to their civilisation and as a result are very lacking in history, making them the most barbarous of all the peoples discussed. Furthermore due to this nomadic life style there are no structures or monuments to be observed </w:t>
      </w:r>
      <w:r w:rsidR="008F626B" w:rsidRPr="00405FCB">
        <w:rPr>
          <w:rFonts w:ascii="Times New Roman" w:hAnsi="Times New Roman" w:cs="Times New Roman"/>
          <w:sz w:val="24"/>
          <w:szCs w:val="24"/>
        </w:rPr>
        <w:t xml:space="preserve">thus their god is faceless there is no artistic, literary or architectural development for Herodotus to observe. Due to the lack of the marvellous Lateiner describes even the mundane as being riveting to these </w:t>
      </w:r>
      <w:r w:rsidR="00CE557C" w:rsidRPr="00405FCB">
        <w:rPr>
          <w:rFonts w:ascii="Times New Roman" w:hAnsi="Times New Roman" w:cs="Times New Roman"/>
          <w:sz w:val="24"/>
          <w:szCs w:val="24"/>
        </w:rPr>
        <w:t>people;</w:t>
      </w:r>
      <w:r w:rsidR="008F626B" w:rsidRPr="00405FCB">
        <w:rPr>
          <w:rFonts w:ascii="Times New Roman" w:hAnsi="Times New Roman" w:cs="Times New Roman"/>
          <w:sz w:val="24"/>
          <w:szCs w:val="24"/>
        </w:rPr>
        <w:t xml:space="preserve"> the ethnographical becomes an observation of their day to day, their diet, movement and habits all of which greatly differ from that of the Greeks. Herodotus does observe that the </w:t>
      </w:r>
      <w:r w:rsidR="00CE557C" w:rsidRPr="00405FCB">
        <w:rPr>
          <w:rFonts w:ascii="Times New Roman" w:hAnsi="Times New Roman" w:cs="Times New Roman"/>
          <w:sz w:val="24"/>
          <w:szCs w:val="24"/>
        </w:rPr>
        <w:t>harsh conditions that they  live in does fashion a more hardy individual and as a result tougher soldiers, a combination of this and the geography of the land has prevented them being subjugated by the Persians. Topography is something that Herodotus has used as a basis for his ethnography, we see it in the Egyptian logos with his vivid description of the Nile</w:t>
      </w:r>
      <w:r w:rsidR="00B8634F" w:rsidRPr="00405FCB">
        <w:rPr>
          <w:rFonts w:ascii="Times New Roman" w:hAnsi="Times New Roman" w:cs="Times New Roman"/>
          <w:sz w:val="24"/>
          <w:szCs w:val="24"/>
        </w:rPr>
        <w:t xml:space="preserve"> and also in the Scythian with the hardiness of the land which draws us to the conclusion that the Histories is not a work of history but of ethnography. Geography does not make history but it affects human existence and action</w:t>
      </w:r>
      <w:r w:rsidR="00B8634F" w:rsidRPr="00405FCB">
        <w:rPr>
          <w:rStyle w:val="FootnoteReference"/>
          <w:rFonts w:ascii="Times New Roman" w:hAnsi="Times New Roman" w:cs="Times New Roman"/>
          <w:sz w:val="24"/>
          <w:szCs w:val="24"/>
        </w:rPr>
        <w:footnoteReference w:id="18"/>
      </w:r>
      <w:r w:rsidR="00B8634F" w:rsidRPr="00405FCB">
        <w:rPr>
          <w:rFonts w:ascii="Times New Roman" w:hAnsi="Times New Roman" w:cs="Times New Roman"/>
          <w:sz w:val="24"/>
          <w:szCs w:val="24"/>
        </w:rPr>
        <w:t xml:space="preserve">; Herodotus devotes vast portions of his narrative to geography and topography of places and how the peoples around them survive. </w:t>
      </w:r>
      <w:r w:rsidR="001E0C2B" w:rsidRPr="00405FCB">
        <w:rPr>
          <w:rFonts w:ascii="Times New Roman" w:hAnsi="Times New Roman" w:cs="Times New Roman"/>
          <w:sz w:val="24"/>
          <w:szCs w:val="24"/>
        </w:rPr>
        <w:br/>
        <w:t>Scythia is definitely meant to be a juxtaposition to the Greeks way o</w:t>
      </w:r>
      <w:r w:rsidR="00F37B21" w:rsidRPr="00405FCB">
        <w:rPr>
          <w:rFonts w:ascii="Times New Roman" w:hAnsi="Times New Roman" w:cs="Times New Roman"/>
          <w:sz w:val="24"/>
          <w:szCs w:val="24"/>
        </w:rPr>
        <w:t>f life.</w:t>
      </w:r>
    </w:p>
    <w:p w:rsidR="00B8634F" w:rsidRPr="00405FCB" w:rsidRDefault="00B8634F" w:rsidP="00405FCB">
      <w:pPr>
        <w:spacing w:line="360" w:lineRule="auto"/>
        <w:rPr>
          <w:rFonts w:ascii="Times New Roman" w:hAnsi="Times New Roman" w:cs="Times New Roman"/>
          <w:sz w:val="24"/>
          <w:szCs w:val="24"/>
        </w:rPr>
      </w:pPr>
      <w:r w:rsidRPr="00405FCB">
        <w:rPr>
          <w:rFonts w:ascii="Times New Roman" w:hAnsi="Times New Roman" w:cs="Times New Roman"/>
          <w:sz w:val="24"/>
          <w:szCs w:val="24"/>
        </w:rPr>
        <w:t xml:space="preserve">The Histories by Herodotus bridges the gap between a work of history and ethnography the individual civilisations discussed all have an ethnographic purpose, </w:t>
      </w:r>
      <w:r w:rsidR="001D4CEA" w:rsidRPr="00405FCB">
        <w:rPr>
          <w:rFonts w:ascii="Times New Roman" w:hAnsi="Times New Roman" w:cs="Times New Roman"/>
          <w:sz w:val="24"/>
          <w:szCs w:val="24"/>
        </w:rPr>
        <w:t>for Egypt it is to be a developed nation that juxtaposes the Greek customs, the Persians are the antagonists to the Greeks that Herodotus felt they needed to have an understanding of who they fought and the Scythians are the antithesis to the Greek. They all</w:t>
      </w:r>
      <w:r w:rsidRPr="00405FCB">
        <w:rPr>
          <w:rFonts w:ascii="Times New Roman" w:hAnsi="Times New Roman" w:cs="Times New Roman"/>
          <w:sz w:val="24"/>
          <w:szCs w:val="24"/>
        </w:rPr>
        <w:t xml:space="preserve"> function as a comparison the Greeks </w:t>
      </w:r>
      <w:r w:rsidR="001D4CEA" w:rsidRPr="00405FCB">
        <w:rPr>
          <w:rFonts w:ascii="Times New Roman" w:hAnsi="Times New Roman" w:cs="Times New Roman"/>
          <w:sz w:val="24"/>
          <w:szCs w:val="24"/>
        </w:rPr>
        <w:t>by delving into their cultural differences we are able to attribute what made the Greeks Greek and by giving them this sense of identity before the climax of the Greco Persian war it highlights what they as a people would have lost if the war had been lost. The purpose of the ethnographic presentation in Herodotus is to give the Greeks identity.</w:t>
      </w:r>
    </w:p>
    <w:p w:rsidR="00A358C5" w:rsidRPr="00405FCB" w:rsidRDefault="00A358C5" w:rsidP="00405FCB">
      <w:pPr>
        <w:spacing w:line="360" w:lineRule="auto"/>
        <w:rPr>
          <w:rFonts w:ascii="Times New Roman" w:hAnsi="Times New Roman" w:cs="Times New Roman"/>
          <w:sz w:val="24"/>
          <w:szCs w:val="24"/>
        </w:rPr>
      </w:pPr>
    </w:p>
    <w:p w:rsidR="00A358C5" w:rsidRPr="00405FCB" w:rsidRDefault="00A358C5" w:rsidP="00405FCB">
      <w:pPr>
        <w:spacing w:line="360" w:lineRule="auto"/>
        <w:rPr>
          <w:rFonts w:ascii="Times New Roman" w:hAnsi="Times New Roman" w:cs="Times New Roman"/>
          <w:sz w:val="24"/>
          <w:szCs w:val="24"/>
        </w:rPr>
      </w:pPr>
    </w:p>
    <w:p w:rsidR="00405FCB" w:rsidRPr="00405FCB" w:rsidRDefault="00405FCB" w:rsidP="00405FCB">
      <w:pPr>
        <w:spacing w:line="360" w:lineRule="auto"/>
        <w:rPr>
          <w:rFonts w:ascii="Times New Roman" w:hAnsi="Times New Roman" w:cs="Times New Roman"/>
          <w:sz w:val="24"/>
          <w:szCs w:val="24"/>
        </w:rPr>
      </w:pPr>
    </w:p>
    <w:p w:rsidR="00405FCB" w:rsidRPr="00405FCB" w:rsidRDefault="00405FCB" w:rsidP="00405FCB">
      <w:pPr>
        <w:spacing w:line="360" w:lineRule="auto"/>
        <w:rPr>
          <w:rFonts w:ascii="Times New Roman" w:hAnsi="Times New Roman" w:cs="Times New Roman"/>
          <w:sz w:val="24"/>
          <w:szCs w:val="24"/>
        </w:rPr>
      </w:pPr>
      <w:r w:rsidRPr="00405FCB">
        <w:rPr>
          <w:rFonts w:ascii="Times New Roman" w:hAnsi="Times New Roman" w:cs="Times New Roman"/>
          <w:sz w:val="24"/>
          <w:szCs w:val="24"/>
        </w:rPr>
        <w:br w:type="page"/>
      </w:r>
    </w:p>
    <w:p w:rsidR="00A358C5" w:rsidRPr="00405FCB" w:rsidRDefault="00405FCB" w:rsidP="00405FCB">
      <w:pPr>
        <w:spacing w:line="360" w:lineRule="auto"/>
        <w:rPr>
          <w:rFonts w:ascii="Times New Roman" w:hAnsi="Times New Roman" w:cs="Times New Roman"/>
          <w:sz w:val="24"/>
          <w:szCs w:val="24"/>
        </w:rPr>
      </w:pPr>
      <w:r w:rsidRPr="00405FCB">
        <w:rPr>
          <w:rFonts w:ascii="Times New Roman" w:hAnsi="Times New Roman" w:cs="Times New Roman"/>
          <w:sz w:val="24"/>
          <w:szCs w:val="24"/>
        </w:rPr>
        <w:lastRenderedPageBreak/>
        <w:t>Bibliography</w:t>
      </w:r>
    </w:p>
    <w:p w:rsidR="00405FCB" w:rsidRPr="00405FCB" w:rsidRDefault="00405FCB" w:rsidP="00405FCB">
      <w:pPr>
        <w:spacing w:line="360" w:lineRule="auto"/>
        <w:rPr>
          <w:rFonts w:ascii="Times New Roman" w:hAnsi="Times New Roman" w:cs="Times New Roman"/>
          <w:color w:val="333333"/>
          <w:sz w:val="24"/>
          <w:szCs w:val="24"/>
          <w:shd w:val="clear" w:color="auto" w:fill="FFFFFF"/>
        </w:rPr>
      </w:pPr>
      <w:r w:rsidRPr="00405FCB">
        <w:rPr>
          <w:rFonts w:ascii="Times New Roman" w:hAnsi="Times New Roman" w:cs="Times New Roman"/>
          <w:color w:val="333333"/>
          <w:sz w:val="24"/>
          <w:szCs w:val="24"/>
          <w:shd w:val="clear" w:color="auto" w:fill="FFFFFF"/>
        </w:rPr>
        <w:t>MUNSON, R. (2009). Who Are Herodotus' Persians? </w:t>
      </w:r>
      <w:r w:rsidRPr="00405FCB">
        <w:rPr>
          <w:rFonts w:ascii="Times New Roman" w:hAnsi="Times New Roman" w:cs="Times New Roman"/>
          <w:i/>
          <w:iCs/>
          <w:color w:val="333333"/>
          <w:sz w:val="24"/>
          <w:szCs w:val="24"/>
          <w:shd w:val="clear" w:color="auto" w:fill="FFFFFF"/>
        </w:rPr>
        <w:t>The Classical World,</w:t>
      </w:r>
      <w:r w:rsidRPr="00405FCB">
        <w:rPr>
          <w:rFonts w:ascii="Times New Roman" w:hAnsi="Times New Roman" w:cs="Times New Roman"/>
          <w:color w:val="333333"/>
          <w:sz w:val="24"/>
          <w:szCs w:val="24"/>
          <w:shd w:val="clear" w:color="auto" w:fill="FFFFFF"/>
        </w:rPr>
        <w:t> </w:t>
      </w:r>
      <w:r w:rsidRPr="00405FCB">
        <w:rPr>
          <w:rFonts w:ascii="Times New Roman" w:hAnsi="Times New Roman" w:cs="Times New Roman"/>
          <w:i/>
          <w:iCs/>
          <w:color w:val="333333"/>
          <w:sz w:val="24"/>
          <w:szCs w:val="24"/>
          <w:shd w:val="clear" w:color="auto" w:fill="FFFFFF"/>
        </w:rPr>
        <w:t>102</w:t>
      </w:r>
      <w:r w:rsidRPr="00405FCB">
        <w:rPr>
          <w:rFonts w:ascii="Times New Roman" w:hAnsi="Times New Roman" w:cs="Times New Roman"/>
          <w:color w:val="333333"/>
          <w:sz w:val="24"/>
          <w:szCs w:val="24"/>
          <w:shd w:val="clear" w:color="auto" w:fill="FFFFFF"/>
        </w:rPr>
        <w:t xml:space="preserve">(4), 457-470. Retrieved from </w:t>
      </w:r>
      <w:hyperlink r:id="rId9" w:history="1">
        <w:r w:rsidRPr="00405FCB">
          <w:rPr>
            <w:rStyle w:val="Hyperlink"/>
            <w:rFonts w:ascii="Times New Roman" w:hAnsi="Times New Roman" w:cs="Times New Roman"/>
            <w:sz w:val="24"/>
            <w:szCs w:val="24"/>
            <w:shd w:val="clear" w:color="auto" w:fill="FFFFFF"/>
          </w:rPr>
          <w:t>http://www.jstor.org/stable/40599878</w:t>
        </w:r>
      </w:hyperlink>
    </w:p>
    <w:p w:rsidR="00405FCB" w:rsidRPr="007B62B9" w:rsidRDefault="00405FCB" w:rsidP="00405FCB">
      <w:pPr>
        <w:shd w:val="clear" w:color="auto" w:fill="FFFFFF"/>
        <w:spacing w:after="0" w:line="360" w:lineRule="auto"/>
        <w:outlineLvl w:val="0"/>
        <w:rPr>
          <w:rFonts w:ascii="Times New Roman" w:eastAsia="Times New Roman" w:hAnsi="Times New Roman" w:cs="Times New Roman"/>
          <w:b/>
          <w:bCs/>
          <w:color w:val="333333"/>
          <w:kern w:val="36"/>
          <w:sz w:val="24"/>
          <w:szCs w:val="24"/>
          <w:lang w:eastAsia="en-GB"/>
        </w:rPr>
      </w:pPr>
      <w:r w:rsidRPr="007B62B9">
        <w:rPr>
          <w:rFonts w:ascii="Times New Roman" w:eastAsia="Times New Roman" w:hAnsi="Times New Roman" w:cs="Times New Roman"/>
          <w:b/>
          <w:bCs/>
          <w:color w:val="333333"/>
          <w:kern w:val="36"/>
          <w:sz w:val="24"/>
          <w:szCs w:val="24"/>
          <w:lang w:eastAsia="en-GB"/>
        </w:rPr>
        <w:t>The Historical Method of Herodotus</w:t>
      </w:r>
    </w:p>
    <w:p w:rsidR="00405FCB" w:rsidRPr="00405FCB" w:rsidRDefault="00405FCB" w:rsidP="00405FCB">
      <w:pPr>
        <w:spacing w:line="360" w:lineRule="auto"/>
        <w:rPr>
          <w:rFonts w:ascii="Times New Roman" w:eastAsia="Times New Roman" w:hAnsi="Times New Roman" w:cs="Times New Roman"/>
          <w:color w:val="333333"/>
          <w:sz w:val="24"/>
          <w:szCs w:val="24"/>
          <w:lang w:eastAsia="en-GB"/>
        </w:rPr>
      </w:pPr>
      <w:r w:rsidRPr="00405FCB">
        <w:rPr>
          <w:rFonts w:ascii="Times New Roman" w:eastAsia="Times New Roman" w:hAnsi="Times New Roman" w:cs="Times New Roman"/>
          <w:color w:val="333333"/>
          <w:sz w:val="24"/>
          <w:szCs w:val="24"/>
          <w:lang w:eastAsia="en-GB"/>
        </w:rPr>
        <w:t>By Donald Lateiner</w:t>
      </w:r>
    </w:p>
    <w:p w:rsidR="00405FCB" w:rsidRPr="00405FCB" w:rsidRDefault="00405FCB" w:rsidP="00405FCB">
      <w:pPr>
        <w:pStyle w:val="Heading1"/>
        <w:shd w:val="clear" w:color="auto" w:fill="FFFFFF"/>
        <w:spacing w:before="0" w:beforeAutospacing="0" w:after="0" w:afterAutospacing="0" w:line="360" w:lineRule="auto"/>
        <w:rPr>
          <w:color w:val="333333"/>
          <w:sz w:val="24"/>
          <w:szCs w:val="24"/>
        </w:rPr>
      </w:pPr>
      <w:r w:rsidRPr="00405FCB">
        <w:rPr>
          <w:color w:val="333333"/>
          <w:sz w:val="24"/>
          <w:szCs w:val="24"/>
        </w:rPr>
        <w:t>Herodotus in Context: Ethnography, Science and the Art of Persuasion</w:t>
      </w:r>
    </w:p>
    <w:p w:rsidR="00405FCB" w:rsidRPr="00405FCB" w:rsidRDefault="00405FCB" w:rsidP="00405FCB">
      <w:pPr>
        <w:pStyle w:val="Heading1"/>
        <w:shd w:val="clear" w:color="auto" w:fill="FFFFFF"/>
        <w:spacing w:before="0" w:beforeAutospacing="0" w:after="0" w:afterAutospacing="0" w:line="360" w:lineRule="auto"/>
        <w:rPr>
          <w:color w:val="333333"/>
          <w:sz w:val="24"/>
          <w:szCs w:val="24"/>
        </w:rPr>
      </w:pPr>
    </w:p>
    <w:p w:rsidR="00405FCB" w:rsidRPr="00405FCB" w:rsidRDefault="00405FCB" w:rsidP="00405FCB">
      <w:pPr>
        <w:pStyle w:val="Heading1"/>
        <w:shd w:val="clear" w:color="auto" w:fill="FFFFFF"/>
        <w:spacing w:before="0" w:beforeAutospacing="0" w:after="0" w:afterAutospacing="0" w:line="360" w:lineRule="auto"/>
        <w:rPr>
          <w:color w:val="333333"/>
          <w:sz w:val="24"/>
          <w:szCs w:val="24"/>
        </w:rPr>
      </w:pPr>
      <w:r w:rsidRPr="00405FCB">
        <w:rPr>
          <w:color w:val="333333"/>
          <w:sz w:val="24"/>
          <w:szCs w:val="24"/>
        </w:rPr>
        <w:t xml:space="preserve">Oxford dictionary </w:t>
      </w:r>
    </w:p>
    <w:p w:rsidR="00405FCB" w:rsidRPr="00405FCB" w:rsidRDefault="00405FCB" w:rsidP="00405FCB">
      <w:pPr>
        <w:pStyle w:val="Heading1"/>
        <w:shd w:val="clear" w:color="auto" w:fill="FFFFFF"/>
        <w:spacing w:before="0" w:beforeAutospacing="0" w:after="0" w:afterAutospacing="0" w:line="360" w:lineRule="auto"/>
        <w:rPr>
          <w:color w:val="333333"/>
          <w:sz w:val="24"/>
          <w:szCs w:val="24"/>
        </w:rPr>
      </w:pPr>
    </w:p>
    <w:p w:rsidR="00405FCB" w:rsidRPr="00405FCB" w:rsidRDefault="00405FCB" w:rsidP="00405FCB">
      <w:pPr>
        <w:pStyle w:val="Heading1"/>
        <w:shd w:val="clear" w:color="auto" w:fill="FFFFFF"/>
        <w:spacing w:before="0" w:beforeAutospacing="0" w:after="0" w:afterAutospacing="0" w:line="360" w:lineRule="auto"/>
        <w:rPr>
          <w:color w:val="333333"/>
          <w:sz w:val="24"/>
          <w:szCs w:val="24"/>
        </w:rPr>
      </w:pPr>
      <w:r w:rsidRPr="00405FCB">
        <w:rPr>
          <w:color w:val="333333"/>
          <w:sz w:val="24"/>
          <w:szCs w:val="24"/>
        </w:rPr>
        <w:t>Cambridge dictionary</w:t>
      </w:r>
    </w:p>
    <w:p w:rsidR="00405FCB" w:rsidRPr="00405FCB" w:rsidRDefault="00405FCB" w:rsidP="00405FCB">
      <w:pPr>
        <w:pStyle w:val="Heading1"/>
        <w:shd w:val="clear" w:color="auto" w:fill="FFFFFF"/>
        <w:spacing w:before="0" w:beforeAutospacing="0" w:after="0" w:afterAutospacing="0" w:line="360" w:lineRule="auto"/>
        <w:rPr>
          <w:color w:val="333333"/>
          <w:sz w:val="24"/>
          <w:szCs w:val="24"/>
        </w:rPr>
      </w:pPr>
    </w:p>
    <w:p w:rsidR="00405FCB" w:rsidRPr="00405FCB" w:rsidRDefault="00405FCB" w:rsidP="00405FCB">
      <w:pPr>
        <w:pStyle w:val="Heading1"/>
        <w:shd w:val="clear" w:color="auto" w:fill="FFFFFF"/>
        <w:spacing w:before="0" w:beforeAutospacing="0" w:after="0" w:afterAutospacing="0" w:line="360" w:lineRule="auto"/>
        <w:rPr>
          <w:color w:val="000000"/>
          <w:sz w:val="24"/>
          <w:szCs w:val="24"/>
          <w:shd w:val="clear" w:color="auto" w:fill="FFFFFF"/>
        </w:rPr>
      </w:pPr>
      <w:r w:rsidRPr="00405FCB">
        <w:rPr>
          <w:color w:val="000000"/>
          <w:sz w:val="24"/>
          <w:szCs w:val="24"/>
          <w:shd w:val="clear" w:color="auto" w:fill="FFFFFF"/>
        </w:rPr>
        <w:t xml:space="preserve">Kwame Harrison, A. (2018-06-14). Introduction to Ethnography. In  (Ed.), Ethnography. : Oxford University Press,. Retrieved 8 Mar. 2019, from </w:t>
      </w:r>
      <w:hyperlink r:id="rId10" w:history="1">
        <w:r w:rsidRPr="00405FCB">
          <w:rPr>
            <w:rStyle w:val="Hyperlink"/>
            <w:sz w:val="24"/>
            <w:szCs w:val="24"/>
            <w:shd w:val="clear" w:color="auto" w:fill="FFFFFF"/>
          </w:rPr>
          <w:t>http://www.oxfordscholarship.com/view/10.1093/oso/9780199371785.001.0001/oso-9780199371785-chapter-1</w:t>
        </w:r>
      </w:hyperlink>
      <w:r w:rsidRPr="00405FCB">
        <w:rPr>
          <w:color w:val="000000"/>
          <w:sz w:val="24"/>
          <w:szCs w:val="24"/>
          <w:shd w:val="clear" w:color="auto" w:fill="FFFFFF"/>
        </w:rPr>
        <w:t>.</w:t>
      </w:r>
    </w:p>
    <w:p w:rsidR="00405FCB" w:rsidRPr="00405FCB" w:rsidRDefault="00405FCB" w:rsidP="00405FCB">
      <w:pPr>
        <w:spacing w:line="360" w:lineRule="auto"/>
        <w:rPr>
          <w:rFonts w:ascii="Times New Roman" w:hAnsi="Times New Roman" w:cs="Times New Roman"/>
          <w:sz w:val="24"/>
          <w:szCs w:val="24"/>
        </w:rPr>
      </w:pPr>
    </w:p>
    <w:p w:rsidR="00405FCB" w:rsidRPr="00405FCB" w:rsidRDefault="00405FCB" w:rsidP="00405FCB">
      <w:pPr>
        <w:spacing w:line="360" w:lineRule="auto"/>
        <w:rPr>
          <w:rFonts w:ascii="Times New Roman" w:hAnsi="Times New Roman" w:cs="Times New Roman"/>
          <w:sz w:val="24"/>
          <w:szCs w:val="24"/>
          <w:shd w:val="clear" w:color="auto" w:fill="FFFFFF"/>
        </w:rPr>
      </w:pPr>
      <w:r w:rsidRPr="00405FCB">
        <w:rPr>
          <w:rFonts w:ascii="Times New Roman" w:hAnsi="Times New Roman" w:cs="Times New Roman"/>
          <w:sz w:val="24"/>
          <w:szCs w:val="24"/>
          <w:shd w:val="clear" w:color="auto" w:fill="FFFFFF"/>
        </w:rPr>
        <w:t xml:space="preserve">Rawlinson, G. (1996) </w:t>
      </w:r>
      <w:r w:rsidRPr="00405FCB">
        <w:rPr>
          <w:rFonts w:ascii="Times New Roman" w:hAnsi="Times New Roman" w:cs="Times New Roman"/>
          <w:i/>
          <w:sz w:val="24"/>
          <w:szCs w:val="24"/>
          <w:shd w:val="clear" w:color="auto" w:fill="FFFFFF"/>
        </w:rPr>
        <w:t xml:space="preserve">Herodotus Histories. </w:t>
      </w:r>
      <w:r w:rsidRPr="00405FCB">
        <w:rPr>
          <w:rFonts w:ascii="Times New Roman" w:hAnsi="Times New Roman" w:cs="Times New Roman"/>
          <w:sz w:val="24"/>
          <w:szCs w:val="24"/>
          <w:shd w:val="clear" w:color="auto" w:fill="FFFFFF"/>
        </w:rPr>
        <w:t>Hertfordshire: Wordsworth Editions Limited.</w:t>
      </w:r>
    </w:p>
    <w:p w:rsidR="00405FCB" w:rsidRPr="00405FCB" w:rsidRDefault="00405FCB" w:rsidP="00405FCB">
      <w:pPr>
        <w:spacing w:line="360" w:lineRule="auto"/>
        <w:rPr>
          <w:rFonts w:ascii="Times New Roman" w:hAnsi="Times New Roman" w:cs="Times New Roman"/>
          <w:color w:val="000000"/>
          <w:sz w:val="24"/>
          <w:szCs w:val="24"/>
        </w:rPr>
      </w:pPr>
      <w:r w:rsidRPr="00405FCB">
        <w:rPr>
          <w:rFonts w:ascii="Times New Roman" w:hAnsi="Times New Roman" w:cs="Times New Roman"/>
          <w:color w:val="000000"/>
          <w:sz w:val="24"/>
          <w:szCs w:val="24"/>
          <w:shd w:val="clear" w:color="auto" w:fill="FFFFFF"/>
        </w:rPr>
        <w:t>Baragwanath, E. (2008-05-15). Xerxes: motivation and explanation (Books VII–IX). In  (Ed.), Motivation and Narrative in Herodotus. : Oxford University Press,. Retrieved 8 Mar. 2019, from http://www.oxfordscholarship.com/view/10.1093/acprof:oso/9780199231294.001.0001/acprof-9780199231294-chapter-8.</w:t>
      </w:r>
    </w:p>
    <w:p w:rsidR="00405FCB" w:rsidRDefault="00405FCB"/>
    <w:sectPr w:rsidR="00405FCB" w:rsidSect="00561CC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515C" w:rsidRDefault="001B515C" w:rsidP="00DC2237">
      <w:pPr>
        <w:spacing w:after="0" w:line="240" w:lineRule="auto"/>
      </w:pPr>
      <w:r>
        <w:separator/>
      </w:r>
    </w:p>
  </w:endnote>
  <w:endnote w:type="continuationSeparator" w:id="1">
    <w:p w:rsidR="001B515C" w:rsidRDefault="001B515C" w:rsidP="00DC22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515C" w:rsidRDefault="001B515C" w:rsidP="00DC2237">
      <w:pPr>
        <w:spacing w:after="0" w:line="240" w:lineRule="auto"/>
      </w:pPr>
      <w:r>
        <w:separator/>
      </w:r>
    </w:p>
  </w:footnote>
  <w:footnote w:type="continuationSeparator" w:id="1">
    <w:p w:rsidR="001B515C" w:rsidRDefault="001B515C" w:rsidP="00DC2237">
      <w:pPr>
        <w:spacing w:after="0" w:line="240" w:lineRule="auto"/>
      </w:pPr>
      <w:r>
        <w:continuationSeparator/>
      </w:r>
    </w:p>
  </w:footnote>
  <w:footnote w:id="2">
    <w:p w:rsidR="00DC2237" w:rsidRDefault="00DC2237">
      <w:pPr>
        <w:pStyle w:val="FootnoteText"/>
      </w:pPr>
      <w:r>
        <w:rPr>
          <w:rStyle w:val="FootnoteReference"/>
        </w:rPr>
        <w:footnoteRef/>
      </w:r>
      <w:r>
        <w:t xml:space="preserve"> </w:t>
      </w:r>
      <w:r w:rsidR="00DE6904">
        <w:t>Lateiner p147</w:t>
      </w:r>
    </w:p>
  </w:footnote>
  <w:footnote w:id="3">
    <w:p w:rsidR="00DE6904" w:rsidRDefault="00DE6904">
      <w:pPr>
        <w:pStyle w:val="FootnoteText"/>
      </w:pPr>
      <w:r>
        <w:rPr>
          <w:rStyle w:val="FootnoteReference"/>
        </w:rPr>
        <w:footnoteRef/>
      </w:r>
      <w:r>
        <w:t xml:space="preserve"> Oxford dictionary</w:t>
      </w:r>
    </w:p>
  </w:footnote>
  <w:footnote w:id="4">
    <w:p w:rsidR="006A203D" w:rsidRDefault="006A203D">
      <w:pPr>
        <w:pStyle w:val="FootnoteText"/>
      </w:pPr>
      <w:r>
        <w:rPr>
          <w:rStyle w:val="FootnoteReference"/>
        </w:rPr>
        <w:footnoteRef/>
      </w:r>
      <w:r>
        <w:t xml:space="preserve"> Cambridge dictionary</w:t>
      </w:r>
    </w:p>
  </w:footnote>
  <w:footnote w:id="5">
    <w:p w:rsidR="006A203D" w:rsidRDefault="006A203D">
      <w:pPr>
        <w:pStyle w:val="FootnoteText"/>
      </w:pPr>
      <w:r>
        <w:rPr>
          <w:rStyle w:val="FootnoteReference"/>
        </w:rPr>
        <w:footnoteRef/>
      </w:r>
      <w:r>
        <w:t xml:space="preserve"> Hdt 2, 1</w:t>
      </w:r>
    </w:p>
  </w:footnote>
  <w:footnote w:id="6">
    <w:p w:rsidR="0097467E" w:rsidRDefault="0097467E">
      <w:pPr>
        <w:pStyle w:val="FootnoteText"/>
      </w:pPr>
      <w:r>
        <w:rPr>
          <w:rStyle w:val="FootnoteReference"/>
        </w:rPr>
        <w:footnoteRef/>
      </w:r>
      <w:r>
        <w:t xml:space="preserve"> Hdt 2, 178</w:t>
      </w:r>
    </w:p>
  </w:footnote>
  <w:footnote w:id="7">
    <w:p w:rsidR="006A203D" w:rsidRDefault="006A203D">
      <w:pPr>
        <w:pStyle w:val="FootnoteText"/>
      </w:pPr>
      <w:r>
        <w:rPr>
          <w:rStyle w:val="FootnoteReference"/>
        </w:rPr>
        <w:footnoteRef/>
      </w:r>
      <w:r>
        <w:t xml:space="preserve"> Hdt 2, 3</w:t>
      </w:r>
    </w:p>
  </w:footnote>
  <w:footnote w:id="8">
    <w:p w:rsidR="00F72120" w:rsidRDefault="00F72120">
      <w:pPr>
        <w:pStyle w:val="FootnoteText"/>
      </w:pPr>
      <w:r>
        <w:rPr>
          <w:rStyle w:val="FootnoteReference"/>
        </w:rPr>
        <w:footnoteRef/>
      </w:r>
      <w:r>
        <w:t xml:space="preserve"> Hrd 2, 35</w:t>
      </w:r>
    </w:p>
  </w:footnote>
  <w:footnote w:id="9">
    <w:p w:rsidR="00B92D4F" w:rsidRDefault="00B92D4F">
      <w:pPr>
        <w:pStyle w:val="FootnoteText"/>
      </w:pPr>
      <w:r>
        <w:rPr>
          <w:rStyle w:val="FootnoteReference"/>
        </w:rPr>
        <w:footnoteRef/>
      </w:r>
      <w:r>
        <w:t xml:space="preserve"> Lateiner p148</w:t>
      </w:r>
    </w:p>
  </w:footnote>
  <w:footnote w:id="10">
    <w:p w:rsidR="00A11C4A" w:rsidRDefault="00A11C4A" w:rsidP="00A11C4A">
      <w:pPr>
        <w:pStyle w:val="FootnoteText"/>
      </w:pPr>
      <w:r>
        <w:rPr>
          <w:rStyle w:val="FootnoteReference"/>
        </w:rPr>
        <w:footnoteRef/>
      </w:r>
      <w:r>
        <w:t xml:space="preserve"> Hdt 2, 36</w:t>
      </w:r>
    </w:p>
  </w:footnote>
  <w:footnote w:id="11">
    <w:p w:rsidR="004641C7" w:rsidRDefault="004641C7">
      <w:pPr>
        <w:pStyle w:val="FootnoteText"/>
      </w:pPr>
      <w:r>
        <w:rPr>
          <w:rStyle w:val="FootnoteReference"/>
        </w:rPr>
        <w:footnoteRef/>
      </w:r>
      <w:r>
        <w:t xml:space="preserve"> Lateiner, p148</w:t>
      </w:r>
    </w:p>
  </w:footnote>
  <w:footnote w:id="12">
    <w:p w:rsidR="00F71C7E" w:rsidRDefault="00F71C7E">
      <w:pPr>
        <w:pStyle w:val="FootnoteText"/>
      </w:pPr>
      <w:r>
        <w:rPr>
          <w:rStyle w:val="FootnoteReference"/>
        </w:rPr>
        <w:footnoteRef/>
      </w:r>
      <w:r>
        <w:t xml:space="preserve"> The children are taken from their fathers and taught to fight between the ages of 5-20 and they are not allowed to see their father until they have survived till they are 10 in order to prevent the father grieving the loss of his child if her were to die before then.</w:t>
      </w:r>
    </w:p>
  </w:footnote>
  <w:footnote w:id="13">
    <w:p w:rsidR="00F71C7E" w:rsidRDefault="00F71C7E">
      <w:pPr>
        <w:pStyle w:val="FootnoteText"/>
      </w:pPr>
      <w:r>
        <w:rPr>
          <w:rStyle w:val="FootnoteReference"/>
        </w:rPr>
        <w:footnoteRef/>
      </w:r>
      <w:r>
        <w:t xml:space="preserve"> Hdt 1, 135-139</w:t>
      </w:r>
    </w:p>
  </w:footnote>
  <w:footnote w:id="14">
    <w:p w:rsidR="00F37476" w:rsidRDefault="00F37476">
      <w:pPr>
        <w:pStyle w:val="FootnoteText"/>
      </w:pPr>
      <w:r>
        <w:rPr>
          <w:rStyle w:val="FootnoteReference"/>
        </w:rPr>
        <w:footnoteRef/>
      </w:r>
      <w:r>
        <w:t xml:space="preserve"> Munson, p457</w:t>
      </w:r>
    </w:p>
  </w:footnote>
  <w:footnote w:id="15">
    <w:p w:rsidR="00CE04F2" w:rsidRDefault="00CE04F2">
      <w:pPr>
        <w:pStyle w:val="FootnoteText"/>
      </w:pPr>
      <w:r>
        <w:rPr>
          <w:rStyle w:val="FootnoteReference"/>
        </w:rPr>
        <w:footnoteRef/>
      </w:r>
      <w:r>
        <w:t xml:space="preserve"> Munson, p458</w:t>
      </w:r>
    </w:p>
  </w:footnote>
  <w:footnote w:id="16">
    <w:p w:rsidR="00F37B21" w:rsidRDefault="00F37B21">
      <w:pPr>
        <w:pStyle w:val="FootnoteText"/>
      </w:pPr>
      <w:r>
        <w:rPr>
          <w:rStyle w:val="FootnoteReference"/>
        </w:rPr>
        <w:footnoteRef/>
      </w:r>
      <w:r>
        <w:t xml:space="preserve"> Munson, p459</w:t>
      </w:r>
    </w:p>
  </w:footnote>
  <w:footnote w:id="17">
    <w:p w:rsidR="00560251" w:rsidRDefault="00560251">
      <w:pPr>
        <w:pStyle w:val="FootnoteText"/>
      </w:pPr>
      <w:r>
        <w:rPr>
          <w:rStyle w:val="FootnoteReference"/>
        </w:rPr>
        <w:footnoteRef/>
      </w:r>
      <w:r>
        <w:t xml:space="preserve"> Bara</w:t>
      </w:r>
      <w:r w:rsidR="00405FCB">
        <w:t>gwanath</w:t>
      </w:r>
    </w:p>
  </w:footnote>
  <w:footnote w:id="18">
    <w:p w:rsidR="00B8634F" w:rsidRDefault="00B8634F">
      <w:pPr>
        <w:pStyle w:val="FootnoteText"/>
      </w:pPr>
      <w:r>
        <w:rPr>
          <w:rStyle w:val="FootnoteReference"/>
        </w:rPr>
        <w:footnoteRef/>
      </w:r>
      <w:r>
        <w:t xml:space="preserve"> Lateiner, p158</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63490A"/>
    <w:multiLevelType w:val="hybridMultilevel"/>
    <w:tmpl w:val="B798B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A358C5"/>
    <w:rsid w:val="00024D23"/>
    <w:rsid w:val="000C58EA"/>
    <w:rsid w:val="0011210C"/>
    <w:rsid w:val="001B515C"/>
    <w:rsid w:val="001D4CEA"/>
    <w:rsid w:val="001E0C2B"/>
    <w:rsid w:val="002D5B98"/>
    <w:rsid w:val="00405FCB"/>
    <w:rsid w:val="004641C7"/>
    <w:rsid w:val="004C28DF"/>
    <w:rsid w:val="00560251"/>
    <w:rsid w:val="00561CC2"/>
    <w:rsid w:val="006A203D"/>
    <w:rsid w:val="006C63AC"/>
    <w:rsid w:val="007870AC"/>
    <w:rsid w:val="007A4752"/>
    <w:rsid w:val="00867D8F"/>
    <w:rsid w:val="008779BB"/>
    <w:rsid w:val="008C516A"/>
    <w:rsid w:val="008F626B"/>
    <w:rsid w:val="0097467E"/>
    <w:rsid w:val="00A11C4A"/>
    <w:rsid w:val="00A358C5"/>
    <w:rsid w:val="00AA56B0"/>
    <w:rsid w:val="00B15D33"/>
    <w:rsid w:val="00B76E42"/>
    <w:rsid w:val="00B8634F"/>
    <w:rsid w:val="00B92D4F"/>
    <w:rsid w:val="00BB4405"/>
    <w:rsid w:val="00C25F49"/>
    <w:rsid w:val="00C5651C"/>
    <w:rsid w:val="00C823FF"/>
    <w:rsid w:val="00CE04F2"/>
    <w:rsid w:val="00CE557C"/>
    <w:rsid w:val="00D16420"/>
    <w:rsid w:val="00D964A2"/>
    <w:rsid w:val="00DC2237"/>
    <w:rsid w:val="00DD3EC8"/>
    <w:rsid w:val="00DE6904"/>
    <w:rsid w:val="00F37476"/>
    <w:rsid w:val="00F37B21"/>
    <w:rsid w:val="00F71C7E"/>
    <w:rsid w:val="00F7212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CC2"/>
  </w:style>
  <w:style w:type="paragraph" w:styleId="Heading1">
    <w:name w:val="heading 1"/>
    <w:basedOn w:val="Normal"/>
    <w:link w:val="Heading1Char"/>
    <w:uiPriority w:val="9"/>
    <w:qFormat/>
    <w:rsid w:val="00405F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C22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C2237"/>
    <w:rPr>
      <w:sz w:val="20"/>
      <w:szCs w:val="20"/>
    </w:rPr>
  </w:style>
  <w:style w:type="character" w:styleId="FootnoteReference">
    <w:name w:val="footnote reference"/>
    <w:basedOn w:val="DefaultParagraphFont"/>
    <w:uiPriority w:val="99"/>
    <w:semiHidden/>
    <w:unhideWhenUsed/>
    <w:rsid w:val="00DC2237"/>
    <w:rPr>
      <w:vertAlign w:val="superscript"/>
    </w:rPr>
  </w:style>
  <w:style w:type="character" w:styleId="Hyperlink">
    <w:name w:val="Hyperlink"/>
    <w:basedOn w:val="DefaultParagraphFont"/>
    <w:uiPriority w:val="99"/>
    <w:semiHidden/>
    <w:unhideWhenUsed/>
    <w:rsid w:val="006A203D"/>
    <w:rPr>
      <w:color w:val="0000FF"/>
      <w:u w:val="single"/>
    </w:rPr>
  </w:style>
  <w:style w:type="character" w:customStyle="1" w:styleId="Heading1Char">
    <w:name w:val="Heading 1 Char"/>
    <w:basedOn w:val="DefaultParagraphFont"/>
    <w:link w:val="Heading1"/>
    <w:uiPriority w:val="9"/>
    <w:rsid w:val="00405FCB"/>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405FC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liv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oxfordscholarship.com/view/10.1093/oso/9780199371785.001.0001/oso-9780199371785-chapter-1" TargetMode="External"/><Relationship Id="rId4" Type="http://schemas.openxmlformats.org/officeDocument/2006/relationships/settings" Target="settings.xml"/><Relationship Id="rId9" Type="http://schemas.openxmlformats.org/officeDocument/2006/relationships/hyperlink" Target="http://www.jstor.org/stable/405998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A0F84-0468-452F-B284-D24693F9D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2076</Words>
  <Characters>11835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Watkin</dc:creator>
  <cp:lastModifiedBy>Watkin</cp:lastModifiedBy>
  <cp:revision>2</cp:revision>
  <dcterms:created xsi:type="dcterms:W3CDTF">2019-03-08T14:52:00Z</dcterms:created>
  <dcterms:modified xsi:type="dcterms:W3CDTF">2019-03-08T14:52:00Z</dcterms:modified>
</cp:coreProperties>
</file>