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3E6007" w:rsidRDefault="003E6007" w14:paraId="34B3313A" w14:textId="77777777" w:rsidP="003E6007">
      <w:pPr>
        <w:jc w:val="center"/>
        <w:rPr>
          <w:bCs/>
          <w:b/>
          <w:rFonts w:ascii="Times New Roman" w:cs="Times New Roman" w:hAnsi="Times New Roman"/>
          <w:sz w:val="52"/>
          <w:szCs w:val="52"/>
        </w:rPr>
      </w:pPr>
    </w:p>
    <w:p w:rsidR="003E6007" w:rsidRDefault="003E6007" w14:paraId="5DC8098D" w14:textId="77777777" w:rsidP="003E6007">
      <w:pPr>
        <w:jc w:val="center"/>
        <w:rPr>
          <w:bCs/>
          <w:b/>
          <w:rFonts w:ascii="Times New Roman" w:cs="Times New Roman" w:hAnsi="Times New Roman"/>
          <w:sz w:val="52"/>
          <w:szCs w:val="52"/>
        </w:rPr>
      </w:pPr>
    </w:p>
    <w:p w:rsidR="003E6007" w:rsidRDefault="003E6007" w14:paraId="0A23CE91" w14:textId="77777777" w:rsidP="003E6007">
      <w:pPr>
        <w:jc w:val="center"/>
        <w:rPr>
          <w:bCs/>
          <w:b/>
          <w:rFonts w:ascii="Times New Roman" w:cs="Times New Roman" w:hAnsi="Times New Roman"/>
          <w:sz w:val="52"/>
          <w:szCs w:val="52"/>
        </w:rPr>
      </w:pPr>
    </w:p>
    <w:p w:rsidR="003E6007" w:rsidRDefault="003E6007" w14:paraId="27AB99E8" w14:textId="77777777" w:rsidP="003E6007">
      <w:pPr>
        <w:jc w:val="center"/>
        <w:rPr>
          <w:bCs/>
          <w:b/>
          <w:rFonts w:ascii="Times New Roman" w:cs="Times New Roman" w:hAnsi="Times New Roman"/>
          <w:sz w:val="52"/>
          <w:szCs w:val="52"/>
        </w:rPr>
      </w:pPr>
    </w:p>
    <w:p w:rsidR="003E6007" w:rsidRDefault="003E6007" w14:paraId="79369196" w14:textId="1AB833E5" w:rsidP="003E6007" w:rsidRPr="00EB1CE0">
      <w:pPr>
        <w:jc w:val="center"/>
        <w:rPr>
          <w:bCs/>
          <w:b/>
          <w:rFonts w:ascii="Times New Roman" w:cs="Times New Roman" w:hAnsi="Times New Roman"/>
          <w:sz w:val="52"/>
          <w:szCs w:val="52"/>
        </w:rPr>
      </w:pPr>
      <w:r w:rsidRPr="00EB1CE0">
        <w:rPr>
          <w:bCs/>
          <w:b/>
          <w:rFonts w:ascii="Times New Roman" w:cs="Times New Roman" w:hAnsi="Times New Roman"/>
          <w:sz w:val="52"/>
          <w:szCs w:val="52"/>
        </w:rPr>
        <w:t>ELENA OPREA</w:t>
      </w:r>
    </w:p>
    <w:p w:rsidR="003E6007" w:rsidRDefault="003E6007" w14:paraId="3D7C1C61" w14:textId="77777777" w:rsidP="003E6007" w:rsidRPr="00EB1CE0">
      <w:pPr>
        <w:jc w:val="center"/>
        <w:rPr>
          <w:bCs/>
          <w:b/>
          <w:rFonts w:ascii="Times New Roman" w:cs="Times New Roman" w:hAnsi="Times New Roman"/>
          <w:sz w:val="52"/>
          <w:szCs w:val="52"/>
        </w:rPr>
      </w:pPr>
      <w:r w:rsidRPr="00EB1CE0">
        <w:rPr>
          <w:bCs/>
          <w:b/>
          <w:rFonts w:ascii="Times New Roman" w:cs="Times New Roman" w:hAnsi="Times New Roman"/>
          <w:sz w:val="52"/>
          <w:szCs w:val="52"/>
        </w:rPr>
        <w:t>Student ID: 2322804</w:t>
      </w:r>
    </w:p>
    <w:p w:rsidR="003E6007" w:rsidRDefault="003E6007" w14:paraId="5D599CDD" w14:textId="483D26E3" w:rsidP="003E6007">
      <w:pPr>
        <w:jc w:val="center"/>
        <w:rPr>
          <w:b/>
          <w:rFonts w:ascii="Times New Roman" w:cs="Times New Roman" w:hAnsi="Times New Roman"/>
          <w:sz w:val="52"/>
          <w:szCs w:val="52"/>
        </w:rPr>
      </w:pPr>
      <w:r w:rsidRPr="00EB1CE0">
        <w:rPr>
          <w:bCs/>
          <w:b/>
          <w:rFonts w:ascii="Times New Roman" w:cs="Times New Roman" w:hAnsi="Times New Roman"/>
          <w:sz w:val="52"/>
          <w:szCs w:val="52"/>
        </w:rPr>
        <w:t xml:space="preserve">Module Code: </w:t>
      </w:r>
      <w:r w:rsidRPr="00EB1CE0">
        <w:rPr>
          <w:b/>
          <w:rFonts w:ascii="Times New Roman" w:cs="Times New Roman" w:hAnsi="Times New Roman"/>
          <w:sz w:val="52"/>
          <w:szCs w:val="52"/>
        </w:rPr>
        <w:t>BMHP</w:t>
      </w:r>
      <w:r>
        <w:rPr>
          <w:b/>
          <w:rFonts w:ascii="Times New Roman" w:cs="Times New Roman" w:hAnsi="Times New Roman"/>
          <w:sz w:val="52"/>
          <w:szCs w:val="52"/>
        </w:rPr>
        <w:t>6026</w:t>
      </w:r>
    </w:p>
    <w:p w:rsidR="003E6007" w:rsidRDefault="003E6007" w14:paraId="51E3AC24" w14:textId="2594CC65" w:rsidP="003E6007" w:rsidRPr="00EB1CE0">
      <w:pPr>
        <w:jc w:val="center"/>
        <w:spacing w:before="120" w:after="120"/>
        <w:rPr>
          <w:b/>
          <w:rFonts w:ascii="Times New Roman" w:cs="Times New Roman" w:hAnsi="Times New Roman"/>
          <w:sz w:val="52"/>
          <w:szCs w:val="52"/>
        </w:rPr>
      </w:pPr>
      <w:r>
        <w:rPr>
          <w:b/>
          <w:rFonts w:ascii="Times New Roman" w:cs="Times New Roman" w:hAnsi="Times New Roman"/>
          <w:sz w:val="52"/>
          <w:szCs w:val="52"/>
        </w:rPr>
        <w:t>Module Title:</w:t>
      </w:r>
      <w:r w:rsidRPr="00EB1CE0">
        <w:rPr>
          <w:b/>
          <w:rFonts w:ascii="Arial" w:cs="Arial" w:hAnsi="Arial"/>
          <w:sz w:val="22"/>
          <w:szCs w:val="22"/>
        </w:rPr>
        <w:t xml:space="preserve"> </w:t>
      </w:r>
      <w:r w:rsidRPr="00A46605">
        <w:rPr>
          <w:bCs/>
          <w:b/>
          <w:rFonts w:ascii="Times New Roman" w:cs="Times New Roman" w:hAnsi="Times New Roman"/>
          <w:sz w:val="52"/>
          <w:szCs w:val="52"/>
        </w:rPr>
        <w:t xml:space="preserve">Written </w:t>
      </w:r>
      <w:r>
        <w:rPr>
          <w:bCs/>
          <w:b/>
          <w:rFonts w:ascii="Times New Roman" w:cs="Times New Roman" w:hAnsi="Times New Roman"/>
          <w:sz w:val="52"/>
          <w:szCs w:val="52"/>
        </w:rPr>
        <w:t>Report</w:t>
      </w:r>
    </w:p>
    <w:p w:rsidR="003E6007" w:rsidRDefault="003E6007" w14:paraId="264FC376" w14:textId="77777777" w:rsidP="003E6007">
      <w:pPr>
        <w:jc w:val="center"/>
        <w:rPr>
          <w:b/>
          <w:rFonts w:ascii="Times New Roman" w:cs="Times New Roman" w:hAnsi="Times New Roman"/>
          <w:sz w:val="52"/>
          <w:szCs w:val="52"/>
        </w:rPr>
      </w:pPr>
      <w:r w:rsidRPr="00EB1CE0">
        <w:rPr>
          <w:b/>
          <w:rFonts w:ascii="Times New Roman" w:cs="Times New Roman" w:hAnsi="Times New Roman"/>
          <w:sz w:val="52"/>
          <w:szCs w:val="52"/>
        </w:rPr>
        <w:t>Written Assignment</w:t>
      </w:r>
      <w:r>
        <w:rPr>
          <w:b/>
          <w:rFonts w:ascii="Times New Roman" w:cs="Times New Roman" w:hAnsi="Times New Roman"/>
          <w:sz w:val="52"/>
          <w:szCs w:val="52"/>
        </w:rPr>
        <w:t xml:space="preserve"> 1</w:t>
      </w:r>
    </w:p>
    <w:p w:rsidR="00790D6C" w:rsidRDefault="00790D6C" w14:paraId="74A1B3DD" w14:textId="6B7F1601" w:rsidP="003E6007">
      <w:pPr>
        <w:jc w:val="center"/>
        <w:rPr>
          <w:b/>
          <w:rFonts w:ascii="Times New Roman" w:cs="Times New Roman" w:hAnsi="Times New Roman"/>
          <w:sz w:val="52"/>
          <w:szCs w:val="52"/>
        </w:rPr>
      </w:pPr>
      <w:r>
        <w:rPr>
          <w:b/>
          <w:rFonts w:ascii="Times New Roman" w:cs="Times New Roman" w:hAnsi="Times New Roman"/>
          <w:sz w:val="52"/>
          <w:szCs w:val="52"/>
        </w:rPr>
        <w:t xml:space="preserve">Title: </w:t>
      </w:r>
      <w:r w:rsidRPr="00790D6C">
        <w:rPr>
          <w:b/>
          <w:rFonts w:ascii="Times New Roman" w:cs="Times New Roman" w:hAnsi="Times New Roman"/>
          <w:sz w:val="52"/>
          <w:szCs w:val="52"/>
        </w:rPr>
        <w:t>Digitally enabled Virtual Wards in England (Hospital at Home) as a UK Health and Social Care Innovation</w:t>
      </w:r>
    </w:p>
    <w:p w:rsidR="003E6007" w:rsidRDefault="003E6007" w14:paraId="2920C71E" w14:textId="77777777" w:rsidP="003E6007">
      <w:pPr>
        <w:jc w:val="center"/>
        <w:rPr>
          <w:b/>
          <w:rFonts w:ascii="Times New Roman" w:cs="Times New Roman" w:hAnsi="Times New Roman"/>
          <w:sz w:val="52"/>
          <w:szCs w:val="52"/>
        </w:rPr>
      </w:pPr>
      <w:r>
        <w:rPr>
          <w:b/>
          <w:rFonts w:ascii="Times New Roman"/>
          <w:sz w:val="52"/>
        </w:rPr>
        <w:t>Lecturer:Zakiyyah Ahmed</w:t>
      </w:r>
    </w:p>
    <w:p>
      <w:pPr>
        <w:jc w:val="center"/>
      </w:pPr>
      <w:r>
        <w:rPr>
          <w:b/>
          <w:rFonts w:ascii="Times New Roman"/>
          <w:sz w:val="52"/>
        </w:rPr>
      </w:r>
    </w:p>
    <w:p w:rsidR="003E6007" w:rsidRDefault="003E6007" w14:paraId="7A0ADCE1" w14:textId="77777777" w:rsidP="003E6007">
      <w:pPr>
        <w:jc w:val="center"/>
        <w:rPr>
          <w:b/>
          <w:rFonts w:ascii="Times New Roman" w:cs="Times New Roman" w:hAnsi="Times New Roman"/>
          <w:sz w:val="52"/>
          <w:szCs w:val="52"/>
        </w:rPr>
      </w:pPr>
    </w:p>
    <w:p w:rsidR="003E6007" w:rsidRDefault="003E6007" w14:paraId="66DE53EE" w14:textId="77777777" w:rsidP="003E6007">
      <w:pPr>
        <w:jc w:val="center"/>
        <w:rPr>
          <w:b/>
          <w:rFonts w:ascii="Times New Roman" w:cs="Times New Roman" w:hAnsi="Times New Roman"/>
          <w:sz w:val="52"/>
          <w:szCs w:val="52"/>
        </w:rPr>
      </w:pPr>
    </w:p>
    <w:p w:rsidR="003E6007" w:rsidRDefault="003E6007" w14:paraId="096A9DFF" w14:textId="77777777" w:rsidP="003E6007">
      <w:pPr>
        <w:jc w:val="center"/>
        <w:rPr>
          <w:b/>
          <w:rFonts w:ascii="Times New Roman" w:cs="Times New Roman" w:hAnsi="Times New Roman"/>
          <w:sz w:val="52"/>
          <w:szCs w:val="52"/>
        </w:rPr>
      </w:pPr>
    </w:p>
    <w:p w:rsidR="00790D6C" w:rsidRDefault="00790D6C" w14:paraId="4CB01267" w14:textId="77777777" w:rsidP="00790D6C">
      <w:pPr>
        <w:spacing w:line="360" w:lineRule="auto"/>
        <w:rPr>
          <w:b/>
          <w:rFonts w:ascii="Times New Roman" w:cs="Times New Roman" w:hAnsi="Times New Roman"/>
        </w:rPr>
      </w:pPr>
    </w:p>
    <w:p w:rsidR="003E6007" w:rsidRDefault="003E6007" w14:paraId="276B11CD" w14:textId="3351DC10" w:rsidP="003E6007">
      <w:pPr>
        <w:jc w:val="center"/>
        <w:rPr>
          <w:b/>
          <w:rFonts w:ascii="Times New Roman" w:cs="Times New Roman" w:hAnsi="Times New Roman"/>
          <w:sz w:val="28"/>
          <w:szCs w:val="28"/>
        </w:rPr>
      </w:pPr>
      <w:r w:rsidRPr="003E6007">
        <w:rPr>
          <w:b/>
          <w:rFonts w:ascii="Times New Roman" w:cs="Times New Roman" w:hAnsi="Times New Roman"/>
          <w:sz w:val="28"/>
          <w:szCs w:val="28"/>
        </w:rPr>
        <w:t>Table of Contents</w:t>
        <w:lastRenderedPageBreak/>
      </w:r>
    </w:p>
    <w:p w:rsidR="002D4A36" w:rsidRDefault="002D4A36" w14:paraId="197B7ED8" w14:textId="77777777" w:rsidP="003E6007">
      <w:pPr>
        <w:jc w:val="center"/>
        <w:rPr>
          <w:b/>
          <w:rFonts w:ascii="Times New Roman" w:cs="Times New Roman" w:hAnsi="Times New Roman"/>
          <w:sz w:val="28"/>
          <w:szCs w:val="28"/>
        </w:rPr>
      </w:pPr>
    </w:p>
    <w:sdt>
      <w:sdtPr>
        <w:rPr>
          <w:rFonts w:asciiTheme="minorHAnsi" w:eastAsiaTheme="minorHAnsi" w:hAnsiTheme="minorHAnsi" w:cstheme="minorBidi"/>
          <w:color w:val="auto"/>
          <w:kern w:val="2"/>
          <w:sz w:val="24"/>
          <w:szCs w:val="24"/>
          <w:lang w:val="en-GB"/>
          <w14:ligatures w14:val="standardContextual"/>
        </w:rPr>
        <w:id w:val="-384649767"/>
        <w:docPartObj>
          <w:docPartGallery w:val="Table of Contents"/>
          <w:docPartUnique/>
        </w:docPartObj>
      </w:sdtPr>
      <w:sdtEndPr>
        <w:rPr>
          <w:b/>
          <w:bCs/>
          <w:noProof/>
        </w:rPr>
      </w:sdtEndPr>
      <w:sdtContent>
        <w:p w:rsidR="002D4A36" w:rsidRDefault="002D4A36" w14:paraId="682E6800" w14:textId="2AAC4F42">
          <w:pPr>
            <w:pStyle w:val="TOCHeading"/>
          </w:pPr>
          <w:r>
            <w:t>Contents</w:t>
          </w:r>
        </w:p>
        <w:p w:rsidR="002D4A36" w:rsidRDefault="002D4A36" w14:paraId="310D485E" w14:textId="6A5A8CF9">
          <w:pPr>
            <w:pStyle w:val="TOC1"/>
            <w:tabs>
              <w:tab w:val="left" w:pos="480"/>
              <w:tab w:val="right" w:leader="dot" w:pos="9016"/>
            </w:tabs>
            <w:rPr>
              <w:noProof/>
            </w:rPr>
          </w:pPr>
          <w:r>
            <w:fldChar w:fldCharType="begin"/>
          </w:r>
          <w:r>
            <w:instrText xml:space="preserve"> TOC \o "1-3" \h \z \u </w:instrText>
          </w:r>
          <w:r>
            <w:fldChar w:fldCharType="separate"/>
          </w:r>
          <w:hyperlink w:anchor="_Toc222327051" w:history="1">
            <w:r w:rsidRPr="008B2A00">
              <w:rPr>
                <w:noProof/>
                <w:rStyle w:val="Hyperlink"/>
              </w:rPr>
              <w:t>1.</w:t>
            </w:r>
            <w:r>
              <w:rPr>
                <w:noProof/>
              </w:rPr>
              <w:tab/>
            </w:r>
            <w:r w:rsidRPr="008B2A00">
              <w:rPr>
                <w:noProof/>
                <w:rStyle w:val="Hyperlink"/>
              </w:rPr>
              <w:t>Innovation choice and why it matters now</w:t>
            </w:r>
            <w:r>
              <w:rPr>
                <w:noProof/>
                <w:webHidden/>
              </w:rPr>
              <w:tab/>
            </w:r>
            <w:r>
              <w:rPr>
                <w:noProof/>
                <w:webHidden/>
              </w:rPr>
              <w:fldChar w:fldCharType="begin"/>
            </w:r>
            <w:r>
              <w:rPr>
                <w:noProof/>
                <w:webHidden/>
              </w:rPr>
              <w:instrText xml:space="preserve"> PAGEREF _Toc222327051 \h </w:instrText>
            </w:r>
            <w:r>
              <w:rPr>
                <w:noProof/>
                <w:webHidden/>
              </w:rPr>
            </w:r>
            <w:r>
              <w:rPr>
                <w:noProof/>
                <w:webHidden/>
              </w:rPr>
              <w:fldChar w:fldCharType="separate"/>
            </w:r>
            <w:r>
              <w:rPr>
                <w:noProof/>
                <w:webHidden/>
              </w:rPr>
              <w:t>3</w:t>
            </w:r>
            <w:r>
              <w:rPr>
                <w:noProof/>
                <w:webHidden/>
              </w:rPr>
              <w:fldChar w:fldCharType="end"/>
            </w:r>
          </w:hyperlink>
        </w:p>
        <w:p w:rsidR="002D4A36" w:rsidRDefault="002D4A36" w14:paraId="659E0780" w14:textId="4126138F">
          <w:pPr>
            <w:pStyle w:val="TOC1"/>
            <w:tabs>
              <w:tab w:val="left" w:pos="480"/>
              <w:tab w:val="right" w:leader="dot" w:pos="9016"/>
            </w:tabs>
            <w:rPr>
              <w:noProof/>
            </w:rPr>
          </w:pPr>
          <w:hyperlink w:anchor="_Toc222327052" w:history="1">
            <w:r w:rsidRPr="008B2A00">
              <w:rPr>
                <w:noProof/>
                <w:lang w:eastAsia="en-GB"/>
                <w:rStyle w:val="Hyperlink"/>
                <w:rFonts w:eastAsia="Times New Roman"/>
              </w:rPr>
              <w:t>2.</w:t>
            </w:r>
            <w:r>
              <w:rPr>
                <w:noProof/>
              </w:rPr>
              <w:tab/>
            </w:r>
            <w:r w:rsidRPr="008B2A00">
              <w:rPr>
                <w:noProof/>
                <w:lang w:eastAsia="en-GB"/>
                <w:rStyle w:val="Hyperlink"/>
                <w:rFonts w:eastAsia="Times New Roman"/>
              </w:rPr>
              <w:t>How virtual wards have been implemented in England</w:t>
            </w:r>
            <w:r>
              <w:rPr>
                <w:noProof/>
                <w:webHidden/>
              </w:rPr>
              <w:tab/>
            </w:r>
            <w:r>
              <w:rPr>
                <w:noProof/>
                <w:webHidden/>
              </w:rPr>
              <w:fldChar w:fldCharType="begin"/>
            </w:r>
            <w:r>
              <w:rPr>
                <w:noProof/>
                <w:webHidden/>
              </w:rPr>
              <w:instrText xml:space="preserve"> PAGEREF _Toc222327052 \h </w:instrText>
            </w:r>
            <w:r>
              <w:rPr>
                <w:noProof/>
                <w:webHidden/>
              </w:rPr>
            </w:r>
            <w:r>
              <w:rPr>
                <w:noProof/>
                <w:webHidden/>
              </w:rPr>
              <w:fldChar w:fldCharType="separate"/>
            </w:r>
            <w:r>
              <w:rPr>
                <w:noProof/>
                <w:webHidden/>
              </w:rPr>
              <w:t>3</w:t>
            </w:r>
            <w:r>
              <w:rPr>
                <w:noProof/>
                <w:webHidden/>
              </w:rPr>
              <w:fldChar w:fldCharType="end"/>
            </w:r>
          </w:hyperlink>
        </w:p>
        <w:p w:rsidR="002D4A36" w:rsidRDefault="002D4A36" w14:paraId="7A92B308" w14:textId="7F1755E7">
          <w:pPr>
            <w:pStyle w:val="TOC1"/>
            <w:tabs>
              <w:tab w:val="left" w:pos="480"/>
              <w:tab w:val="right" w:leader="dot" w:pos="9016"/>
            </w:tabs>
            <w:rPr>
              <w:noProof/>
            </w:rPr>
          </w:pPr>
          <w:hyperlink w:anchor="_Toc222327053" w:history="1">
            <w:r w:rsidRPr="008B2A00">
              <w:rPr>
                <w:noProof/>
                <w:lang w:eastAsia="en-GB"/>
                <w:rStyle w:val="Hyperlink"/>
              </w:rPr>
              <w:t>3.</w:t>
            </w:r>
            <w:r>
              <w:rPr>
                <w:noProof/>
              </w:rPr>
              <w:tab/>
            </w:r>
            <w:r w:rsidRPr="008B2A00">
              <w:rPr>
                <w:noProof/>
                <w:lang w:eastAsia="en-GB"/>
                <w:rStyle w:val="Hyperlink"/>
              </w:rPr>
              <w:t>Workforce: changes in roles, competence and the felt pressure</w:t>
            </w:r>
            <w:r>
              <w:rPr>
                <w:noProof/>
                <w:webHidden/>
              </w:rPr>
              <w:tab/>
            </w:r>
            <w:r>
              <w:rPr>
                <w:noProof/>
                <w:webHidden/>
              </w:rPr>
              <w:fldChar w:fldCharType="begin"/>
            </w:r>
            <w:r>
              <w:rPr>
                <w:noProof/>
                <w:webHidden/>
              </w:rPr>
              <w:instrText xml:space="preserve"> PAGEREF _Toc222327053 \h </w:instrText>
            </w:r>
            <w:r>
              <w:rPr>
                <w:noProof/>
                <w:webHidden/>
              </w:rPr>
            </w:r>
            <w:r>
              <w:rPr>
                <w:noProof/>
                <w:webHidden/>
              </w:rPr>
              <w:fldChar w:fldCharType="separate"/>
            </w:r>
            <w:r>
              <w:rPr>
                <w:noProof/>
                <w:webHidden/>
              </w:rPr>
              <w:t>4</w:t>
            </w:r>
            <w:r>
              <w:rPr>
                <w:noProof/>
                <w:webHidden/>
              </w:rPr>
              <w:fldChar w:fldCharType="end"/>
            </w:r>
          </w:hyperlink>
        </w:p>
        <w:p w:rsidR="002D4A36" w:rsidRDefault="002D4A36" w14:paraId="68EB2B92" w14:textId="7985E9C8">
          <w:pPr>
            <w:pStyle w:val="TOC1"/>
            <w:tabs>
              <w:tab w:val="left" w:pos="480"/>
              <w:tab w:val="right" w:leader="dot" w:pos="9016"/>
            </w:tabs>
            <w:rPr>
              <w:noProof/>
            </w:rPr>
          </w:pPr>
          <w:hyperlink w:anchor="_Toc222327054" w:history="1">
            <w:r w:rsidRPr="008B2A00">
              <w:rPr>
                <w:noProof/>
                <w:rStyle w:val="Hyperlink"/>
              </w:rPr>
              <w:t>4.</w:t>
            </w:r>
            <w:r>
              <w:rPr>
                <w:noProof/>
              </w:rPr>
              <w:tab/>
            </w:r>
            <w:r w:rsidRPr="008B2A00">
              <w:rPr>
                <w:noProof/>
                <w:rStyle w:val="Hyperlink"/>
              </w:rPr>
              <w:t>Service delivery: what changes in day-to-day care</w:t>
            </w:r>
            <w:r>
              <w:rPr>
                <w:noProof/>
                <w:webHidden/>
              </w:rPr>
              <w:tab/>
            </w:r>
            <w:r>
              <w:rPr>
                <w:noProof/>
                <w:webHidden/>
              </w:rPr>
              <w:fldChar w:fldCharType="begin"/>
            </w:r>
            <w:r>
              <w:rPr>
                <w:noProof/>
                <w:webHidden/>
              </w:rPr>
              <w:instrText xml:space="preserve"> PAGEREF _Toc222327054 \h </w:instrText>
            </w:r>
            <w:r>
              <w:rPr>
                <w:noProof/>
                <w:webHidden/>
              </w:rPr>
            </w:r>
            <w:r>
              <w:rPr>
                <w:noProof/>
                <w:webHidden/>
              </w:rPr>
              <w:fldChar w:fldCharType="separate"/>
            </w:r>
            <w:r>
              <w:rPr>
                <w:noProof/>
                <w:webHidden/>
              </w:rPr>
              <w:t>5</w:t>
            </w:r>
            <w:r>
              <w:rPr>
                <w:noProof/>
                <w:webHidden/>
              </w:rPr>
              <w:fldChar w:fldCharType="end"/>
            </w:r>
          </w:hyperlink>
        </w:p>
        <w:p w:rsidR="002D4A36" w:rsidRDefault="002D4A36" w14:paraId="20F36F03" w14:textId="7A58205B">
          <w:pPr>
            <w:pStyle w:val="TOC1"/>
            <w:tabs>
              <w:tab w:val="left" w:pos="480"/>
              <w:tab w:val="right" w:leader="dot" w:pos="9016"/>
            </w:tabs>
            <w:rPr>
              <w:noProof/>
            </w:rPr>
          </w:pPr>
          <w:hyperlink w:anchor="_Toc222327055" w:history="1">
            <w:r w:rsidRPr="008B2A00">
              <w:rPr>
                <w:noProof/>
                <w:rStyle w:val="Hyperlink"/>
              </w:rPr>
              <w:t>5.</w:t>
            </w:r>
            <w:r>
              <w:rPr>
                <w:noProof/>
              </w:rPr>
              <w:tab/>
            </w:r>
            <w:r w:rsidRPr="008B2A00">
              <w:rPr>
                <w:noProof/>
                <w:rStyle w:val="Hyperlink"/>
              </w:rPr>
              <w:t>Patient and service user experience: comfort, autonomy, anxiety and trust</w:t>
            </w:r>
            <w:r>
              <w:rPr>
                <w:noProof/>
                <w:webHidden/>
              </w:rPr>
              <w:tab/>
            </w:r>
            <w:r>
              <w:rPr>
                <w:noProof/>
                <w:webHidden/>
              </w:rPr>
              <w:fldChar w:fldCharType="begin"/>
            </w:r>
            <w:r>
              <w:rPr>
                <w:noProof/>
                <w:webHidden/>
              </w:rPr>
              <w:instrText xml:space="preserve"> PAGEREF _Toc222327055 \h </w:instrText>
            </w:r>
            <w:r>
              <w:rPr>
                <w:noProof/>
                <w:webHidden/>
              </w:rPr>
            </w:r>
            <w:r>
              <w:rPr>
                <w:noProof/>
                <w:webHidden/>
              </w:rPr>
              <w:fldChar w:fldCharType="separate"/>
            </w:r>
            <w:r>
              <w:rPr>
                <w:noProof/>
                <w:webHidden/>
              </w:rPr>
              <w:t>6</w:t>
            </w:r>
            <w:r>
              <w:rPr>
                <w:noProof/>
                <w:webHidden/>
              </w:rPr>
              <w:fldChar w:fldCharType="end"/>
            </w:r>
          </w:hyperlink>
        </w:p>
        <w:p w:rsidR="002D4A36" w:rsidRDefault="002D4A36" w14:paraId="35F679F1" w14:textId="65DE5DA3">
          <w:pPr>
            <w:pStyle w:val="TOC1"/>
            <w:tabs>
              <w:tab w:val="left" w:pos="480"/>
              <w:tab w:val="right" w:leader="dot" w:pos="9016"/>
            </w:tabs>
            <w:rPr>
              <w:noProof/>
            </w:rPr>
          </w:pPr>
          <w:hyperlink w:anchor="_Toc222327056" w:history="1">
            <w:r w:rsidRPr="008B2A00">
              <w:rPr>
                <w:noProof/>
                <w:lang w:eastAsia="en-GB"/>
                <w:rStyle w:val="Hyperlink"/>
                <w:rFonts w:eastAsia="Times New Roman"/>
              </w:rPr>
              <w:t>6.</w:t>
            </w:r>
            <w:r>
              <w:rPr>
                <w:noProof/>
              </w:rPr>
              <w:tab/>
            </w:r>
            <w:r w:rsidRPr="008B2A00">
              <w:rPr>
                <w:noProof/>
                <w:lang w:eastAsia="en-GB"/>
                <w:rStyle w:val="Hyperlink"/>
                <w:rFonts w:eastAsia="Times New Roman"/>
              </w:rPr>
              <w:t>Community: home location, family impact and public health effects</w:t>
            </w:r>
            <w:r>
              <w:rPr>
                <w:noProof/>
                <w:webHidden/>
              </w:rPr>
              <w:tab/>
            </w:r>
            <w:r>
              <w:rPr>
                <w:noProof/>
                <w:webHidden/>
              </w:rPr>
              <w:fldChar w:fldCharType="begin"/>
            </w:r>
            <w:r>
              <w:rPr>
                <w:noProof/>
                <w:webHidden/>
              </w:rPr>
              <w:instrText xml:space="preserve"> PAGEREF _Toc222327056 \h </w:instrText>
            </w:r>
            <w:r>
              <w:rPr>
                <w:noProof/>
                <w:webHidden/>
              </w:rPr>
            </w:r>
            <w:r>
              <w:rPr>
                <w:noProof/>
                <w:webHidden/>
              </w:rPr>
              <w:fldChar w:fldCharType="separate"/>
            </w:r>
            <w:r>
              <w:rPr>
                <w:noProof/>
                <w:webHidden/>
              </w:rPr>
              <w:t>7</w:t>
            </w:r>
            <w:r>
              <w:rPr>
                <w:noProof/>
                <w:webHidden/>
              </w:rPr>
              <w:fldChar w:fldCharType="end"/>
            </w:r>
          </w:hyperlink>
        </w:p>
        <w:p w:rsidR="002D4A36" w:rsidRDefault="002D4A36" w14:paraId="4BB0E0B3" w14:textId="09B15745">
          <w:pPr>
            <w:pStyle w:val="TOC1"/>
            <w:tabs>
              <w:tab w:val="left" w:pos="480"/>
              <w:tab w:val="right" w:leader="dot" w:pos="9016"/>
            </w:tabs>
            <w:rPr>
              <w:noProof/>
            </w:rPr>
          </w:pPr>
          <w:hyperlink w:anchor="_Toc222327057" w:history="1">
            <w:r w:rsidRPr="008B2A00">
              <w:rPr>
                <w:noProof/>
                <w:lang w:eastAsia="en-GB"/>
                <w:rStyle w:val="Hyperlink"/>
              </w:rPr>
              <w:t>7.</w:t>
            </w:r>
            <w:r>
              <w:rPr>
                <w:noProof/>
              </w:rPr>
              <w:tab/>
            </w:r>
            <w:r w:rsidRPr="008B2A00">
              <w:rPr>
                <w:noProof/>
                <w:lang w:eastAsia="en-GB"/>
                <w:rStyle w:val="Hyperlink"/>
              </w:rPr>
              <w:t>Positive outcomes, stated carefully and with evidence limits</w:t>
            </w:r>
            <w:r>
              <w:rPr>
                <w:noProof/>
                <w:webHidden/>
              </w:rPr>
              <w:tab/>
            </w:r>
            <w:r>
              <w:rPr>
                <w:noProof/>
                <w:webHidden/>
              </w:rPr>
              <w:fldChar w:fldCharType="begin"/>
            </w:r>
            <w:r>
              <w:rPr>
                <w:noProof/>
                <w:webHidden/>
              </w:rPr>
              <w:instrText xml:space="preserve"> PAGEREF _Toc222327057 \h </w:instrText>
            </w:r>
            <w:r>
              <w:rPr>
                <w:noProof/>
                <w:webHidden/>
              </w:rPr>
            </w:r>
            <w:r>
              <w:rPr>
                <w:noProof/>
                <w:webHidden/>
              </w:rPr>
              <w:fldChar w:fldCharType="separate"/>
            </w:r>
            <w:r>
              <w:rPr>
                <w:noProof/>
                <w:webHidden/>
              </w:rPr>
              <w:t>8</w:t>
            </w:r>
            <w:r>
              <w:rPr>
                <w:noProof/>
                <w:webHidden/>
              </w:rPr>
              <w:fldChar w:fldCharType="end"/>
            </w:r>
          </w:hyperlink>
        </w:p>
        <w:p w:rsidR="002D4A36" w:rsidRDefault="002D4A36" w14:paraId="5BA91E2C" w14:textId="50F5F159">
          <w:pPr>
            <w:pStyle w:val="TOC1"/>
            <w:tabs>
              <w:tab w:val="left" w:pos="480"/>
              <w:tab w:val="right" w:leader="dot" w:pos="9016"/>
            </w:tabs>
            <w:rPr>
              <w:noProof/>
            </w:rPr>
          </w:pPr>
          <w:hyperlink w:anchor="_Toc222327058" w:history="1">
            <w:r w:rsidRPr="008B2A00">
              <w:rPr>
                <w:noProof/>
                <w:lang w:eastAsia="en-GB"/>
                <w:rStyle w:val="Hyperlink"/>
                <w:rFonts w:eastAsia="Times New Roman"/>
              </w:rPr>
              <w:t>8.</w:t>
            </w:r>
            <w:r>
              <w:rPr>
                <w:noProof/>
              </w:rPr>
              <w:tab/>
            </w:r>
            <w:r w:rsidRPr="008B2A00">
              <w:rPr>
                <w:noProof/>
                <w:lang w:eastAsia="en-GB"/>
                <w:rStyle w:val="Hyperlink"/>
                <w:rFonts w:eastAsia="Times New Roman"/>
              </w:rPr>
              <w:t>Negative outcomes and risks that remain unresolved</w:t>
            </w:r>
            <w:r>
              <w:rPr>
                <w:noProof/>
                <w:webHidden/>
              </w:rPr>
              <w:tab/>
            </w:r>
            <w:r>
              <w:rPr>
                <w:noProof/>
                <w:webHidden/>
              </w:rPr>
              <w:fldChar w:fldCharType="begin"/>
            </w:r>
            <w:r>
              <w:rPr>
                <w:noProof/>
                <w:webHidden/>
              </w:rPr>
              <w:instrText xml:space="preserve"> PAGEREF _Toc222327058 \h </w:instrText>
            </w:r>
            <w:r>
              <w:rPr>
                <w:noProof/>
                <w:webHidden/>
              </w:rPr>
            </w:r>
            <w:r>
              <w:rPr>
                <w:noProof/>
                <w:webHidden/>
              </w:rPr>
              <w:fldChar w:fldCharType="separate"/>
            </w:r>
            <w:r>
              <w:rPr>
                <w:noProof/>
                <w:webHidden/>
              </w:rPr>
              <w:t>9</w:t>
            </w:r>
            <w:r>
              <w:rPr>
                <w:noProof/>
                <w:webHidden/>
              </w:rPr>
              <w:fldChar w:fldCharType="end"/>
            </w:r>
          </w:hyperlink>
        </w:p>
        <w:p w:rsidR="002D4A36" w:rsidRDefault="002D4A36" w14:paraId="01F77473" w14:textId="4AA4084F">
          <w:pPr>
            <w:pStyle w:val="TOC1"/>
            <w:tabs>
              <w:tab w:val="left" w:pos="480"/>
              <w:tab w:val="right" w:leader="dot" w:pos="9016"/>
            </w:tabs>
            <w:rPr>
              <w:noProof/>
            </w:rPr>
          </w:pPr>
          <w:hyperlink w:anchor="_Toc222327059" w:history="1">
            <w:r w:rsidRPr="008B2A00">
              <w:rPr>
                <w:noProof/>
                <w:lang w:eastAsia="en-GB"/>
                <w:rStyle w:val="Hyperlink"/>
              </w:rPr>
              <w:t>9.</w:t>
            </w:r>
            <w:r>
              <w:rPr>
                <w:noProof/>
              </w:rPr>
              <w:tab/>
            </w:r>
            <w:r w:rsidRPr="008B2A00">
              <w:rPr>
                <w:noProof/>
                <w:lang w:eastAsia="en-GB"/>
                <w:rStyle w:val="Hyperlink"/>
              </w:rPr>
              <w:t>Judgement and conclusion</w:t>
            </w:r>
            <w:r>
              <w:rPr>
                <w:noProof/>
                <w:webHidden/>
              </w:rPr>
              <w:tab/>
            </w:r>
            <w:r>
              <w:rPr>
                <w:noProof/>
                <w:webHidden/>
              </w:rPr>
              <w:fldChar w:fldCharType="begin"/>
            </w:r>
            <w:r>
              <w:rPr>
                <w:noProof/>
                <w:webHidden/>
              </w:rPr>
              <w:instrText xml:space="preserve"> PAGEREF _Toc222327059 \h </w:instrText>
            </w:r>
            <w:r>
              <w:rPr>
                <w:noProof/>
                <w:webHidden/>
              </w:rPr>
            </w:r>
            <w:r>
              <w:rPr>
                <w:noProof/>
                <w:webHidden/>
              </w:rPr>
              <w:fldChar w:fldCharType="separate"/>
            </w:r>
            <w:r>
              <w:rPr>
                <w:noProof/>
                <w:webHidden/>
              </w:rPr>
              <w:t>10</w:t>
            </w:r>
            <w:r>
              <w:rPr>
                <w:noProof/>
                <w:webHidden/>
              </w:rPr>
              <w:fldChar w:fldCharType="end"/>
            </w:r>
          </w:hyperlink>
        </w:p>
        <w:p w:rsidR="002D4A36" w:rsidRDefault="002D4A36" w14:paraId="0D3B19ED" w14:textId="4C305DAE">
          <w:pPr>
            <w:pStyle w:val="TOC1"/>
            <w:tabs>
              <w:tab w:val="right" w:leader="dot" w:pos="9016"/>
            </w:tabs>
            <w:rPr>
              <w:noProof/>
            </w:rPr>
          </w:pPr>
          <w:hyperlink w:anchor="_Toc222327060" w:history="1">
            <w:r w:rsidRPr="008B2A00">
              <w:rPr>
                <w:noProof/>
                <w:lang w:eastAsia="en-GB"/>
                <w:rStyle w:val="Hyperlink"/>
              </w:rPr>
              <w:t>10.Reference List</w:t>
            </w:r>
            <w:r>
              <w:rPr>
                <w:noProof/>
                <w:webHidden/>
              </w:rPr>
              <w:tab/>
            </w:r>
            <w:r>
              <w:rPr>
                <w:noProof/>
                <w:webHidden/>
              </w:rPr>
              <w:fldChar w:fldCharType="begin"/>
            </w:r>
            <w:r>
              <w:rPr>
                <w:noProof/>
                <w:webHidden/>
              </w:rPr>
              <w:instrText xml:space="preserve"> PAGEREF _Toc222327060 \h </w:instrText>
            </w:r>
            <w:r>
              <w:rPr>
                <w:noProof/>
                <w:webHidden/>
              </w:rPr>
            </w:r>
            <w:r>
              <w:rPr>
                <w:noProof/>
                <w:webHidden/>
              </w:rPr>
              <w:fldChar w:fldCharType="separate"/>
            </w:r>
            <w:r>
              <w:rPr>
                <w:noProof/>
                <w:webHidden/>
              </w:rPr>
              <w:t>11</w:t>
            </w:r>
            <w:r>
              <w:rPr>
                <w:noProof/>
                <w:webHidden/>
              </w:rPr>
              <w:fldChar w:fldCharType="end"/>
            </w:r>
          </w:hyperlink>
        </w:p>
        <w:p w:rsidR="002D4A36" w:rsidRDefault="002D4A36" w14:paraId="5758B219" w14:textId="7686C123">
          <w:r>
            <w:rPr>
              <w:bCs/>
              <w:noProof/>
              <w:b/>
            </w:rPr>
            <w:fldChar w:fldCharType="end"/>
          </w:r>
        </w:p>
      </w:sdtContent>
    </w:sdt>
    <w:p w:rsidR="002D4A36" w:rsidRDefault="002D4A36" w14:paraId="5B430E63" w14:textId="77777777" w:rsidP="003E6007" w:rsidRPr="003E6007">
      <w:pPr>
        <w:jc w:val="center"/>
        <w:rPr>
          <w:b/>
          <w:rFonts w:ascii="Times New Roman" w:cs="Times New Roman" w:hAnsi="Times New Roman"/>
          <w:sz w:val="28"/>
          <w:szCs w:val="28"/>
        </w:rPr>
      </w:pPr>
    </w:p>
    <w:p w:rsidR="002F6040" w:rsidRDefault="002F6040" w14:paraId="7E8687A9" w14:textId="77777777"/>
    <w:p w:rsidR="003E6007" w:rsidRDefault="003E6007" w14:paraId="7894C08E" w14:textId="77777777"/>
    <w:p w:rsidR="003E6007" w:rsidRDefault="003E6007" w14:paraId="4CCBE58F" w14:textId="77777777"/>
    <w:p w:rsidR="003E6007" w:rsidRDefault="003E6007" w14:paraId="3B1A3D06" w14:textId="77777777"/>
    <w:p w:rsidR="003E6007" w:rsidRDefault="003E6007" w14:paraId="40D391A6" w14:textId="77777777"/>
    <w:p w:rsidR="003E6007" w:rsidRDefault="003E6007" w14:paraId="55F1E61E" w14:textId="77777777"/>
    <w:p w:rsidR="003E6007" w:rsidRDefault="003E6007" w14:paraId="2EBD7848" w14:textId="77777777"/>
    <w:p w:rsidR="003E6007" w:rsidRDefault="003E6007" w14:paraId="10EEFBF8" w14:textId="77777777"/>
    <w:p w:rsidR="003E6007" w:rsidRDefault="003E6007" w14:paraId="622B5847" w14:textId="77777777"/>
    <w:p w:rsidR="003E6007" w:rsidRDefault="003E6007" w14:paraId="309F5B73" w14:textId="77777777"/>
    <w:p w:rsidR="003E6007" w:rsidRDefault="003E6007" w14:paraId="21307918" w14:textId="77777777"/>
    <w:p w:rsidR="003E6007" w:rsidRDefault="003E6007" w14:paraId="7DF34712" w14:textId="77777777"/>
    <w:p w:rsidR="003E6007" w:rsidRDefault="003E6007" w14:paraId="3A890CDC" w14:textId="77777777"/>
    <w:p w:rsidR="003E6007" w:rsidRDefault="003E6007" w14:paraId="6486BBCC" w14:textId="77777777"/>
    <w:p w:rsidR="003E6007" w:rsidRDefault="00790D6C" w14:paraId="5B00BC49" w14:textId="57BC790F" w:rsidP="00790D6C">
      <w:pPr>
        <w:pStyle w:val="Heading1"/>
        <w:numPr>
          <w:ilvl w:val="0"/>
          <w:numId w:val="2"/>
        </w:numPr>
      </w:pPr>
      <w:bookmarkStart w:id="0" w:name="_Toc222327051"/>
      <w:r w:rsidRPr="00790D6C">
        <w:t>Innovation choice and why it matters now</w:t>
        <w:lastRenderedPageBreak/>
      </w:r>
      <w:bookmarkEnd w:id="0"/>
    </w:p>
    <w:p w:rsidR="00790D6C" w:rsidRDefault="00790D6C" w14:paraId="05D29457" w14:textId="77777777" w:rsidP="00790D6C"/>
    <w:p w:rsidR="00790D6C" w:rsidRDefault="00790D6C" w14:paraId="29300D2E" w14:textId="3A4156D1" w:rsidP="00790D6C">
      <w:pPr>
        <w:spacing w:after="0" w:line="360" w:lineRule="auto"/>
        <w:rPr>
          <w:kern w:val="0"/>
          <w:lang w:eastAsia="en-GB"/>
          <w14:ligatures w14:val="none"/>
          <w:rFonts w:ascii="Times New Roman" w:cs="Times New Roman" w:eastAsia="Times New Roman" w:hAnsi="Times New Roman"/>
        </w:rPr>
      </w:pP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In the NHS, virtual wards are a digitally enabled "hospital at home" paradigm in which a small group of patients receive acute, hospital-quality treatment while remaining in their own home. A combination of scheduled video or phone reviews, digital symptom reporting, in-person visits when necessary and remote monitoring (such as blood pressure, weight and oxygen saturations) are used to provide care. It is evident from NHS England's more recent operational conceptualisation that virtual wards are more than just video chats</w:t>
      </w:r>
      <w:r w:rsidR="005B1D22">
        <w:rPr>
          <w:kern w:val="0"/>
          <w:lang w:eastAsia="en-GB"/>
          <w14:ligatures w14:val="none"/>
          <w:rFonts w:ascii="Times New Roman" w:cs="Times New Roman" w:eastAsia="Times New Roman" w:hAnsi="Times New Roman"/>
        </w:rPr>
        <w:t>,</w:t>
      </w:r>
      <w:r w:rsidRPr="00790D6C">
        <w:rPr>
          <w:kern w:val="0"/>
          <w:lang w:eastAsia="en-GB"/>
          <w14:ligatures w14:val="none"/>
          <w:rFonts w:ascii="Times New Roman" w:cs="Times New Roman" w:eastAsia="Times New Roman" w:hAnsi="Times New Roman"/>
        </w:rPr>
        <w:t xml:space="preserve"> they are an organised service with escalation paths, clinical oversight and multidisciplinary involvement that aims to prevent admissions or assist earlier discharge (NHS England, 2024). Although the paradigm has been around for a while, it has only recently become a national digital transformation effort in England, particularly when COVID-19 spurred the development of new clinical pathways and remote monitoring infrastructure (Hutchings and Edwards, 2023).</w:t>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Due to its widespread implementation and connection to national capacity targets, this invention satisfies the assessment brief. Instead of being a limited pilot, planning guidelines established an aim for virtual ward capacity in the range of 40 to 50 "virtual beds" per 100,000 population, making it a measurable system transformation (NHS England, 2022). Without claiming that home care is always simpler or less expensive, the program aims to alleviate the strain on hospital beds, support urgent and emergency care and treat patients where many patients want (Mahase, 2024).</w:t>
      </w:r>
    </w:p>
    <w:p w:rsidR="00790D6C" w:rsidRDefault="00790D6C" w14:paraId="53088E9F" w14:textId="77777777" w:rsidP="00790D6C">
      <w:pPr>
        <w:spacing w:after="0" w:line="360" w:lineRule="auto"/>
        <w:rPr>
          <w:kern w:val="0"/>
          <w:lang w:eastAsia="en-GB"/>
          <w14:ligatures w14:val="none"/>
          <w:rFonts w:ascii="Times New Roman" w:cs="Times New Roman" w:eastAsia="Times New Roman" w:hAnsi="Times New Roman"/>
        </w:rPr>
      </w:pPr>
    </w:p>
    <w:p w:rsidR="00790D6C" w:rsidRDefault="00790D6C" w14:paraId="0DDB095F" w14:textId="2C436C95" w:rsidP="00790D6C">
      <w:pPr>
        <w:spacing w:after="0" w:line="360" w:lineRule="auto"/>
        <w:rPr>
          <w:kern w:val="0"/>
          <w:lang w:eastAsia="en-GB"/>
          <w14:ligatures w14:val="none"/>
          <w:rFonts w:ascii="Times New Roman" w:cs="Times New Roman" w:eastAsia="Times New Roman" w:hAnsi="Times New Roman"/>
        </w:rPr>
      </w:pPr>
    </w:p>
    <w:p w:rsidR="00790D6C" w:rsidRDefault="00790D6C" w14:paraId="6259A8E0" w14:textId="4EF774D7" w:rsidP="00790D6C">
      <w:pPr>
        <w:pStyle w:val="Heading1"/>
        <w:numPr>
          <w:ilvl w:val="0"/>
          <w:numId w:val="2"/>
        </w:numPr>
        <w:rPr>
          <w:lang w:eastAsia="en-GB"/>
          <w:rFonts w:eastAsia="Times New Roman"/>
        </w:rPr>
      </w:pPr>
      <w:bookmarkStart w:id="1" w:name="_Toc222327052"/>
      <w:r w:rsidRPr="00790D6C">
        <w:rPr>
          <w:lang w:eastAsia="en-GB"/>
          <w:rFonts w:eastAsia="Times New Roman"/>
        </w:rPr>
        <w:t>How virtual wards have been implemented in England</w:t>
      </w:r>
      <w:bookmarkEnd w:id="1"/>
    </w:p>
    <w:p w:rsidR="00790D6C" w:rsidRDefault="00790D6C" w14:paraId="6A6B7AE8" w14:textId="77777777" w:rsidP="00790D6C">
      <w:pPr>
        <w:rPr>
          <w:lang w:eastAsia="en-GB"/>
        </w:rPr>
      </w:pPr>
    </w:p>
    <w:p w:rsidR="00790D6C" w:rsidRDefault="00790D6C" w14:paraId="000664B9" w14:textId="5FDD73A3" w:rsidP="00790D6C">
      <w:pPr>
        <w:spacing w:after="0" w:line="360" w:lineRule="auto"/>
        <w:rPr>
          <w:kern w:val="0"/>
          <w:lang w:eastAsia="en-GB"/>
          <w14:ligatures w14:val="none"/>
          <w:rFonts w:ascii="Times New Roman" w:cs="Times New Roman" w:eastAsia="Times New Roman" w:hAnsi="Times New Roman"/>
        </w:rPr>
      </w:pP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 xml:space="preserve">Clinical pathways (frailty, respiratory, heart failure, post-surgical and paediatrics in certain areas) have been built by providers and Integrated Care Systems in England as part of the implementation process. This has been aided by the acquisition of monitoring equipment, clinical dashboards and operational models for escalation. </w:t>
      </w:r>
      <w:proofErr w:type="gramStart"/>
      <w:r w:rsidRPr="00790D6C">
        <w:rPr>
          <w:kern w:val="0"/>
          <w:lang w:eastAsia="en-GB"/>
          <w14:ligatures w14:val="none"/>
          <w:rFonts w:ascii="Times New Roman" w:cs="Times New Roman" w:eastAsia="Times New Roman" w:hAnsi="Times New Roman"/>
        </w:rPr>
        <w:t>In an effort to</w:t>
      </w:r>
      <w:proofErr w:type="gramEnd"/>
      <w:r w:rsidRPr="00790D6C">
        <w:rPr>
          <w:kern w:val="0"/>
          <w:lang w:eastAsia="en-GB"/>
          <w14:ligatures w14:val="none"/>
          <w:rFonts w:ascii="Times New Roman" w:cs="Times New Roman" w:eastAsia="Times New Roman" w:hAnsi="Times New Roman"/>
        </w:rPr>
        <w:t xml:space="preserve"> standardise a service that may otherwise turn into a patchwork of regional "remote monitoring projects," NHS </w:t>
      </w:r>
      <w:r w:rsidRPr="00790D6C">
        <w:rPr>
          <w:kern w:val="0"/>
          <w:lang w:eastAsia="en-GB"/>
          <w14:ligatures w14:val="none"/>
          <w:rFonts w:ascii="Times New Roman" w:cs="Times New Roman" w:eastAsia="Times New Roman" w:hAnsi="Times New Roman"/>
        </w:rPr>
        <w:t>England's operational framework establishes objectives for patient selection, safety, governance and personnel design (NHS England, 2024). This is significant because too much variation in qualifying requirements, monitoring schedules and reaction times to deterioration between locations raises safety concerns.</w:t>
        <w:lastRenderedPageBreak/>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The service continues to look different throughout England, according to evidence from national-level studies. The Health Foundation's working paper described patterns of bed numbers, occupancy and variation across systems using national virtual ward data. It found that by December 2023, virtual ward "beds" had approximately 73% occupancy, with 8,600 patients at that time (Health Foundation, 2024). That figure indicates actual acceptance, but it also suggests that the system is still learning and growing rather than having undergone a complete metamorphosis.</w:t>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The roll-out in England has progressed more quickly than the studies on system-wide results, which is a reasonable criticism. With many evaluations being small, local and not usually published in peer-reviewed form, NHS England and independent organisations publicly acknowledge the lack of evidence about impacts on patient flow and capacity at scale (NHS England, 2024b; Health Foundation, 2024). This is a serious flaw because it means that national assertions about lower admissions or increased productivity occasionally rest on shaky data and hopeful presumptions.</w:t>
      </w:r>
    </w:p>
    <w:p w:rsidR="00790D6C" w:rsidRDefault="00790D6C" w14:paraId="799210DA" w14:textId="77777777" w:rsidP="00790D6C">
      <w:pPr>
        <w:spacing w:after="0" w:line="360" w:lineRule="auto"/>
        <w:rPr>
          <w:kern w:val="0"/>
          <w:lang w:eastAsia="en-GB"/>
          <w14:ligatures w14:val="none"/>
          <w:rFonts w:ascii="Times New Roman" w:cs="Times New Roman" w:eastAsia="Times New Roman" w:hAnsi="Times New Roman"/>
        </w:rPr>
      </w:pPr>
    </w:p>
    <w:p w:rsidR="00790D6C" w:rsidRDefault="00790D6C" w14:paraId="79B69F44" w14:textId="77777777" w:rsidP="00790D6C" w:rsidRPr="00790D6C">
      <w:pPr>
        <w:spacing w:after="0" w:line="360" w:lineRule="auto"/>
        <w:rPr>
          <w:kern w:val="0"/>
          <w:lang w:eastAsia="en-GB"/>
          <w14:ligatures w14:val="none"/>
          <w:rFonts w:ascii="Times New Roman" w:cs="Times New Roman" w:eastAsia="Times New Roman" w:hAnsi="Times New Roman"/>
        </w:rPr>
      </w:pPr>
    </w:p>
    <w:p w:rsidR="00790D6C" w:rsidRDefault="00790D6C" w14:paraId="14C8D3B4" w14:textId="5EFC5C81" w:rsidP="00790D6C" w:rsidRPr="00790D6C">
      <w:pPr>
        <w:pStyle w:val="Heading1"/>
        <w:numPr>
          <w:ilvl w:val="0"/>
          <w:numId w:val="2"/>
        </w:numPr>
        <w:rPr>
          <w:lang w:eastAsia="en-GB"/>
        </w:rPr>
      </w:pPr>
      <w:bookmarkStart w:id="2" w:name="_Toc222327053"/>
      <w:r w:rsidRPr="00790D6C">
        <w:rPr>
          <w:lang w:eastAsia="en-GB"/>
        </w:rPr>
        <w:t>Workforce: changes in roles, competence and the felt pressure</w:t>
      </w:r>
      <w:bookmarkEnd w:id="2"/>
    </w:p>
    <w:p w:rsidR="00790D6C" w:rsidRDefault="00790D6C" w14:paraId="390F4B73" w14:textId="77777777" w:rsidP="00790D6C" w:rsidRPr="00790D6C"/>
    <w:p w:rsidR="00790D6C" w:rsidRDefault="00790D6C" w14:paraId="0D97F47D" w14:textId="2DB5869E" w:rsidP="00790D6C" w:rsidRPr="00790D6C">
      <w:pPr>
        <w:spacing w:after="0" w:line="360" w:lineRule="auto"/>
        <w:rPr>
          <w:kern w:val="0"/>
          <w:lang w:eastAsia="en-GB"/>
          <w14:ligatures w14:val="none"/>
          <w:rFonts w:ascii="Times New Roman" w:cs="Times New Roman" w:eastAsia="Times New Roman" w:hAnsi="Times New Roman"/>
        </w:rPr>
      </w:pP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Instead of eliminating clinical labour, virtual wards transform it. Though the job is mediated by digital technologies and patient self-measurement, nurses, physicians, allied health professionals and chemists still make judgements. Virtual ward coordinators, remote monitoring support personnel and clinicians that specialise in risk management via data streams as opposed to direct bedside observation are among the new positions that emerge. Rapid scale-up runs the potential of becoming more of a staffing issue than a technology issue, according to some national comments and workforce design has not always been sufficiently stated in practice (O'Dowd, 2023).</w:t>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 xml:space="preserve">Competency criteria change in a way that is a little unsettling. Employees must feel </w:t>
      </w:r>
      <w:r w:rsidRPr="00790D6C">
        <w:rPr>
          <w:kern w:val="0"/>
          <w:lang w:eastAsia="en-GB"/>
          <w14:ligatures w14:val="none"/>
          <w:rFonts w:ascii="Times New Roman" w:cs="Times New Roman" w:eastAsia="Times New Roman" w:hAnsi="Times New Roman"/>
        </w:rPr>
        <w:t>comfortable communicating clinical urgency remotely, analysing dashboards and triaging based on data captured at home. This encompasses more than just "digital skills"</w:t>
        <w:lastRenderedPageBreak/>
      </w:r>
      <w:r w:rsidR="005B1D22">
        <w:rPr>
          <w:kern w:val="0"/>
          <w:lang w:eastAsia="en-GB"/>
          <w14:ligatures w14:val="none"/>
          <w:rFonts w:ascii="Times New Roman" w:cs="Times New Roman" w:eastAsia="Times New Roman" w:hAnsi="Times New Roman"/>
        </w:rPr>
        <w:t>,</w:t>
      </w:r>
      <w:r w:rsidRPr="00790D6C">
        <w:rPr>
          <w:kern w:val="0"/>
          <w:lang w:eastAsia="en-GB"/>
          <w14:ligatures w14:val="none"/>
          <w:rFonts w:ascii="Times New Roman" w:cs="Times New Roman" w:eastAsia="Times New Roman" w:hAnsi="Times New Roman"/>
        </w:rPr>
        <w:t xml:space="preserve"> it also covers making safety decisions in the face of ambiguity when the patient is not there. The digital pathway may be designed primarily around nursing and medical input, leaving gaps in rehabilitation, social support and daily functional help. This is explained in the King's Fund work on digitally enabled community care, which highlights how staffing assumptions for wider teams (including care workers and some allied health professionals) can be weak in these models (The King's Fund, 2024a). As a result, risk enters the house and therapists are forced to make more calls and install safety netting, which takes time and wears them out mentally.</w:t>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Another problem is the dispersal of the workers. Because a single staff can monitor numerous patients, virtual wards allow for the concentration of specialised knowledge over a larger geographic area. Although it may centralise labour into "control room" models that seem disconnected from local community teams, that seems efficient. Staff dissatisfaction increases and escalation is slowed down when there are poor partnerships between acute trusts, community nursing, GP teams and social care. This is why some writers advocate for rigorous evaluation techniques that reflect actual operational outcomes, not simply patient happiness and why organisational implementation</w:t>
      </w:r>
      <w:r>
        <w:rPr>
          <w:kern w:val="0"/>
          <w:lang w:eastAsia="en-GB"/>
          <w14:ligatures w14:val="none"/>
          <w:rFonts w:ascii="Times New Roman" w:cs="Times New Roman" w:eastAsia="Times New Roman" w:hAnsi="Times New Roman"/>
        </w:rPr>
        <w:t xml:space="preserve"> </w:t>
      </w:r>
      <w:r w:rsidRPr="00790D6C">
        <w:rPr>
          <w:kern w:val="0"/>
          <w:lang w:eastAsia="en-GB"/>
          <w14:ligatures w14:val="none"/>
          <w:rFonts w:ascii="Times New Roman" w:cs="Times New Roman" w:eastAsia="Times New Roman" w:hAnsi="Times New Roman"/>
        </w:rPr>
        <w:t>rather than just devices</w:t>
      </w:r>
      <w:r>
        <w:rPr>
          <w:kern w:val="0"/>
          <w:lang w:eastAsia="en-GB"/>
          <w14:ligatures w14:val="none"/>
          <w:rFonts w:ascii="Times New Roman" w:cs="Times New Roman" w:eastAsia="Times New Roman" w:hAnsi="Times New Roman"/>
        </w:rPr>
        <w:t xml:space="preserve"> </w:t>
      </w:r>
      <w:r w:rsidRPr="00790D6C">
        <w:rPr>
          <w:kern w:val="0"/>
          <w:lang w:eastAsia="en-GB"/>
          <w14:ligatures w14:val="none"/>
          <w:rFonts w:ascii="Times New Roman" w:cs="Times New Roman" w:eastAsia="Times New Roman" w:hAnsi="Times New Roman"/>
        </w:rPr>
        <w:t>is the challenging element (NHS Confederation, 2023).</w:t>
      </w:r>
    </w:p>
    <w:p w:rsidR="003E6007" w:rsidRDefault="003E6007" w14:paraId="41592835" w14:textId="77777777"/>
    <w:p w:rsidR="00790D6C" w:rsidRDefault="00790D6C" w14:paraId="1D8AC569" w14:textId="1370D517" w:rsidP="00790D6C">
      <w:pPr>
        <w:pStyle w:val="Heading1"/>
        <w:numPr>
          <w:ilvl w:val="0"/>
          <w:numId w:val="2"/>
        </w:numPr>
      </w:pPr>
      <w:bookmarkStart w:id="3" w:name="_Toc222327054"/>
      <w:r w:rsidRPr="00790D6C">
        <w:t>Service delivery: what changes in day-to-day care</w:t>
      </w:r>
      <w:bookmarkEnd w:id="3"/>
    </w:p>
    <w:p w:rsidR="00790D6C" w:rsidRDefault="00790D6C" w14:paraId="533D9595" w14:textId="77777777" w:rsidP="00790D6C"/>
    <w:p w:rsidR="00790D6C" w:rsidRDefault="00790D6C" w14:paraId="20E6FE88" w14:textId="40E5645B" w:rsidP="00790D6C" w:rsidRPr="00790D6C">
      <w:pPr>
        <w:spacing w:after="0" w:line="360" w:lineRule="auto"/>
        <w:rPr>
          <w:kern w:val="0"/>
          <w:lang w:eastAsia="en-GB"/>
          <w14:ligatures w14:val="none"/>
          <w:rFonts w:ascii="Times New Roman" w:cs="Times New Roman" w:eastAsia="Times New Roman" w:hAnsi="Times New Roman"/>
        </w:rPr>
      </w:pP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 xml:space="preserve">Routines on the ward are replaced by planned remote reviews and prompt action when readings deteriorate. "War rounds" might turn into a daily call and a systematic assessment process for patients, with a threshold for an ambulance, an urgent community visit, or a hospital transfer. Employees' jobs become a combination of reactive troubleshooting and proactive monitoring. Whether this lowers overall demand or merely shifts it is a crucial practical matter. The virtual ward becomes more like a mobile inpatient team with a digital layer rather than a less expensive option if staff still </w:t>
      </w:r>
      <w:proofErr w:type="gramStart"/>
      <w:r w:rsidRPr="00790D6C">
        <w:rPr>
          <w:kern w:val="0"/>
          <w:lang w:eastAsia="en-GB"/>
          <w14:ligatures w14:val="none"/>
          <w:rFonts w:ascii="Times New Roman" w:cs="Times New Roman" w:eastAsia="Times New Roman" w:hAnsi="Times New Roman"/>
        </w:rPr>
        <w:t>have to</w:t>
      </w:r>
      <w:proofErr w:type="gramEnd"/>
      <w:r w:rsidRPr="00790D6C">
        <w:rPr>
          <w:kern w:val="0"/>
          <w:lang w:eastAsia="en-GB"/>
          <w14:ligatures w14:val="none"/>
          <w:rFonts w:ascii="Times New Roman" w:cs="Times New Roman" w:eastAsia="Times New Roman" w:hAnsi="Times New Roman"/>
        </w:rPr>
        <w:t xml:space="preserve"> make frequent home visits.</w:t>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 xml:space="preserve">There may be quantifiable operational differences, according to some published empirical research. With consideration for cost sustainability in that context, a retrospective </w:t>
      </w:r>
      <w:r w:rsidRPr="00790D6C">
        <w:rPr>
          <w:kern w:val="0"/>
          <w:lang w:eastAsia="en-GB"/>
          <w14:ligatures w14:val="none"/>
          <w:rFonts w:ascii="Times New Roman" w:cs="Times New Roman" w:eastAsia="Times New Roman" w:hAnsi="Times New Roman"/>
        </w:rPr>
        <w:t>longitudinal study conducted in a medium-sized hospital in the United Kingdom revealed trends indicating shorter in-hospital stay prior to transition to a virtual ward (Jalilian et al., 2024). Although this type of research is helpful, it has limitations since retrospective designs are susceptible to selection bias. For example, physicians may select "easier" cases for home care, making the results appear better than they would in a larger population. This bias only compels the reader to view the findings as conditional evidence</w:t>
        <w:lastRenderedPageBreak/>
      </w:r>
      <w:r w:rsidR="005B1D22">
        <w:rPr>
          <w:kern w:val="0"/>
          <w:lang w:eastAsia="en-GB"/>
          <w14:ligatures w14:val="none"/>
          <w:rFonts w:ascii="Times New Roman" w:cs="Times New Roman" w:eastAsia="Times New Roman" w:hAnsi="Times New Roman"/>
        </w:rPr>
        <w:t>,</w:t>
      </w:r>
      <w:r w:rsidRPr="00790D6C">
        <w:rPr>
          <w:kern w:val="0"/>
          <w:lang w:eastAsia="en-GB"/>
          <w14:ligatures w14:val="none"/>
          <w:rFonts w:ascii="Times New Roman" w:cs="Times New Roman" w:eastAsia="Times New Roman" w:hAnsi="Times New Roman"/>
        </w:rPr>
        <w:t xml:space="preserve"> it does not negate the value.</w:t>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Digital infrastructure, such as home access, compatibility with electronic patient data and dependable device supply chains, is also critical to service delivery. The NHS acknowledges clearly in its national digital inclusion strategy that not all groups can use digital health services equally and that services should be created to avoid excluding those who are unable to access devices, data plans, or assistance with digital literacy (NHS England, 2023). Without inclusive options, the service may subtly become "for the digitally confident," which is the opposite of what urgent care should be. This becomes a direct service delivery limitation for virtual wards.</w:t>
      </w:r>
    </w:p>
    <w:p w:rsidR="00790D6C" w:rsidRDefault="00790D6C" w14:paraId="2DE8476C" w14:textId="77777777" w:rsidP="00790D6C"/>
    <w:p w:rsidR="00790D6C" w:rsidRDefault="00790D6C" w14:paraId="59D888D6" w14:textId="6C465AA3" w:rsidP="00790D6C">
      <w:pPr>
        <w:pStyle w:val="Heading1"/>
        <w:numPr>
          <w:ilvl w:val="0"/>
          <w:numId w:val="2"/>
        </w:numPr>
      </w:pPr>
      <w:bookmarkStart w:id="4" w:name="_Toc222327055"/>
      <w:r w:rsidRPr="00790D6C">
        <w:t>Patient and service user experience: comfort, autonomy, anxiety and trust</w:t>
      </w:r>
      <w:bookmarkEnd w:id="4"/>
    </w:p>
    <w:p w:rsidR="00790D6C" w:rsidRDefault="00790D6C" w14:paraId="1BCC4913" w14:textId="77777777" w:rsidP="00790D6C"/>
    <w:p w:rsidR="00790D6C" w:rsidRDefault="00790D6C" w14:paraId="3811B923" w14:textId="5D829052" w:rsidP="00790D6C">
      <w:pPr>
        <w:spacing w:after="0" w:line="360" w:lineRule="auto"/>
        <w:rPr>
          <w:kern w:val="0"/>
          <w:lang w:eastAsia="en-GB"/>
          <w14:ligatures w14:val="none"/>
          <w:rFonts w:ascii="Times New Roman" w:cs="Times New Roman" w:eastAsia="Times New Roman" w:hAnsi="Times New Roman"/>
        </w:rPr>
      </w:pP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The most obvious advantage for many patients is being able to sleep at home instead of on a crowded ward. According to media reports, there have been instances where patients believed that hospital beds were made available for others and valued less travel, which is consistent with the NHS's capacity argument (The Guardian, 2024). Patients frequently accept the "moral economy" of using home care so that hospitals can treat sicker patients, which is why these narratives are significant because they demonstrate perceived validity. However, the mere fact that the setting is familiar does not guarantee a good patient experience.</w:t>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 xml:space="preserve">Virtual wards can increase patient autonomy, but they can also add burden. Readings, symptom interpretation and following digital instructions are frequently requested of patients. While some people enjoy the habit, others experience anxiety, particularly when confronted with alarming figures and unsure of what constitutes normal. In terms of social care, this places some of the burden of monitoring and work on the client. The technology turns into a cause of stress rather than safety if there is insufficient training and assurance. The NHS </w:t>
      </w:r>
      <w:r w:rsidRPr="00790D6C">
        <w:rPr>
          <w:kern w:val="0"/>
          <w:lang w:eastAsia="en-GB"/>
          <w14:ligatures w14:val="none"/>
          <w:rFonts w:ascii="Times New Roman" w:cs="Times New Roman" w:eastAsia="Times New Roman" w:hAnsi="Times New Roman"/>
        </w:rPr>
        <w:t>Confederation report emphasises that trust and confidence between physicians and patients are essential to successful services, suggesting that even when the technologies appear sophisticated, human relationships continue to play a crucial role (NHS Confederation, 2023).</w:t>
        <w:lastRenderedPageBreak/>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 xml:space="preserve">Data processing and privacy constitute a second patient concern. The volume of health data that is sent and stored increases with remote monitoring. Some people are concerned about who can access their data, even when it is clinically required. This is particularly true when platforms use outside suppliers. Broader public discussions around NHS digital data sharing demonstrate that trust is brittle and can be harmed by imprecise communication or governance (Financial Times, 2025). </w:t>
      </w:r>
      <w:proofErr w:type="gramStart"/>
      <w:r w:rsidRPr="00790D6C">
        <w:rPr>
          <w:kern w:val="0"/>
          <w:lang w:eastAsia="en-GB"/>
          <w14:ligatures w14:val="none"/>
          <w:rFonts w:ascii="Times New Roman" w:cs="Times New Roman" w:eastAsia="Times New Roman" w:hAnsi="Times New Roman"/>
        </w:rPr>
        <w:t>In order to</w:t>
      </w:r>
      <w:proofErr w:type="gramEnd"/>
      <w:r w:rsidRPr="00790D6C">
        <w:rPr>
          <w:kern w:val="0"/>
          <w:lang w:eastAsia="en-GB"/>
          <w14:ligatures w14:val="none"/>
          <w:rFonts w:ascii="Times New Roman" w:cs="Times New Roman" w:eastAsia="Times New Roman" w:hAnsi="Times New Roman"/>
        </w:rPr>
        <w:t xml:space="preserve"> prevent refusal or disengagement, virtual wards must have clear consent procedures and straightforward explanations.</w:t>
      </w:r>
    </w:p>
    <w:p w:rsidR="00790D6C" w:rsidRDefault="00790D6C" w14:paraId="1FD21515" w14:textId="77777777" w:rsidP="00790D6C">
      <w:pPr>
        <w:spacing w:after="0" w:line="360" w:lineRule="auto"/>
        <w:rPr>
          <w:kern w:val="0"/>
          <w:lang w:eastAsia="en-GB"/>
          <w14:ligatures w14:val="none"/>
          <w:rFonts w:ascii="Times New Roman" w:cs="Times New Roman" w:eastAsia="Times New Roman" w:hAnsi="Times New Roman"/>
        </w:rPr>
      </w:pPr>
    </w:p>
    <w:p w:rsidR="00790D6C" w:rsidRDefault="00790D6C" w14:paraId="0A51116D" w14:textId="2D80E09D" w:rsidP="00790D6C">
      <w:pPr>
        <w:pStyle w:val="Heading1"/>
        <w:numPr>
          <w:ilvl w:val="0"/>
          <w:numId w:val="2"/>
        </w:numPr>
        <w:rPr>
          <w:lang w:eastAsia="en-GB"/>
          <w:rFonts w:eastAsia="Times New Roman"/>
        </w:rPr>
      </w:pPr>
      <w:bookmarkStart w:id="5" w:name="_Toc222327056"/>
      <w:r w:rsidRPr="00790D6C">
        <w:rPr>
          <w:lang w:eastAsia="en-GB"/>
          <w:rFonts w:eastAsia="Times New Roman"/>
        </w:rPr>
        <w:t>Community: home location, family impact and public health effects</w:t>
      </w:r>
      <w:bookmarkEnd w:id="5"/>
    </w:p>
    <w:p w:rsidR="00790D6C" w:rsidRDefault="00790D6C" w14:paraId="5A668361" w14:textId="77777777" w:rsidP="00790D6C">
      <w:pPr>
        <w:rPr>
          <w:lang w:eastAsia="en-GB"/>
        </w:rPr>
      </w:pPr>
    </w:p>
    <w:p w:rsidR="00790D6C" w:rsidRDefault="00790D6C" w14:paraId="48C89B31" w14:textId="4C00A66B" w:rsidP="00790D6C" w:rsidRPr="00790D6C">
      <w:pPr>
        <w:spacing w:after="0" w:line="360" w:lineRule="auto"/>
        <w:rPr>
          <w:kern w:val="0"/>
          <w:lang w:eastAsia="en-GB"/>
          <w14:ligatures w14:val="none"/>
          <w:rFonts w:ascii="Times New Roman" w:cs="Times New Roman" w:eastAsia="Times New Roman" w:hAnsi="Times New Roman"/>
        </w:rPr>
      </w:pP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The unpaid care network surrounding the sick is just as much a part of the community as geography. Family members who assist with gadgets, reporting and basic care may inadvertently take on more duty in virtual wards. Early on, Carers UK issued a warning that unpaid carers may experience increased stress from home-based hospital-level care, particularly if they are expected to handle clinical duties without the necessary training or breaks (Carers UK, 2022). Even if hospital admissions decline, the paradigm becomes unethical if carers feel pressured into quasi-clinical tasks.</w:t>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When it comes to inequality, location is also important. Rural patients may benefit because it can be challenging to go to the hospital, but there may be less internet access in rural locations. Then, there's a chance of having two disadvantages: inadequate broadband and the distance from the hospital. Although NHS England's digital inclusion strategy encourages providers to provide non-digital channels and assistance, doing so successfully takes money, effort and staff in addition to "good intentions" (NHS England, 2023). When a service subtly leaves out users without cell phones, secure housing, or fluency in English, the impact on the community becomes apparent.</w:t>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 xml:space="preserve">Another perspective is public health. Home treatment may lower hospital-acquired infections and bed rest deconditioning, which has obvious population-level effects on senior </w:t>
      </w:r>
      <w:r w:rsidRPr="00790D6C">
        <w:rPr>
          <w:kern w:val="0"/>
          <w:lang w:eastAsia="en-GB"/>
          <w14:ligatures w14:val="none"/>
          <w:rFonts w:ascii="Times New Roman" w:cs="Times New Roman" w:eastAsia="Times New Roman" w:hAnsi="Times New Roman"/>
        </w:rPr>
        <w:t>citizens. Additionally, there is the environmental impact of virtual wards. According to a recent peer-reviewed study, reducing travel and implementing alternative care pathways can reduce emissions, though the exact impact will vary depending on how many visits are replaced by remote contacts and how devices are purchased and used (Townsend et al., 2025). Since climate-linked health risk is now a public health concern, this is a community-relevant outcome. However, it is not always this way</w:t>
        <w:lastRenderedPageBreak/>
      </w:r>
      <w:r w:rsidR="005B1D22">
        <w:rPr>
          <w:kern w:val="0"/>
          <w:lang w:eastAsia="en-GB"/>
          <w14:ligatures w14:val="none"/>
          <w:rFonts w:ascii="Times New Roman" w:cs="Times New Roman" w:eastAsia="Times New Roman" w:hAnsi="Times New Roman"/>
        </w:rPr>
        <w:t>,</w:t>
      </w:r>
      <w:r w:rsidRPr="00790D6C">
        <w:rPr>
          <w:kern w:val="0"/>
          <w:lang w:eastAsia="en-GB"/>
          <w14:ligatures w14:val="none"/>
          <w:rFonts w:ascii="Times New Roman" w:cs="Times New Roman" w:eastAsia="Times New Roman" w:hAnsi="Times New Roman"/>
        </w:rPr>
        <w:t xml:space="preserve"> carbon savings may decrease if service members travel great distances for frequent home visits.</w:t>
      </w:r>
    </w:p>
    <w:p w:rsidR="00790D6C" w:rsidRDefault="00790D6C" w14:paraId="6A02AD48" w14:textId="77777777" w:rsidP="00790D6C">
      <w:pPr>
        <w:rPr>
          <w:lang w:eastAsia="en-GB"/>
        </w:rPr>
      </w:pPr>
    </w:p>
    <w:p w:rsidR="00790D6C" w:rsidRDefault="00790D6C" w14:paraId="277DF784" w14:textId="2E4167B4" w:rsidP="00790D6C">
      <w:pPr>
        <w:pStyle w:val="Heading1"/>
        <w:numPr>
          <w:ilvl w:val="0"/>
          <w:numId w:val="2"/>
        </w:numPr>
        <w:rPr>
          <w:lang w:eastAsia="en-GB"/>
        </w:rPr>
      </w:pPr>
      <w:bookmarkStart w:id="6" w:name="_Toc222327057"/>
      <w:r w:rsidRPr="00790D6C">
        <w:rPr>
          <w:lang w:eastAsia="en-GB"/>
        </w:rPr>
        <w:t>Positive outcomes, stated carefully and with evidence limits</w:t>
      </w:r>
      <w:bookmarkEnd w:id="6"/>
    </w:p>
    <w:p w:rsidR="00790D6C" w:rsidRDefault="00790D6C" w14:paraId="538C62E4" w14:textId="77777777" w:rsidP="00790D6C">
      <w:pPr>
        <w:rPr>
          <w:lang w:eastAsia="en-GB"/>
        </w:rPr>
      </w:pPr>
    </w:p>
    <w:p w:rsidR="00790D6C" w:rsidRDefault="00790D6C" w14:paraId="097AA01A" w14:textId="3EF20B69" w:rsidP="00790D6C">
      <w:pPr>
        <w:spacing w:after="0" w:line="360" w:lineRule="auto"/>
        <w:rPr>
          <w:kern w:val="0"/>
          <w:lang w:eastAsia="en-GB"/>
          <w14:ligatures w14:val="none"/>
          <w:rFonts w:ascii="Times New Roman" w:cs="Times New Roman" w:eastAsia="Times New Roman" w:hAnsi="Times New Roman"/>
        </w:rPr>
      </w:pP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Since early discharge and avoiding admission are closely related to bed availability, capacity relief is a legitimate benefit of using virtual wards for the right patients. The paradigm is ingrained in national service planning, as evidenced by NHS England's frequent links of virtual wards to urgent care recovery plans and operational resilience during winter times (Mahase, 2024; NHS England, 2024). While acknowledging the potential, independent analysis cautions against exaggerating it. Although the scale-up is real, the Health Foundation underlines that system-level effects are not well supported by published research, thus policymakers should refrain from assuming significant productivity benefits in the absence of improved data (Health Foundation, 2024).</w:t>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rFonts w:ascii="Times New Roman" w:cs="Times New Roman" w:eastAsia="Times New Roman" w:hAnsi="Times New Roman"/>
        </w:rPr>
        <w:tab/>
      </w:r>
      <w:r>
        <w:rPr>
          <w:rFonts w:ascii="Times New Roman" w:cs="Times New Roman" w:eastAsia="Times New Roman" w:hAnsi="Times New Roman"/>
        </w:rPr>
        <w:t xml:space="preserve"> </w:t>
      </w:r>
      <w:r w:rsidRPr="00790D6C">
        <w:rPr>
          <w:kern w:val="0"/>
          <w:lang w:eastAsia="en-GB"/>
          <w14:ligatures w14:val="none"/>
          <w:rFonts w:ascii="Times New Roman" w:cs="Times New Roman" w:eastAsia="Times New Roman" w:hAnsi="Times New Roman"/>
        </w:rPr>
        <w:t>For some users, patient preference is also a real advantage. According to The Guardian's reporting, some patients view home monitoring as less intrusive and supportive, which can enhance their participation in self-management (The Guardian, 2024). Perceived experience at a health service affects adherence, complaints and readiness to accept early discharge</w:t>
      </w:r>
      <w:r w:rsidR="005B1D22">
        <w:rPr>
          <w:kern w:val="0"/>
          <w:lang w:eastAsia="en-GB"/>
          <w14:ligatures w14:val="none"/>
          <w:rFonts w:ascii="Times New Roman" w:cs="Times New Roman" w:eastAsia="Times New Roman" w:hAnsi="Times New Roman"/>
        </w:rPr>
        <w:t>,</w:t>
      </w:r>
      <w:r w:rsidRPr="00790D6C">
        <w:rPr>
          <w:kern w:val="0"/>
          <w:lang w:eastAsia="en-GB"/>
          <w14:ligatures w14:val="none"/>
          <w:rFonts w:ascii="Times New Roman" w:cs="Times New Roman" w:eastAsia="Times New Roman" w:hAnsi="Times New Roman"/>
        </w:rPr>
        <w:t xml:space="preserve"> it is not ornamental.</w:t>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Redesigning services and learning could be another benefit. Virtual wards can help to clarify previously jumbled routes between acute and community services by requiring teams to establish shared records, monitoring frequency and escalation guidelines. One example of a local program attempting systematic assessment instead of just promotion is NHS England's South and West Hertfordshire COPD virtual ward evaluation, which demonstrates a shift toward implementation science in actual services (NHS England, 2023b). The direction is still crucial, but the flaw is that local assessments differ in their level of rigour.</w:t>
      </w:r>
    </w:p>
    <w:p w:rsidR="00790D6C" w:rsidRDefault="00790D6C" w14:paraId="0EDEC5E8" w14:textId="77777777" w:rsidP="00790D6C">
      <w:pPr>
        <w:spacing w:after="0" w:line="360" w:lineRule="auto"/>
        <w:rPr>
          <w:kern w:val="0"/>
          <w:lang w:eastAsia="en-GB"/>
          <w14:ligatures w14:val="none"/>
          <w:rFonts w:ascii="Times New Roman" w:cs="Times New Roman" w:eastAsia="Times New Roman" w:hAnsi="Times New Roman"/>
        </w:rPr>
      </w:pPr>
    </w:p>
    <w:p w:rsidR="00790D6C" w:rsidRDefault="00790D6C" w14:paraId="29880854" w14:textId="002D876D" w:rsidP="00790D6C">
      <w:pPr>
        <w:pStyle w:val="Heading1"/>
        <w:numPr>
          <w:ilvl w:val="0"/>
          <w:numId w:val="2"/>
        </w:numPr>
        <w:rPr>
          <w:lang w:eastAsia="en-GB"/>
          <w:rFonts w:eastAsia="Times New Roman"/>
        </w:rPr>
      </w:pPr>
      <w:bookmarkStart w:id="7" w:name="_Toc222327058"/>
      <w:r w:rsidRPr="00790D6C">
        <w:rPr>
          <w:lang w:eastAsia="en-GB"/>
          <w:rFonts w:eastAsia="Times New Roman"/>
        </w:rPr>
        <w:t>Negative outcomes and risks that remain unresolved</w:t>
      </w:r>
      <w:bookmarkEnd w:id="7"/>
    </w:p>
    <w:p w:rsidR="00790D6C" w:rsidRDefault="00790D6C" w14:paraId="3C64B9B3" w14:textId="77777777" w:rsidP="00790D6C">
      <w:pPr>
        <w:rPr>
          <w:lang w:eastAsia="en-GB"/>
        </w:rPr>
      </w:pPr>
    </w:p>
    <w:p w:rsidR="00790D6C" w:rsidRDefault="00790D6C" w14:paraId="690143A3" w14:textId="05D6997B" w:rsidP="00790D6C" w:rsidRPr="00790D6C">
      <w:pPr>
        <w:spacing w:after="0" w:line="360" w:lineRule="auto"/>
        <w:rPr>
          <w:kern w:val="0"/>
          <w:lang w:eastAsia="en-GB"/>
          <w14:ligatures w14:val="none"/>
          <w:rFonts w:ascii="Times New Roman" w:cs="Times New Roman" w:eastAsia="Times New Roman" w:hAnsi="Times New Roman"/>
        </w:rPr>
      </w:pP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Workforce strain is the most obvious concern. Virtual wards risk becoming an extra service added on top of current teams if they are paid as "extra capacity" without sufficient staffing. Scaling targets may exceed reality on the ground and manpower shortages could jeopardise delivery, according to BMJ reporting (O'Dowd, 2023). This is a classic challenge with digital transformation: technology is used to replace workers, yet people are still needed for tasks like monitoring, escalation and reassurance.</w:t>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 xml:space="preserve">Inequity through digital exclusion poses a second concern. According to national policy, this is not an isolated incident but rather a fundamental issue with the NHS (NHS England, 2023). If those with limited internet access are less likely to be provided the program or leave early, virtual wards may exacerbate inequality. Loan devices, translation assistance, </w:t>
      </w:r>
      <w:r w:rsidR="005B1D22" w:rsidRPr="00790D6C">
        <w:rPr>
          <w:kern w:val="0"/>
          <w:lang w:eastAsia="en-GB"/>
          <w14:ligatures w14:val="none"/>
          <w:rFonts w:ascii="Times New Roman" w:cs="Times New Roman" w:eastAsia="Times New Roman" w:hAnsi="Times New Roman"/>
        </w:rPr>
        <w:t>training</w:t>
      </w:r>
      <w:r w:rsidRPr="00790D6C">
        <w:rPr>
          <w:kern w:val="0"/>
          <w:lang w:eastAsia="en-GB"/>
          <w14:ligatures w14:val="none"/>
          <w:rFonts w:ascii="Times New Roman" w:cs="Times New Roman" w:eastAsia="Times New Roman" w:hAnsi="Times New Roman"/>
        </w:rPr>
        <w:t xml:space="preserve"> and community collaborations are some ways that a well-designed service might lessen this, but they are not free and call for managerial attention.</w:t>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Transferring the load on families and social services is a third risk. According to Carers UK's briefing, virtual wards may increase stress and unpaid labour unless carers are acknowledged, involved and supported (Carers UK, 2022). Given the strain and staffing shortages already plaguing senior social care in England, this is particularly concerning. Even if hospital measurements improve, the outcome may still be hazardous or unjust if acute care is moved into the home without corresponding social care services.</w:t>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Lastly, there is a chance that large assertions will be supported by shaky evidence. There is no definitive answer on cost-effectiveness and the best scale for various ailments, even at the policy briefing level, according to the UK Parliament POST note on virtual wards and hospital at home, which lists advantages and uncertainties (UK Parliament POST, 2025). A competent critical review does not conceal uncertainty when it exists</w:t>
      </w:r>
      <w:r w:rsidR="005B1D22">
        <w:rPr>
          <w:kern w:val="0"/>
          <w:lang w:eastAsia="en-GB"/>
          <w14:ligatures w14:val="none"/>
          <w:rFonts w:ascii="Times New Roman" w:cs="Times New Roman" w:eastAsia="Times New Roman" w:hAnsi="Times New Roman"/>
        </w:rPr>
        <w:t>,</w:t>
      </w:r>
      <w:r w:rsidRPr="00790D6C">
        <w:rPr>
          <w:kern w:val="0"/>
          <w:lang w:eastAsia="en-GB"/>
          <w14:ligatures w14:val="none"/>
          <w:rFonts w:ascii="Times New Roman" w:cs="Times New Roman" w:eastAsia="Times New Roman" w:hAnsi="Times New Roman"/>
        </w:rPr>
        <w:t xml:space="preserve"> rather, it acknowledges it as a component of the body of knowledge and makes the case for improved study designs, open data and cautious rollout goals.</w:t>
      </w:r>
    </w:p>
    <w:p w:rsidR="00790D6C" w:rsidRDefault="00790D6C" w14:paraId="287F6DB4" w14:textId="77777777" w:rsidP="00790D6C" w:rsidRPr="00790D6C">
      <w:pPr>
        <w:rPr>
          <w:lang w:eastAsia="en-GB"/>
        </w:rPr>
      </w:pPr>
    </w:p>
    <w:p w:rsidR="00790D6C" w:rsidRDefault="00790D6C" w14:paraId="5C579673" w14:textId="7D465EC8" w:rsidP="00790D6C">
      <w:pPr>
        <w:pStyle w:val="Heading1"/>
        <w:numPr>
          <w:ilvl w:val="0"/>
          <w:numId w:val="2"/>
        </w:numPr>
        <w:rPr>
          <w:lang w:eastAsia="en-GB"/>
        </w:rPr>
      </w:pPr>
      <w:bookmarkStart w:id="8" w:name="_Toc222327059"/>
      <w:r w:rsidRPr="00790D6C">
        <w:rPr>
          <w:lang w:eastAsia="en-GB"/>
        </w:rPr>
        <w:t>Judgement and conclusion</w:t>
        <w:lastRenderedPageBreak/>
      </w:r>
      <w:bookmarkEnd w:id="8"/>
    </w:p>
    <w:p w:rsidR="00790D6C" w:rsidRDefault="00790D6C" w14:paraId="4C9BAB88" w14:textId="77777777" w:rsidP="00790D6C">
      <w:pPr>
        <w:rPr>
          <w:lang w:eastAsia="en-GB"/>
        </w:rPr>
      </w:pPr>
    </w:p>
    <w:p w:rsidR="00790D6C" w:rsidRDefault="00790D6C" w14:paraId="13F5FB14" w14:textId="410C641E" w:rsidP="00790D6C">
      <w:pPr>
        <w:spacing w:after="0" w:line="360" w:lineRule="auto"/>
        <w:rPr>
          <w:kern w:val="0"/>
          <w:lang w:eastAsia="en-GB"/>
          <w14:ligatures w14:val="none"/>
          <w:rFonts w:ascii="Times New Roman" w:cs="Times New Roman" w:eastAsia="Times New Roman" w:hAnsi="Times New Roman"/>
        </w:rPr>
      </w:pP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With clear policy support and quantifiable scale-up goals, digitally enabled virtual wards in England are a significant health and social care innovation that has transitioned from a niche service to a national delivery model in the previous ten years (NHS England, 2022; NHS England, 2024). Serious efforts have been made to standardise safety and governance through implementation</w:t>
      </w:r>
      <w:r w:rsidR="005B1D22">
        <w:rPr>
          <w:kern w:val="0"/>
          <w:lang w:eastAsia="en-GB"/>
          <w14:ligatures w14:val="none"/>
          <w:rFonts w:ascii="Times New Roman" w:cs="Times New Roman" w:eastAsia="Times New Roman" w:hAnsi="Times New Roman"/>
        </w:rPr>
        <w:t>,</w:t>
      </w:r>
      <w:r w:rsidRPr="00790D6C">
        <w:rPr>
          <w:kern w:val="0"/>
          <w:lang w:eastAsia="en-GB"/>
          <w14:ligatures w14:val="none"/>
          <w:rFonts w:ascii="Times New Roman" w:cs="Times New Roman" w:eastAsia="Times New Roman" w:hAnsi="Times New Roman"/>
        </w:rPr>
        <w:t xml:space="preserve"> nonetheless, the lived reality remains unequal, with significant heterogeneity across systems and an ongoing evidence gap about system-wide implications (Health Foundation, 2024; NHS England, 2024b). The approach can raise cognitive burden and extend staffing if resourcing is optimistic, but it also makes some roles more flexible and data-informed (O'Dowd, 2023). Although published research should be interpreted cautiously due to selection effects and local context, service delivery modifications are important and can enhance patient flow in specific circumstances (Jalilian et al., 2024).</w:t>
      </w:r>
      <w:r>
        <w:rPr>
          <w:rFonts w:ascii="Times New Roman" w:cs="Times New Roman" w:eastAsia="Times New Roman" w:hAnsi="Times New Roman"/>
        </w:rPr>
        <w:br/>
      </w:r>
      <w:r>
        <w:rPr>
          <w:kern w:val="0"/>
          <w:lang w:eastAsia="en-GB"/>
          <w14:ligatures w14:val="none"/>
          <w:rFonts w:ascii="Times New Roman" w:cs="Times New Roman" w:eastAsia="Times New Roman" w:hAnsi="Times New Roman"/>
        </w:rPr>
        <w:t xml:space="preserve"> </w:t>
      </w:r>
      <w:r>
        <w:rPr>
          <w:kern w:val="0"/>
          <w:lang w:eastAsia="en-GB"/>
          <w14:ligatures w14:val="none"/>
          <w:rFonts w:ascii="Times New Roman" w:cs="Times New Roman" w:eastAsia="Times New Roman" w:hAnsi="Times New Roman"/>
        </w:rPr>
        <w:tab/>
      </w:r>
      <w:r w:rsidRPr="00790D6C">
        <w:rPr>
          <w:kern w:val="0"/>
          <w:lang w:eastAsia="en-GB"/>
          <w14:ligatures w14:val="none"/>
          <w:rFonts w:ascii="Times New Roman" w:cs="Times New Roman" w:eastAsia="Times New Roman" w:hAnsi="Times New Roman"/>
        </w:rPr>
        <w:t>Virtual wards can increase patients' comfort and sense of control, but they can also make them anxious and force self-management tasks on the sick. Families and unpaid carers experience the greatest community impacts and there are valid concerns that the model may increase the burden of carer care if it is not co-produced and adequately supported (Carers UK, 2022). It is reasonable to conclude that virtual wards are neither a detrimental gimmick nor a straightforward remedy. When eligibility, staffing, digital inclusion and evaluation are given careful consideration, these intricate socio-technical changes can be beneficial; however, when scaling targets take precedence over safe local capability, they can backfire (UK Parliament POST, 2025; NHS Confederation, 2023).</w:t>
      </w:r>
    </w:p>
    <w:p w:rsidR="00790D6C" w:rsidRDefault="00790D6C" w14:paraId="4ADAD5E9" w14:textId="77777777" w:rsidP="00790D6C">
      <w:pPr>
        <w:spacing w:after="0" w:line="360" w:lineRule="auto"/>
        <w:rPr>
          <w:kern w:val="0"/>
          <w:lang w:eastAsia="en-GB"/>
          <w14:ligatures w14:val="none"/>
          <w:rFonts w:ascii="Times New Roman" w:cs="Times New Roman" w:eastAsia="Times New Roman" w:hAnsi="Times New Roman"/>
        </w:rPr>
      </w:pPr>
    </w:p>
    <w:p w:rsidR="00790D6C" w:rsidRDefault="00790D6C" w14:paraId="51F47F9B" w14:textId="77777777" w:rsidP="00790D6C">
      <w:pPr>
        <w:spacing w:after="0" w:line="360" w:lineRule="auto"/>
        <w:rPr>
          <w:kern w:val="0"/>
          <w:lang w:eastAsia="en-GB"/>
          <w14:ligatures w14:val="none"/>
          <w:rFonts w:ascii="Times New Roman" w:cs="Times New Roman" w:eastAsia="Times New Roman" w:hAnsi="Times New Roman"/>
        </w:rPr>
      </w:pPr>
    </w:p>
    <w:p w:rsidR="00790D6C" w:rsidRDefault="00790D6C" w14:paraId="70FCBAA7" w14:textId="77777777" w:rsidP="00790D6C">
      <w:pPr>
        <w:spacing w:after="0" w:line="360" w:lineRule="auto"/>
        <w:rPr>
          <w:kern w:val="0"/>
          <w:lang w:eastAsia="en-GB"/>
          <w14:ligatures w14:val="none"/>
          <w:rFonts w:ascii="Times New Roman" w:cs="Times New Roman" w:eastAsia="Times New Roman" w:hAnsi="Times New Roman"/>
        </w:rPr>
      </w:pPr>
    </w:p>
    <w:p w:rsidR="00790D6C" w:rsidRDefault="00790D6C" w14:paraId="2A38C7A9" w14:textId="77777777" w:rsidP="00790D6C">
      <w:pPr>
        <w:spacing w:after="0" w:line="360" w:lineRule="auto"/>
        <w:rPr>
          <w:kern w:val="0"/>
          <w:lang w:eastAsia="en-GB"/>
          <w14:ligatures w14:val="none"/>
          <w:rFonts w:ascii="Times New Roman" w:cs="Times New Roman" w:eastAsia="Times New Roman" w:hAnsi="Times New Roman"/>
        </w:rPr>
      </w:pPr>
    </w:p>
    <w:p w:rsidR="00790D6C" w:rsidRDefault="00790D6C" w14:paraId="2AA6240D" w14:textId="77777777" w:rsidP="00790D6C">
      <w:pPr>
        <w:spacing w:after="0" w:line="360" w:lineRule="auto"/>
        <w:rPr>
          <w:kern w:val="0"/>
          <w:lang w:eastAsia="en-GB"/>
          <w14:ligatures w14:val="none"/>
          <w:rFonts w:ascii="Times New Roman" w:cs="Times New Roman" w:eastAsia="Times New Roman" w:hAnsi="Times New Roman"/>
        </w:rPr>
      </w:pPr>
    </w:p>
    <w:p w:rsidR="00790D6C" w:rsidRDefault="00790D6C" w14:paraId="214137F6" w14:textId="77777777" w:rsidP="00790D6C">
      <w:pPr>
        <w:spacing w:after="0" w:line="360" w:lineRule="auto"/>
        <w:rPr>
          <w:kern w:val="0"/>
          <w:lang w:eastAsia="en-GB"/>
          <w14:ligatures w14:val="none"/>
          <w:rFonts w:ascii="Times New Roman" w:cs="Times New Roman" w:eastAsia="Times New Roman" w:hAnsi="Times New Roman"/>
        </w:rPr>
      </w:pPr>
    </w:p>
    <w:p w:rsidR="00790D6C" w:rsidRDefault="00790D6C" w14:paraId="27A7923B" w14:textId="77777777" w:rsidP="00790D6C" w:rsidRPr="00790D6C">
      <w:pPr>
        <w:spacing w:after="0" w:line="360" w:lineRule="auto"/>
        <w:rPr>
          <w:kern w:val="0"/>
          <w:lang w:eastAsia="en-GB"/>
          <w14:ligatures w14:val="none"/>
          <w:rFonts w:ascii="Times New Roman" w:cs="Times New Roman" w:eastAsia="Times New Roman" w:hAnsi="Times New Roman"/>
        </w:rPr>
      </w:pPr>
    </w:p>
    <w:p w:rsidR="00790D6C" w:rsidRDefault="00790D6C" w14:paraId="0BD92648" w14:textId="77777777" w:rsidP="00790D6C">
      <w:pPr>
        <w:rPr>
          <w:lang w:eastAsia="en-GB"/>
        </w:rPr>
      </w:pPr>
    </w:p>
    <w:p w:rsidR="00790D6C" w:rsidRDefault="00790D6C" w14:paraId="383E6945" w14:textId="5C7DDEF6" w:rsidP="00790D6C">
      <w:pPr>
        <w:pStyle w:val="Heading1"/>
        <w:rPr>
          <w:lang w:eastAsia="en-GB"/>
        </w:rPr>
      </w:pPr>
      <w:bookmarkStart w:id="9" w:name="_Toc222327060"/>
      <w:r>
        <w:rPr>
          <w:lang w:eastAsia="en-GB"/>
        </w:rPr>
        <w:t>10.Reference List</w:t>
        <w:lastRenderedPageBreak/>
      </w:r>
      <w:bookmarkEnd w:id="9"/>
    </w:p>
    <w:p w:rsidR="00790D6C" w:rsidRDefault="00790D6C" w14:paraId="0E68C501" w14:textId="77777777" w:rsidP="00790D6C">
      <w:pPr>
        <w:rPr>
          <w:lang w:eastAsia="en-GB"/>
        </w:rPr>
      </w:pPr>
    </w:p>
    <w:p w:rsidR="00790D6C" w:rsidRDefault="00790D6C" w14:paraId="4BFC5C19" w14:textId="17B5530A" w:rsidP="00790D6C">
      <w:pPr>
        <w:rPr>
          <w:lang w:eastAsia="en-GB"/>
        </w:rPr>
      </w:pPr>
      <w:r>
        <w:rPr>
          <w:lang w:eastAsia="en-GB"/>
        </w:rPr>
        <w:t xml:space="preserve">Carers UK (2022) Virtual wards: policy briefing (September 2022). Available at: </w:t>
      </w:r>
      <w:hyperlink w:history="1" r:id="rId6">
        <w:r w:rsidRPr="00774859">
          <w:rPr>
            <w:lang w:eastAsia="en-GB"/>
            <w:rStyle w:val="Hyperlink"/>
          </w:rPr>
          <w:t>https://www.carersuk.org/media/uskf4k0v/virtual-wards-policy-briefing-september-2022.pdf</w:t>
        </w:r>
      </w:hyperlink>
      <w:r>
        <w:rPr>
          <w:lang w:eastAsia="en-GB"/>
        </w:rPr>
        <w:t xml:space="preserve"> (Accessed: 10 February 2026).</w:t>
      </w:r>
    </w:p>
    <w:p w:rsidR="00790D6C" w:rsidRDefault="00790D6C" w14:paraId="08786F79" w14:textId="767E92AA" w:rsidP="00790D6C">
      <w:pPr>
        <w:rPr>
          <w:lang w:eastAsia="en-GB"/>
        </w:rPr>
      </w:pPr>
      <w:r>
        <w:rPr>
          <w:lang w:eastAsia="en-GB"/>
        </w:rPr>
        <w:t xml:space="preserve">Health Foundation (2024) What do virtual wards look like in England? Available at: </w:t>
      </w:r>
      <w:hyperlink w:history="1" r:id="rId7">
        <w:r w:rsidRPr="00774859">
          <w:rPr>
            <w:lang w:eastAsia="en-GB"/>
            <w:rStyle w:val="Hyperlink"/>
          </w:rPr>
          <w:t>https://www.health.org.uk/sites/default/files/upload/publications/2024/What%20do%20virtual%20wards%20look%20like%20in%20England.pdf</w:t>
        </w:r>
      </w:hyperlink>
      <w:r>
        <w:rPr>
          <w:lang w:eastAsia="en-GB"/>
        </w:rPr>
        <w:t xml:space="preserve"> (Accessed: 10 February 2026).</w:t>
      </w:r>
    </w:p>
    <w:p w:rsidR="00790D6C" w:rsidRDefault="00790D6C" w14:paraId="64011077" w14:textId="15F91561" w:rsidP="00790D6C">
      <w:pPr>
        <w:rPr>
          <w:lang w:eastAsia="en-GB"/>
        </w:rPr>
      </w:pPr>
      <w:r>
        <w:rPr>
          <w:lang w:eastAsia="en-GB"/>
        </w:rPr>
        <w:t xml:space="preserve">Jalilian, A. et al. (2024) ‘Length of stay and economic sustainability of virtual ward care in a medium-sized hospital of the UK: a retrospective longitudinal study’, BMJ Open, 14(1), e081378. Available at: </w:t>
      </w:r>
      <w:hyperlink w:history="1" r:id="rId8">
        <w:r w:rsidRPr="00774859">
          <w:rPr>
            <w:lang w:eastAsia="en-GB"/>
            <w:rStyle w:val="Hyperlink"/>
          </w:rPr>
          <w:t>https://bmjopen.bmj.com/content/14/1/e081378.full.pdf</w:t>
        </w:r>
      </w:hyperlink>
      <w:r>
        <w:rPr>
          <w:lang w:eastAsia="en-GB"/>
        </w:rPr>
        <w:t xml:space="preserve"> (Accessed: 12 February 2026).</w:t>
      </w:r>
    </w:p>
    <w:p w:rsidR="00790D6C" w:rsidRDefault="00790D6C" w14:paraId="1D48000C" w14:textId="4E27513D" w:rsidP="00790D6C">
      <w:pPr>
        <w:rPr>
          <w:lang w:eastAsia="en-GB"/>
        </w:rPr>
      </w:pPr>
      <w:r>
        <w:rPr>
          <w:lang w:eastAsia="en-GB"/>
        </w:rPr>
        <w:t xml:space="preserve">Mahase, E. (2024) ‘Hospitals urged to increase use of virtual wards’, The BMJ, 385, q1123. Available at: </w:t>
      </w:r>
      <w:hyperlink w:history="1" r:id="rId9">
        <w:r w:rsidRPr="00774859">
          <w:rPr>
            <w:lang w:eastAsia="en-GB"/>
            <w:rStyle w:val="Hyperlink"/>
          </w:rPr>
          <w:t>https://www.bmj.com/content/385/bmj.q1123</w:t>
        </w:r>
      </w:hyperlink>
      <w:r>
        <w:rPr>
          <w:lang w:eastAsia="en-GB"/>
        </w:rPr>
        <w:t xml:space="preserve"> (Accessed: 12 February 2026).</w:t>
      </w:r>
    </w:p>
    <w:p w:rsidR="00790D6C" w:rsidRDefault="00790D6C" w14:paraId="4CFDF915" w14:textId="522EA3AA" w:rsidP="00790D6C">
      <w:pPr>
        <w:rPr>
          <w:lang w:eastAsia="en-GB"/>
        </w:rPr>
      </w:pPr>
      <w:r>
        <w:rPr>
          <w:lang w:eastAsia="en-GB"/>
        </w:rPr>
        <w:t xml:space="preserve">NHS Confederation (2023) Realising the potential of virtual wards. Available at: </w:t>
      </w:r>
      <w:hyperlink w:history="1" r:id="rId10">
        <w:r w:rsidRPr="00774859">
          <w:rPr>
            <w:lang w:eastAsia="en-GB"/>
            <w:rStyle w:val="Hyperlink"/>
          </w:rPr>
          <w:t>https://www.nhsconfed.org/system/files/2023-05/Realising-the-potential-of-virtual-wards.pdf</w:t>
        </w:r>
      </w:hyperlink>
      <w:r>
        <w:rPr>
          <w:lang w:eastAsia="en-GB"/>
        </w:rPr>
        <w:t xml:space="preserve"> (Accessed: 1</w:t>
      </w:r>
      <w:r w:rsidR="002D4A36">
        <w:rPr>
          <w:lang w:eastAsia="en-GB"/>
        </w:rPr>
        <w:t>2</w:t>
      </w:r>
      <w:r>
        <w:rPr>
          <w:lang w:eastAsia="en-GB"/>
        </w:rPr>
        <w:t xml:space="preserve"> February 2026).</w:t>
      </w:r>
    </w:p>
    <w:p w:rsidR="00790D6C" w:rsidRDefault="00790D6C" w14:paraId="799C3D6D" w14:textId="3AE97AA9" w:rsidP="00790D6C">
      <w:pPr>
        <w:rPr>
          <w:lang w:eastAsia="en-GB"/>
        </w:rPr>
      </w:pPr>
      <w:r>
        <w:rPr>
          <w:lang w:eastAsia="en-GB"/>
        </w:rPr>
        <w:t xml:space="preserve">NHS England (2022) 2022/23 priorities and operational planning guidance. Available at: </w:t>
      </w:r>
      <w:hyperlink w:history="1" r:id="rId11">
        <w:r w:rsidRPr="00774859">
          <w:rPr>
            <w:lang w:eastAsia="en-GB"/>
            <w:rStyle w:val="Hyperlink"/>
          </w:rPr>
          <w:t>https://www.england.nhs.uk/wp-content/uploads/2022/02/20211223-B1160-2022-23-priorities-and-operational-planning-guidance-v3.2.pdf</w:t>
        </w:r>
      </w:hyperlink>
      <w:r>
        <w:rPr>
          <w:lang w:eastAsia="en-GB"/>
        </w:rPr>
        <w:t xml:space="preserve"> (Accessed: 1</w:t>
      </w:r>
      <w:r w:rsidR="002D4A36">
        <w:rPr>
          <w:lang w:eastAsia="en-GB"/>
        </w:rPr>
        <w:t>2</w:t>
      </w:r>
      <w:r>
        <w:rPr>
          <w:lang w:eastAsia="en-GB"/>
        </w:rPr>
        <w:t xml:space="preserve"> February 2026).</w:t>
      </w:r>
    </w:p>
    <w:p w:rsidR="00790D6C" w:rsidRDefault="00790D6C" w14:paraId="0F87E760" w14:textId="463372EE" w:rsidP="00790D6C">
      <w:pPr>
        <w:rPr>
          <w:lang w:eastAsia="en-GB"/>
        </w:rPr>
      </w:pPr>
      <w:r>
        <w:rPr>
          <w:lang w:eastAsia="en-GB"/>
        </w:rPr>
        <w:t xml:space="preserve">NHS England (2023) Inclusive digital healthcare: a framework for NHS action on digital inclusion. Available at: </w:t>
      </w:r>
      <w:hyperlink w:history="1" r:id="rId12">
        <w:r w:rsidRPr="00774859">
          <w:rPr>
            <w:lang w:eastAsia="en-GB"/>
            <w:rStyle w:val="Hyperlink"/>
          </w:rPr>
          <w:t>https://www.england.nhs.uk/long-read/inclusive-digital-healthcare-a-framework-for-nhs-action-on-digital-inclusion/</w:t>
        </w:r>
      </w:hyperlink>
      <w:r>
        <w:rPr>
          <w:lang w:eastAsia="en-GB"/>
        </w:rPr>
        <w:t xml:space="preserve"> (Accessed: 1</w:t>
      </w:r>
      <w:r w:rsidR="002D4A36">
        <w:rPr>
          <w:lang w:eastAsia="en-GB"/>
        </w:rPr>
        <w:t>4</w:t>
      </w:r>
      <w:r>
        <w:rPr>
          <w:lang w:eastAsia="en-GB"/>
        </w:rPr>
        <w:t xml:space="preserve"> February 2026).</w:t>
      </w:r>
    </w:p>
    <w:p w:rsidR="00790D6C" w:rsidRDefault="00790D6C" w14:paraId="3FF68664" w14:textId="5696F4E0" w:rsidP="00790D6C">
      <w:pPr>
        <w:rPr>
          <w:lang w:eastAsia="en-GB"/>
        </w:rPr>
      </w:pPr>
      <w:r>
        <w:rPr>
          <w:lang w:eastAsia="en-GB"/>
        </w:rPr>
        <w:t xml:space="preserve">NHS England (2023b) Rapid evaluation report: chronic obstructive pulmonary disease (COPD) virtual ward enabled by technology. Available at: </w:t>
      </w:r>
      <w:hyperlink w:history="1" r:id="rId13">
        <w:r w:rsidRPr="00774859">
          <w:rPr>
            <w:lang w:eastAsia="en-GB"/>
            <w:rStyle w:val="Hyperlink"/>
          </w:rPr>
          <w:t>https://www.england.nhs.uk/long-read/rapid-evaluation-report-chronic-obstructive-pulmonary-disease-virtual-ward-enabled-by-technology/</w:t>
        </w:r>
      </w:hyperlink>
      <w:r>
        <w:rPr>
          <w:lang w:eastAsia="en-GB"/>
        </w:rPr>
        <w:t xml:space="preserve"> (Accessed: 1</w:t>
      </w:r>
      <w:r w:rsidR="002D4A36">
        <w:rPr>
          <w:lang w:eastAsia="en-GB"/>
        </w:rPr>
        <w:t>4</w:t>
      </w:r>
      <w:r>
        <w:rPr>
          <w:lang w:eastAsia="en-GB"/>
        </w:rPr>
        <w:t xml:space="preserve"> February 2026).</w:t>
      </w:r>
    </w:p>
    <w:p w:rsidR="00790D6C" w:rsidRDefault="00790D6C" w14:paraId="604F6B51" w14:textId="5D5D3609" w:rsidP="00790D6C">
      <w:pPr>
        <w:rPr>
          <w:lang w:eastAsia="en-GB"/>
        </w:rPr>
      </w:pPr>
      <w:r>
        <w:rPr>
          <w:lang w:eastAsia="en-GB"/>
        </w:rPr>
        <w:t xml:space="preserve">NHS England (2024) Virtual wards operational framework. Available at: </w:t>
      </w:r>
      <w:hyperlink w:history="1" r:id="rId14">
        <w:r w:rsidRPr="00774859">
          <w:rPr>
            <w:lang w:eastAsia="en-GB"/>
            <w:rStyle w:val="Hyperlink"/>
          </w:rPr>
          <w:t>https://www.england.nhs.uk/long-read/virtual-wards-operational-framework/</w:t>
        </w:r>
      </w:hyperlink>
      <w:r>
        <w:rPr>
          <w:lang w:eastAsia="en-GB"/>
        </w:rPr>
        <w:t xml:space="preserve"> (Accessed: 1</w:t>
      </w:r>
      <w:r w:rsidR="002D4A36">
        <w:rPr>
          <w:lang w:eastAsia="en-GB"/>
        </w:rPr>
        <w:t>4</w:t>
      </w:r>
      <w:r>
        <w:rPr>
          <w:lang w:eastAsia="en-GB"/>
        </w:rPr>
        <w:t xml:space="preserve"> February 2026).</w:t>
      </w:r>
    </w:p>
    <w:p w:rsidR="00790D6C" w:rsidRDefault="00790D6C" w14:paraId="3BB3951B" w14:textId="7371757F" w:rsidP="00790D6C">
      <w:pPr>
        <w:rPr>
          <w:lang w:eastAsia="en-GB"/>
        </w:rPr>
      </w:pPr>
      <w:r>
        <w:rPr>
          <w:lang w:eastAsia="en-GB"/>
        </w:rPr>
        <w:t xml:space="preserve">NHS England (2024b) Summary of Southeast region virtual wards evaluation. Available at: </w:t>
        <w:lastRenderedPageBreak/>
      </w:r>
      <w:hyperlink w:history="1" r:id="rId15">
        <w:r w:rsidRPr="00774859">
          <w:rPr>
            <w:lang w:eastAsia="en-GB"/>
            <w:rStyle w:val="Hyperlink"/>
          </w:rPr>
          <w:t>https://www.england.nhs.uk/long-read/summary-of-south-east-region-virtual-wards-evaluation/</w:t>
        </w:r>
      </w:hyperlink>
      <w:r>
        <w:rPr>
          <w:lang w:eastAsia="en-GB"/>
        </w:rPr>
        <w:t xml:space="preserve"> (Accessed: 1</w:t>
      </w:r>
      <w:r w:rsidR="002D4A36">
        <w:rPr>
          <w:lang w:eastAsia="en-GB"/>
        </w:rPr>
        <w:t>6</w:t>
      </w:r>
      <w:r>
        <w:rPr>
          <w:lang w:eastAsia="en-GB"/>
        </w:rPr>
        <w:t xml:space="preserve"> February 2026).</w:t>
      </w:r>
    </w:p>
    <w:p w:rsidR="00790D6C" w:rsidRDefault="00790D6C" w14:paraId="553E4C4B" w14:textId="688DE9EC" w:rsidP="00790D6C">
      <w:pPr>
        <w:rPr>
          <w:lang w:eastAsia="en-GB"/>
        </w:rPr>
      </w:pPr>
      <w:r>
        <w:rPr>
          <w:lang w:eastAsia="en-GB"/>
        </w:rPr>
        <w:t xml:space="preserve">O’Dowd, A. (2023) ‘Virtual wards: staffing gaps threaten national plan, warn experts’, The BMJ, 381, p1205. Available at: </w:t>
      </w:r>
      <w:hyperlink w:history="1" r:id="rId16">
        <w:r w:rsidRPr="00774859">
          <w:rPr>
            <w:lang w:eastAsia="en-GB"/>
            <w:rStyle w:val="Hyperlink"/>
          </w:rPr>
          <w:t>https://www.bmj.com/content/381/bmj.p1205</w:t>
        </w:r>
      </w:hyperlink>
      <w:r>
        <w:rPr>
          <w:lang w:eastAsia="en-GB"/>
        </w:rPr>
        <w:t xml:space="preserve"> (Accessed: 1</w:t>
      </w:r>
      <w:r w:rsidR="002D4A36">
        <w:rPr>
          <w:lang w:eastAsia="en-GB"/>
        </w:rPr>
        <w:t>6</w:t>
      </w:r>
      <w:r>
        <w:rPr>
          <w:lang w:eastAsia="en-GB"/>
        </w:rPr>
        <w:t xml:space="preserve"> February 2026).</w:t>
      </w:r>
    </w:p>
    <w:p w:rsidR="00790D6C" w:rsidRDefault="00790D6C" w14:paraId="7DD27F91" w14:textId="57F11D2F" w:rsidP="00790D6C">
      <w:pPr>
        <w:rPr>
          <w:lang w:eastAsia="en-GB"/>
        </w:rPr>
      </w:pPr>
      <w:r>
        <w:rPr>
          <w:lang w:eastAsia="en-GB"/>
        </w:rPr>
        <w:t xml:space="preserve">The Guardian (2024) ‘“One part of the solution”: how virtual NHS wards are now a reality’, The Guardian, 7 February. Available at: </w:t>
      </w:r>
      <w:hyperlink w:history="1" r:id="rId17">
        <w:r w:rsidRPr="00774859">
          <w:rPr>
            <w:lang w:eastAsia="en-GB"/>
            <w:rStyle w:val="Hyperlink"/>
          </w:rPr>
          <w:t>https://www.theguardian.com/society/2024/feb/07/how-virtual-nhs-wards-now-reality</w:t>
        </w:r>
      </w:hyperlink>
      <w:r>
        <w:rPr>
          <w:lang w:eastAsia="en-GB"/>
        </w:rPr>
        <w:t xml:space="preserve"> (Accessed: 1</w:t>
      </w:r>
      <w:r w:rsidR="002D4A36">
        <w:rPr>
          <w:lang w:eastAsia="en-GB"/>
        </w:rPr>
        <w:t>6</w:t>
      </w:r>
      <w:r>
        <w:rPr>
          <w:lang w:eastAsia="en-GB"/>
        </w:rPr>
        <w:t xml:space="preserve"> February 2026).</w:t>
      </w:r>
    </w:p>
    <w:p w:rsidR="00790D6C" w:rsidRDefault="00790D6C" w14:paraId="43C91C79" w14:textId="57C3AC86" w:rsidP="00790D6C">
      <w:pPr>
        <w:rPr>
          <w:lang w:eastAsia="en-GB"/>
        </w:rPr>
      </w:pPr>
      <w:r>
        <w:rPr>
          <w:lang w:eastAsia="en-GB"/>
        </w:rPr>
        <w:t xml:space="preserve">The King’s Fund (2024a) The reality of and potential for digitally enabled care in the community. Available at: </w:t>
      </w:r>
      <w:hyperlink w:history="1" r:id="rId18">
        <w:r w:rsidRPr="00774859">
          <w:rPr>
            <w:lang w:eastAsia="en-GB"/>
            <w:rStyle w:val="Hyperlink"/>
          </w:rPr>
          <w:t>https://www.kingsfund.org.uk/insight-and-analysis/long-reads/the-reality-of-and-potential-for-digitally-enabled-care-in-the-community</w:t>
        </w:r>
      </w:hyperlink>
      <w:r>
        <w:rPr>
          <w:lang w:eastAsia="en-GB"/>
        </w:rPr>
        <w:t xml:space="preserve"> (Accessed: 18 February 2026).</w:t>
      </w:r>
    </w:p>
    <w:p w:rsidR="00790D6C" w:rsidRDefault="00790D6C" w14:paraId="3DFF9452" w14:textId="3CC05440" w:rsidP="00790D6C">
      <w:pPr>
        <w:rPr>
          <w:lang w:eastAsia="en-GB"/>
        </w:rPr>
      </w:pPr>
      <w:r>
        <w:rPr>
          <w:lang w:eastAsia="en-GB"/>
        </w:rPr>
        <w:t xml:space="preserve">Townsend, K. et al. (2025) ‘Exploring the carbon impact of virtual wards in a large integrated care system’, BMJ Innovations, 11(3), pp. 119–126. Available at: </w:t>
      </w:r>
      <w:hyperlink w:history="1" r:id="rId19">
        <w:r w:rsidRPr="00774859">
          <w:rPr>
            <w:lang w:eastAsia="en-GB"/>
            <w:rStyle w:val="Hyperlink"/>
          </w:rPr>
          <w:t>https://innovations.bmj.com/content/11/3/119</w:t>
        </w:r>
      </w:hyperlink>
      <w:r>
        <w:rPr>
          <w:lang w:eastAsia="en-GB"/>
        </w:rPr>
        <w:t xml:space="preserve"> (Accessed: 18 February 2026).</w:t>
      </w:r>
    </w:p>
    <w:p w:rsidR="00790D6C" w:rsidRDefault="00790D6C" w14:paraId="735297A2" w14:textId="29BE4804" w:rsidP="00790D6C">
      <w:pPr>
        <w:rPr>
          <w:lang w:eastAsia="en-GB"/>
        </w:rPr>
      </w:pPr>
      <w:r>
        <w:rPr>
          <w:lang w:eastAsia="en-GB"/>
        </w:rPr>
        <w:t xml:space="preserve">UK Parliament POST (2025) Virtual wards and hospital at home (POST note 744). Available at: </w:t>
      </w:r>
      <w:hyperlink w:history="1" r:id="rId20">
        <w:r w:rsidRPr="00774859">
          <w:rPr>
            <w:lang w:eastAsia="en-GB"/>
            <w:rStyle w:val="Hyperlink"/>
          </w:rPr>
          <w:t>https://researchbriefings.files.parliament.uk/documents/POST-PN-0744/POST-PN-0744.pdf</w:t>
        </w:r>
      </w:hyperlink>
      <w:r>
        <w:rPr>
          <w:lang w:eastAsia="en-GB"/>
        </w:rPr>
        <w:t xml:space="preserve"> (Accessed: 18 February 2026).</w:t>
      </w:r>
    </w:p>
    <w:p w:rsidR="00790D6C" w:rsidRDefault="00790D6C" w14:paraId="79C4C2AA" w14:textId="322681FB" w:rsidP="00790D6C" w:rsidRPr="00790D6C">
      <w:pPr>
        <w:rPr>
          <w:lang w:eastAsia="en-GB"/>
        </w:rPr>
      </w:pPr>
      <w:r>
        <w:rPr>
          <w:lang w:eastAsia="en-GB"/>
        </w:rPr>
        <w:t xml:space="preserve">Hutchings, R. and Edwards, N. (2023) ‘Virtual wards: the lessons so far and future priorities’, Nuffield Trust, 22 March. Available at: </w:t>
      </w:r>
      <w:hyperlink w:history="1" r:id="rId21">
        <w:r w:rsidRPr="00774859">
          <w:rPr>
            <w:lang w:eastAsia="en-GB"/>
            <w:rStyle w:val="Hyperlink"/>
          </w:rPr>
          <w:t>https://www.nuffieldtrust.org.uk/news-item/virtual-wards-the-lessons-so-far-and-future-priorities</w:t>
        </w:r>
      </w:hyperlink>
      <w:r>
        <w:rPr>
          <w:lang w:eastAsia="en-GB"/>
        </w:rPr>
        <w:t xml:space="preserve"> (Accessed: 18 February 2026).</w:t>
      </w:r>
    </w:p>
    <w:sectPr w:rsidR="00790D6C" w:rsidRPr="00790D6C">
      <w:docGrid w:linePitch="360"/>
      <w:pgSz w:w="11906" w:h="16838"/>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440E1D6C"/>
    <w:tmpl w:val="9E1AC872"/>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51F61C6F"/>
    <w:tmpl w:val="C474348A"/>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761565E3"/>
    <w:tmpl w:val="7246867A"/>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
  </w:num>
  <w:num w:numId="2">
    <w:abstractNumId w:val="1"/>
  </w:num>
  <w:num w:numId="3">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A7211"/>
  <w15:chartTrackingRefBased/>
  <w15:docId w15:val="{B85821BE-2F06-4C41-A003-55D033CA0C7C}"/>
  <w:rsids>
    <w:rsidRoot val="000F0AE3"/>
    <w:rsid val="000E5678"/>
    <w:rsid val="000F0AE3"/>
    <w:rsid val="00157DF1"/>
    <w:rsid val="001855CF"/>
    <w:rsid val="002D4A36"/>
    <w:rsid val="002F6040"/>
    <w:rsid val="003E6007"/>
    <w:rsid val="004C115F"/>
    <w:rsid val="005B1D22"/>
    <w:rsid val="00606C77"/>
    <w:rsid val="00712B5D"/>
    <w:rsid val="00790D6C"/>
    <w:rsid val="009E27D7"/>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6007"/>
  </w:style>
  <w:style w:type="paragraph" w:styleId="Heading1">
    <w:name w:val="heading 1"/>
    <w:basedOn w:val="Normal"/>
    <w:next w:val="Normal"/>
    <w:link w:val="Heading1Char"/>
    <w:uiPriority w:val="9"/>
    <w:qFormat/>
    <w:rsid w:val="000F0A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0A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0A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0A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0A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0A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0A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0A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0A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A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0A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0A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0A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0A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0A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0A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0A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0AE3"/>
    <w:rPr>
      <w:rFonts w:eastAsiaTheme="majorEastAsia" w:cstheme="majorBidi"/>
      <w:color w:val="272727" w:themeColor="text1" w:themeTint="D8"/>
    </w:rPr>
  </w:style>
  <w:style w:type="paragraph" w:styleId="Title">
    <w:name w:val="Title"/>
    <w:basedOn w:val="Normal"/>
    <w:next w:val="Normal"/>
    <w:link w:val="TitleChar"/>
    <w:uiPriority w:val="10"/>
    <w:qFormat/>
    <w:rsid w:val="000F0A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0A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0A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0A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0AE3"/>
    <w:pPr>
      <w:spacing w:before="160"/>
      <w:jc w:val="center"/>
    </w:pPr>
    <w:rPr>
      <w:i/>
      <w:iCs/>
      <w:color w:val="404040" w:themeColor="text1" w:themeTint="BF"/>
    </w:rPr>
  </w:style>
  <w:style w:type="character" w:customStyle="1" w:styleId="QuoteChar">
    <w:name w:val="Quote Char"/>
    <w:basedOn w:val="DefaultParagraphFont"/>
    <w:link w:val="Quote"/>
    <w:uiPriority w:val="29"/>
    <w:rsid w:val="000F0AE3"/>
    <w:rPr>
      <w:i/>
      <w:iCs/>
      <w:color w:val="404040" w:themeColor="text1" w:themeTint="BF"/>
    </w:rPr>
  </w:style>
  <w:style w:type="paragraph" w:styleId="ListParagraph">
    <w:name w:val="List Paragraph"/>
    <w:basedOn w:val="Normal"/>
    <w:uiPriority w:val="34"/>
    <w:qFormat/>
    <w:rsid w:val="000F0AE3"/>
    <w:pPr>
      <w:ind w:left="720"/>
      <w:contextualSpacing/>
    </w:pPr>
  </w:style>
  <w:style w:type="character" w:styleId="IntenseEmphasis">
    <w:name w:val="Intense Emphasis"/>
    <w:basedOn w:val="DefaultParagraphFont"/>
    <w:uiPriority w:val="21"/>
    <w:qFormat/>
    <w:rsid w:val="000F0AE3"/>
    <w:rPr>
      <w:i/>
      <w:iCs/>
      <w:color w:val="0F4761" w:themeColor="accent1" w:themeShade="BF"/>
    </w:rPr>
  </w:style>
  <w:style w:type="paragraph" w:styleId="IntenseQuote">
    <w:name w:val="Intense Quote"/>
    <w:basedOn w:val="Normal"/>
    <w:next w:val="Normal"/>
    <w:link w:val="IntenseQuoteChar"/>
    <w:uiPriority w:val="30"/>
    <w:qFormat/>
    <w:rsid w:val="000F0A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0AE3"/>
    <w:rPr>
      <w:i/>
      <w:iCs/>
      <w:color w:val="0F4761" w:themeColor="accent1" w:themeShade="BF"/>
    </w:rPr>
  </w:style>
  <w:style w:type="character" w:styleId="IntenseReference">
    <w:name w:val="Intense Reference"/>
    <w:basedOn w:val="DefaultParagraphFont"/>
    <w:uiPriority w:val="32"/>
    <w:qFormat/>
    <w:rsid w:val="000F0AE3"/>
    <w:rPr>
      <w:b/>
      <w:bCs/>
      <w:smallCaps/>
      <w:color w:val="0F4761" w:themeColor="accent1" w:themeShade="BF"/>
      <w:spacing w:val="5"/>
    </w:rPr>
  </w:style>
  <w:style w:type="character" w:styleId="Hyperlink">
    <w:name w:val="Hyperlink"/>
    <w:basedOn w:val="DefaultParagraphFont"/>
    <w:uiPriority w:val="99"/>
    <w:unhideWhenUsed/>
    <w:rsid w:val="00790D6C"/>
    <w:rPr>
      <w:color w:val="467886" w:themeColor="hyperlink"/>
      <w:u w:val="single"/>
    </w:rPr>
  </w:style>
  <w:style w:type="character" w:styleId="UnresolvedMention">
    <w:name w:val="Unresolved Mention"/>
    <w:basedOn w:val="DefaultParagraphFont"/>
    <w:uiPriority w:val="99"/>
    <w:semiHidden/>
    <w:unhideWhenUsed/>
    <w:rsid w:val="00790D6C"/>
    <w:rPr>
      <w:color w:val="605E5C"/>
      <w:shd w:val="clear" w:color="auto" w:fill="E1DFDD"/>
    </w:rPr>
  </w:style>
  <w:style w:type="paragraph" w:styleId="TOCHeading">
    <w:name w:val="TOC Heading"/>
    <w:basedOn w:val="Heading1"/>
    <w:next w:val="Normal"/>
    <w:uiPriority w:val="39"/>
    <w:unhideWhenUsed/>
    <w:qFormat/>
    <w:rsid w:val="002D4A3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D4A3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jopen.bmj.com/content/14/1/e081378.full.pdf" TargetMode="External"/><Relationship Id="rId13" Type="http://schemas.openxmlformats.org/officeDocument/2006/relationships/hyperlink" Target="https://www.england.nhs.uk/long-read/rapid-evaluation-report-chronic-obstructive-pulmonary-disease-virtual-ward-enabled-by-technology/" TargetMode="External"/><Relationship Id="rId18" Type="http://schemas.openxmlformats.org/officeDocument/2006/relationships/hyperlink" Target="https://www.kingsfund.org.uk/insight-and-analysis/long-reads/the-reality-of-and-potential-for-digitally-enabled-care-in-the-community" TargetMode="External"/><Relationship Id="rId3" Type="http://schemas.openxmlformats.org/officeDocument/2006/relationships/styles" Target="styles.xml"/><Relationship Id="rId21" Type="http://schemas.openxmlformats.org/officeDocument/2006/relationships/hyperlink" Target="https://www.nuffieldtrust.org.uk/news-item/virtual-wards-the-lessons-so-far-and-future-priorities" TargetMode="External"/><Relationship Id="rId7" Type="http://schemas.openxmlformats.org/officeDocument/2006/relationships/hyperlink" Target="https://www.health.org.uk/sites/default/files/upload/publications/2024/What%20do%20virtual%20wards%20look%20like%20in%20England.pdf" TargetMode="External"/><Relationship Id="rId12" Type="http://schemas.openxmlformats.org/officeDocument/2006/relationships/hyperlink" Target="https://www.england.nhs.uk/long-read/inclusive-digital-healthcare-a-framework-for-nhs-action-on-digital-inclusion/" TargetMode="External"/><Relationship Id="rId17" Type="http://schemas.openxmlformats.org/officeDocument/2006/relationships/hyperlink" Target="https://www.theguardian.com/society/2024/feb/07/how-virtual-nhs-wards-now-reality" TargetMode="External"/><Relationship Id="rId2" Type="http://schemas.openxmlformats.org/officeDocument/2006/relationships/numbering" Target="numbering.xml"/><Relationship Id="rId16" Type="http://schemas.openxmlformats.org/officeDocument/2006/relationships/hyperlink" Target="https://www.bmj.com/content/381/bmj.p1205" TargetMode="External"/><Relationship Id="rId20" Type="http://schemas.openxmlformats.org/officeDocument/2006/relationships/hyperlink" Target="https://researchbriefings.files.parliament.uk/documents/POST-PN-0744/POST-PN-0744.pdf" TargetMode="External"/><Relationship Id="rId1" Type="http://schemas.openxmlformats.org/officeDocument/2006/relationships/customXml" Target="../customXml/item1.xml"/><Relationship Id="rId6" Type="http://schemas.openxmlformats.org/officeDocument/2006/relationships/hyperlink" Target="https://www.carersuk.org/media/uskf4k0v/virtual-wards-policy-briefing-september-2022.pdf" TargetMode="External"/><Relationship Id="rId11" Type="http://schemas.openxmlformats.org/officeDocument/2006/relationships/hyperlink" Target="https://www.england.nhs.uk/wp-content/uploads/2022/02/20211223-B1160-2022-23-priorities-and-operational-planning-guidance-v3.2.pdf" TargetMode="External"/><Relationship Id="rId5" Type="http://schemas.openxmlformats.org/officeDocument/2006/relationships/webSettings" Target="webSettings.xml"/><Relationship Id="rId15" Type="http://schemas.openxmlformats.org/officeDocument/2006/relationships/hyperlink" Target="https://www.england.nhs.uk/long-read/summary-of-south-east-region-virtual-wards-evaluation/" TargetMode="External"/><Relationship Id="rId23" Type="http://schemas.openxmlformats.org/officeDocument/2006/relationships/theme" Target="theme/theme1.xml"/><Relationship Id="rId10" Type="http://schemas.openxmlformats.org/officeDocument/2006/relationships/hyperlink" Target="https://www.nhsconfed.org/system/files/2023-05/Realising-the-potential-of-virtual-wards.pdf" TargetMode="External"/><Relationship Id="rId19" Type="http://schemas.openxmlformats.org/officeDocument/2006/relationships/hyperlink" Target="https://innovations.bmj.com/content/11/3/119" TargetMode="External"/><Relationship Id="rId4" Type="http://schemas.openxmlformats.org/officeDocument/2006/relationships/settings" Target="settings.xml"/><Relationship Id="rId9" Type="http://schemas.openxmlformats.org/officeDocument/2006/relationships/hyperlink" Target="https://www.bmj.com/content/385/bmj.q1123" TargetMode="External"/><Relationship Id="rId14" Type="http://schemas.openxmlformats.org/officeDocument/2006/relationships/hyperlink" Target="https://www.england.nhs.uk/long-read/virtual-wards-operational-framewor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CB657F-A78B-4D23-89B0-3B1C63CCC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12</Pages>
  <Words>3141</Words>
  <Characters>19507</Characters>
  <Application>Microsoft Office Word</Application>
  <DocSecurity>0</DocSecurity>
  <Lines>355</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2026-02-18T16:21:00Z</dcterms:created>
  <dcterms:modified xsi:type="dcterms:W3CDTF">2026-02-18T18:04:00Z</dcterms:modified>
</cp:coreProperties>
</file>