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6C4E43" w14:textId="47FD3476" w:rsidR="008B01BE" w:rsidRDefault="00E03ABF" w:rsidP="00E03ABF">
      <w:pPr>
        <w:jc w:val="left"/>
        <w:rPr>
          <w:rFonts w:ascii="Times New Roman" w:hAnsi="Times New Roman" w:cs="Times New Roman"/>
          <w:sz w:val="22"/>
          <w:szCs w:val="22"/>
        </w:rPr>
      </w:pPr>
      <w:r>
        <w:rPr>
          <w:noProof/>
          <w:lang w:eastAsia="en-US"/>
        </w:rPr>
        <w:drawing>
          <wp:inline distT="0" distB="0" distL="0" distR="0" wp14:anchorId="631C76EB" wp14:editId="3DDDB638">
            <wp:extent cx="3133725" cy="1524000"/>
            <wp:effectExtent l="0" t="0" r="9525" b="0"/>
            <wp:docPr id="17" name="Picture 17" descr="University of Wales Trinity Saint David | British Counci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British Council"/>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6563" cy="1544833"/>
                    </a:xfrm>
                    <a:prstGeom prst="rect">
                      <a:avLst/>
                    </a:prstGeom>
                    <a:noFill/>
                    <a:ln>
                      <a:noFill/>
                    </a:ln>
                  </pic:spPr>
                </pic:pic>
              </a:graphicData>
            </a:graphic>
          </wp:inline>
        </w:drawing>
      </w:r>
    </w:p>
    <w:p w14:paraId="24FEFB1C" w14:textId="477F6852" w:rsidR="00C4080E" w:rsidRPr="00C4080E" w:rsidRDefault="00C4080E" w:rsidP="00C4080E">
      <w:pPr>
        <w:jc w:val="center"/>
        <w:rPr>
          <w:rFonts w:ascii="Times New Roman" w:hAnsi="Times New Roman" w:cs="Times New Roman"/>
          <w:b/>
          <w:sz w:val="32"/>
          <w:szCs w:val="32"/>
        </w:rPr>
      </w:pPr>
      <w:r w:rsidRPr="00C4080E">
        <w:rPr>
          <w:rFonts w:ascii="Times New Roman" w:hAnsi="Times New Roman" w:cs="Times New Roman"/>
          <w:b/>
          <w:sz w:val="32"/>
          <w:szCs w:val="32"/>
        </w:rPr>
        <w:t>MBA – Master of Business Administration</w:t>
      </w:r>
    </w:p>
    <w:p w14:paraId="2039CFA3" w14:textId="70382E22" w:rsidR="00C4080E" w:rsidRPr="00C4080E" w:rsidRDefault="00C4080E" w:rsidP="00C4080E">
      <w:pPr>
        <w:jc w:val="center"/>
        <w:rPr>
          <w:rFonts w:ascii="Times New Roman" w:hAnsi="Times New Roman" w:cs="Times New Roman"/>
          <w:b/>
          <w:sz w:val="32"/>
          <w:szCs w:val="32"/>
        </w:rPr>
      </w:pPr>
      <w:r w:rsidRPr="00C4080E">
        <w:rPr>
          <w:rFonts w:ascii="Times New Roman" w:hAnsi="Times New Roman" w:cs="Times New Roman"/>
          <w:b/>
          <w:sz w:val="32"/>
          <w:szCs w:val="32"/>
        </w:rPr>
        <w:t>Human Resource Management</w:t>
      </w:r>
    </w:p>
    <w:p w14:paraId="6A0A1766" w14:textId="61B295D6" w:rsidR="00C4080E" w:rsidRPr="00C4080E" w:rsidRDefault="00C4080E" w:rsidP="00C4080E">
      <w:pPr>
        <w:jc w:val="center"/>
        <w:rPr>
          <w:rFonts w:ascii="Times New Roman" w:hAnsi="Times New Roman" w:cs="Times New Roman"/>
          <w:b/>
          <w:sz w:val="32"/>
          <w:szCs w:val="32"/>
        </w:rPr>
      </w:pPr>
      <w:r w:rsidRPr="00C4080E">
        <w:rPr>
          <w:rFonts w:ascii="Times New Roman" w:hAnsi="Times New Roman" w:cs="Times New Roman"/>
          <w:b/>
          <w:sz w:val="32"/>
          <w:szCs w:val="32"/>
        </w:rPr>
        <w:t>LCMB7000</w:t>
      </w:r>
    </w:p>
    <w:p w14:paraId="0007041C" w14:textId="58BE6EAE" w:rsidR="00C4080E" w:rsidRPr="00C4080E" w:rsidRDefault="00C4080E" w:rsidP="00C4080E">
      <w:pPr>
        <w:jc w:val="center"/>
        <w:rPr>
          <w:rFonts w:ascii="Times New Roman" w:hAnsi="Times New Roman" w:cs="Times New Roman"/>
          <w:b/>
          <w:sz w:val="32"/>
          <w:szCs w:val="32"/>
        </w:rPr>
      </w:pPr>
    </w:p>
    <w:p w14:paraId="1F1C653E" w14:textId="45813CEE" w:rsidR="00C4080E" w:rsidRDefault="00C4080E" w:rsidP="00C4080E">
      <w:pPr>
        <w:jc w:val="center"/>
        <w:rPr>
          <w:rFonts w:ascii="Times New Roman" w:hAnsi="Times New Roman" w:cs="Times New Roman"/>
          <w:sz w:val="22"/>
          <w:szCs w:val="22"/>
        </w:rPr>
      </w:pPr>
    </w:p>
    <w:p w14:paraId="1F64C16F" w14:textId="2BAB57E2" w:rsidR="00C4080E" w:rsidRDefault="00C4080E" w:rsidP="00C4080E">
      <w:pPr>
        <w:jc w:val="center"/>
        <w:rPr>
          <w:rFonts w:ascii="Times New Roman" w:hAnsi="Times New Roman" w:cs="Times New Roman"/>
          <w:sz w:val="22"/>
          <w:szCs w:val="22"/>
        </w:rPr>
      </w:pPr>
    </w:p>
    <w:p w14:paraId="775D84DB" w14:textId="47876B5F" w:rsidR="00C4080E" w:rsidRPr="00C4080E" w:rsidRDefault="00C4080E" w:rsidP="00C4080E">
      <w:pPr>
        <w:jc w:val="center"/>
        <w:rPr>
          <w:rFonts w:ascii="Times New Roman" w:hAnsi="Times New Roman" w:cs="Times New Roman"/>
          <w:b/>
          <w:sz w:val="32"/>
          <w:szCs w:val="32"/>
        </w:rPr>
      </w:pPr>
      <w:r w:rsidRPr="00C4080E">
        <w:rPr>
          <w:rFonts w:ascii="Times New Roman" w:hAnsi="Times New Roman" w:cs="Times New Roman"/>
          <w:b/>
          <w:sz w:val="32"/>
          <w:szCs w:val="32"/>
        </w:rPr>
        <w:t>Assessment –</w:t>
      </w:r>
      <w:r>
        <w:rPr>
          <w:rFonts w:ascii="Times New Roman" w:hAnsi="Times New Roman" w:cs="Times New Roman"/>
          <w:b/>
          <w:sz w:val="32"/>
          <w:szCs w:val="32"/>
        </w:rPr>
        <w:t xml:space="preserve"> 1</w:t>
      </w:r>
    </w:p>
    <w:p w14:paraId="59BEB4FA" w14:textId="44000F19" w:rsidR="00C4080E" w:rsidRDefault="00C4080E" w:rsidP="00C4080E">
      <w:pPr>
        <w:jc w:val="center"/>
        <w:rPr>
          <w:rFonts w:ascii="Times New Roman" w:hAnsi="Times New Roman" w:cs="Times New Roman"/>
          <w:sz w:val="22"/>
          <w:szCs w:val="22"/>
        </w:rPr>
      </w:pPr>
    </w:p>
    <w:p w14:paraId="3F151573" w14:textId="1B82990D" w:rsidR="00C4080E" w:rsidRDefault="00C4080E" w:rsidP="00C4080E">
      <w:pPr>
        <w:jc w:val="center"/>
        <w:rPr>
          <w:rFonts w:ascii="Times New Roman" w:hAnsi="Times New Roman" w:cs="Times New Roman"/>
          <w:sz w:val="22"/>
          <w:szCs w:val="22"/>
        </w:rPr>
      </w:pPr>
    </w:p>
    <w:p w14:paraId="26E4A1DD" w14:textId="77777777" w:rsidR="00C4080E" w:rsidRPr="00C4080E" w:rsidRDefault="00C4080E" w:rsidP="00C4080E">
      <w:pPr>
        <w:jc w:val="center"/>
        <w:rPr>
          <w:rFonts w:ascii="Times New Roman" w:hAnsi="Times New Roman" w:cs="Times New Roman"/>
          <w:b/>
          <w:sz w:val="28"/>
          <w:szCs w:val="28"/>
        </w:rPr>
      </w:pPr>
    </w:p>
    <w:p w14:paraId="2C2260E5" w14:textId="6D9D89AA" w:rsidR="00C4080E" w:rsidRPr="00C4080E" w:rsidRDefault="00C4080E" w:rsidP="00C4080E">
      <w:pPr>
        <w:rPr>
          <w:rFonts w:ascii="Times New Roman" w:hAnsi="Times New Roman" w:cs="Times New Roman"/>
          <w:b/>
          <w:sz w:val="28"/>
          <w:szCs w:val="28"/>
        </w:rPr>
      </w:pPr>
      <w:r>
        <w:rPr>
          <w:rFonts w:ascii="Times New Roman" w:hAnsi="Times New Roman" w:cs="Times New Roman"/>
          <w:b/>
          <w:sz w:val="28"/>
          <w:szCs w:val="28"/>
        </w:rPr>
        <w:t>Student Name:</w:t>
      </w:r>
      <w:r w:rsidRPr="00C4080E">
        <w:rPr>
          <w:rFonts w:ascii="Times New Roman" w:hAnsi="Times New Roman" w:cs="Times New Roman"/>
          <w:b/>
          <w:sz w:val="28"/>
          <w:szCs w:val="28"/>
        </w:rPr>
        <w:t xml:space="preserve"> Honey Shinoy</w:t>
      </w:r>
    </w:p>
    <w:p w14:paraId="21F77486" w14:textId="355AC436" w:rsidR="00C4080E" w:rsidRPr="00C4080E" w:rsidRDefault="00C4080E" w:rsidP="00C4080E">
      <w:pPr>
        <w:rPr>
          <w:rFonts w:ascii="Times New Roman" w:hAnsi="Times New Roman" w:cs="Times New Roman"/>
          <w:b/>
          <w:sz w:val="28"/>
          <w:szCs w:val="28"/>
        </w:rPr>
      </w:pPr>
      <w:r w:rsidRPr="00C4080E">
        <w:rPr>
          <w:rFonts w:ascii="Times New Roman" w:hAnsi="Times New Roman" w:cs="Times New Roman"/>
          <w:b/>
          <w:sz w:val="28"/>
          <w:szCs w:val="28"/>
        </w:rPr>
        <w:t>Student ID : 2218830</w:t>
      </w:r>
    </w:p>
    <w:p w14:paraId="3DEC0137" w14:textId="77777777" w:rsidR="00C4080E" w:rsidRDefault="00C4080E" w:rsidP="00C4080E">
      <w:pPr>
        <w:jc w:val="center"/>
        <w:rPr>
          <w:rFonts w:ascii="Times New Roman" w:hAnsi="Times New Roman" w:cs="Times New Roman"/>
          <w:sz w:val="22"/>
          <w:szCs w:val="22"/>
        </w:rPr>
      </w:pPr>
    </w:p>
    <w:p w14:paraId="200334F0" w14:textId="339E59C9" w:rsidR="008B01BE" w:rsidRDefault="008B01BE">
      <w:pPr>
        <w:rPr>
          <w:rFonts w:ascii="Times New Roman" w:hAnsi="Times New Roman" w:cs="Times New Roman"/>
          <w:sz w:val="22"/>
          <w:szCs w:val="22"/>
        </w:rPr>
      </w:pPr>
    </w:p>
    <w:p w14:paraId="36129170" w14:textId="49E9BF79" w:rsidR="008B01BE" w:rsidRDefault="008B01BE">
      <w:pPr>
        <w:rPr>
          <w:rFonts w:ascii="Times New Roman" w:hAnsi="Times New Roman" w:cs="Times New Roman"/>
          <w:sz w:val="22"/>
          <w:szCs w:val="22"/>
        </w:rPr>
      </w:pPr>
    </w:p>
    <w:p w14:paraId="01623CA6" w14:textId="77777777" w:rsidR="008B01BE" w:rsidRDefault="008B01BE">
      <w:pPr>
        <w:rPr>
          <w:rFonts w:ascii="Times New Roman" w:hAnsi="Times New Roman" w:cs="Times New Roman"/>
          <w:sz w:val="22"/>
          <w:szCs w:val="22"/>
        </w:rPr>
      </w:pPr>
    </w:p>
    <w:p w14:paraId="30BD604E" w14:textId="77777777" w:rsidR="008B01BE" w:rsidRDefault="008B01BE">
      <w:pPr>
        <w:rPr>
          <w:rFonts w:ascii="Times New Roman" w:hAnsi="Times New Roman" w:cs="Times New Roman"/>
          <w:sz w:val="22"/>
          <w:szCs w:val="22"/>
        </w:rPr>
      </w:pPr>
    </w:p>
    <w:p w14:paraId="6C246C6C" w14:textId="77777777" w:rsidR="008B01BE" w:rsidRDefault="008B01BE">
      <w:pPr>
        <w:rPr>
          <w:rFonts w:ascii="Times New Roman" w:hAnsi="Times New Roman" w:cs="Times New Roman"/>
          <w:sz w:val="22"/>
          <w:szCs w:val="22"/>
        </w:rPr>
      </w:pPr>
    </w:p>
    <w:p w14:paraId="4C6059A4" w14:textId="77777777" w:rsidR="008B01BE" w:rsidRDefault="008B01BE">
      <w:pPr>
        <w:rPr>
          <w:rFonts w:ascii="Times New Roman" w:hAnsi="Times New Roman" w:cs="Times New Roman"/>
          <w:sz w:val="22"/>
          <w:szCs w:val="22"/>
        </w:rPr>
      </w:pPr>
    </w:p>
    <w:p w14:paraId="275BC81D" w14:textId="77777777" w:rsidR="008B01BE" w:rsidRDefault="008B01BE">
      <w:pPr>
        <w:rPr>
          <w:rFonts w:ascii="Times New Roman" w:hAnsi="Times New Roman" w:cs="Times New Roman"/>
          <w:sz w:val="22"/>
          <w:szCs w:val="22"/>
        </w:rPr>
      </w:pPr>
    </w:p>
    <w:p w14:paraId="0718CAB8" w14:textId="5DEF38F6" w:rsidR="008B01BE" w:rsidRPr="00F13CB5" w:rsidRDefault="00F13CB5" w:rsidP="00F13CB5">
      <w:pPr>
        <w:jc w:val="center"/>
        <w:rPr>
          <w:rFonts w:ascii="Times New Roman" w:hAnsi="Times New Roman" w:cs="Times New Roman"/>
          <w:b/>
          <w:sz w:val="36"/>
          <w:szCs w:val="36"/>
        </w:rPr>
      </w:pPr>
      <w:r w:rsidRPr="00F13CB5">
        <w:rPr>
          <w:rFonts w:ascii="Times New Roman" w:hAnsi="Times New Roman" w:cs="Times New Roman"/>
          <w:b/>
          <w:sz w:val="36"/>
          <w:szCs w:val="36"/>
        </w:rPr>
        <w:lastRenderedPageBreak/>
        <w:t>Executive Summary</w:t>
      </w:r>
    </w:p>
    <w:p w14:paraId="5D25A193" w14:textId="77777777" w:rsidR="008B01BE" w:rsidRPr="005975E3" w:rsidRDefault="008B01BE">
      <w:pPr>
        <w:rPr>
          <w:rFonts w:ascii="Times New Roman" w:hAnsi="Times New Roman" w:cs="Times New Roman"/>
          <w:sz w:val="24"/>
          <w:szCs w:val="24"/>
        </w:rPr>
      </w:pPr>
    </w:p>
    <w:p w14:paraId="07B46F1B" w14:textId="69F33A59" w:rsidR="008B01BE" w:rsidRPr="005975E3" w:rsidRDefault="005975E3">
      <w:pPr>
        <w:rPr>
          <w:rFonts w:ascii="Times New Roman" w:hAnsi="Times New Roman" w:cs="Times New Roman"/>
          <w:sz w:val="24"/>
          <w:szCs w:val="24"/>
        </w:rPr>
      </w:pPr>
      <w:r w:rsidRPr="005975E3">
        <w:rPr>
          <w:rFonts w:ascii="Times New Roman" w:hAnsi="Times New Roman" w:cs="Times New Roman"/>
          <w:sz w:val="24"/>
          <w:szCs w:val="24"/>
        </w:rPr>
        <w:t>The labo</w:t>
      </w:r>
      <w:r w:rsidR="00F13CB5" w:rsidRPr="005975E3">
        <w:rPr>
          <w:rFonts w:ascii="Times New Roman" w:hAnsi="Times New Roman" w:cs="Times New Roman"/>
          <w:sz w:val="24"/>
          <w:szCs w:val="24"/>
        </w:rPr>
        <w:t>r market in the UK is covered in this study. This research describes the current scenario, the causes of the crisis, and the state of HRM in the UK. The report also includes a situational analysis. It</w:t>
      </w:r>
      <w:r w:rsidRPr="005975E3">
        <w:rPr>
          <w:rFonts w:ascii="Times New Roman" w:hAnsi="Times New Roman" w:cs="Times New Roman"/>
          <w:sz w:val="24"/>
          <w:szCs w:val="24"/>
        </w:rPr>
        <w:t xml:space="preserve"> has to do with how the UK labo</w:t>
      </w:r>
      <w:r w:rsidR="00F13CB5" w:rsidRPr="005975E3">
        <w:rPr>
          <w:rFonts w:ascii="Times New Roman" w:hAnsi="Times New Roman" w:cs="Times New Roman"/>
          <w:sz w:val="24"/>
          <w:szCs w:val="24"/>
        </w:rPr>
        <w:t>r market is evolving. In-depth analyses of the impact of the Covid-19 epidemic, Brexit, and significant foreign companies operating in the UK market as we</w:t>
      </w:r>
      <w:r w:rsidRPr="005975E3">
        <w:rPr>
          <w:rFonts w:ascii="Times New Roman" w:hAnsi="Times New Roman" w:cs="Times New Roman"/>
          <w:sz w:val="24"/>
          <w:szCs w:val="24"/>
        </w:rPr>
        <w:t>ll as their reactions to organiz</w:t>
      </w:r>
      <w:r w:rsidR="00F13CB5" w:rsidRPr="005975E3">
        <w:rPr>
          <w:rFonts w:ascii="Times New Roman" w:hAnsi="Times New Roman" w:cs="Times New Roman"/>
          <w:sz w:val="24"/>
          <w:szCs w:val="24"/>
        </w:rPr>
        <w:t>ational changes are also included in this paper. The main foundation of this research has been a discussion of the basic pandemic effects and Brexit implications, such as poorer productivity, poor employee engagement, supply chain disruption, and significant restrictions on the business. The significant strategic adjustments made by the report's k</w:t>
      </w:r>
      <w:r w:rsidRPr="005975E3">
        <w:rPr>
          <w:rFonts w:ascii="Times New Roman" w:hAnsi="Times New Roman" w:cs="Times New Roman"/>
          <w:sz w:val="24"/>
          <w:szCs w:val="24"/>
        </w:rPr>
        <w:t>ey results have been characteriz</w:t>
      </w:r>
      <w:r w:rsidR="00F13CB5" w:rsidRPr="005975E3">
        <w:rPr>
          <w:rFonts w:ascii="Times New Roman" w:hAnsi="Times New Roman" w:cs="Times New Roman"/>
          <w:sz w:val="24"/>
          <w:szCs w:val="24"/>
        </w:rPr>
        <w:t>ed as HR departments adapting to logistical needs, changing company models, and rising technological expenditures.</w:t>
      </w:r>
    </w:p>
    <w:p w14:paraId="30170519" w14:textId="77777777" w:rsidR="008B01BE" w:rsidRPr="005975E3" w:rsidRDefault="008B01BE">
      <w:pPr>
        <w:rPr>
          <w:rFonts w:ascii="Times New Roman" w:hAnsi="Times New Roman" w:cs="Times New Roman"/>
          <w:sz w:val="24"/>
          <w:szCs w:val="24"/>
        </w:rPr>
      </w:pPr>
    </w:p>
    <w:p w14:paraId="7E2B62F3" w14:textId="77777777" w:rsidR="008B01BE" w:rsidRDefault="008B01BE">
      <w:pPr>
        <w:rPr>
          <w:rFonts w:ascii="Times New Roman" w:hAnsi="Times New Roman" w:cs="Times New Roman"/>
          <w:sz w:val="22"/>
          <w:szCs w:val="22"/>
        </w:rPr>
      </w:pPr>
    </w:p>
    <w:p w14:paraId="6180006F" w14:textId="77777777" w:rsidR="008B01BE" w:rsidRDefault="008B01BE">
      <w:pPr>
        <w:rPr>
          <w:rFonts w:ascii="Times New Roman" w:hAnsi="Times New Roman" w:cs="Times New Roman"/>
          <w:sz w:val="22"/>
          <w:szCs w:val="22"/>
        </w:rPr>
      </w:pPr>
    </w:p>
    <w:p w14:paraId="069D7B6B" w14:textId="77777777" w:rsidR="008B01BE" w:rsidRDefault="008B01BE">
      <w:pPr>
        <w:rPr>
          <w:rFonts w:ascii="Times New Roman" w:hAnsi="Times New Roman" w:cs="Times New Roman"/>
          <w:sz w:val="22"/>
          <w:szCs w:val="22"/>
        </w:rPr>
      </w:pPr>
    </w:p>
    <w:p w14:paraId="62946A39" w14:textId="77777777" w:rsidR="008B01BE" w:rsidRDefault="008B01BE">
      <w:pPr>
        <w:rPr>
          <w:rFonts w:ascii="Times New Roman" w:hAnsi="Times New Roman" w:cs="Times New Roman"/>
          <w:sz w:val="22"/>
          <w:szCs w:val="22"/>
        </w:rPr>
      </w:pPr>
    </w:p>
    <w:p w14:paraId="72BBE8F1" w14:textId="77777777" w:rsidR="008B01BE" w:rsidRDefault="008B01BE">
      <w:pPr>
        <w:rPr>
          <w:rFonts w:ascii="Times New Roman" w:hAnsi="Times New Roman" w:cs="Times New Roman"/>
          <w:sz w:val="22"/>
          <w:szCs w:val="22"/>
        </w:rPr>
      </w:pPr>
    </w:p>
    <w:p w14:paraId="2DE45665" w14:textId="77777777" w:rsidR="008B01BE" w:rsidRDefault="008B01BE">
      <w:pPr>
        <w:rPr>
          <w:rFonts w:ascii="Times New Roman" w:hAnsi="Times New Roman" w:cs="Times New Roman"/>
          <w:sz w:val="22"/>
          <w:szCs w:val="22"/>
        </w:rPr>
      </w:pPr>
    </w:p>
    <w:p w14:paraId="2BD32973" w14:textId="77777777" w:rsidR="008B01BE" w:rsidRDefault="008B01BE">
      <w:pPr>
        <w:rPr>
          <w:rFonts w:ascii="Times New Roman" w:hAnsi="Times New Roman" w:cs="Times New Roman"/>
          <w:sz w:val="22"/>
          <w:szCs w:val="22"/>
        </w:rPr>
      </w:pPr>
    </w:p>
    <w:p w14:paraId="5EE9E290" w14:textId="77777777" w:rsidR="008B01BE" w:rsidRDefault="008B01BE">
      <w:pPr>
        <w:rPr>
          <w:rFonts w:ascii="Times New Roman" w:hAnsi="Times New Roman" w:cs="Times New Roman"/>
          <w:sz w:val="22"/>
          <w:szCs w:val="22"/>
        </w:rPr>
      </w:pPr>
    </w:p>
    <w:p w14:paraId="4DA59A95" w14:textId="77777777" w:rsidR="008B01BE" w:rsidRDefault="008B01BE">
      <w:pPr>
        <w:rPr>
          <w:rFonts w:ascii="Times New Roman" w:hAnsi="Times New Roman" w:cs="Times New Roman"/>
          <w:sz w:val="22"/>
          <w:szCs w:val="22"/>
        </w:rPr>
      </w:pPr>
    </w:p>
    <w:p w14:paraId="65283206" w14:textId="77777777" w:rsidR="008B01BE" w:rsidRDefault="008B01BE">
      <w:pPr>
        <w:rPr>
          <w:rFonts w:ascii="Times New Roman" w:hAnsi="Times New Roman" w:cs="Times New Roman"/>
          <w:sz w:val="22"/>
          <w:szCs w:val="22"/>
        </w:rPr>
      </w:pPr>
    </w:p>
    <w:p w14:paraId="5213FF99" w14:textId="77777777" w:rsidR="008B01BE" w:rsidRDefault="008B01BE">
      <w:pPr>
        <w:rPr>
          <w:rFonts w:ascii="Times New Roman" w:hAnsi="Times New Roman" w:cs="Times New Roman"/>
          <w:sz w:val="22"/>
          <w:szCs w:val="22"/>
        </w:rPr>
      </w:pPr>
    </w:p>
    <w:p w14:paraId="64416E3E" w14:textId="77777777" w:rsidR="008B01BE" w:rsidRDefault="008B01BE">
      <w:pPr>
        <w:rPr>
          <w:rFonts w:ascii="Times New Roman" w:hAnsi="Times New Roman" w:cs="Times New Roman"/>
          <w:sz w:val="22"/>
          <w:szCs w:val="22"/>
        </w:rPr>
      </w:pPr>
    </w:p>
    <w:p w14:paraId="3D2F1C50" w14:textId="77777777" w:rsidR="008B01BE" w:rsidRDefault="008B01BE">
      <w:pPr>
        <w:rPr>
          <w:rFonts w:ascii="Times New Roman" w:hAnsi="Times New Roman" w:cs="Times New Roman"/>
          <w:sz w:val="22"/>
          <w:szCs w:val="22"/>
        </w:rPr>
      </w:pPr>
    </w:p>
    <w:p w14:paraId="535DF018" w14:textId="77777777" w:rsidR="008B01BE" w:rsidRDefault="008B01BE">
      <w:pPr>
        <w:rPr>
          <w:rFonts w:ascii="Times New Roman" w:hAnsi="Times New Roman" w:cs="Times New Roman"/>
          <w:sz w:val="22"/>
          <w:szCs w:val="22"/>
        </w:rPr>
      </w:pPr>
    </w:p>
    <w:p w14:paraId="55D0AA0D" w14:textId="77777777" w:rsidR="008B01BE" w:rsidRDefault="008B01BE">
      <w:pPr>
        <w:rPr>
          <w:rFonts w:ascii="Times New Roman" w:hAnsi="Times New Roman" w:cs="Times New Roman"/>
          <w:sz w:val="22"/>
          <w:szCs w:val="22"/>
        </w:rPr>
      </w:pPr>
    </w:p>
    <w:sdt>
      <w:sdtPr>
        <w:rPr>
          <w:rFonts w:ascii="SimSun" w:eastAsia="SimSun" w:hAnsi="SimSun"/>
          <w:b/>
          <w:bCs/>
          <w:sz w:val="22"/>
          <w:szCs w:val="21"/>
        </w:rPr>
        <w:id w:val="147479027"/>
        <w15:color w:val="DBDBDB"/>
        <w:docPartObj>
          <w:docPartGallery w:val="Table of Contents"/>
          <w:docPartUnique/>
        </w:docPartObj>
      </w:sdtPr>
      <w:sdtEndPr>
        <w:rPr>
          <w:rFonts w:ascii="Times New Roman" w:eastAsiaTheme="minorEastAsia" w:hAnsi="Times New Roman" w:cs="Times New Roman"/>
          <w:szCs w:val="22"/>
        </w:rPr>
      </w:sdtEndPr>
      <w:sdtContent>
        <w:p w14:paraId="331245FE" w14:textId="77777777" w:rsidR="005975E3" w:rsidRDefault="005975E3">
          <w:pPr>
            <w:spacing w:after="0"/>
            <w:jc w:val="center"/>
            <w:rPr>
              <w:rFonts w:ascii="SimSun" w:eastAsia="SimSun" w:hAnsi="SimSun"/>
              <w:b/>
              <w:bCs/>
              <w:sz w:val="22"/>
              <w:szCs w:val="21"/>
            </w:rPr>
          </w:pPr>
        </w:p>
        <w:p w14:paraId="1CE015D9" w14:textId="77777777" w:rsidR="005975E3" w:rsidRDefault="005975E3">
          <w:pPr>
            <w:spacing w:after="0"/>
            <w:jc w:val="center"/>
            <w:rPr>
              <w:rFonts w:ascii="SimSun" w:eastAsia="SimSun" w:hAnsi="SimSun"/>
              <w:b/>
              <w:bCs/>
              <w:sz w:val="22"/>
              <w:szCs w:val="21"/>
            </w:rPr>
          </w:pPr>
        </w:p>
        <w:p w14:paraId="41188CB0" w14:textId="5F13FD0F" w:rsidR="008B01BE" w:rsidRDefault="00E64418">
          <w:pPr>
            <w:spacing w:after="0"/>
            <w:jc w:val="center"/>
            <w:rPr>
              <w:rFonts w:ascii="Times New Roman" w:hAnsi="Times New Roman" w:cs="Times New Roman"/>
              <w:b/>
              <w:bCs/>
              <w:sz w:val="28"/>
              <w:szCs w:val="28"/>
            </w:rPr>
          </w:pPr>
          <w:r>
            <w:rPr>
              <w:rFonts w:ascii="Times New Roman" w:eastAsia="SimSun" w:hAnsi="Times New Roman" w:cs="Times New Roman"/>
              <w:b/>
              <w:bCs/>
              <w:sz w:val="28"/>
              <w:szCs w:val="28"/>
            </w:rPr>
            <w:t>Table of Contents</w:t>
          </w:r>
        </w:p>
        <w:p w14:paraId="1F7315DF" w14:textId="5332DB53" w:rsidR="002D25AF" w:rsidRDefault="00E64418">
          <w:pPr>
            <w:pStyle w:val="TOC1"/>
            <w:tabs>
              <w:tab w:val="right" w:leader="dot" w:pos="9016"/>
            </w:tabs>
            <w:rPr>
              <w:noProof/>
            </w:rPr>
          </w:pPr>
          <w:r>
            <w:rPr>
              <w:rFonts w:eastAsia="SimSun"/>
              <w:sz w:val="24"/>
              <w:szCs w:val="24"/>
              <w:lang w:val="en-GB"/>
            </w:rPr>
            <w:fldChar w:fldCharType="begin"/>
          </w:r>
          <w:r>
            <w:rPr>
              <w:rFonts w:ascii="Times New Roman" w:hAnsi="Times New Roman" w:cs="Times New Roman"/>
              <w:sz w:val="24"/>
              <w:szCs w:val="24"/>
            </w:rPr>
            <w:instrText xml:space="preserve">TOC \o "1-2" \h \u </w:instrText>
          </w:r>
          <w:r>
            <w:rPr>
              <w:rFonts w:eastAsia="SimSun"/>
              <w:sz w:val="24"/>
              <w:szCs w:val="24"/>
              <w:lang w:val="en-GB"/>
            </w:rPr>
            <w:fldChar w:fldCharType="separate"/>
          </w:r>
          <w:hyperlink w:anchor="_Toc122246292" w:history="1">
            <w:r w:rsidR="002D25AF" w:rsidRPr="002A0C51">
              <w:rPr>
                <w:rStyle w:val="Hyperlink"/>
                <w:rFonts w:ascii="Times New Roman" w:hAnsi="Times New Roman" w:cs="Times New Roman"/>
                <w:b/>
                <w:bCs/>
                <w:noProof/>
              </w:rPr>
              <w:t>1.0 Introduction</w:t>
            </w:r>
            <w:r w:rsidR="002D25AF">
              <w:rPr>
                <w:noProof/>
              </w:rPr>
              <w:tab/>
            </w:r>
          </w:hyperlink>
          <w:r w:rsidR="007A6C40">
            <w:rPr>
              <w:noProof/>
            </w:rPr>
            <w:t>5</w:t>
          </w:r>
        </w:p>
        <w:p w14:paraId="0C64C8BF" w14:textId="294401A2" w:rsidR="000B6442" w:rsidRDefault="000B6442" w:rsidP="000B6442">
          <w:r>
            <w:t xml:space="preserve">        </w:t>
          </w:r>
          <w:r w:rsidRPr="000B6442">
            <w:rPr>
              <w:b/>
            </w:rPr>
            <w:t xml:space="preserve">   </w:t>
          </w:r>
          <w:r>
            <w:rPr>
              <w:b/>
            </w:rPr>
            <w:t>1.1</w:t>
          </w:r>
          <w:r w:rsidRPr="000B6442">
            <w:rPr>
              <w:b/>
            </w:rPr>
            <w:t>Objectives</w:t>
          </w:r>
          <w:r>
            <w:t>…………………………………………………………………………………………………………………………………………..</w:t>
          </w:r>
          <w:r w:rsidR="007A6C40">
            <w:t>5</w:t>
          </w:r>
        </w:p>
        <w:p w14:paraId="0635176A" w14:textId="069444F2" w:rsidR="000B6442" w:rsidRDefault="000B6442" w:rsidP="000B6442">
          <w:r>
            <w:t xml:space="preserve">            </w:t>
          </w:r>
          <w:r w:rsidRPr="000B6442">
            <w:rPr>
              <w:b/>
            </w:rPr>
            <w:t xml:space="preserve">1.2 </w:t>
          </w:r>
          <w:r>
            <w:rPr>
              <w:b/>
            </w:rPr>
            <w:t>Purpose and Importance of the study</w:t>
          </w:r>
          <w:r>
            <w:t>……………………………………………………………………………………………..</w:t>
          </w:r>
          <w:r w:rsidR="007A6C40">
            <w:t>5</w:t>
          </w:r>
        </w:p>
        <w:p w14:paraId="46E6F990" w14:textId="73EB45D8" w:rsidR="000B6442" w:rsidRDefault="000B6442" w:rsidP="000B6442">
          <w:r>
            <w:t xml:space="preserve">           </w:t>
          </w:r>
          <w:r w:rsidRPr="000B6442">
            <w:rPr>
              <w:b/>
            </w:rPr>
            <w:t xml:space="preserve"> 1.3 Research and Methodology</w:t>
          </w:r>
          <w:r>
            <w:t>…………………………………………………………………………………………………………….</w:t>
          </w:r>
          <w:r w:rsidR="007A6C40">
            <w:t>.5</w:t>
          </w:r>
        </w:p>
        <w:p w14:paraId="0B19B23D" w14:textId="5747F635" w:rsidR="000B6442" w:rsidRDefault="000B6442" w:rsidP="000B6442">
          <w:r>
            <w:t xml:space="preserve">     </w:t>
          </w:r>
          <w:r w:rsidRPr="000B6442">
            <w:rPr>
              <w:b/>
            </w:rPr>
            <w:t xml:space="preserve">       1.4 Nature and Study</w:t>
          </w:r>
          <w:r>
            <w:t>………………………………………………………………………………………………………………………………</w:t>
          </w:r>
          <w:r w:rsidR="007A6C40">
            <w:t>5</w:t>
          </w:r>
        </w:p>
        <w:p w14:paraId="78C534C3" w14:textId="3588B1EB" w:rsidR="000B6442" w:rsidRDefault="000B6442" w:rsidP="000B6442">
          <w:r>
            <w:t xml:space="preserve">       </w:t>
          </w:r>
          <w:r w:rsidRPr="000B6442">
            <w:rPr>
              <w:b/>
            </w:rPr>
            <w:t xml:space="preserve">      1.5 Area of the Study</w:t>
          </w:r>
          <w:r>
            <w:t>………………………………………………………………………………………………………………………………</w:t>
          </w:r>
          <w:r w:rsidR="007A6C40">
            <w:t>5</w:t>
          </w:r>
        </w:p>
        <w:p w14:paraId="39A1481A" w14:textId="2812D9DD" w:rsidR="000B6442" w:rsidRDefault="000B6442" w:rsidP="000B6442">
          <w:r>
            <w:t xml:space="preserve">             </w:t>
          </w:r>
          <w:r w:rsidRPr="00127212">
            <w:rPr>
              <w:b/>
            </w:rPr>
            <w:t>1.6 Period of Study</w:t>
          </w:r>
          <w:r>
            <w:t>…………………………………………………………………………………………………………………………</w:t>
          </w:r>
          <w:r w:rsidR="007A6C40">
            <w:t>.</w:t>
          </w:r>
          <w:r>
            <w:t>…….</w:t>
          </w:r>
          <w:r w:rsidR="007A6C40">
            <w:t>5</w:t>
          </w:r>
        </w:p>
        <w:p w14:paraId="1D1ACF60" w14:textId="177BFCC9" w:rsidR="002D25AF" w:rsidRDefault="001822B6">
          <w:pPr>
            <w:pStyle w:val="TOC1"/>
            <w:tabs>
              <w:tab w:val="right" w:leader="dot" w:pos="9016"/>
            </w:tabs>
            <w:rPr>
              <w:noProof/>
              <w:sz w:val="22"/>
              <w:szCs w:val="22"/>
              <w:lang w:val="en-GB"/>
            </w:rPr>
          </w:pPr>
          <w:hyperlink w:anchor="_Toc122246293" w:history="1">
            <w:r w:rsidR="002D25AF" w:rsidRPr="002A0C51">
              <w:rPr>
                <w:rStyle w:val="Hyperlink"/>
                <w:rFonts w:ascii="Times New Roman" w:hAnsi="Times New Roman" w:cs="Times New Roman"/>
                <w:b/>
                <w:bCs/>
                <w:noProof/>
              </w:rPr>
              <w:t>2.0 The current state of the labor market in UK</w:t>
            </w:r>
            <w:r w:rsidR="002D25AF">
              <w:rPr>
                <w:noProof/>
              </w:rPr>
              <w:tab/>
            </w:r>
          </w:hyperlink>
          <w:r w:rsidR="007A6C40">
            <w:rPr>
              <w:noProof/>
            </w:rPr>
            <w:t>6</w:t>
          </w:r>
        </w:p>
        <w:p w14:paraId="289254AB" w14:textId="00810672" w:rsidR="002D25AF" w:rsidRDefault="001822B6">
          <w:pPr>
            <w:pStyle w:val="TOC2"/>
            <w:tabs>
              <w:tab w:val="right" w:leader="dot" w:pos="9016"/>
            </w:tabs>
            <w:ind w:left="400"/>
            <w:rPr>
              <w:noProof/>
              <w:sz w:val="22"/>
              <w:szCs w:val="22"/>
              <w:lang w:val="en-GB"/>
            </w:rPr>
          </w:pPr>
          <w:hyperlink w:anchor="_Toc122246294" w:history="1">
            <w:r w:rsidR="002D25AF" w:rsidRPr="002A0C51">
              <w:rPr>
                <w:rStyle w:val="Hyperlink"/>
                <w:rFonts w:ascii="Times New Roman" w:hAnsi="Times New Roman" w:cs="Times New Roman"/>
                <w:b/>
                <w:bCs/>
                <w:noProof/>
              </w:rPr>
              <w:t>2.1 Labor force framework</w:t>
            </w:r>
            <w:r w:rsidR="002D25AF">
              <w:rPr>
                <w:noProof/>
              </w:rPr>
              <w:tab/>
            </w:r>
          </w:hyperlink>
          <w:r w:rsidR="007A6C40">
            <w:rPr>
              <w:noProof/>
            </w:rPr>
            <w:t>6</w:t>
          </w:r>
        </w:p>
        <w:p w14:paraId="10C6DFD8" w14:textId="7F329AFC" w:rsidR="002D25AF" w:rsidRDefault="001822B6">
          <w:pPr>
            <w:pStyle w:val="TOC2"/>
            <w:tabs>
              <w:tab w:val="right" w:leader="dot" w:pos="9016"/>
            </w:tabs>
            <w:ind w:left="400"/>
            <w:rPr>
              <w:noProof/>
              <w:sz w:val="22"/>
              <w:szCs w:val="22"/>
              <w:lang w:val="en-GB"/>
            </w:rPr>
          </w:pPr>
          <w:hyperlink w:anchor="_Toc122246295" w:history="1">
            <w:r w:rsidR="002D25AF" w:rsidRPr="002A0C51">
              <w:rPr>
                <w:rStyle w:val="Hyperlink"/>
                <w:rFonts w:ascii="Times New Roman" w:hAnsi="Times New Roman" w:cs="Times New Roman"/>
                <w:b/>
                <w:bCs/>
                <w:noProof/>
              </w:rPr>
              <w:t>2.2 Trends in labor market in UK</w:t>
            </w:r>
            <w:r w:rsidR="002D25AF">
              <w:rPr>
                <w:noProof/>
              </w:rPr>
              <w:tab/>
            </w:r>
          </w:hyperlink>
          <w:r w:rsidR="007A6C40">
            <w:rPr>
              <w:noProof/>
            </w:rPr>
            <w:t>7</w:t>
          </w:r>
        </w:p>
        <w:p w14:paraId="38860C07" w14:textId="6B4BDAE9" w:rsidR="002D25AF" w:rsidRDefault="001822B6">
          <w:pPr>
            <w:pStyle w:val="TOC2"/>
            <w:tabs>
              <w:tab w:val="right" w:leader="dot" w:pos="9016"/>
            </w:tabs>
            <w:ind w:left="400"/>
            <w:rPr>
              <w:noProof/>
              <w:sz w:val="22"/>
              <w:szCs w:val="22"/>
              <w:lang w:val="en-GB"/>
            </w:rPr>
          </w:pPr>
          <w:hyperlink w:anchor="_Toc122246296" w:history="1">
            <w:r w:rsidR="002D25AF" w:rsidRPr="002A0C51">
              <w:rPr>
                <w:rStyle w:val="Hyperlink"/>
                <w:rFonts w:ascii="Times New Roman" w:hAnsi="Times New Roman" w:cs="Times New Roman"/>
                <w:b/>
                <w:bCs/>
                <w:noProof/>
              </w:rPr>
              <w:t>2.3 Employment</w:t>
            </w:r>
            <w:r w:rsidR="002D25AF">
              <w:rPr>
                <w:noProof/>
              </w:rPr>
              <w:tab/>
            </w:r>
          </w:hyperlink>
          <w:r w:rsidR="007A6C40">
            <w:rPr>
              <w:noProof/>
            </w:rPr>
            <w:t>7</w:t>
          </w:r>
          <w:bookmarkStart w:id="0" w:name="_GoBack"/>
          <w:bookmarkEnd w:id="0"/>
        </w:p>
        <w:p w14:paraId="098848FB" w14:textId="019830A5" w:rsidR="002D25AF" w:rsidRDefault="001822B6">
          <w:pPr>
            <w:pStyle w:val="TOC2"/>
            <w:tabs>
              <w:tab w:val="right" w:leader="dot" w:pos="9016"/>
            </w:tabs>
            <w:ind w:left="400"/>
            <w:rPr>
              <w:noProof/>
              <w:sz w:val="22"/>
              <w:szCs w:val="22"/>
              <w:lang w:val="en-GB"/>
            </w:rPr>
          </w:pPr>
          <w:hyperlink w:anchor="_Toc122246297" w:history="1">
            <w:r w:rsidR="002D25AF" w:rsidRPr="002A0C51">
              <w:rPr>
                <w:rStyle w:val="Hyperlink"/>
                <w:rFonts w:ascii="Times New Roman" w:hAnsi="Times New Roman" w:cs="Times New Roman"/>
                <w:b/>
                <w:bCs/>
                <w:noProof/>
              </w:rPr>
              <w:t>2.4 Unemployment</w:t>
            </w:r>
            <w:r w:rsidR="002D25AF">
              <w:rPr>
                <w:noProof/>
              </w:rPr>
              <w:tab/>
            </w:r>
          </w:hyperlink>
          <w:r w:rsidR="007A6C40">
            <w:rPr>
              <w:noProof/>
            </w:rPr>
            <w:t>10</w:t>
          </w:r>
        </w:p>
        <w:p w14:paraId="4C646FE4" w14:textId="7434BB40" w:rsidR="002D25AF" w:rsidRDefault="001822B6">
          <w:pPr>
            <w:pStyle w:val="TOC2"/>
            <w:tabs>
              <w:tab w:val="right" w:leader="dot" w:pos="9016"/>
            </w:tabs>
            <w:ind w:left="400"/>
            <w:rPr>
              <w:noProof/>
              <w:sz w:val="22"/>
              <w:szCs w:val="22"/>
              <w:lang w:val="en-GB"/>
            </w:rPr>
          </w:pPr>
          <w:hyperlink w:anchor="_Toc122246298" w:history="1">
            <w:r w:rsidR="002D25AF" w:rsidRPr="002A0C51">
              <w:rPr>
                <w:rStyle w:val="Hyperlink"/>
                <w:rFonts w:ascii="Times New Roman" w:hAnsi="Times New Roman" w:cs="Times New Roman"/>
                <w:b/>
                <w:bCs/>
                <w:noProof/>
              </w:rPr>
              <w:t>2.5 Earnings</w:t>
            </w:r>
            <w:r w:rsidR="002D25AF">
              <w:rPr>
                <w:noProof/>
              </w:rPr>
              <w:tab/>
            </w:r>
          </w:hyperlink>
          <w:r w:rsidR="00321F55">
            <w:rPr>
              <w:noProof/>
            </w:rPr>
            <w:t>1</w:t>
          </w:r>
          <w:r w:rsidR="007A6C40">
            <w:rPr>
              <w:noProof/>
            </w:rPr>
            <w:t>1</w:t>
          </w:r>
        </w:p>
        <w:p w14:paraId="44256C33" w14:textId="71E7172C" w:rsidR="002D25AF" w:rsidRDefault="001822B6">
          <w:pPr>
            <w:pStyle w:val="TOC2"/>
            <w:tabs>
              <w:tab w:val="right" w:leader="dot" w:pos="9016"/>
            </w:tabs>
            <w:ind w:left="400"/>
            <w:rPr>
              <w:noProof/>
              <w:sz w:val="22"/>
              <w:szCs w:val="22"/>
              <w:lang w:val="en-GB"/>
            </w:rPr>
          </w:pPr>
          <w:hyperlink w:anchor="_Toc122246299" w:history="1">
            <w:r w:rsidR="002D25AF" w:rsidRPr="002A0C51">
              <w:rPr>
                <w:rStyle w:val="Hyperlink"/>
                <w:rFonts w:ascii="Times New Roman" w:hAnsi="Times New Roman" w:cs="Times New Roman"/>
                <w:b/>
                <w:bCs/>
                <w:noProof/>
              </w:rPr>
              <w:t>2.6 People in the labor market</w:t>
            </w:r>
            <w:r w:rsidR="002D25AF">
              <w:rPr>
                <w:noProof/>
              </w:rPr>
              <w:tab/>
            </w:r>
          </w:hyperlink>
          <w:r w:rsidR="00321F55">
            <w:rPr>
              <w:noProof/>
            </w:rPr>
            <w:t>1</w:t>
          </w:r>
          <w:r w:rsidR="007A6C40">
            <w:rPr>
              <w:noProof/>
            </w:rPr>
            <w:t>1</w:t>
          </w:r>
        </w:p>
        <w:p w14:paraId="6AB4A95B" w14:textId="18A134F7" w:rsidR="002D25AF" w:rsidRDefault="001822B6">
          <w:pPr>
            <w:pStyle w:val="TOC1"/>
            <w:tabs>
              <w:tab w:val="right" w:leader="dot" w:pos="9016"/>
            </w:tabs>
            <w:rPr>
              <w:noProof/>
              <w:sz w:val="22"/>
              <w:szCs w:val="22"/>
              <w:lang w:val="en-GB"/>
            </w:rPr>
          </w:pPr>
          <w:hyperlink w:anchor="_Toc122246300" w:history="1">
            <w:r w:rsidR="002D25AF" w:rsidRPr="002A0C51">
              <w:rPr>
                <w:rStyle w:val="Hyperlink"/>
                <w:rFonts w:ascii="Times New Roman" w:hAnsi="Times New Roman" w:cs="Times New Roman"/>
                <w:b/>
                <w:bCs/>
                <w:noProof/>
              </w:rPr>
              <w:t>3.0 The emerging changes in Human Resourcing (HR) Strategies in the post Covid, post Brexit external environment</w:t>
            </w:r>
            <w:r w:rsidR="002D25AF">
              <w:rPr>
                <w:noProof/>
              </w:rPr>
              <w:tab/>
            </w:r>
          </w:hyperlink>
          <w:r w:rsidR="00321F55">
            <w:rPr>
              <w:noProof/>
            </w:rPr>
            <w:t>1</w:t>
          </w:r>
          <w:r w:rsidR="007A6C40">
            <w:rPr>
              <w:noProof/>
            </w:rPr>
            <w:t>4</w:t>
          </w:r>
        </w:p>
        <w:p w14:paraId="2FD1F72E" w14:textId="46A75EEA" w:rsidR="002D25AF" w:rsidRDefault="001822B6">
          <w:pPr>
            <w:pStyle w:val="TOC2"/>
            <w:tabs>
              <w:tab w:val="right" w:leader="dot" w:pos="9016"/>
            </w:tabs>
            <w:ind w:left="400"/>
            <w:rPr>
              <w:noProof/>
              <w:sz w:val="22"/>
              <w:szCs w:val="22"/>
              <w:lang w:val="en-GB"/>
            </w:rPr>
          </w:pPr>
          <w:hyperlink w:anchor="_Toc122246301" w:history="1">
            <w:r w:rsidR="002D25AF" w:rsidRPr="002A0C51">
              <w:rPr>
                <w:rStyle w:val="Hyperlink"/>
                <w:rFonts w:ascii="Times New Roman" w:hAnsi="Times New Roman" w:cs="Times New Roman"/>
                <w:b/>
                <w:bCs/>
                <w:noProof/>
              </w:rPr>
              <w:t>3.1 HR strategies in the post Covid period</w:t>
            </w:r>
            <w:r w:rsidR="002D25AF">
              <w:rPr>
                <w:noProof/>
              </w:rPr>
              <w:tab/>
            </w:r>
          </w:hyperlink>
          <w:r w:rsidR="00321F55">
            <w:rPr>
              <w:noProof/>
            </w:rPr>
            <w:t>1</w:t>
          </w:r>
          <w:r w:rsidR="007A6C40">
            <w:rPr>
              <w:noProof/>
            </w:rPr>
            <w:t>4</w:t>
          </w:r>
        </w:p>
        <w:p w14:paraId="25046180" w14:textId="0560E716" w:rsidR="002D25AF" w:rsidRDefault="001822B6">
          <w:pPr>
            <w:pStyle w:val="TOC2"/>
            <w:tabs>
              <w:tab w:val="right" w:leader="dot" w:pos="9016"/>
            </w:tabs>
            <w:ind w:left="400"/>
            <w:rPr>
              <w:noProof/>
              <w:sz w:val="22"/>
              <w:szCs w:val="22"/>
              <w:lang w:val="en-GB"/>
            </w:rPr>
          </w:pPr>
          <w:hyperlink w:anchor="_Toc122246302" w:history="1">
            <w:r w:rsidR="002D25AF" w:rsidRPr="002A0C51">
              <w:rPr>
                <w:rStyle w:val="Hyperlink"/>
                <w:rFonts w:ascii="Times New Roman" w:hAnsi="Times New Roman" w:cs="Times New Roman"/>
                <w:b/>
                <w:bCs/>
                <w:noProof/>
              </w:rPr>
              <w:t>3.2 HR strategies in the post Brexit period</w:t>
            </w:r>
            <w:r w:rsidR="002D25AF">
              <w:rPr>
                <w:noProof/>
              </w:rPr>
              <w:tab/>
            </w:r>
          </w:hyperlink>
          <w:r w:rsidR="00321F55">
            <w:rPr>
              <w:noProof/>
            </w:rPr>
            <w:t>1</w:t>
          </w:r>
          <w:r w:rsidR="007A6C40">
            <w:rPr>
              <w:noProof/>
            </w:rPr>
            <w:t>6</w:t>
          </w:r>
        </w:p>
        <w:p w14:paraId="341D3169" w14:textId="7A1D7B7C" w:rsidR="002D25AF" w:rsidRDefault="001822B6">
          <w:pPr>
            <w:pStyle w:val="TOC1"/>
            <w:tabs>
              <w:tab w:val="right" w:leader="dot" w:pos="9016"/>
            </w:tabs>
            <w:rPr>
              <w:noProof/>
              <w:sz w:val="22"/>
              <w:szCs w:val="22"/>
              <w:lang w:val="en-GB"/>
            </w:rPr>
          </w:pPr>
          <w:hyperlink w:anchor="_Toc122246303" w:history="1">
            <w:r w:rsidR="002D25AF" w:rsidRPr="002A0C51">
              <w:rPr>
                <w:rStyle w:val="Hyperlink"/>
                <w:rFonts w:ascii="Times New Roman" w:hAnsi="Times New Roman" w:cs="Times New Roman"/>
                <w:b/>
                <w:bCs/>
                <w:noProof/>
              </w:rPr>
              <w:t>4.0 Conclusion</w:t>
            </w:r>
            <w:r w:rsidR="002D25AF">
              <w:rPr>
                <w:noProof/>
              </w:rPr>
              <w:tab/>
            </w:r>
          </w:hyperlink>
          <w:r w:rsidR="007A6C40">
            <w:rPr>
              <w:noProof/>
            </w:rPr>
            <w:t>18</w:t>
          </w:r>
        </w:p>
        <w:p w14:paraId="5EFD4EAD" w14:textId="23A9258C" w:rsidR="002D25AF" w:rsidRDefault="001822B6">
          <w:pPr>
            <w:pStyle w:val="TOC1"/>
            <w:tabs>
              <w:tab w:val="right" w:leader="dot" w:pos="9016"/>
            </w:tabs>
            <w:rPr>
              <w:noProof/>
              <w:sz w:val="22"/>
              <w:szCs w:val="22"/>
              <w:lang w:val="en-GB"/>
            </w:rPr>
          </w:pPr>
          <w:hyperlink w:anchor="_Toc122246304" w:history="1">
            <w:r w:rsidR="002D25AF" w:rsidRPr="002A0C51">
              <w:rPr>
                <w:rStyle w:val="Hyperlink"/>
                <w:rFonts w:ascii="Times New Roman" w:hAnsi="Times New Roman" w:cs="Times New Roman"/>
                <w:b/>
                <w:bCs/>
                <w:noProof/>
              </w:rPr>
              <w:t>References</w:t>
            </w:r>
            <w:r w:rsidR="002D25AF">
              <w:rPr>
                <w:noProof/>
              </w:rPr>
              <w:tab/>
            </w:r>
          </w:hyperlink>
          <w:r w:rsidR="007A6C40">
            <w:rPr>
              <w:noProof/>
            </w:rPr>
            <w:t>19</w:t>
          </w:r>
        </w:p>
        <w:p w14:paraId="4096E4B9" w14:textId="36C03244" w:rsidR="008B01BE" w:rsidRDefault="00E64418">
          <w:pPr>
            <w:rPr>
              <w:rFonts w:ascii="Times New Roman" w:hAnsi="Times New Roman" w:cs="Times New Roman"/>
              <w:sz w:val="22"/>
              <w:szCs w:val="22"/>
            </w:rPr>
          </w:pPr>
          <w:r>
            <w:rPr>
              <w:rFonts w:ascii="Times New Roman" w:hAnsi="Times New Roman" w:cs="Times New Roman"/>
              <w:b/>
              <w:sz w:val="24"/>
              <w:szCs w:val="24"/>
            </w:rPr>
            <w:fldChar w:fldCharType="end"/>
          </w:r>
        </w:p>
      </w:sdtContent>
    </w:sdt>
    <w:p w14:paraId="77D16937" w14:textId="77777777" w:rsidR="008B01BE" w:rsidRDefault="008B01BE">
      <w:pPr>
        <w:rPr>
          <w:rFonts w:ascii="Times New Roman" w:hAnsi="Times New Roman" w:cs="Times New Roman"/>
          <w:sz w:val="22"/>
          <w:szCs w:val="22"/>
        </w:rPr>
      </w:pPr>
    </w:p>
    <w:p w14:paraId="37BE6548" w14:textId="77777777" w:rsidR="008B01BE" w:rsidRDefault="008B01BE">
      <w:pPr>
        <w:rPr>
          <w:rFonts w:ascii="Times New Roman" w:hAnsi="Times New Roman" w:cs="Times New Roman"/>
          <w:sz w:val="22"/>
          <w:szCs w:val="22"/>
        </w:rPr>
      </w:pPr>
    </w:p>
    <w:p w14:paraId="1E405034" w14:textId="77777777" w:rsidR="008B01BE" w:rsidRDefault="008B01BE">
      <w:pPr>
        <w:rPr>
          <w:rFonts w:ascii="Times New Roman" w:hAnsi="Times New Roman" w:cs="Times New Roman"/>
          <w:sz w:val="22"/>
          <w:szCs w:val="22"/>
        </w:rPr>
      </w:pPr>
    </w:p>
    <w:p w14:paraId="24519496" w14:textId="77777777" w:rsidR="008B01BE" w:rsidRDefault="008B01BE">
      <w:pPr>
        <w:rPr>
          <w:rFonts w:ascii="Times New Roman" w:hAnsi="Times New Roman" w:cs="Times New Roman"/>
          <w:sz w:val="22"/>
          <w:szCs w:val="22"/>
        </w:rPr>
      </w:pPr>
    </w:p>
    <w:p w14:paraId="50788276" w14:textId="77777777" w:rsidR="00127212" w:rsidRDefault="00127212">
      <w:pPr>
        <w:outlineLvl w:val="0"/>
        <w:rPr>
          <w:rFonts w:ascii="Times New Roman" w:hAnsi="Times New Roman" w:cs="Times New Roman"/>
          <w:sz w:val="22"/>
          <w:szCs w:val="22"/>
        </w:rPr>
      </w:pPr>
      <w:bookmarkStart w:id="1" w:name="_Toc122246292"/>
    </w:p>
    <w:p w14:paraId="3A31C627" w14:textId="6828DA76" w:rsidR="00127212" w:rsidRDefault="00127212">
      <w:pPr>
        <w:outlineLvl w:val="0"/>
        <w:rPr>
          <w:rFonts w:ascii="Times New Roman" w:hAnsi="Times New Roman" w:cs="Times New Roman"/>
          <w:sz w:val="22"/>
          <w:szCs w:val="22"/>
        </w:rPr>
      </w:pPr>
    </w:p>
    <w:p w14:paraId="3B85E185" w14:textId="77777777" w:rsidR="00127212" w:rsidRDefault="00127212" w:rsidP="00127212">
      <w:pPr>
        <w:rPr>
          <w:rFonts w:ascii="Times New Roman" w:hAnsi="Times New Roman" w:cs="Times New Roman"/>
          <w:b/>
          <w:bCs/>
          <w:color w:val="000000" w:themeColor="text1"/>
          <w:sz w:val="28"/>
          <w:szCs w:val="28"/>
        </w:rPr>
      </w:pPr>
      <w:r>
        <w:rPr>
          <w:rFonts w:ascii="Times New Roman" w:hAnsi="Times New Roman" w:cs="Times New Roman"/>
          <w:sz w:val="22"/>
          <w:szCs w:val="22"/>
        </w:rPr>
        <w:br w:type="page"/>
      </w:r>
      <w:r>
        <w:rPr>
          <w:rFonts w:ascii="Times New Roman" w:hAnsi="Times New Roman" w:cs="Times New Roman"/>
          <w:b/>
          <w:bCs/>
          <w:color w:val="000000" w:themeColor="text1"/>
          <w:sz w:val="28"/>
          <w:szCs w:val="28"/>
        </w:rPr>
        <w:lastRenderedPageBreak/>
        <w:t xml:space="preserve">                                                </w:t>
      </w:r>
    </w:p>
    <w:p w14:paraId="1A298409" w14:textId="69884206" w:rsidR="00127212" w:rsidRDefault="00127212" w:rsidP="00127212">
      <w:pP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                   </w:t>
      </w:r>
      <w:r w:rsidR="002A5AC8">
        <w:rPr>
          <w:rFonts w:ascii="Times New Roman" w:hAnsi="Times New Roman" w:cs="Times New Roman"/>
          <w:b/>
          <w:bCs/>
          <w:color w:val="000000" w:themeColor="text1"/>
          <w:sz w:val="28"/>
          <w:szCs w:val="28"/>
        </w:rPr>
        <w:t xml:space="preserve">                          </w:t>
      </w:r>
      <w:r>
        <w:rPr>
          <w:rFonts w:ascii="Times New Roman" w:hAnsi="Times New Roman" w:cs="Times New Roman"/>
          <w:b/>
          <w:bCs/>
          <w:color w:val="000000" w:themeColor="text1"/>
          <w:sz w:val="28"/>
          <w:szCs w:val="28"/>
        </w:rPr>
        <w:t xml:space="preserve">   </w:t>
      </w:r>
      <w:r w:rsidRPr="000A266C">
        <w:rPr>
          <w:rFonts w:ascii="Times New Roman" w:hAnsi="Times New Roman" w:cs="Times New Roman"/>
          <w:b/>
          <w:bCs/>
          <w:color w:val="000000" w:themeColor="text1"/>
          <w:sz w:val="28"/>
          <w:szCs w:val="28"/>
        </w:rPr>
        <w:t>Table of figures</w:t>
      </w:r>
    </w:p>
    <w:p w14:paraId="45BB0325" w14:textId="77777777" w:rsidR="00127212" w:rsidRDefault="00127212" w:rsidP="00127212">
      <w:pPr>
        <w:rPr>
          <w:rFonts w:ascii="Times New Roman" w:eastAsia="Times New Roman" w:hAnsi="Times New Roman" w:cs="Times New Roman"/>
          <w:b/>
          <w:color w:val="000000" w:themeColor="text1"/>
          <w:sz w:val="24"/>
          <w:szCs w:val="24"/>
        </w:rPr>
      </w:pPr>
    </w:p>
    <w:p w14:paraId="32746CEC" w14:textId="3BDD8802" w:rsidR="00127212" w:rsidRPr="00EF26C7" w:rsidRDefault="00127212" w:rsidP="00127212">
      <w:pPr>
        <w:rPr>
          <w:rFonts w:ascii="Times New Roman" w:eastAsia="Times New Roman" w:hAnsi="Times New Roman" w:cs="Times New Roman"/>
          <w:bCs/>
          <w:color w:val="000000" w:themeColor="text1"/>
          <w:sz w:val="24"/>
          <w:szCs w:val="24"/>
        </w:rPr>
      </w:pPr>
      <w:r w:rsidRPr="00AC288F">
        <w:rPr>
          <w:rFonts w:ascii="Times New Roman" w:eastAsia="Times New Roman" w:hAnsi="Times New Roman" w:cs="Times New Roman"/>
          <w:b/>
          <w:color w:val="000000" w:themeColor="text1"/>
          <w:sz w:val="24"/>
          <w:szCs w:val="24"/>
        </w:rPr>
        <w:t>Figure 1:</w:t>
      </w:r>
      <w:r>
        <w:rPr>
          <w:rFonts w:ascii="Times New Roman" w:eastAsia="Times New Roman" w:hAnsi="Times New Roman" w:cs="Times New Roman"/>
          <w:b/>
          <w:color w:val="000000" w:themeColor="text1"/>
          <w:sz w:val="24"/>
          <w:szCs w:val="24"/>
        </w:rPr>
        <w:t xml:space="preserve"> </w:t>
      </w:r>
      <w:r w:rsidR="00195C08" w:rsidRPr="005975E3">
        <w:rPr>
          <w:rFonts w:ascii="Times New Roman" w:hAnsi="Times New Roman" w:cs="Times New Roman"/>
          <w:sz w:val="24"/>
          <w:szCs w:val="24"/>
        </w:rPr>
        <w:t>Labor force framework</w:t>
      </w:r>
    </w:p>
    <w:p w14:paraId="37836257" w14:textId="3F3F29DC" w:rsidR="00127212" w:rsidRPr="00EF26C7" w:rsidRDefault="00127212" w:rsidP="00127212">
      <w:pPr>
        <w:pStyle w:val="Normal1"/>
        <w:spacing w:before="240" w:after="240" w:line="360" w:lineRule="auto"/>
        <w:rPr>
          <w:rFonts w:ascii="Times New Roman" w:eastAsia="Times New Roman" w:hAnsi="Times New Roman" w:cs="Times New Roman"/>
          <w:bCs/>
          <w:color w:val="000000" w:themeColor="text1"/>
          <w:sz w:val="28"/>
          <w:szCs w:val="28"/>
          <w:lang w:val="en-GB"/>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2</w:t>
      </w:r>
      <w:r w:rsidRPr="00195C08">
        <w:rPr>
          <w:rFonts w:ascii="Times New Roman" w:eastAsia="Times New Roman" w:hAnsi="Times New Roman" w:cs="Times New Roman"/>
          <w:b/>
          <w:color w:val="000000" w:themeColor="text1"/>
          <w:sz w:val="24"/>
          <w:szCs w:val="24"/>
        </w:rPr>
        <w:t xml:space="preserve">: </w:t>
      </w:r>
      <w:r w:rsidR="00195C08" w:rsidRPr="00195C08">
        <w:rPr>
          <w:rFonts w:ascii="Times New Roman" w:hAnsi="Times New Roman" w:cs="Times New Roman"/>
          <w:sz w:val="24"/>
          <w:szCs w:val="24"/>
        </w:rPr>
        <w:t>Employment rate in UK</w:t>
      </w:r>
    </w:p>
    <w:p w14:paraId="3DADC647" w14:textId="43B4A44B" w:rsidR="00195C08" w:rsidRPr="0045646B" w:rsidRDefault="00195C08" w:rsidP="00195C08">
      <w:pPr>
        <w:pStyle w:val="Normal1"/>
        <w:spacing w:before="240" w:after="240" w:line="360" w:lineRule="auto"/>
        <w:rPr>
          <w:rFonts w:ascii="Times New Roman" w:eastAsia="Times New Roman" w:hAnsi="Times New Roman" w:cs="Times New Roman"/>
          <w:bCs/>
          <w:color w:val="000000" w:themeColor="text1"/>
          <w:sz w:val="28"/>
          <w:szCs w:val="28"/>
          <w:lang w:val="en-GB"/>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3</w:t>
      </w:r>
      <w:r w:rsidRPr="00AC288F">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 xml:space="preserve"> </w:t>
      </w:r>
      <w:r w:rsidRPr="0045646B">
        <w:rPr>
          <w:rFonts w:ascii="Times New Roman" w:hAnsi="Times New Roman" w:cs="Times New Roman"/>
        </w:rPr>
        <w:t>Full-time v/s part-time workers in UK</w:t>
      </w:r>
    </w:p>
    <w:p w14:paraId="4E9C6650" w14:textId="19E3298E" w:rsidR="00195C08" w:rsidRPr="00EF26C7" w:rsidRDefault="00195C08" w:rsidP="00195C08">
      <w:pPr>
        <w:pStyle w:val="Normal1"/>
        <w:spacing w:before="240" w:after="240" w:line="360" w:lineRule="auto"/>
        <w:rPr>
          <w:rFonts w:ascii="Times New Roman" w:eastAsia="Times New Roman" w:hAnsi="Times New Roman" w:cs="Times New Roman"/>
          <w:bCs/>
          <w:color w:val="000000" w:themeColor="text1"/>
          <w:sz w:val="28"/>
          <w:szCs w:val="28"/>
          <w:lang w:val="en-GB"/>
        </w:rPr>
      </w:pPr>
      <w:r w:rsidRPr="00AC288F">
        <w:rPr>
          <w:rFonts w:ascii="Times New Roman" w:eastAsia="Times New Roman" w:hAnsi="Times New Roman" w:cs="Times New Roman"/>
          <w:b/>
          <w:color w:val="000000" w:themeColor="text1"/>
          <w:sz w:val="24"/>
          <w:szCs w:val="24"/>
        </w:rPr>
        <w:t xml:space="preserve">Figure </w:t>
      </w:r>
      <w:r w:rsidR="0045646B">
        <w:rPr>
          <w:rFonts w:ascii="Times New Roman" w:eastAsia="Times New Roman" w:hAnsi="Times New Roman" w:cs="Times New Roman"/>
          <w:b/>
          <w:color w:val="000000" w:themeColor="text1"/>
          <w:sz w:val="24"/>
          <w:szCs w:val="24"/>
        </w:rPr>
        <w:t>4</w:t>
      </w:r>
      <w:r w:rsidRPr="00AC288F">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 xml:space="preserve"> </w:t>
      </w:r>
      <w:r w:rsidR="0045646B" w:rsidRPr="0045646B">
        <w:rPr>
          <w:rFonts w:ascii="Times New Roman" w:hAnsi="Times New Roman" w:cs="Times New Roman"/>
          <w:sz w:val="24"/>
          <w:szCs w:val="24"/>
        </w:rPr>
        <w:t>Statistics of employees and self-employees</w:t>
      </w:r>
    </w:p>
    <w:p w14:paraId="610DE0B4" w14:textId="04C9E856" w:rsidR="00195C08" w:rsidRPr="00EF26C7" w:rsidRDefault="00195C08" w:rsidP="00195C08">
      <w:pPr>
        <w:pStyle w:val="Normal1"/>
        <w:spacing w:before="240" w:after="240" w:line="360" w:lineRule="auto"/>
        <w:rPr>
          <w:rFonts w:ascii="Times New Roman" w:eastAsia="Times New Roman" w:hAnsi="Times New Roman" w:cs="Times New Roman"/>
          <w:bCs/>
          <w:color w:val="000000" w:themeColor="text1"/>
          <w:sz w:val="28"/>
          <w:szCs w:val="28"/>
          <w:lang w:val="en-GB"/>
        </w:rPr>
      </w:pPr>
      <w:r w:rsidRPr="00AC288F">
        <w:rPr>
          <w:rFonts w:ascii="Times New Roman" w:eastAsia="Times New Roman" w:hAnsi="Times New Roman" w:cs="Times New Roman"/>
          <w:b/>
          <w:color w:val="000000" w:themeColor="text1"/>
          <w:sz w:val="24"/>
          <w:szCs w:val="24"/>
        </w:rPr>
        <w:t>Figure</w:t>
      </w:r>
      <w:r w:rsidR="0045646B">
        <w:rPr>
          <w:rFonts w:ascii="Times New Roman" w:eastAsia="Times New Roman" w:hAnsi="Times New Roman" w:cs="Times New Roman"/>
          <w:b/>
          <w:color w:val="000000" w:themeColor="text1"/>
          <w:sz w:val="24"/>
          <w:szCs w:val="24"/>
        </w:rPr>
        <w:t xml:space="preserve"> 5</w:t>
      </w:r>
      <w:r w:rsidRPr="00AC288F">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 xml:space="preserve"> </w:t>
      </w:r>
      <w:r w:rsidR="0045646B" w:rsidRPr="0045646B">
        <w:rPr>
          <w:rFonts w:ascii="Times New Roman" w:hAnsi="Times New Roman" w:cs="Times New Roman"/>
          <w:sz w:val="24"/>
          <w:szCs w:val="24"/>
        </w:rPr>
        <w:t>Comparison of public and private sector employment in UK</w:t>
      </w:r>
    </w:p>
    <w:p w14:paraId="6C724AD4" w14:textId="50A61AE6" w:rsidR="00195C08" w:rsidRPr="00EF26C7" w:rsidRDefault="00195C08" w:rsidP="00195C08">
      <w:pPr>
        <w:pStyle w:val="Normal1"/>
        <w:spacing w:before="240" w:after="240" w:line="360" w:lineRule="auto"/>
        <w:rPr>
          <w:rFonts w:ascii="Times New Roman" w:eastAsia="Times New Roman" w:hAnsi="Times New Roman" w:cs="Times New Roman"/>
          <w:bCs/>
          <w:color w:val="000000" w:themeColor="text1"/>
          <w:sz w:val="28"/>
          <w:szCs w:val="28"/>
          <w:lang w:val="en-GB"/>
        </w:rPr>
      </w:pPr>
      <w:r w:rsidRPr="00AC288F">
        <w:rPr>
          <w:rFonts w:ascii="Times New Roman" w:eastAsia="Times New Roman" w:hAnsi="Times New Roman" w:cs="Times New Roman"/>
          <w:b/>
          <w:color w:val="000000" w:themeColor="text1"/>
          <w:sz w:val="24"/>
          <w:szCs w:val="24"/>
        </w:rPr>
        <w:t xml:space="preserve">Figure </w:t>
      </w:r>
      <w:r w:rsidR="0045646B">
        <w:rPr>
          <w:rFonts w:ascii="Times New Roman" w:eastAsia="Times New Roman" w:hAnsi="Times New Roman" w:cs="Times New Roman"/>
          <w:b/>
          <w:color w:val="000000" w:themeColor="text1"/>
          <w:sz w:val="24"/>
          <w:szCs w:val="24"/>
        </w:rPr>
        <w:t>6</w:t>
      </w:r>
      <w:r w:rsidRPr="00AC288F">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 xml:space="preserve"> </w:t>
      </w:r>
      <w:r w:rsidR="0045646B" w:rsidRPr="0045646B">
        <w:rPr>
          <w:rFonts w:ascii="Times New Roman" w:hAnsi="Times New Roman" w:cs="Times New Roman"/>
          <w:sz w:val="24"/>
          <w:szCs w:val="24"/>
        </w:rPr>
        <w:t>Vacancies related to each sectors in UK</w:t>
      </w:r>
    </w:p>
    <w:p w14:paraId="0BE15DD8" w14:textId="7DA073EB" w:rsidR="0045646B" w:rsidRPr="0045646B" w:rsidRDefault="00195C08" w:rsidP="00195C08">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sidR="0045646B">
        <w:rPr>
          <w:rFonts w:ascii="Times New Roman" w:eastAsia="Times New Roman" w:hAnsi="Times New Roman" w:cs="Times New Roman"/>
          <w:b/>
          <w:color w:val="000000" w:themeColor="text1"/>
          <w:sz w:val="24"/>
          <w:szCs w:val="24"/>
        </w:rPr>
        <w:t>7</w:t>
      </w:r>
      <w:r w:rsidRPr="00AC288F">
        <w:rPr>
          <w:rFonts w:ascii="Times New Roman" w:eastAsia="Times New Roman" w:hAnsi="Times New Roman" w:cs="Times New Roman"/>
          <w:b/>
          <w:color w:val="000000" w:themeColor="text1"/>
          <w:sz w:val="24"/>
          <w:szCs w:val="24"/>
        </w:rPr>
        <w:t>:</w:t>
      </w:r>
      <w:r>
        <w:rPr>
          <w:rFonts w:ascii="Times New Roman" w:eastAsia="Times New Roman" w:hAnsi="Times New Roman" w:cs="Times New Roman"/>
          <w:b/>
          <w:color w:val="000000" w:themeColor="text1"/>
          <w:sz w:val="24"/>
          <w:szCs w:val="24"/>
        </w:rPr>
        <w:t xml:space="preserve"> </w:t>
      </w:r>
      <w:r w:rsidR="0045646B" w:rsidRPr="0045646B">
        <w:rPr>
          <w:rFonts w:ascii="Times New Roman" w:hAnsi="Times New Roman" w:cs="Times New Roman"/>
          <w:sz w:val="24"/>
          <w:szCs w:val="24"/>
        </w:rPr>
        <w:t>Unemployment rate shows gradual decrease</w:t>
      </w:r>
    </w:p>
    <w:p w14:paraId="46607DD2" w14:textId="2BAC1676" w:rsidR="00127212" w:rsidRDefault="00195C08"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sidR="0045646B">
        <w:rPr>
          <w:rFonts w:ascii="Times New Roman" w:eastAsia="Times New Roman" w:hAnsi="Times New Roman" w:cs="Times New Roman"/>
          <w:b/>
          <w:color w:val="000000" w:themeColor="text1"/>
          <w:sz w:val="24"/>
          <w:szCs w:val="24"/>
        </w:rPr>
        <w:t>8</w:t>
      </w:r>
      <w:r w:rsidRPr="00AC288F">
        <w:rPr>
          <w:rFonts w:ascii="Times New Roman" w:eastAsia="Times New Roman" w:hAnsi="Times New Roman" w:cs="Times New Roman"/>
          <w:b/>
          <w:color w:val="000000" w:themeColor="text1"/>
          <w:sz w:val="24"/>
          <w:szCs w:val="24"/>
        </w:rPr>
        <w:t>:</w:t>
      </w:r>
      <w:r w:rsidR="0045646B" w:rsidRPr="0045646B">
        <w:rPr>
          <w:rFonts w:ascii="Times New Roman" w:hAnsi="Times New Roman" w:cs="Times New Roman"/>
          <w:sz w:val="24"/>
          <w:szCs w:val="24"/>
        </w:rPr>
        <w:t xml:space="preserve"> Earnings observed</w:t>
      </w:r>
    </w:p>
    <w:p w14:paraId="780F196A" w14:textId="764EDFE1" w:rsidR="007115C9" w:rsidRPr="005975E3" w:rsidRDefault="0045646B" w:rsidP="007115C9">
      <w:pPr>
        <w:pStyle w:val="Caption"/>
        <w:rPr>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9</w:t>
      </w:r>
      <w:r w:rsidRPr="00AC288F">
        <w:rPr>
          <w:rFonts w:ascii="Times New Roman" w:eastAsia="Times New Roman" w:hAnsi="Times New Roman" w:cs="Times New Roman"/>
          <w:b/>
          <w:color w:val="000000" w:themeColor="text1"/>
          <w:sz w:val="24"/>
          <w:szCs w:val="24"/>
        </w:rPr>
        <w:t>:</w:t>
      </w:r>
      <w:r w:rsidR="007115C9" w:rsidRPr="007115C9">
        <w:rPr>
          <w:sz w:val="24"/>
          <w:szCs w:val="24"/>
        </w:rPr>
        <w:t xml:space="preserve"> </w:t>
      </w:r>
      <w:r w:rsidR="007115C9" w:rsidRPr="007115C9">
        <w:rPr>
          <w:rFonts w:ascii="Times New Roman" w:hAnsi="Times New Roman" w:cs="Times New Roman"/>
          <w:sz w:val="24"/>
          <w:szCs w:val="24"/>
        </w:rPr>
        <w:t>UK Employment profiles by gender and employment status 1981-2027</w:t>
      </w:r>
    </w:p>
    <w:p w14:paraId="186DF92B" w14:textId="6CBEA640" w:rsidR="0045646B" w:rsidRPr="0045646B"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10</w:t>
      </w:r>
      <w:r w:rsidRPr="00AC288F">
        <w:rPr>
          <w:rFonts w:ascii="Times New Roman" w:eastAsia="Times New Roman" w:hAnsi="Times New Roman" w:cs="Times New Roman"/>
          <w:b/>
          <w:color w:val="000000" w:themeColor="text1"/>
          <w:sz w:val="24"/>
          <w:szCs w:val="24"/>
        </w:rPr>
        <w:t>:</w:t>
      </w:r>
      <w:r w:rsidR="007115C9">
        <w:rPr>
          <w:rFonts w:ascii="Times New Roman" w:eastAsia="Times New Roman" w:hAnsi="Times New Roman" w:cs="Times New Roman"/>
          <w:b/>
          <w:color w:val="000000" w:themeColor="text1"/>
          <w:sz w:val="24"/>
          <w:szCs w:val="24"/>
        </w:rPr>
        <w:t xml:space="preserve"> </w:t>
      </w:r>
      <w:r w:rsidR="007115C9" w:rsidRPr="007115C9">
        <w:rPr>
          <w:rFonts w:ascii="Times New Roman" w:hAnsi="Times New Roman" w:cs="Times New Roman"/>
          <w:sz w:val="24"/>
          <w:szCs w:val="24"/>
        </w:rPr>
        <w:t>Employment rate of young people in UK</w:t>
      </w:r>
    </w:p>
    <w:p w14:paraId="4DFCA45D" w14:textId="153220B5" w:rsidR="0045646B" w:rsidRPr="0045646B"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11</w:t>
      </w:r>
      <w:r w:rsidRPr="00AC288F">
        <w:rPr>
          <w:rFonts w:ascii="Times New Roman" w:eastAsia="Times New Roman" w:hAnsi="Times New Roman" w:cs="Times New Roman"/>
          <w:b/>
          <w:color w:val="000000" w:themeColor="text1"/>
          <w:sz w:val="24"/>
          <w:szCs w:val="24"/>
        </w:rPr>
        <w:t>:</w:t>
      </w:r>
      <w:r w:rsidR="002A5AC8">
        <w:rPr>
          <w:sz w:val="24"/>
          <w:szCs w:val="24"/>
        </w:rPr>
        <w:t xml:space="preserve"> </w:t>
      </w:r>
      <w:r w:rsidR="002A5AC8" w:rsidRPr="002A5AC8">
        <w:rPr>
          <w:rFonts w:ascii="Times New Roman" w:hAnsi="Times New Roman" w:cs="Times New Roman"/>
          <w:sz w:val="24"/>
          <w:szCs w:val="24"/>
        </w:rPr>
        <w:t>Employment rate by nationality in UK</w:t>
      </w:r>
    </w:p>
    <w:p w14:paraId="703A5109" w14:textId="3A14D936" w:rsidR="0045646B" w:rsidRPr="0045646B"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12</w:t>
      </w:r>
      <w:r w:rsidRPr="00AC288F">
        <w:rPr>
          <w:rFonts w:ascii="Times New Roman" w:eastAsia="Times New Roman" w:hAnsi="Times New Roman" w:cs="Times New Roman"/>
          <w:b/>
          <w:color w:val="000000" w:themeColor="text1"/>
          <w:sz w:val="24"/>
          <w:szCs w:val="24"/>
        </w:rPr>
        <w:t>:</w:t>
      </w:r>
      <w:r w:rsidR="002A5AC8" w:rsidRPr="002A5AC8">
        <w:rPr>
          <w:sz w:val="24"/>
          <w:szCs w:val="24"/>
        </w:rPr>
        <w:t xml:space="preserve"> </w:t>
      </w:r>
      <w:r w:rsidR="002A5AC8" w:rsidRPr="002A5AC8">
        <w:rPr>
          <w:rFonts w:ascii="Times New Roman" w:hAnsi="Times New Roman" w:cs="Times New Roman"/>
          <w:sz w:val="24"/>
          <w:szCs w:val="24"/>
        </w:rPr>
        <w:t>Disability gap</w:t>
      </w:r>
    </w:p>
    <w:p w14:paraId="0843AA87" w14:textId="32EBE9B5" w:rsidR="0045646B" w:rsidRPr="002A5AC8"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13</w:t>
      </w:r>
      <w:r w:rsidRPr="00AC288F">
        <w:rPr>
          <w:rFonts w:ascii="Times New Roman" w:eastAsia="Times New Roman" w:hAnsi="Times New Roman" w:cs="Times New Roman"/>
          <w:b/>
          <w:color w:val="000000" w:themeColor="text1"/>
          <w:sz w:val="24"/>
          <w:szCs w:val="24"/>
        </w:rPr>
        <w:t>:</w:t>
      </w:r>
      <w:r w:rsidR="002A5AC8" w:rsidRPr="002A5AC8">
        <w:rPr>
          <w:sz w:val="24"/>
          <w:szCs w:val="24"/>
        </w:rPr>
        <w:t xml:space="preserve"> </w:t>
      </w:r>
      <w:r w:rsidR="002A5AC8" w:rsidRPr="002A5AC8">
        <w:rPr>
          <w:rFonts w:ascii="Times New Roman" w:hAnsi="Times New Roman" w:cs="Times New Roman"/>
          <w:sz w:val="24"/>
          <w:szCs w:val="24"/>
        </w:rPr>
        <w:t>'New normal' during post-covid period</w:t>
      </w:r>
    </w:p>
    <w:p w14:paraId="26F1B205" w14:textId="797EB151" w:rsidR="0045646B" w:rsidRPr="002A5AC8"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14</w:t>
      </w:r>
      <w:r w:rsidRPr="002A5AC8">
        <w:rPr>
          <w:rFonts w:ascii="Times New Roman" w:eastAsia="Times New Roman" w:hAnsi="Times New Roman" w:cs="Times New Roman"/>
          <w:b/>
          <w:color w:val="000000" w:themeColor="text1"/>
          <w:sz w:val="24"/>
          <w:szCs w:val="24"/>
        </w:rPr>
        <w:t>:</w:t>
      </w:r>
      <w:r w:rsidR="002A5AC8" w:rsidRPr="002A5AC8">
        <w:rPr>
          <w:rFonts w:ascii="Times New Roman" w:eastAsia="Times New Roman" w:hAnsi="Times New Roman" w:cs="Times New Roman"/>
          <w:b/>
          <w:color w:val="000000" w:themeColor="text1"/>
          <w:sz w:val="24"/>
          <w:szCs w:val="24"/>
        </w:rPr>
        <w:t xml:space="preserve"> </w:t>
      </w:r>
      <w:r w:rsidR="002A5AC8" w:rsidRPr="002A5AC8">
        <w:rPr>
          <w:rFonts w:ascii="Times New Roman" w:hAnsi="Times New Roman" w:cs="Times New Roman"/>
          <w:sz w:val="24"/>
          <w:szCs w:val="24"/>
        </w:rPr>
        <w:t>Analysis of UK's economic growth</w:t>
      </w:r>
    </w:p>
    <w:p w14:paraId="21472D67" w14:textId="2C06C477" w:rsidR="0045646B" w:rsidRPr="002A5AC8"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r w:rsidRPr="00AC288F">
        <w:rPr>
          <w:rFonts w:ascii="Times New Roman" w:eastAsia="Times New Roman" w:hAnsi="Times New Roman" w:cs="Times New Roman"/>
          <w:b/>
          <w:color w:val="000000" w:themeColor="text1"/>
          <w:sz w:val="24"/>
          <w:szCs w:val="24"/>
        </w:rPr>
        <w:t xml:space="preserve">Figure </w:t>
      </w:r>
      <w:r>
        <w:rPr>
          <w:rFonts w:ascii="Times New Roman" w:eastAsia="Times New Roman" w:hAnsi="Times New Roman" w:cs="Times New Roman"/>
          <w:b/>
          <w:color w:val="000000" w:themeColor="text1"/>
          <w:sz w:val="24"/>
          <w:szCs w:val="24"/>
        </w:rPr>
        <w:t>15</w:t>
      </w:r>
      <w:r w:rsidRPr="002A5AC8">
        <w:rPr>
          <w:rFonts w:ascii="Times New Roman" w:eastAsia="Times New Roman" w:hAnsi="Times New Roman" w:cs="Times New Roman"/>
          <w:b/>
          <w:color w:val="000000" w:themeColor="text1"/>
          <w:sz w:val="24"/>
          <w:szCs w:val="24"/>
        </w:rPr>
        <w:t>:</w:t>
      </w:r>
      <w:r w:rsidR="002A5AC8" w:rsidRPr="002A5AC8">
        <w:rPr>
          <w:rFonts w:ascii="Times New Roman" w:hAnsi="Times New Roman" w:cs="Times New Roman"/>
          <w:sz w:val="24"/>
          <w:szCs w:val="24"/>
        </w:rPr>
        <w:t xml:space="preserve"> Key issues and the implications faced during post-Brexit period</w:t>
      </w:r>
    </w:p>
    <w:p w14:paraId="4169C1D7" w14:textId="77777777" w:rsidR="0045646B" w:rsidRPr="0045646B" w:rsidRDefault="0045646B" w:rsidP="0045646B">
      <w:pPr>
        <w:pStyle w:val="Normal1"/>
        <w:spacing w:before="240" w:after="240" w:line="360" w:lineRule="auto"/>
        <w:rPr>
          <w:rFonts w:ascii="Times New Roman" w:eastAsia="Times New Roman" w:hAnsi="Times New Roman" w:cs="Times New Roman"/>
          <w:b/>
          <w:color w:val="000000" w:themeColor="text1"/>
          <w:sz w:val="24"/>
          <w:szCs w:val="24"/>
        </w:rPr>
      </w:pPr>
    </w:p>
    <w:p w14:paraId="7EC7AF70" w14:textId="77777777" w:rsidR="00127212" w:rsidRDefault="00127212" w:rsidP="00127212">
      <w:pPr>
        <w:rPr>
          <w:color w:val="000000" w:themeColor="text1"/>
        </w:rPr>
      </w:pPr>
    </w:p>
    <w:p w14:paraId="4DA246D6" w14:textId="77777777" w:rsidR="00127212" w:rsidRDefault="00127212" w:rsidP="00127212">
      <w:pPr>
        <w:rPr>
          <w:color w:val="000000" w:themeColor="text1"/>
        </w:rPr>
      </w:pPr>
    </w:p>
    <w:p w14:paraId="0251CA72" w14:textId="77777777" w:rsidR="00127212" w:rsidRDefault="00127212">
      <w:pPr>
        <w:spacing w:after="0" w:line="240" w:lineRule="auto"/>
        <w:jc w:val="left"/>
        <w:rPr>
          <w:rFonts w:ascii="Times New Roman" w:hAnsi="Times New Roman" w:cs="Times New Roman"/>
          <w:sz w:val="22"/>
          <w:szCs w:val="22"/>
        </w:rPr>
      </w:pPr>
    </w:p>
    <w:p w14:paraId="78D65259" w14:textId="77777777" w:rsidR="007115C9" w:rsidRDefault="007115C9">
      <w:pPr>
        <w:outlineLvl w:val="0"/>
        <w:rPr>
          <w:rFonts w:ascii="Times New Roman" w:hAnsi="Times New Roman" w:cs="Times New Roman"/>
          <w:sz w:val="22"/>
          <w:szCs w:val="22"/>
        </w:rPr>
      </w:pPr>
    </w:p>
    <w:p w14:paraId="41219E45" w14:textId="77777777" w:rsidR="008B01BE" w:rsidRDefault="00E64418">
      <w:pPr>
        <w:outlineLvl w:val="0"/>
        <w:rPr>
          <w:rFonts w:ascii="Times New Roman" w:hAnsi="Times New Roman" w:cs="Times New Roman"/>
          <w:b/>
          <w:bCs/>
          <w:sz w:val="32"/>
          <w:szCs w:val="32"/>
        </w:rPr>
      </w:pPr>
      <w:r>
        <w:rPr>
          <w:rFonts w:ascii="Times New Roman" w:hAnsi="Times New Roman" w:cs="Times New Roman"/>
          <w:b/>
          <w:bCs/>
          <w:sz w:val="32"/>
          <w:szCs w:val="32"/>
        </w:rPr>
        <w:lastRenderedPageBreak/>
        <w:t>1.0 Introduction</w:t>
      </w:r>
      <w:bookmarkEnd w:id="1"/>
    </w:p>
    <w:p w14:paraId="3B4E2DE0" w14:textId="667AF5B2" w:rsidR="008B01BE" w:rsidRDefault="00E64418">
      <w:pPr>
        <w:rPr>
          <w:rFonts w:ascii="Times New Roman" w:hAnsi="Times New Roman"/>
          <w:sz w:val="24"/>
          <w:szCs w:val="24"/>
        </w:rPr>
      </w:pPr>
      <w:r w:rsidRPr="005975E3">
        <w:rPr>
          <w:rFonts w:ascii="Times New Roman" w:hAnsi="Times New Roman" w:cs="Times New Roman"/>
          <w:sz w:val="24"/>
          <w:szCs w:val="24"/>
        </w:rPr>
        <w:t xml:space="preserve">A successful country depends upon several factors and challenges faced by the labor markets despite the fact that whether the nation is developed or developing. Inadequate employment, under-employment, mismatch of skills, poverty and gender discrimination are some of the challenges faced across the labor market of a country. </w:t>
      </w:r>
      <w:r w:rsidRPr="005975E3">
        <w:rPr>
          <w:rFonts w:ascii="Times New Roman" w:hAnsi="Times New Roman"/>
          <w:sz w:val="24"/>
          <w:szCs w:val="24"/>
        </w:rPr>
        <w:t xml:space="preserve">Therefore, the first part of the report will cover the current status of the labor market in United Kingdom (UK) along with suitable industrial examples. Meanwhile, the next part of the report will </w:t>
      </w:r>
      <w:r w:rsidR="002D25AF" w:rsidRPr="005975E3">
        <w:rPr>
          <w:rFonts w:ascii="Times New Roman" w:hAnsi="Times New Roman"/>
          <w:sz w:val="24"/>
          <w:szCs w:val="24"/>
        </w:rPr>
        <w:t>consist</w:t>
      </w:r>
      <w:r w:rsidRPr="005975E3">
        <w:rPr>
          <w:rFonts w:ascii="Times New Roman" w:hAnsi="Times New Roman"/>
          <w:sz w:val="24"/>
          <w:szCs w:val="24"/>
        </w:rPr>
        <w:t xml:space="preserve"> of the emerging changes in Human Resourcing Strategies in the post Covid and post Brexit external environment with appropriate evidences from industries. </w:t>
      </w:r>
    </w:p>
    <w:p w14:paraId="1F89564C" w14:textId="77777777" w:rsidR="00D65953" w:rsidRDefault="00D65953" w:rsidP="00D65953">
      <w:pPr>
        <w:spacing w:after="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1.1 </w:t>
      </w:r>
      <w:r w:rsidRPr="000C4EF3">
        <w:rPr>
          <w:rFonts w:ascii="Times New Roman" w:eastAsia="Times New Roman" w:hAnsi="Times New Roman" w:cs="Times New Roman"/>
          <w:b/>
          <w:bCs/>
          <w:color w:val="000000" w:themeColor="text1"/>
          <w:sz w:val="28"/>
          <w:szCs w:val="28"/>
        </w:rPr>
        <w:t xml:space="preserve">Objectives </w:t>
      </w:r>
    </w:p>
    <w:p w14:paraId="72C05ED3" w14:textId="77777777" w:rsidR="00D65953" w:rsidRPr="00DC337B" w:rsidRDefault="00D65953" w:rsidP="00D65953">
      <w:pPr>
        <w:pStyle w:val="ListParagraph"/>
        <w:numPr>
          <w:ilvl w:val="0"/>
          <w:numId w:val="11"/>
        </w:numPr>
        <w:spacing w:after="0" w:line="360" w:lineRule="auto"/>
        <w:ind w:left="1680" w:hanging="480"/>
        <w:jc w:val="both"/>
        <w:rPr>
          <w:rFonts w:ascii="Times New Roman" w:eastAsia="Times New Roman" w:hAnsi="Times New Roman" w:cs="Times New Roman"/>
          <w:color w:val="000000" w:themeColor="text1"/>
          <w:sz w:val="24"/>
          <w:szCs w:val="24"/>
        </w:rPr>
      </w:pPr>
      <w:r w:rsidRPr="00DC337B">
        <w:rPr>
          <w:rFonts w:ascii="Times New Roman" w:eastAsia="Times New Roman" w:hAnsi="Times New Roman" w:cs="Times New Roman"/>
          <w:color w:val="000000" w:themeColor="text1"/>
          <w:sz w:val="24"/>
          <w:szCs w:val="24"/>
        </w:rPr>
        <w:t xml:space="preserve">To analyse the current </w:t>
      </w:r>
      <w:r>
        <w:rPr>
          <w:rFonts w:ascii="Times New Roman" w:eastAsia="Times New Roman" w:hAnsi="Times New Roman" w:cs="Times New Roman"/>
          <w:color w:val="000000" w:themeColor="text1"/>
          <w:sz w:val="24"/>
          <w:szCs w:val="24"/>
        </w:rPr>
        <w:t>state</w:t>
      </w:r>
      <w:r w:rsidRPr="00DC337B">
        <w:rPr>
          <w:rFonts w:ascii="Times New Roman" w:eastAsia="Times New Roman" w:hAnsi="Times New Roman" w:cs="Times New Roman"/>
          <w:color w:val="000000" w:themeColor="text1"/>
          <w:sz w:val="24"/>
          <w:szCs w:val="24"/>
        </w:rPr>
        <w:t xml:space="preserve"> of the </w:t>
      </w:r>
      <w:r>
        <w:rPr>
          <w:rFonts w:ascii="Times New Roman" w:eastAsia="Times New Roman" w:hAnsi="Times New Roman" w:cs="Times New Roman"/>
          <w:color w:val="000000" w:themeColor="text1"/>
          <w:sz w:val="24"/>
          <w:szCs w:val="24"/>
        </w:rPr>
        <w:t>labor</w:t>
      </w:r>
      <w:r w:rsidRPr="00DC337B">
        <w:rPr>
          <w:rFonts w:ascii="Times New Roman" w:eastAsia="Times New Roman" w:hAnsi="Times New Roman" w:cs="Times New Roman"/>
          <w:color w:val="000000" w:themeColor="text1"/>
          <w:sz w:val="24"/>
          <w:szCs w:val="24"/>
        </w:rPr>
        <w:t xml:space="preserve"> market in the </w:t>
      </w:r>
      <w:r>
        <w:rPr>
          <w:rFonts w:ascii="Times New Roman" w:eastAsia="Times New Roman" w:hAnsi="Times New Roman" w:cs="Times New Roman"/>
          <w:color w:val="000000" w:themeColor="text1"/>
          <w:sz w:val="24"/>
          <w:szCs w:val="24"/>
        </w:rPr>
        <w:t>UK</w:t>
      </w:r>
    </w:p>
    <w:p w14:paraId="5902ADDA" w14:textId="2C4ACF64" w:rsidR="00D65953" w:rsidRDefault="00D65953" w:rsidP="00D65953">
      <w:pPr>
        <w:pStyle w:val="ListParagraph"/>
        <w:numPr>
          <w:ilvl w:val="0"/>
          <w:numId w:val="11"/>
        </w:numPr>
        <w:spacing w:after="0" w:line="360" w:lineRule="auto"/>
        <w:ind w:left="1680" w:hanging="480"/>
        <w:jc w:val="both"/>
        <w:rPr>
          <w:rFonts w:ascii="Times New Roman" w:eastAsia="Times New Roman" w:hAnsi="Times New Roman" w:cs="Times New Roman"/>
          <w:color w:val="000000" w:themeColor="text1"/>
          <w:sz w:val="24"/>
          <w:szCs w:val="24"/>
        </w:rPr>
      </w:pPr>
      <w:r w:rsidRPr="00DC337B">
        <w:rPr>
          <w:rFonts w:ascii="Times New Roman" w:eastAsia="Times New Roman" w:hAnsi="Times New Roman" w:cs="Times New Roman"/>
          <w:color w:val="000000" w:themeColor="text1"/>
          <w:sz w:val="24"/>
          <w:szCs w:val="24"/>
        </w:rPr>
        <w:t>To know about the emerging changes in human res</w:t>
      </w:r>
      <w:r>
        <w:rPr>
          <w:rFonts w:ascii="Times New Roman" w:eastAsia="Times New Roman" w:hAnsi="Times New Roman" w:cs="Times New Roman"/>
          <w:color w:val="000000" w:themeColor="text1"/>
          <w:sz w:val="24"/>
          <w:szCs w:val="24"/>
        </w:rPr>
        <w:t>ourcing strategies in the post C</w:t>
      </w:r>
      <w:r w:rsidRPr="00DC337B">
        <w:rPr>
          <w:rFonts w:ascii="Times New Roman" w:eastAsia="Times New Roman" w:hAnsi="Times New Roman" w:cs="Times New Roman"/>
          <w:color w:val="000000" w:themeColor="text1"/>
          <w:sz w:val="24"/>
          <w:szCs w:val="24"/>
        </w:rPr>
        <w:t>ovid,</w:t>
      </w:r>
      <w:r>
        <w:rPr>
          <w:rFonts w:ascii="Times New Roman" w:eastAsia="Times New Roman" w:hAnsi="Times New Roman" w:cs="Times New Roman"/>
          <w:color w:val="000000" w:themeColor="text1"/>
          <w:sz w:val="24"/>
          <w:szCs w:val="24"/>
        </w:rPr>
        <w:t xml:space="preserve"> post-Brexit</w:t>
      </w:r>
      <w:r w:rsidRPr="00DC337B">
        <w:rPr>
          <w:rFonts w:ascii="Times New Roman" w:eastAsia="Times New Roman" w:hAnsi="Times New Roman" w:cs="Times New Roman"/>
          <w:color w:val="000000" w:themeColor="text1"/>
          <w:sz w:val="24"/>
          <w:szCs w:val="24"/>
        </w:rPr>
        <w:t xml:space="preserve"> and external environment.  </w:t>
      </w:r>
    </w:p>
    <w:p w14:paraId="60353209" w14:textId="77777777" w:rsidR="00D65953" w:rsidRDefault="00D65953" w:rsidP="00D65953">
      <w:pPr>
        <w:spacing w:after="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1.2 Purpose and Importance of the Study</w:t>
      </w:r>
    </w:p>
    <w:p w14:paraId="049664C1" w14:textId="14316D33" w:rsidR="00D65953" w:rsidRPr="00D65953" w:rsidRDefault="00D65953" w:rsidP="00D65953">
      <w:pPr>
        <w:spacing w:after="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color w:val="000000" w:themeColor="text1"/>
          <w:sz w:val="24"/>
          <w:szCs w:val="24"/>
          <w:lang w:val="en-GB" w:eastAsia="en-US"/>
        </w:rPr>
        <w:t xml:space="preserve">                  </w:t>
      </w:r>
      <w:r w:rsidRPr="00D65953">
        <w:rPr>
          <w:rFonts w:ascii="Times New Roman" w:eastAsia="Times New Roman" w:hAnsi="Times New Roman" w:cs="Times New Roman"/>
          <w:color w:val="000000" w:themeColor="text1"/>
          <w:sz w:val="24"/>
          <w:szCs w:val="24"/>
          <w:lang w:val="en-GB" w:eastAsia="en-US"/>
        </w:rPr>
        <w:t>• To learn more about the UK work market today.</w:t>
      </w:r>
    </w:p>
    <w:p w14:paraId="18A3E01C" w14:textId="4736F7AC" w:rsidR="00D65953" w:rsidRPr="00D65953" w:rsidRDefault="00D65953" w:rsidP="00D65953">
      <w:pPr>
        <w:rPr>
          <w:rFonts w:ascii="Times New Roman" w:eastAsia="Times New Roman" w:hAnsi="Times New Roman" w:cs="Times New Roman"/>
          <w:color w:val="000000" w:themeColor="text1"/>
          <w:sz w:val="24"/>
          <w:szCs w:val="24"/>
          <w:lang w:val="en-GB" w:eastAsia="en-US"/>
        </w:rPr>
      </w:pPr>
      <w:r>
        <w:rPr>
          <w:rFonts w:ascii="Times New Roman" w:eastAsia="Times New Roman" w:hAnsi="Times New Roman" w:cs="Times New Roman"/>
          <w:color w:val="000000" w:themeColor="text1"/>
          <w:sz w:val="24"/>
          <w:szCs w:val="24"/>
          <w:lang w:val="en-GB" w:eastAsia="en-US"/>
        </w:rPr>
        <w:t xml:space="preserve">                  </w:t>
      </w:r>
      <w:r w:rsidRPr="00D65953">
        <w:rPr>
          <w:rFonts w:ascii="Times New Roman" w:eastAsia="Times New Roman" w:hAnsi="Times New Roman" w:cs="Times New Roman"/>
          <w:color w:val="000000" w:themeColor="text1"/>
          <w:sz w:val="24"/>
          <w:szCs w:val="24"/>
          <w:lang w:val="en-GB" w:eastAsia="en-US"/>
        </w:rPr>
        <w:t>• To be aware of post-COVID human resource initiatives.</w:t>
      </w:r>
    </w:p>
    <w:p w14:paraId="61D95B26" w14:textId="7AB926D3" w:rsidR="00D65953" w:rsidRPr="00D65953" w:rsidRDefault="007115C9" w:rsidP="00D65953">
      <w:pPr>
        <w:rPr>
          <w:rFonts w:ascii="Times New Roman" w:eastAsia="Times New Roman" w:hAnsi="Times New Roman" w:cs="Times New Roman"/>
          <w:color w:val="000000" w:themeColor="text1"/>
          <w:sz w:val="24"/>
          <w:szCs w:val="24"/>
          <w:lang w:val="en-GB" w:eastAsia="en-US"/>
        </w:rPr>
      </w:pPr>
      <w:r>
        <w:rPr>
          <w:rFonts w:ascii="Times New Roman" w:eastAsia="Times New Roman" w:hAnsi="Times New Roman" w:cs="Times New Roman"/>
          <w:color w:val="000000" w:themeColor="text1"/>
          <w:sz w:val="24"/>
          <w:szCs w:val="24"/>
          <w:lang w:val="en-GB" w:eastAsia="en-US"/>
        </w:rPr>
        <w:t xml:space="preserve">                  </w:t>
      </w:r>
      <w:r w:rsidR="00D65953" w:rsidRPr="00D65953">
        <w:rPr>
          <w:rFonts w:ascii="Times New Roman" w:eastAsia="Times New Roman" w:hAnsi="Times New Roman" w:cs="Times New Roman"/>
          <w:color w:val="000000" w:themeColor="text1"/>
          <w:sz w:val="24"/>
          <w:szCs w:val="24"/>
          <w:lang w:val="en-GB" w:eastAsia="en-US"/>
        </w:rPr>
        <w:t>• To be aware of the changes occurring in the wake of Brexit.</w:t>
      </w:r>
    </w:p>
    <w:p w14:paraId="4142C1E4" w14:textId="1724822E" w:rsidR="008B01BE" w:rsidRDefault="007115C9" w:rsidP="00D65953">
      <w:pPr>
        <w:rPr>
          <w:rFonts w:ascii="Times New Roman" w:eastAsia="Times New Roman" w:hAnsi="Times New Roman" w:cs="Times New Roman"/>
          <w:color w:val="000000" w:themeColor="text1"/>
          <w:sz w:val="24"/>
          <w:szCs w:val="24"/>
          <w:lang w:val="en-GB" w:eastAsia="en-US"/>
        </w:rPr>
      </w:pPr>
      <w:r>
        <w:rPr>
          <w:rFonts w:ascii="Times New Roman" w:eastAsia="Times New Roman" w:hAnsi="Times New Roman" w:cs="Times New Roman"/>
          <w:color w:val="000000" w:themeColor="text1"/>
          <w:sz w:val="24"/>
          <w:szCs w:val="24"/>
          <w:lang w:val="en-GB" w:eastAsia="en-US"/>
        </w:rPr>
        <w:t xml:space="preserve">                 </w:t>
      </w:r>
      <w:r w:rsidR="00D65953">
        <w:rPr>
          <w:rFonts w:ascii="Times New Roman" w:eastAsia="Times New Roman" w:hAnsi="Times New Roman" w:cs="Times New Roman"/>
          <w:color w:val="000000" w:themeColor="text1"/>
          <w:sz w:val="24"/>
          <w:szCs w:val="24"/>
          <w:lang w:val="en-GB" w:eastAsia="en-US"/>
        </w:rPr>
        <w:t xml:space="preserve"> •A</w:t>
      </w:r>
      <w:r w:rsidR="00D65953" w:rsidRPr="00D65953">
        <w:rPr>
          <w:rFonts w:ascii="Times New Roman" w:eastAsia="Times New Roman" w:hAnsi="Times New Roman" w:cs="Times New Roman"/>
          <w:color w:val="000000" w:themeColor="text1"/>
          <w:sz w:val="24"/>
          <w:szCs w:val="24"/>
          <w:lang w:val="en-GB" w:eastAsia="en-US"/>
        </w:rPr>
        <w:t xml:space="preserve"> thorough awareness of the post-Brexit foreign environment</w:t>
      </w:r>
    </w:p>
    <w:p w14:paraId="35165CB8" w14:textId="3BE9DC92" w:rsidR="00D65953" w:rsidRPr="007832FD" w:rsidRDefault="00D65953" w:rsidP="00D65953">
      <w:pPr>
        <w:spacing w:after="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1.3 </w:t>
      </w:r>
      <w:r w:rsidRPr="007832FD">
        <w:rPr>
          <w:rFonts w:ascii="Times New Roman" w:eastAsia="Times New Roman" w:hAnsi="Times New Roman" w:cs="Times New Roman"/>
          <w:b/>
          <w:bCs/>
          <w:color w:val="000000" w:themeColor="text1"/>
          <w:sz w:val="28"/>
          <w:szCs w:val="28"/>
        </w:rPr>
        <w:t>Research</w:t>
      </w:r>
      <w:r w:rsidR="00F015C0">
        <w:rPr>
          <w:rFonts w:ascii="Times New Roman" w:eastAsia="Times New Roman" w:hAnsi="Times New Roman" w:cs="Times New Roman"/>
          <w:b/>
          <w:bCs/>
          <w:color w:val="000000" w:themeColor="text1"/>
          <w:sz w:val="28"/>
          <w:szCs w:val="28"/>
        </w:rPr>
        <w:t xml:space="preserve"> and</w:t>
      </w:r>
      <w:r w:rsidRPr="007832FD">
        <w:rPr>
          <w:rFonts w:ascii="Times New Roman" w:eastAsia="Times New Roman" w:hAnsi="Times New Roman" w:cs="Times New Roman"/>
          <w:b/>
          <w:bCs/>
          <w:color w:val="000000" w:themeColor="text1"/>
          <w:sz w:val="28"/>
          <w:szCs w:val="28"/>
        </w:rPr>
        <w:t xml:space="preserve"> Methodology.</w:t>
      </w:r>
    </w:p>
    <w:p w14:paraId="6FF20DBE" w14:textId="42A19B9D" w:rsidR="00D65953" w:rsidRDefault="00F015C0" w:rsidP="00D65953">
      <w:pPr>
        <w:spacing w:after="0"/>
        <w:rPr>
          <w:rFonts w:ascii="Times New Roman" w:eastAsia="Times New Roman" w:hAnsi="Times New Roman" w:cs="Times New Roman"/>
          <w:color w:val="000000" w:themeColor="text1"/>
          <w:sz w:val="24"/>
          <w:szCs w:val="24"/>
        </w:rPr>
      </w:pPr>
      <w:r w:rsidRPr="00F015C0">
        <w:rPr>
          <w:rFonts w:ascii="Times New Roman" w:eastAsia="Times New Roman" w:hAnsi="Times New Roman" w:cs="Times New Roman"/>
          <w:color w:val="000000" w:themeColor="text1"/>
          <w:sz w:val="24"/>
          <w:szCs w:val="24"/>
        </w:rPr>
        <w:t>The precise process or approach used to find, choose, process, and analyze the topic is known as research methodology. The methodology portion of a research paper gives the reader the chance to assess the general validity and reliability of the study.</w:t>
      </w:r>
    </w:p>
    <w:p w14:paraId="34062FE7" w14:textId="77777777" w:rsidR="00D65953" w:rsidRPr="007832FD" w:rsidRDefault="00D65953" w:rsidP="00D65953">
      <w:pPr>
        <w:spacing w:after="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1.4 </w:t>
      </w:r>
      <w:r w:rsidRPr="007832FD">
        <w:rPr>
          <w:rFonts w:ascii="Times New Roman" w:eastAsia="Times New Roman" w:hAnsi="Times New Roman" w:cs="Times New Roman"/>
          <w:b/>
          <w:bCs/>
          <w:color w:val="000000" w:themeColor="text1"/>
          <w:sz w:val="28"/>
          <w:szCs w:val="28"/>
        </w:rPr>
        <w:t>Nature of the Study.</w:t>
      </w:r>
    </w:p>
    <w:p w14:paraId="7DB96309" w14:textId="77777777" w:rsidR="00CB647C" w:rsidRDefault="00CB647C" w:rsidP="00D65953">
      <w:pPr>
        <w:spacing w:after="0"/>
        <w:rPr>
          <w:rFonts w:ascii="Times New Roman" w:eastAsia="Times New Roman" w:hAnsi="Times New Roman" w:cs="Times New Roman"/>
          <w:color w:val="000000" w:themeColor="text1"/>
          <w:sz w:val="24"/>
          <w:szCs w:val="24"/>
        </w:rPr>
      </w:pPr>
      <w:r w:rsidRPr="00CB647C">
        <w:rPr>
          <w:rFonts w:ascii="Times New Roman" w:eastAsia="Times New Roman" w:hAnsi="Times New Roman" w:cs="Times New Roman"/>
          <w:color w:val="000000" w:themeColor="text1"/>
          <w:sz w:val="24"/>
          <w:szCs w:val="24"/>
        </w:rPr>
        <w:t>The sort of study is conducted in a variety of contexts, including research papers, reference, etc.</w:t>
      </w:r>
    </w:p>
    <w:p w14:paraId="6919D098" w14:textId="4C194250" w:rsidR="00D65953" w:rsidRDefault="00D65953" w:rsidP="00D65953">
      <w:pPr>
        <w:spacing w:after="0"/>
        <w:rPr>
          <w:rFonts w:ascii="Times New Roman" w:eastAsia="Times New Roman" w:hAnsi="Times New Roman" w:cs="Times New Roman"/>
          <w:color w:val="000000" w:themeColor="text1"/>
          <w:sz w:val="24"/>
          <w:szCs w:val="24"/>
        </w:rPr>
      </w:pPr>
      <w:r>
        <w:rPr>
          <w:rFonts w:ascii="Times New Roman" w:eastAsia="Times New Roman" w:hAnsi="Times New Roman" w:cs="Times New Roman"/>
          <w:b/>
          <w:bCs/>
          <w:color w:val="000000" w:themeColor="text1"/>
          <w:sz w:val="28"/>
          <w:szCs w:val="28"/>
        </w:rPr>
        <w:t xml:space="preserve">1.5 </w:t>
      </w:r>
      <w:r w:rsidRPr="007832FD">
        <w:rPr>
          <w:rFonts w:ascii="Times New Roman" w:eastAsia="Times New Roman" w:hAnsi="Times New Roman" w:cs="Times New Roman"/>
          <w:b/>
          <w:bCs/>
          <w:color w:val="000000" w:themeColor="text1"/>
          <w:sz w:val="28"/>
          <w:szCs w:val="28"/>
        </w:rPr>
        <w:t>Area of the Study</w:t>
      </w:r>
      <w:r w:rsidRPr="007832FD">
        <w:rPr>
          <w:rFonts w:ascii="Times New Roman" w:eastAsia="Times New Roman" w:hAnsi="Times New Roman" w:cs="Times New Roman"/>
          <w:color w:val="000000" w:themeColor="text1"/>
          <w:sz w:val="24"/>
          <w:szCs w:val="24"/>
        </w:rPr>
        <w:t>.</w:t>
      </w:r>
    </w:p>
    <w:p w14:paraId="1E64515B" w14:textId="198E588C" w:rsidR="00D65953" w:rsidRDefault="00D65953" w:rsidP="00D65953">
      <w:pPr>
        <w:spacing w:after="0"/>
        <w:rPr>
          <w:rFonts w:ascii="Times New Roman" w:eastAsia="Times New Roman" w:hAnsi="Times New Roman" w:cs="Times New Roman"/>
          <w:color w:val="000000" w:themeColor="text1"/>
          <w:sz w:val="24"/>
          <w:szCs w:val="24"/>
        </w:rPr>
      </w:pPr>
      <w:r w:rsidRPr="007832FD">
        <w:rPr>
          <w:rFonts w:ascii="Times New Roman" w:eastAsia="Times New Roman" w:hAnsi="Times New Roman" w:cs="Times New Roman"/>
          <w:color w:val="000000" w:themeColor="text1"/>
          <w:sz w:val="24"/>
          <w:szCs w:val="24"/>
        </w:rPr>
        <w:t xml:space="preserve">The area of study was taken place </w:t>
      </w:r>
      <w:r w:rsidR="00F015C0">
        <w:rPr>
          <w:rFonts w:ascii="Times New Roman" w:eastAsia="Times New Roman" w:hAnsi="Times New Roman" w:cs="Times New Roman"/>
          <w:color w:val="000000" w:themeColor="text1"/>
          <w:sz w:val="24"/>
          <w:szCs w:val="24"/>
        </w:rPr>
        <w:t>at the online library of the U</w:t>
      </w:r>
      <w:r>
        <w:rPr>
          <w:rFonts w:ascii="Times New Roman" w:eastAsia="Times New Roman" w:hAnsi="Times New Roman" w:cs="Times New Roman"/>
          <w:color w:val="000000" w:themeColor="text1"/>
          <w:sz w:val="24"/>
          <w:szCs w:val="24"/>
        </w:rPr>
        <w:t xml:space="preserve">niversity of </w:t>
      </w:r>
      <w:r w:rsidR="00F015C0">
        <w:rPr>
          <w:rFonts w:ascii="Times New Roman" w:eastAsia="Times New Roman" w:hAnsi="Times New Roman" w:cs="Times New Roman"/>
          <w:color w:val="000000" w:themeColor="text1"/>
          <w:sz w:val="24"/>
          <w:szCs w:val="24"/>
        </w:rPr>
        <w:t>Wales Trinity Saint</w:t>
      </w:r>
      <w:r>
        <w:rPr>
          <w:rFonts w:ascii="Times New Roman" w:eastAsia="Times New Roman" w:hAnsi="Times New Roman" w:cs="Times New Roman"/>
          <w:color w:val="000000" w:themeColor="text1"/>
          <w:sz w:val="24"/>
          <w:szCs w:val="24"/>
        </w:rPr>
        <w:t xml:space="preserve"> David </w:t>
      </w:r>
    </w:p>
    <w:p w14:paraId="3BE6E3D3" w14:textId="77777777" w:rsidR="00D65953" w:rsidRDefault="00D65953" w:rsidP="00D65953">
      <w:pPr>
        <w:spacing w:after="0"/>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b/>
          <w:bCs/>
          <w:color w:val="000000" w:themeColor="text1"/>
          <w:sz w:val="28"/>
          <w:szCs w:val="28"/>
        </w:rPr>
        <w:t xml:space="preserve">1.6 </w:t>
      </w:r>
      <w:r w:rsidRPr="00D37C94">
        <w:rPr>
          <w:rFonts w:ascii="Times New Roman" w:eastAsia="Times New Roman" w:hAnsi="Times New Roman" w:cs="Times New Roman"/>
          <w:b/>
          <w:bCs/>
          <w:color w:val="000000" w:themeColor="text1"/>
          <w:sz w:val="28"/>
          <w:szCs w:val="28"/>
        </w:rPr>
        <w:t xml:space="preserve">Period of study </w:t>
      </w:r>
    </w:p>
    <w:p w14:paraId="7C317146" w14:textId="77777777" w:rsidR="00CB647C" w:rsidRDefault="00CB647C" w:rsidP="00CB647C">
      <w:pPr>
        <w:spacing w:after="0"/>
        <w:rPr>
          <w:rFonts w:ascii="Times New Roman" w:eastAsia="Times New Roman" w:hAnsi="Times New Roman" w:cs="Times New Roman"/>
          <w:b/>
          <w:bCs/>
          <w:color w:val="000000" w:themeColor="text1"/>
          <w:sz w:val="28"/>
          <w:szCs w:val="28"/>
        </w:rPr>
      </w:pPr>
      <w:r w:rsidRPr="00D37C94">
        <w:rPr>
          <w:rFonts w:ascii="Times New Roman" w:eastAsia="Times New Roman" w:hAnsi="Times New Roman" w:cs="Times New Roman"/>
          <w:color w:val="000000" w:themeColor="text1"/>
          <w:sz w:val="24"/>
          <w:szCs w:val="24"/>
        </w:rPr>
        <w:t>The period of study was 10 weeks</w:t>
      </w:r>
      <w:bookmarkStart w:id="2" w:name="_Toc122246293"/>
    </w:p>
    <w:p w14:paraId="391527AA" w14:textId="0FD3720F" w:rsidR="008B01BE" w:rsidRPr="00CB647C" w:rsidRDefault="00E64418" w:rsidP="00CB647C">
      <w:pPr>
        <w:spacing w:after="0"/>
        <w:rPr>
          <w:rFonts w:ascii="Times New Roman" w:eastAsia="Times New Roman" w:hAnsi="Times New Roman" w:cs="Times New Roman"/>
          <w:b/>
          <w:bCs/>
          <w:color w:val="000000" w:themeColor="text1"/>
          <w:sz w:val="28"/>
          <w:szCs w:val="28"/>
        </w:rPr>
      </w:pPr>
      <w:r>
        <w:rPr>
          <w:rFonts w:ascii="Times New Roman" w:hAnsi="Times New Roman" w:cs="Times New Roman"/>
          <w:b/>
          <w:bCs/>
          <w:sz w:val="32"/>
          <w:szCs w:val="32"/>
        </w:rPr>
        <w:lastRenderedPageBreak/>
        <w:t>2.0 The current state of the labor market in UK</w:t>
      </w:r>
      <w:bookmarkEnd w:id="2"/>
    </w:p>
    <w:p w14:paraId="7B9F6472" w14:textId="77777777" w:rsidR="008B01BE" w:rsidRDefault="00E64418">
      <w:pPr>
        <w:outlineLvl w:val="1"/>
        <w:rPr>
          <w:rFonts w:ascii="Times New Roman" w:hAnsi="Times New Roman" w:cs="Times New Roman"/>
          <w:b/>
          <w:bCs/>
          <w:sz w:val="28"/>
          <w:szCs w:val="28"/>
        </w:rPr>
      </w:pPr>
      <w:bookmarkStart w:id="3" w:name="_Toc122246294"/>
      <w:r>
        <w:rPr>
          <w:rFonts w:ascii="Times New Roman" w:hAnsi="Times New Roman" w:cs="Times New Roman"/>
          <w:b/>
          <w:bCs/>
          <w:sz w:val="28"/>
          <w:szCs w:val="28"/>
        </w:rPr>
        <w:t>2.1 Labor force framework</w:t>
      </w:r>
      <w:bookmarkEnd w:id="3"/>
    </w:p>
    <w:p w14:paraId="2CDD5264" w14:textId="4A574FB3"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It is the framework which categories a country’s population into different groups based upon the employment status of the individuals (</w:t>
      </w:r>
      <w:r w:rsidR="00F015C0" w:rsidRPr="005975E3">
        <w:rPr>
          <w:rFonts w:ascii="Times New Roman" w:hAnsi="Times New Roman" w:cs="Times New Roman"/>
          <w:sz w:val="24"/>
          <w:szCs w:val="24"/>
        </w:rPr>
        <w:t>Pitchman</w:t>
      </w:r>
      <w:r w:rsidRPr="005975E3">
        <w:rPr>
          <w:rFonts w:ascii="Times New Roman" w:hAnsi="Times New Roman" w:cs="Times New Roman"/>
          <w:sz w:val="24"/>
          <w:szCs w:val="24"/>
        </w:rPr>
        <w:t xml:space="preserve"> </w:t>
      </w:r>
      <w:r w:rsidRPr="005975E3">
        <w:rPr>
          <w:rFonts w:ascii="Times New Roman" w:hAnsi="Times New Roman" w:cs="Times New Roman"/>
          <w:i/>
          <w:iCs/>
          <w:sz w:val="24"/>
          <w:szCs w:val="24"/>
        </w:rPr>
        <w:t xml:space="preserve">et al., </w:t>
      </w:r>
      <w:r w:rsidRPr="005975E3">
        <w:rPr>
          <w:rFonts w:ascii="Times New Roman" w:hAnsi="Times New Roman" w:cs="Times New Roman"/>
          <w:sz w:val="24"/>
          <w:szCs w:val="24"/>
        </w:rPr>
        <w:t xml:space="preserve">2016). </w:t>
      </w:r>
    </w:p>
    <w:p w14:paraId="41AE8C3D" w14:textId="77777777" w:rsidR="008B01BE" w:rsidRDefault="00E64418">
      <w:r>
        <w:rPr>
          <w:noProof/>
          <w:lang w:eastAsia="en-US"/>
        </w:rPr>
        <w:drawing>
          <wp:inline distT="0" distB="0" distL="114300" distR="114300" wp14:anchorId="279B0260" wp14:editId="4D410187">
            <wp:extent cx="5286375" cy="3555195"/>
            <wp:effectExtent l="19050" t="19050" r="9525" b="266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9"/>
                    <a:srcRect l="1535"/>
                    <a:stretch>
                      <a:fillRect/>
                    </a:stretch>
                  </pic:blipFill>
                  <pic:spPr>
                    <a:xfrm>
                      <a:off x="0" y="0"/>
                      <a:ext cx="5302430" cy="3565992"/>
                    </a:xfrm>
                    <a:prstGeom prst="rect">
                      <a:avLst/>
                    </a:prstGeom>
                    <a:noFill/>
                    <a:ln>
                      <a:solidFill>
                        <a:schemeClr val="tx1"/>
                      </a:solidFill>
                    </a:ln>
                  </pic:spPr>
                </pic:pic>
              </a:graphicData>
            </a:graphic>
          </wp:inline>
        </w:drawing>
      </w:r>
    </w:p>
    <w:p w14:paraId="6046C5B1"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1</w:t>
      </w:r>
      <w:r w:rsidRPr="007115C9">
        <w:rPr>
          <w:sz w:val="24"/>
          <w:szCs w:val="24"/>
        </w:rPr>
        <w:fldChar w:fldCharType="end"/>
      </w:r>
      <w:r w:rsidRPr="007115C9">
        <w:rPr>
          <w:sz w:val="24"/>
          <w:szCs w:val="24"/>
        </w:rPr>
        <w:t>: Labor force framework (Source: Pietschmann</w:t>
      </w:r>
      <w:r w:rsidRPr="007115C9">
        <w:rPr>
          <w:i/>
          <w:iCs/>
          <w:sz w:val="24"/>
          <w:szCs w:val="24"/>
        </w:rPr>
        <w:t xml:space="preserve"> et al., </w:t>
      </w:r>
      <w:r w:rsidRPr="007115C9">
        <w:rPr>
          <w:sz w:val="24"/>
          <w:szCs w:val="24"/>
        </w:rPr>
        <w:t>2016).</w:t>
      </w:r>
    </w:p>
    <w:p w14:paraId="161B06B9" w14:textId="77777777" w:rsidR="008B01BE" w:rsidRPr="005975E3" w:rsidRDefault="008B01BE">
      <w:pPr>
        <w:rPr>
          <w:rFonts w:ascii="Times New Roman" w:hAnsi="Times New Roman" w:cs="Times New Roman"/>
          <w:sz w:val="24"/>
          <w:szCs w:val="24"/>
        </w:rPr>
      </w:pPr>
    </w:p>
    <w:p w14:paraId="25DD9E82" w14:textId="77777777" w:rsidR="008B01BE" w:rsidRPr="005975E3" w:rsidRDefault="00E64418">
      <w:pPr>
        <w:pStyle w:val="Caption"/>
        <w:rPr>
          <w:rFonts w:ascii="Times New Roman" w:hAnsi="Times New Roman" w:cs="Times New Roman"/>
          <w:sz w:val="24"/>
          <w:szCs w:val="24"/>
        </w:rPr>
      </w:pPr>
      <w:r w:rsidRPr="005975E3">
        <w:rPr>
          <w:rFonts w:ascii="Times New Roman" w:hAnsi="Times New Roman" w:cs="Times New Roman"/>
          <w:sz w:val="24"/>
          <w:szCs w:val="24"/>
        </w:rPr>
        <w:t xml:space="preserve">Table </w:t>
      </w:r>
      <w:r w:rsidRPr="005975E3">
        <w:rPr>
          <w:rFonts w:ascii="Times New Roman" w:hAnsi="Times New Roman" w:cs="Times New Roman"/>
          <w:sz w:val="24"/>
          <w:szCs w:val="24"/>
        </w:rPr>
        <w:fldChar w:fldCharType="begin"/>
      </w:r>
      <w:r w:rsidRPr="005975E3">
        <w:rPr>
          <w:rFonts w:ascii="Times New Roman" w:hAnsi="Times New Roman" w:cs="Times New Roman"/>
          <w:sz w:val="24"/>
          <w:szCs w:val="24"/>
        </w:rPr>
        <w:instrText xml:space="preserve"> SEQ Table \* ARABIC </w:instrText>
      </w:r>
      <w:r w:rsidRPr="005975E3">
        <w:rPr>
          <w:rFonts w:ascii="Times New Roman" w:hAnsi="Times New Roman" w:cs="Times New Roman"/>
          <w:sz w:val="24"/>
          <w:szCs w:val="24"/>
        </w:rPr>
        <w:fldChar w:fldCharType="separate"/>
      </w:r>
      <w:r w:rsidRPr="005975E3">
        <w:rPr>
          <w:rFonts w:ascii="Times New Roman" w:hAnsi="Times New Roman" w:cs="Times New Roman"/>
          <w:sz w:val="24"/>
          <w:szCs w:val="24"/>
        </w:rPr>
        <w:t>1</w:t>
      </w:r>
      <w:r w:rsidRPr="005975E3">
        <w:rPr>
          <w:rFonts w:ascii="Times New Roman" w:hAnsi="Times New Roman" w:cs="Times New Roman"/>
          <w:sz w:val="24"/>
          <w:szCs w:val="24"/>
        </w:rPr>
        <w:fldChar w:fldCharType="end"/>
      </w:r>
      <w:r w:rsidRPr="005975E3">
        <w:rPr>
          <w:rFonts w:ascii="Times New Roman" w:hAnsi="Times New Roman" w:cs="Times New Roman"/>
          <w:sz w:val="24"/>
          <w:szCs w:val="24"/>
        </w:rPr>
        <w:t xml:space="preserve">: Categories and descriptions of persons in the labor force framework (Source: Pietschmann </w:t>
      </w:r>
      <w:r w:rsidRPr="005975E3">
        <w:rPr>
          <w:rFonts w:ascii="Times New Roman" w:hAnsi="Times New Roman" w:cs="Times New Roman"/>
          <w:i/>
          <w:iCs/>
          <w:sz w:val="24"/>
          <w:szCs w:val="24"/>
        </w:rPr>
        <w:t>et al.,</w:t>
      </w:r>
      <w:r w:rsidRPr="005975E3">
        <w:rPr>
          <w:rFonts w:ascii="Times New Roman" w:hAnsi="Times New Roman" w:cs="Times New Roman"/>
          <w:sz w:val="24"/>
          <w:szCs w:val="24"/>
        </w:rPr>
        <w:t xml:space="preserve"> 2016).</w:t>
      </w:r>
    </w:p>
    <w:tbl>
      <w:tblPr>
        <w:tblStyle w:val="TableGrid"/>
        <w:tblW w:w="8804" w:type="dxa"/>
        <w:tblInd w:w="94" w:type="dxa"/>
        <w:tblLook w:val="04A0" w:firstRow="1" w:lastRow="0" w:firstColumn="1" w:lastColumn="0" w:noHBand="0" w:noVBand="1"/>
      </w:tblPr>
      <w:tblGrid>
        <w:gridCol w:w="2273"/>
        <w:gridCol w:w="6531"/>
      </w:tblGrid>
      <w:tr w:rsidR="008B01BE" w:rsidRPr="005975E3" w14:paraId="0ECAF35D" w14:textId="77777777">
        <w:tc>
          <w:tcPr>
            <w:tcW w:w="2273" w:type="dxa"/>
            <w:tcBorders>
              <w:top w:val="single" w:sz="8" w:space="0" w:color="9BBB59"/>
              <w:left w:val="single" w:sz="8" w:space="0" w:color="9BBB59"/>
              <w:bottom w:val="single" w:sz="18" w:space="0" w:color="FFFFFF"/>
              <w:right w:val="single" w:sz="8" w:space="0" w:color="9BBB59"/>
            </w:tcBorders>
            <w:shd w:val="clear" w:color="auto" w:fill="9BBB59"/>
          </w:tcPr>
          <w:p w14:paraId="421696A7" w14:textId="77777777" w:rsidR="008B01BE" w:rsidRPr="005975E3" w:rsidRDefault="00E64418">
            <w:pPr>
              <w:spacing w:line="240" w:lineRule="auto"/>
              <w:rPr>
                <w:rFonts w:ascii="Times New Roman" w:hAnsi="Times New Roman" w:cs="Times New Roman"/>
                <w:color w:val="FFFFFF"/>
                <w:sz w:val="24"/>
                <w:szCs w:val="24"/>
              </w:rPr>
            </w:pPr>
            <w:r w:rsidRPr="005975E3">
              <w:rPr>
                <w:rFonts w:ascii="Times New Roman" w:hAnsi="Times New Roman" w:cs="Times New Roman"/>
                <w:color w:val="FFFFFF"/>
                <w:sz w:val="24"/>
                <w:szCs w:val="24"/>
              </w:rPr>
              <w:t>Categories in labor force framework</w:t>
            </w:r>
          </w:p>
        </w:tc>
        <w:tc>
          <w:tcPr>
            <w:tcW w:w="6531" w:type="dxa"/>
            <w:tcBorders>
              <w:top w:val="single" w:sz="8" w:space="0" w:color="9BBB59"/>
              <w:left w:val="single" w:sz="8" w:space="0" w:color="9BBB59"/>
              <w:bottom w:val="single" w:sz="18" w:space="0" w:color="FFFFFF"/>
              <w:right w:val="single" w:sz="8" w:space="0" w:color="9BBB59"/>
            </w:tcBorders>
            <w:shd w:val="clear" w:color="auto" w:fill="9BBB59"/>
          </w:tcPr>
          <w:p w14:paraId="779E4BB2" w14:textId="77777777" w:rsidR="008B01BE" w:rsidRPr="005975E3" w:rsidRDefault="00E64418">
            <w:pPr>
              <w:spacing w:line="240" w:lineRule="auto"/>
              <w:rPr>
                <w:rFonts w:ascii="Times New Roman" w:hAnsi="Times New Roman" w:cs="Times New Roman"/>
                <w:color w:val="FFFFFF"/>
                <w:sz w:val="24"/>
                <w:szCs w:val="24"/>
              </w:rPr>
            </w:pPr>
            <w:r w:rsidRPr="005975E3">
              <w:rPr>
                <w:rFonts w:ascii="Times New Roman" w:hAnsi="Times New Roman" w:cs="Times New Roman"/>
                <w:color w:val="FFFFFF"/>
                <w:sz w:val="24"/>
                <w:szCs w:val="24"/>
              </w:rPr>
              <w:t>Description</w:t>
            </w:r>
          </w:p>
        </w:tc>
      </w:tr>
      <w:tr w:rsidR="008B01BE" w:rsidRPr="005975E3" w14:paraId="2DC5A20B" w14:textId="77777777">
        <w:tc>
          <w:tcPr>
            <w:tcW w:w="2273" w:type="dxa"/>
            <w:tcBorders>
              <w:top w:val="single" w:sz="18" w:space="0" w:color="FFFFFF"/>
              <w:left w:val="single" w:sz="8" w:space="0" w:color="9BBB59"/>
              <w:bottom w:val="single" w:sz="8" w:space="0" w:color="9BBB59"/>
              <w:right w:val="single" w:sz="8" w:space="0" w:color="9BBB59"/>
            </w:tcBorders>
            <w:shd w:val="clear" w:color="auto" w:fill="FFFFFF"/>
          </w:tcPr>
          <w:p w14:paraId="1AE6E877"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Working-age population</w:t>
            </w:r>
          </w:p>
        </w:tc>
        <w:tc>
          <w:tcPr>
            <w:tcW w:w="6531" w:type="dxa"/>
            <w:tcBorders>
              <w:top w:val="single" w:sz="18" w:space="0" w:color="FFFFFF"/>
              <w:left w:val="single" w:sz="8" w:space="0" w:color="9BBB59"/>
              <w:bottom w:val="single" w:sz="8" w:space="0" w:color="9BBB59"/>
              <w:right w:val="single" w:sz="8" w:space="0" w:color="9BBB59"/>
            </w:tcBorders>
            <w:shd w:val="clear" w:color="auto" w:fill="FFFFFF"/>
          </w:tcPr>
          <w:p w14:paraId="2770E11E"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Age limit for working depends on the rules and regulations of a particular country such as the schooling age, minimum age for employment and extent of child labor.</w:t>
            </w:r>
          </w:p>
          <w:p w14:paraId="3079051B"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 xml:space="preserve">Generally, people with 15 years and older are considered as working age-population. </w:t>
            </w:r>
          </w:p>
        </w:tc>
      </w:tr>
      <w:tr w:rsidR="008B01BE" w:rsidRPr="005975E3" w14:paraId="79935514" w14:textId="77777777">
        <w:tc>
          <w:tcPr>
            <w:tcW w:w="2273" w:type="dxa"/>
            <w:tcBorders>
              <w:top w:val="single" w:sz="8" w:space="0" w:color="9BBB59"/>
              <w:left w:val="single" w:sz="8" w:space="0" w:color="9BBB59"/>
              <w:bottom w:val="single" w:sz="8" w:space="0" w:color="9BBB59"/>
              <w:right w:val="single" w:sz="8" w:space="0" w:color="9BBB59"/>
            </w:tcBorders>
            <w:shd w:val="clear" w:color="auto" w:fill="FFFFFF"/>
          </w:tcPr>
          <w:p w14:paraId="11E6538B"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Labor force</w:t>
            </w:r>
          </w:p>
        </w:tc>
        <w:tc>
          <w:tcPr>
            <w:tcW w:w="6531" w:type="dxa"/>
            <w:tcBorders>
              <w:top w:val="single" w:sz="8" w:space="0" w:color="9BBB59"/>
              <w:left w:val="single" w:sz="8" w:space="0" w:color="9BBB59"/>
              <w:bottom w:val="single" w:sz="8" w:space="0" w:color="9BBB59"/>
              <w:right w:val="single" w:sz="8" w:space="0" w:color="9BBB59"/>
            </w:tcBorders>
            <w:shd w:val="clear" w:color="auto" w:fill="FFFFFF"/>
          </w:tcPr>
          <w:p w14:paraId="4C1FC347"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Active population who is able to work.</w:t>
            </w:r>
          </w:p>
        </w:tc>
      </w:tr>
      <w:tr w:rsidR="008B01BE" w:rsidRPr="005975E3" w14:paraId="3D7C53FB" w14:textId="77777777">
        <w:tc>
          <w:tcPr>
            <w:tcW w:w="2273" w:type="dxa"/>
            <w:tcBorders>
              <w:top w:val="single" w:sz="8" w:space="0" w:color="9BBB59"/>
              <w:left w:val="single" w:sz="8" w:space="0" w:color="9BBB59"/>
              <w:bottom w:val="single" w:sz="8" w:space="0" w:color="9BBB59"/>
              <w:right w:val="single" w:sz="8" w:space="0" w:color="9BBB59"/>
            </w:tcBorders>
            <w:shd w:val="clear" w:color="auto" w:fill="FFFFFF"/>
          </w:tcPr>
          <w:p w14:paraId="2433DBC0"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Employed force</w:t>
            </w:r>
          </w:p>
        </w:tc>
        <w:tc>
          <w:tcPr>
            <w:tcW w:w="6531" w:type="dxa"/>
            <w:tcBorders>
              <w:top w:val="single" w:sz="8" w:space="0" w:color="9BBB59"/>
              <w:left w:val="single" w:sz="8" w:space="0" w:color="9BBB59"/>
              <w:bottom w:val="single" w:sz="8" w:space="0" w:color="9BBB59"/>
              <w:right w:val="single" w:sz="8" w:space="0" w:color="9BBB59"/>
            </w:tcBorders>
            <w:shd w:val="clear" w:color="auto" w:fill="FFFFFF"/>
          </w:tcPr>
          <w:p w14:paraId="74821569"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 xml:space="preserve">Employed people are normally referred as people who work, where they are not restricted to gender or age in order to produce goods/services which benefits other people in one or several ways </w:t>
            </w:r>
            <w:r w:rsidRPr="005975E3">
              <w:rPr>
                <w:rFonts w:ascii="Times New Roman" w:hAnsi="Times New Roman" w:cs="Times New Roman"/>
                <w:color w:val="000000"/>
                <w:sz w:val="24"/>
                <w:szCs w:val="24"/>
              </w:rPr>
              <w:lastRenderedPageBreak/>
              <w:t xml:space="preserve">as well as gains profit for oneself or for the overall organization. </w:t>
            </w:r>
          </w:p>
        </w:tc>
      </w:tr>
      <w:tr w:rsidR="008B01BE" w:rsidRPr="005975E3" w14:paraId="0F2D40C7" w14:textId="77777777">
        <w:tc>
          <w:tcPr>
            <w:tcW w:w="2273" w:type="dxa"/>
            <w:tcBorders>
              <w:top w:val="single" w:sz="8" w:space="0" w:color="9BBB59"/>
              <w:left w:val="single" w:sz="8" w:space="0" w:color="9BBB59"/>
              <w:bottom w:val="single" w:sz="8" w:space="0" w:color="9BBB59"/>
              <w:right w:val="single" w:sz="8" w:space="0" w:color="9BBB59"/>
            </w:tcBorders>
            <w:shd w:val="clear" w:color="auto" w:fill="FFFFFF"/>
          </w:tcPr>
          <w:p w14:paraId="65AEA151"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lastRenderedPageBreak/>
              <w:t>Unemployed force</w:t>
            </w:r>
          </w:p>
        </w:tc>
        <w:tc>
          <w:tcPr>
            <w:tcW w:w="6531" w:type="dxa"/>
            <w:tcBorders>
              <w:top w:val="single" w:sz="8" w:space="0" w:color="9BBB59"/>
              <w:left w:val="single" w:sz="8" w:space="0" w:color="9BBB59"/>
              <w:bottom w:val="single" w:sz="8" w:space="0" w:color="9BBB59"/>
              <w:right w:val="single" w:sz="8" w:space="0" w:color="9BBB59"/>
            </w:tcBorders>
            <w:shd w:val="clear" w:color="auto" w:fill="FFFFFF"/>
          </w:tcPr>
          <w:p w14:paraId="776F9828"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 xml:space="preserve">Unemployed people are those currently in the working-age population who does not occupy any works and willing to take up suitable jobs when give the opportunity. </w:t>
            </w:r>
          </w:p>
        </w:tc>
      </w:tr>
      <w:tr w:rsidR="008B01BE" w:rsidRPr="005975E3" w14:paraId="0640ADD6" w14:textId="77777777">
        <w:tc>
          <w:tcPr>
            <w:tcW w:w="2273" w:type="dxa"/>
            <w:tcBorders>
              <w:top w:val="single" w:sz="8" w:space="0" w:color="9BBB59"/>
              <w:left w:val="single" w:sz="8" w:space="0" w:color="9BBB59"/>
              <w:bottom w:val="single" w:sz="8" w:space="0" w:color="9BBB59"/>
              <w:right w:val="single" w:sz="8" w:space="0" w:color="9BBB59"/>
            </w:tcBorders>
            <w:shd w:val="clear" w:color="auto" w:fill="FFFFFF"/>
          </w:tcPr>
          <w:p w14:paraId="561ACAB7"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Outside the labor force</w:t>
            </w:r>
          </w:p>
        </w:tc>
        <w:tc>
          <w:tcPr>
            <w:tcW w:w="6531" w:type="dxa"/>
            <w:tcBorders>
              <w:top w:val="single" w:sz="8" w:space="0" w:color="9BBB59"/>
              <w:left w:val="single" w:sz="8" w:space="0" w:color="9BBB59"/>
              <w:bottom w:val="single" w:sz="8" w:space="0" w:color="9BBB59"/>
              <w:right w:val="single" w:sz="8" w:space="0" w:color="9BBB59"/>
            </w:tcBorders>
            <w:shd w:val="clear" w:color="auto" w:fill="FFFFFF"/>
          </w:tcPr>
          <w:p w14:paraId="5CDF9FB4"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This category consists of people with employment age or not seeking any job opportunities.</w:t>
            </w:r>
          </w:p>
          <w:p w14:paraId="09FE9256" w14:textId="77777777" w:rsidR="008B01BE" w:rsidRPr="005975E3" w:rsidRDefault="00E64418">
            <w:pPr>
              <w:spacing w:line="240" w:lineRule="auto"/>
              <w:rPr>
                <w:rFonts w:ascii="Times New Roman" w:hAnsi="Times New Roman" w:cs="Times New Roman"/>
                <w:color w:val="000000"/>
                <w:sz w:val="24"/>
                <w:szCs w:val="24"/>
              </w:rPr>
            </w:pPr>
            <w:r w:rsidRPr="005975E3">
              <w:rPr>
                <w:rFonts w:ascii="Times New Roman" w:hAnsi="Times New Roman" w:cs="Times New Roman"/>
                <w:color w:val="000000"/>
                <w:sz w:val="24"/>
                <w:szCs w:val="24"/>
              </w:rPr>
              <w:t>Reasons for unemployment include personal reasons (own illness, disability, studies); family-related reasons (pregnancy, presence of small children, refusal by family); lack of infrastructure (assets, roads, transportation, employment services); other sources of income (pensions, rents); and social exclusion.</w:t>
            </w:r>
          </w:p>
        </w:tc>
      </w:tr>
    </w:tbl>
    <w:p w14:paraId="7A598DE1" w14:textId="77777777" w:rsidR="008B01BE" w:rsidRPr="005975E3" w:rsidRDefault="008B01BE">
      <w:pPr>
        <w:rPr>
          <w:sz w:val="24"/>
          <w:szCs w:val="24"/>
        </w:rPr>
      </w:pPr>
    </w:p>
    <w:p w14:paraId="58A4F835" w14:textId="77777777" w:rsidR="008B01BE" w:rsidRDefault="008B01BE">
      <w:pPr>
        <w:rPr>
          <w:rFonts w:ascii="Times New Roman" w:hAnsi="Times New Roman" w:cs="Times New Roman"/>
          <w:sz w:val="22"/>
          <w:szCs w:val="22"/>
        </w:rPr>
      </w:pPr>
    </w:p>
    <w:p w14:paraId="4BD2F2AD" w14:textId="77777777" w:rsidR="008B01BE" w:rsidRDefault="00E64418">
      <w:pPr>
        <w:outlineLvl w:val="1"/>
        <w:rPr>
          <w:rFonts w:ascii="Times New Roman" w:hAnsi="Times New Roman" w:cs="Times New Roman"/>
          <w:b/>
          <w:bCs/>
          <w:sz w:val="28"/>
          <w:szCs w:val="28"/>
        </w:rPr>
      </w:pPr>
      <w:bookmarkStart w:id="4" w:name="_Toc122246295"/>
      <w:r>
        <w:rPr>
          <w:rFonts w:ascii="Times New Roman" w:hAnsi="Times New Roman" w:cs="Times New Roman"/>
          <w:b/>
          <w:bCs/>
          <w:sz w:val="28"/>
          <w:szCs w:val="28"/>
        </w:rPr>
        <w:t>2.2 Trends in labor market in UK</w:t>
      </w:r>
      <w:bookmarkEnd w:id="4"/>
    </w:p>
    <w:p w14:paraId="76B4C67D" w14:textId="77777777"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 xml:space="preserve">It is observed that through the recent years, the low unemployment status along with high vacancy levels depicts that the labor market is tight thereby making the recruitment is more difficult (Powell and Francis-Devine, 2022). The main reason for this is the growth in the number economically inactive people during the rise of the Covid in 2020. In addition, low net migration and increase in high immigration from the European Union has also increased the number of people in the labor market in UK (Wadsworth, 2018). </w:t>
      </w:r>
    </w:p>
    <w:p w14:paraId="102F9BFB" w14:textId="77777777"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 xml:space="preserve">However, the scholars states that although the labor market tightness is more common due to minimal wages which causes an upward pressure in inflation. But, this is contrast to the recent inflation due to increase in global energy and prices of goods (Powell and Francis-Devine, 2022). Moreover, the labor market is expected to remain tight but loosen over time according to the Bank of England. Because, due to high prices, the demand for goods and services are more likely to slow down but, depends upon the persistence of the economy’s inactivity (Bank of England, 2022). </w:t>
      </w:r>
    </w:p>
    <w:p w14:paraId="0D7F9553" w14:textId="77777777" w:rsidR="008B01BE" w:rsidRDefault="00E64418">
      <w:pPr>
        <w:outlineLvl w:val="1"/>
        <w:rPr>
          <w:rFonts w:ascii="Times New Roman" w:hAnsi="Times New Roman" w:cs="Times New Roman"/>
          <w:b/>
          <w:bCs/>
          <w:sz w:val="28"/>
          <w:szCs w:val="28"/>
        </w:rPr>
      </w:pPr>
      <w:bookmarkStart w:id="5" w:name="_Toc122246296"/>
      <w:r>
        <w:rPr>
          <w:rFonts w:ascii="Times New Roman" w:hAnsi="Times New Roman" w:cs="Times New Roman"/>
          <w:b/>
          <w:bCs/>
          <w:sz w:val="28"/>
          <w:szCs w:val="28"/>
        </w:rPr>
        <w:t>2.3 Employment</w:t>
      </w:r>
      <w:bookmarkEnd w:id="5"/>
    </w:p>
    <w:p w14:paraId="729039E9" w14:textId="2ACAF463"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 xml:space="preserve">According to the statistics obtained as of August to </w:t>
      </w:r>
      <w:r w:rsidR="002D25AF" w:rsidRPr="005975E3">
        <w:rPr>
          <w:rFonts w:ascii="Times New Roman" w:hAnsi="Times New Roman" w:cs="Times New Roman"/>
          <w:sz w:val="24"/>
          <w:szCs w:val="24"/>
        </w:rPr>
        <w:t>October</w:t>
      </w:r>
      <w:r w:rsidRPr="005975E3">
        <w:rPr>
          <w:rFonts w:ascii="Times New Roman" w:hAnsi="Times New Roman" w:cs="Times New Roman"/>
          <w:sz w:val="24"/>
          <w:szCs w:val="24"/>
        </w:rPr>
        <w:t xml:space="preserve"> 2022, the UK’s employed people were considered as 32.77 million people. This is nearly 75.6% of the country’s population aged from 16 to 64 years. However, according to the data obtained, the employment rate showed a gradual increase from 2011 till the pre-Covid period where it reached a highest recorded rate of 76.6% beginning in 1971. In contrast, during </w:t>
      </w:r>
      <w:r w:rsidR="002D25AF" w:rsidRPr="005975E3">
        <w:rPr>
          <w:rFonts w:ascii="Times New Roman" w:hAnsi="Times New Roman" w:cs="Times New Roman"/>
          <w:sz w:val="24"/>
          <w:szCs w:val="24"/>
        </w:rPr>
        <w:t>March</w:t>
      </w:r>
      <w:r w:rsidRPr="005975E3">
        <w:rPr>
          <w:rFonts w:ascii="Times New Roman" w:hAnsi="Times New Roman" w:cs="Times New Roman"/>
          <w:sz w:val="24"/>
          <w:szCs w:val="24"/>
        </w:rPr>
        <w:t xml:space="preserve"> 2020 upon the spread of pandemic, the rate fell down to 32.13 million at the end of 2020. Nevertheless, upon recovery of pandemic </w:t>
      </w:r>
      <w:r w:rsidRPr="005975E3">
        <w:rPr>
          <w:rFonts w:ascii="Times New Roman" w:hAnsi="Times New Roman" w:cs="Times New Roman"/>
          <w:sz w:val="24"/>
          <w:szCs w:val="24"/>
        </w:rPr>
        <w:lastRenderedPageBreak/>
        <w:t xml:space="preserve">the employment rate rose up to 75.5% which is closer to the rate of 76.3% which was in pre-pandemic time. </w:t>
      </w:r>
    </w:p>
    <w:p w14:paraId="220A98A8" w14:textId="77777777" w:rsidR="008B01BE" w:rsidRDefault="00E64418">
      <w:r>
        <w:rPr>
          <w:noProof/>
          <w:lang w:eastAsia="en-US"/>
        </w:rPr>
        <w:drawing>
          <wp:inline distT="0" distB="0" distL="114300" distR="114300" wp14:anchorId="00FF1763" wp14:editId="5530EBA2">
            <wp:extent cx="3624580" cy="1870075"/>
            <wp:effectExtent l="0" t="0" r="13970" b="1587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icPr>
                  <pic:blipFill>
                    <a:blip r:embed="rId10"/>
                    <a:stretch>
                      <a:fillRect/>
                    </a:stretch>
                  </pic:blipFill>
                  <pic:spPr>
                    <a:xfrm>
                      <a:off x="0" y="0"/>
                      <a:ext cx="3624580" cy="1870075"/>
                    </a:xfrm>
                    <a:prstGeom prst="rect">
                      <a:avLst/>
                    </a:prstGeom>
                    <a:noFill/>
                    <a:ln>
                      <a:noFill/>
                    </a:ln>
                  </pic:spPr>
                </pic:pic>
              </a:graphicData>
            </a:graphic>
          </wp:inline>
        </w:drawing>
      </w:r>
    </w:p>
    <w:p w14:paraId="0B8F25FF"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2</w:t>
      </w:r>
      <w:r w:rsidRPr="007115C9">
        <w:rPr>
          <w:sz w:val="24"/>
          <w:szCs w:val="24"/>
        </w:rPr>
        <w:fldChar w:fldCharType="end"/>
      </w:r>
      <w:r w:rsidRPr="007115C9">
        <w:rPr>
          <w:sz w:val="24"/>
          <w:szCs w:val="24"/>
        </w:rPr>
        <w:t>: Employment rate in UK (Source: ONS, 2022).</w:t>
      </w:r>
    </w:p>
    <w:p w14:paraId="0DB16DA0" w14:textId="77777777" w:rsidR="008B01BE" w:rsidRDefault="008B01BE"/>
    <w:p w14:paraId="6AC73943" w14:textId="77777777" w:rsidR="008B01BE" w:rsidRPr="00EA0263" w:rsidRDefault="00E64418">
      <w:pPr>
        <w:outlineLvl w:val="2"/>
        <w:rPr>
          <w:rFonts w:ascii="Times New Roman" w:hAnsi="Times New Roman" w:cs="Times New Roman"/>
          <w:b/>
          <w:bCs/>
          <w:sz w:val="28"/>
          <w:szCs w:val="28"/>
        </w:rPr>
      </w:pPr>
      <w:r w:rsidRPr="00EA0263">
        <w:rPr>
          <w:rFonts w:ascii="Times New Roman" w:hAnsi="Times New Roman" w:cs="Times New Roman"/>
          <w:b/>
          <w:bCs/>
          <w:sz w:val="28"/>
          <w:szCs w:val="28"/>
        </w:rPr>
        <w:t>2.3.1 Type of employment</w:t>
      </w:r>
    </w:p>
    <w:p w14:paraId="77ECAAA2" w14:textId="0B47654F"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Full time versus Part time:</w:t>
      </w:r>
      <w:r w:rsidRPr="005975E3">
        <w:rPr>
          <w:rFonts w:ascii="Times New Roman" w:hAnsi="Times New Roman" w:cs="Times New Roman"/>
          <w:sz w:val="24"/>
          <w:szCs w:val="24"/>
        </w:rPr>
        <w:t xml:space="preserve"> According to the data obtained as of August-</w:t>
      </w:r>
      <w:r w:rsidR="002D25AF" w:rsidRPr="005975E3">
        <w:rPr>
          <w:rFonts w:ascii="Times New Roman" w:hAnsi="Times New Roman" w:cs="Times New Roman"/>
          <w:sz w:val="24"/>
          <w:szCs w:val="24"/>
        </w:rPr>
        <w:t>October</w:t>
      </w:r>
      <w:r w:rsidRPr="005975E3">
        <w:rPr>
          <w:rFonts w:ascii="Times New Roman" w:hAnsi="Times New Roman" w:cs="Times New Roman"/>
          <w:sz w:val="24"/>
          <w:szCs w:val="24"/>
        </w:rPr>
        <w:t xml:space="preserve"> 2022, 24.60 million people were working in a full time basis whereas 8.17 people were working in a part time basis. Meanwhile, it has been observed that the full-time workers have greatly increased comparative to the part-time workers. In addition, there is a reduction in men who are working as a full-time whilst the women fails to work in part-time (Powell and Francis-Devine, 2022). Likewise, </w:t>
      </w:r>
      <w:r w:rsidR="002D25AF" w:rsidRPr="005975E3">
        <w:rPr>
          <w:rFonts w:ascii="Times New Roman" w:hAnsi="Times New Roman" w:cs="Times New Roman"/>
          <w:sz w:val="24"/>
          <w:szCs w:val="24"/>
        </w:rPr>
        <w:t>these statuses</w:t>
      </w:r>
      <w:r w:rsidRPr="005975E3">
        <w:rPr>
          <w:rFonts w:ascii="Times New Roman" w:hAnsi="Times New Roman" w:cs="Times New Roman"/>
          <w:sz w:val="24"/>
          <w:szCs w:val="24"/>
        </w:rPr>
        <w:t xml:space="preserve"> suggest that workers whoever willing to work in part-time, full-time is expected to be stable until 2027 (Wilson </w:t>
      </w:r>
      <w:r w:rsidRPr="005975E3">
        <w:rPr>
          <w:rFonts w:ascii="Times New Roman" w:hAnsi="Times New Roman" w:cs="Times New Roman"/>
          <w:i/>
          <w:iCs/>
          <w:sz w:val="24"/>
          <w:szCs w:val="24"/>
        </w:rPr>
        <w:t xml:space="preserve">et al., </w:t>
      </w:r>
      <w:r w:rsidRPr="005975E3">
        <w:rPr>
          <w:rFonts w:ascii="Times New Roman" w:hAnsi="Times New Roman" w:cs="Times New Roman"/>
          <w:sz w:val="24"/>
          <w:szCs w:val="24"/>
        </w:rPr>
        <w:t xml:space="preserve">2020). </w:t>
      </w:r>
    </w:p>
    <w:p w14:paraId="4D5B0D40" w14:textId="77777777" w:rsidR="008B01BE" w:rsidRDefault="00E64418">
      <w:r>
        <w:rPr>
          <w:noProof/>
          <w:lang w:eastAsia="en-US"/>
        </w:rPr>
        <w:drawing>
          <wp:inline distT="0" distB="0" distL="114300" distR="114300" wp14:anchorId="50CC93CE" wp14:editId="534F3148">
            <wp:extent cx="3574415" cy="1564640"/>
            <wp:effectExtent l="0" t="0" r="6985" b="1651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1"/>
                    <a:stretch>
                      <a:fillRect/>
                    </a:stretch>
                  </pic:blipFill>
                  <pic:spPr>
                    <a:xfrm>
                      <a:off x="0" y="0"/>
                      <a:ext cx="3574415" cy="1564640"/>
                    </a:xfrm>
                    <a:prstGeom prst="rect">
                      <a:avLst/>
                    </a:prstGeom>
                    <a:noFill/>
                    <a:ln>
                      <a:noFill/>
                    </a:ln>
                  </pic:spPr>
                </pic:pic>
              </a:graphicData>
            </a:graphic>
          </wp:inline>
        </w:drawing>
      </w:r>
    </w:p>
    <w:p w14:paraId="39182897" w14:textId="73A98242"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3</w:t>
      </w:r>
      <w:r w:rsidRPr="007115C9">
        <w:rPr>
          <w:sz w:val="24"/>
          <w:szCs w:val="24"/>
        </w:rPr>
        <w:fldChar w:fldCharType="end"/>
      </w:r>
      <w:r w:rsidRPr="007115C9">
        <w:rPr>
          <w:sz w:val="24"/>
          <w:szCs w:val="24"/>
        </w:rPr>
        <w:t>: Full-time v</w:t>
      </w:r>
      <w:r w:rsidR="005E1BD8" w:rsidRPr="007115C9">
        <w:rPr>
          <w:sz w:val="24"/>
          <w:szCs w:val="24"/>
        </w:rPr>
        <w:t>/</w:t>
      </w:r>
      <w:r w:rsidRPr="007115C9">
        <w:rPr>
          <w:sz w:val="24"/>
          <w:szCs w:val="24"/>
        </w:rPr>
        <w:t>s part-time workers in UK (Source: ONS, 2022).</w:t>
      </w:r>
    </w:p>
    <w:p w14:paraId="6EDA089C" w14:textId="77777777"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Employees versus self-employed:</w:t>
      </w:r>
      <w:r w:rsidRPr="005975E3">
        <w:rPr>
          <w:rFonts w:ascii="Times New Roman" w:hAnsi="Times New Roman" w:cs="Times New Roman"/>
          <w:sz w:val="24"/>
          <w:szCs w:val="24"/>
        </w:rPr>
        <w:t xml:space="preserve"> 28.41 million people were considered to be working as employees whereas nearly 4.23 million people were considered as self-employed. However, the rise in employees was observed from 2011 wherein, the rise of self-employers had also seen an increase gradually. However, upon the start of pandemic, the rise have fallen down to </w:t>
      </w:r>
      <w:r w:rsidRPr="005975E3">
        <w:rPr>
          <w:rFonts w:ascii="Times New Roman" w:hAnsi="Times New Roman" w:cs="Times New Roman"/>
          <w:sz w:val="24"/>
          <w:szCs w:val="24"/>
        </w:rPr>
        <w:lastRenderedPageBreak/>
        <w:t xml:space="preserve">almost 362,000 (Powell and Francis-Devine, 2022). After the financial crisis in 2008, self-employment is expected to fall down thereby having a 10% in all jobs by 2027 (Wilson </w:t>
      </w:r>
      <w:r w:rsidRPr="005975E3">
        <w:rPr>
          <w:rFonts w:ascii="Times New Roman" w:hAnsi="Times New Roman" w:cs="Times New Roman"/>
          <w:i/>
          <w:iCs/>
          <w:sz w:val="24"/>
          <w:szCs w:val="24"/>
        </w:rPr>
        <w:t xml:space="preserve">et al., </w:t>
      </w:r>
      <w:r w:rsidRPr="005975E3">
        <w:rPr>
          <w:rFonts w:ascii="Times New Roman" w:hAnsi="Times New Roman" w:cs="Times New Roman"/>
          <w:sz w:val="24"/>
          <w:szCs w:val="24"/>
        </w:rPr>
        <w:t xml:space="preserve">2020). </w:t>
      </w:r>
    </w:p>
    <w:p w14:paraId="3D894E1F" w14:textId="77777777" w:rsidR="008B01BE" w:rsidRDefault="00E64418">
      <w:r>
        <w:rPr>
          <w:noProof/>
          <w:lang w:eastAsia="en-US"/>
        </w:rPr>
        <w:drawing>
          <wp:inline distT="0" distB="0" distL="114300" distR="114300" wp14:anchorId="20228321" wp14:editId="670D5902">
            <wp:extent cx="2760980" cy="1824355"/>
            <wp:effectExtent l="0" t="0" r="1270" b="444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pic:cNvPicPr>
                      <a:picLocks noChangeAspect="1"/>
                    </pic:cNvPicPr>
                  </pic:nvPicPr>
                  <pic:blipFill>
                    <a:blip r:embed="rId12"/>
                    <a:stretch>
                      <a:fillRect/>
                    </a:stretch>
                  </pic:blipFill>
                  <pic:spPr>
                    <a:xfrm>
                      <a:off x="0" y="0"/>
                      <a:ext cx="2760980" cy="1824355"/>
                    </a:xfrm>
                    <a:prstGeom prst="rect">
                      <a:avLst/>
                    </a:prstGeom>
                    <a:noFill/>
                    <a:ln>
                      <a:noFill/>
                    </a:ln>
                  </pic:spPr>
                </pic:pic>
              </a:graphicData>
            </a:graphic>
          </wp:inline>
        </w:drawing>
      </w:r>
    </w:p>
    <w:p w14:paraId="5786C211"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4</w:t>
      </w:r>
      <w:r w:rsidRPr="007115C9">
        <w:rPr>
          <w:sz w:val="24"/>
          <w:szCs w:val="24"/>
        </w:rPr>
        <w:fldChar w:fldCharType="end"/>
      </w:r>
      <w:r w:rsidRPr="007115C9">
        <w:rPr>
          <w:sz w:val="24"/>
          <w:szCs w:val="24"/>
        </w:rPr>
        <w:t>: Statistics of employees and self-employees (Source: ONS, 2022).</w:t>
      </w:r>
    </w:p>
    <w:p w14:paraId="67CFF8F7" w14:textId="48F717A9"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Public versus private sector:</w:t>
      </w:r>
      <w:r w:rsidRPr="005975E3">
        <w:rPr>
          <w:rFonts w:ascii="Times New Roman" w:hAnsi="Times New Roman" w:cs="Times New Roman"/>
          <w:sz w:val="24"/>
          <w:szCs w:val="24"/>
        </w:rPr>
        <w:t xml:space="preserve"> In 2022, 27 million people were employed in the private sector whilst 5.77 million people were employed in the public sector. However, both the private sector and public sector has seen a downfall of 313,000 and 307,000 respectively March, 2020 to September, 2022. Likewise, it shows that there is an increase in the private sector more than the public sector (Powell and Francis-Devine, 2022). </w:t>
      </w:r>
    </w:p>
    <w:p w14:paraId="308F0010" w14:textId="77777777" w:rsidR="008B01BE" w:rsidRDefault="00E64418">
      <w:r>
        <w:rPr>
          <w:noProof/>
          <w:lang w:eastAsia="en-US"/>
        </w:rPr>
        <w:drawing>
          <wp:inline distT="0" distB="0" distL="114300" distR="114300" wp14:anchorId="061CA1A2" wp14:editId="137179A7">
            <wp:extent cx="2813685" cy="1680845"/>
            <wp:effectExtent l="0" t="0" r="5715" b="1460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pic:cNvPicPr>
                  </pic:nvPicPr>
                  <pic:blipFill>
                    <a:blip r:embed="rId13"/>
                    <a:stretch>
                      <a:fillRect/>
                    </a:stretch>
                  </pic:blipFill>
                  <pic:spPr>
                    <a:xfrm>
                      <a:off x="0" y="0"/>
                      <a:ext cx="2813685" cy="1680845"/>
                    </a:xfrm>
                    <a:prstGeom prst="rect">
                      <a:avLst/>
                    </a:prstGeom>
                    <a:noFill/>
                    <a:ln>
                      <a:noFill/>
                    </a:ln>
                  </pic:spPr>
                </pic:pic>
              </a:graphicData>
            </a:graphic>
          </wp:inline>
        </w:drawing>
      </w:r>
    </w:p>
    <w:p w14:paraId="7902219A"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5</w:t>
      </w:r>
      <w:r w:rsidRPr="007115C9">
        <w:rPr>
          <w:sz w:val="24"/>
          <w:szCs w:val="24"/>
        </w:rPr>
        <w:fldChar w:fldCharType="end"/>
      </w:r>
      <w:r w:rsidRPr="007115C9">
        <w:rPr>
          <w:sz w:val="24"/>
          <w:szCs w:val="24"/>
        </w:rPr>
        <w:t>: Comparison of public and private sector employment in UK (Source: ONS, 2022).</w:t>
      </w:r>
    </w:p>
    <w:p w14:paraId="61D00F33" w14:textId="4A5387A2"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Vacancies:</w:t>
      </w:r>
      <w:r w:rsidRPr="005975E3">
        <w:rPr>
          <w:rFonts w:ascii="Times New Roman" w:hAnsi="Times New Roman" w:cs="Times New Roman"/>
          <w:sz w:val="24"/>
          <w:szCs w:val="24"/>
        </w:rPr>
        <w:t xml:space="preserve"> When it comes to vacancies, the number has reduced to 1.19 million in September to November, 2022 which is still 391,000 higher than January, 2020. Nevertheless, when comparing the vacancies and the number of unemployed people in August-October, it is more likely similar (Powell and Francis-Devine, 2022). This suggests that highly qualified people are more likely to grow with the overall demand for even simple qualified jobs within </w:t>
      </w:r>
      <w:r w:rsidRPr="005975E3">
        <w:rPr>
          <w:rFonts w:ascii="Times New Roman" w:hAnsi="Times New Roman" w:cs="Times New Roman"/>
          <w:sz w:val="24"/>
          <w:szCs w:val="24"/>
        </w:rPr>
        <w:lastRenderedPageBreak/>
        <w:t xml:space="preserve">industries. As a result, there is a great qualification intensity in majority of the jobs </w:t>
      </w:r>
      <w:r w:rsidR="005E1BD8" w:rsidRPr="005975E3">
        <w:rPr>
          <w:rFonts w:ascii="Times New Roman" w:hAnsi="Times New Roman" w:cs="Times New Roman"/>
          <w:sz w:val="24"/>
          <w:szCs w:val="24"/>
        </w:rPr>
        <w:t>e</w:t>
      </w:r>
      <w:r w:rsidRPr="005975E3">
        <w:rPr>
          <w:rFonts w:ascii="Times New Roman" w:hAnsi="Times New Roman" w:cs="Times New Roman"/>
          <w:sz w:val="24"/>
          <w:szCs w:val="24"/>
        </w:rPr>
        <w:t xml:space="preserve">specially for those who do not have prior experience in the industry (Wilson </w:t>
      </w:r>
      <w:r w:rsidRPr="005975E3">
        <w:rPr>
          <w:rFonts w:ascii="Times New Roman" w:hAnsi="Times New Roman" w:cs="Times New Roman"/>
          <w:i/>
          <w:iCs/>
          <w:sz w:val="24"/>
          <w:szCs w:val="24"/>
        </w:rPr>
        <w:t xml:space="preserve">et al., </w:t>
      </w:r>
      <w:r w:rsidRPr="005975E3">
        <w:rPr>
          <w:rFonts w:ascii="Times New Roman" w:hAnsi="Times New Roman" w:cs="Times New Roman"/>
          <w:sz w:val="24"/>
          <w:szCs w:val="24"/>
        </w:rPr>
        <w:t xml:space="preserve">2020). </w:t>
      </w:r>
    </w:p>
    <w:p w14:paraId="05E3F3EB" w14:textId="77777777" w:rsidR="008B01BE" w:rsidRPr="005975E3" w:rsidRDefault="00E64418">
      <w:pPr>
        <w:rPr>
          <w:sz w:val="24"/>
          <w:szCs w:val="24"/>
        </w:rPr>
      </w:pPr>
      <w:r w:rsidRPr="005975E3">
        <w:rPr>
          <w:noProof/>
          <w:sz w:val="24"/>
          <w:szCs w:val="24"/>
          <w:lang w:eastAsia="en-US"/>
        </w:rPr>
        <w:drawing>
          <wp:inline distT="0" distB="0" distL="114300" distR="114300" wp14:anchorId="0354BF2F" wp14:editId="65371470">
            <wp:extent cx="3867150" cy="2532380"/>
            <wp:effectExtent l="0" t="0" r="0" b="127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pic:cNvPicPr>
                  </pic:nvPicPr>
                  <pic:blipFill>
                    <a:blip r:embed="rId14"/>
                    <a:stretch>
                      <a:fillRect/>
                    </a:stretch>
                  </pic:blipFill>
                  <pic:spPr>
                    <a:xfrm>
                      <a:off x="0" y="0"/>
                      <a:ext cx="3867150" cy="2532380"/>
                    </a:xfrm>
                    <a:prstGeom prst="rect">
                      <a:avLst/>
                    </a:prstGeom>
                    <a:noFill/>
                    <a:ln>
                      <a:noFill/>
                    </a:ln>
                  </pic:spPr>
                </pic:pic>
              </a:graphicData>
            </a:graphic>
          </wp:inline>
        </w:drawing>
      </w:r>
    </w:p>
    <w:p w14:paraId="1511306D"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6</w:t>
      </w:r>
      <w:r w:rsidRPr="007115C9">
        <w:rPr>
          <w:sz w:val="24"/>
          <w:szCs w:val="24"/>
        </w:rPr>
        <w:fldChar w:fldCharType="end"/>
      </w:r>
      <w:r w:rsidRPr="007115C9">
        <w:rPr>
          <w:sz w:val="24"/>
          <w:szCs w:val="24"/>
        </w:rPr>
        <w:t xml:space="preserve">: Vacancies related to each sectors in UK (Source: Wilson et al., 2020). </w:t>
      </w:r>
    </w:p>
    <w:p w14:paraId="4F7B85F6" w14:textId="77777777" w:rsidR="008B01BE" w:rsidRPr="00EA0263" w:rsidRDefault="00E64418">
      <w:pPr>
        <w:outlineLvl w:val="1"/>
        <w:rPr>
          <w:rFonts w:ascii="Times New Roman" w:hAnsi="Times New Roman" w:cs="Times New Roman"/>
          <w:b/>
          <w:bCs/>
          <w:sz w:val="28"/>
          <w:szCs w:val="28"/>
        </w:rPr>
      </w:pPr>
      <w:bookmarkStart w:id="6" w:name="_Toc122246297"/>
      <w:r w:rsidRPr="00EA0263">
        <w:rPr>
          <w:rFonts w:ascii="Times New Roman" w:hAnsi="Times New Roman" w:cs="Times New Roman"/>
          <w:b/>
          <w:bCs/>
          <w:sz w:val="28"/>
          <w:szCs w:val="28"/>
        </w:rPr>
        <w:t>2.4 Unemployment</w:t>
      </w:r>
      <w:bookmarkEnd w:id="6"/>
    </w:p>
    <w:p w14:paraId="50CF0954" w14:textId="77777777"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 xml:space="preserve">The unemployment status was seen falling down from 4% to 3.7% when compared with the pandemic year and as of October, 2022. This accounts for 1.25 million of UK’s overall population. However, this is comparatively lower compared to post-recession period of 2008’s financial crisis which accounted for 8.5%. After the implementation of the job retention scheme, there is a steady fall of unemployment rates compared to 2019 (Powell and Francis-Devine, 2022). </w:t>
      </w:r>
    </w:p>
    <w:p w14:paraId="31A5C8FD" w14:textId="77777777"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 xml:space="preserve">The unemployment rate was seen to be highest in the West Midlands where it accounted for 4.9% wherein South West (2.0%) was considered to be lowest (ONS, 2022). According to Bank of England forecasted that the unemployment rate will be lower in the coming months, but, there will be an increase from the end of 2023. 4% unemployment rate is expected to rise by the end of 2023, while it is expected to rise by 5.9% and 6.4% by the end of 2024 and 2025 respectively (Bank of England, 2022). </w:t>
      </w:r>
    </w:p>
    <w:p w14:paraId="401C53D9" w14:textId="77777777" w:rsidR="008B01BE" w:rsidRPr="005975E3" w:rsidRDefault="00E64418">
      <w:pPr>
        <w:rPr>
          <w:sz w:val="24"/>
          <w:szCs w:val="24"/>
        </w:rPr>
      </w:pPr>
      <w:r w:rsidRPr="005975E3">
        <w:rPr>
          <w:noProof/>
          <w:sz w:val="24"/>
          <w:szCs w:val="24"/>
          <w:lang w:eastAsia="en-US"/>
        </w:rPr>
        <w:lastRenderedPageBreak/>
        <w:drawing>
          <wp:inline distT="0" distB="0" distL="114300" distR="114300" wp14:anchorId="0D17E688" wp14:editId="68F3B1B7">
            <wp:extent cx="4356735" cy="1971040"/>
            <wp:effectExtent l="0" t="0" r="5715" b="1016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pic:cNvPicPr>
                  </pic:nvPicPr>
                  <pic:blipFill>
                    <a:blip r:embed="rId15"/>
                    <a:stretch>
                      <a:fillRect/>
                    </a:stretch>
                  </pic:blipFill>
                  <pic:spPr>
                    <a:xfrm>
                      <a:off x="0" y="0"/>
                      <a:ext cx="4356735" cy="1971040"/>
                    </a:xfrm>
                    <a:prstGeom prst="rect">
                      <a:avLst/>
                    </a:prstGeom>
                    <a:noFill/>
                    <a:ln>
                      <a:noFill/>
                    </a:ln>
                  </pic:spPr>
                </pic:pic>
              </a:graphicData>
            </a:graphic>
          </wp:inline>
        </w:drawing>
      </w:r>
    </w:p>
    <w:p w14:paraId="19C97FAE"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7</w:t>
      </w:r>
      <w:r w:rsidRPr="007115C9">
        <w:rPr>
          <w:sz w:val="24"/>
          <w:szCs w:val="24"/>
        </w:rPr>
        <w:fldChar w:fldCharType="end"/>
      </w:r>
      <w:r w:rsidRPr="007115C9">
        <w:rPr>
          <w:sz w:val="24"/>
          <w:szCs w:val="24"/>
        </w:rPr>
        <w:t>: Unemployment rate shows gradual decrease (Source: ONS, 2022).</w:t>
      </w:r>
    </w:p>
    <w:p w14:paraId="6233F380" w14:textId="77777777" w:rsidR="008B01BE" w:rsidRPr="005975E3" w:rsidRDefault="008B01BE">
      <w:pPr>
        <w:rPr>
          <w:rFonts w:ascii="Times New Roman" w:hAnsi="Times New Roman" w:cs="Times New Roman"/>
          <w:b/>
          <w:bCs/>
          <w:sz w:val="24"/>
          <w:szCs w:val="24"/>
        </w:rPr>
      </w:pPr>
    </w:p>
    <w:p w14:paraId="7E1165AA" w14:textId="77777777" w:rsidR="008B01BE" w:rsidRPr="00EA0263" w:rsidRDefault="00E64418">
      <w:pPr>
        <w:outlineLvl w:val="1"/>
        <w:rPr>
          <w:rFonts w:ascii="Times New Roman" w:hAnsi="Times New Roman" w:cs="Times New Roman"/>
          <w:b/>
          <w:bCs/>
          <w:sz w:val="28"/>
          <w:szCs w:val="28"/>
        </w:rPr>
      </w:pPr>
      <w:bookmarkStart w:id="7" w:name="_Toc122246298"/>
      <w:r w:rsidRPr="00EA0263">
        <w:rPr>
          <w:rFonts w:ascii="Times New Roman" w:hAnsi="Times New Roman" w:cs="Times New Roman"/>
          <w:b/>
          <w:bCs/>
          <w:sz w:val="28"/>
          <w:szCs w:val="28"/>
        </w:rPr>
        <w:t>2.5 Earnings</w:t>
      </w:r>
      <w:bookmarkEnd w:id="7"/>
    </w:p>
    <w:p w14:paraId="7C7627BC" w14:textId="77777777" w:rsidR="008B01BE" w:rsidRPr="005975E3" w:rsidRDefault="00E64418">
      <w:pPr>
        <w:rPr>
          <w:rFonts w:ascii="Times New Roman" w:hAnsi="Times New Roman" w:cs="Times New Roman"/>
          <w:sz w:val="24"/>
          <w:szCs w:val="24"/>
        </w:rPr>
      </w:pPr>
      <w:r w:rsidRPr="005975E3">
        <w:rPr>
          <w:rFonts w:ascii="Times New Roman" w:hAnsi="Times New Roman" w:cs="Times New Roman"/>
          <w:sz w:val="24"/>
          <w:szCs w:val="24"/>
        </w:rPr>
        <w:t xml:space="preserve">Earnings or wages can be given on a monthly, weekly, daily or hourly basis which excludes, overtime payments, bonuses, rewards, allowances and other social security payments. Hence, analysis on earnings are important to provide insights into labor productivity and standard of living (Pietschmann </w:t>
      </w:r>
      <w:r w:rsidRPr="005975E3">
        <w:rPr>
          <w:rFonts w:ascii="Times New Roman" w:hAnsi="Times New Roman" w:cs="Times New Roman"/>
          <w:i/>
          <w:iCs/>
          <w:sz w:val="24"/>
          <w:szCs w:val="24"/>
        </w:rPr>
        <w:t xml:space="preserve">et al., </w:t>
      </w:r>
      <w:r w:rsidRPr="005975E3">
        <w:rPr>
          <w:rFonts w:ascii="Times New Roman" w:hAnsi="Times New Roman" w:cs="Times New Roman"/>
          <w:sz w:val="24"/>
          <w:szCs w:val="24"/>
        </w:rPr>
        <w:t xml:space="preserve">2016). As mentioned earlier, a tight labor market is observed in the recent years due to nominal wage growth. From the studies, it was observed that there was a strong growth in average in cash terms until October, 2022. In contrast, real-term growth for earnings has reduced thereby made the CPI inflation to 10.4% (Powell and Francis-Devine, 2022). </w:t>
      </w:r>
    </w:p>
    <w:p w14:paraId="5BDF5699" w14:textId="77777777" w:rsidR="008B01BE" w:rsidRPr="005975E3" w:rsidRDefault="00E64418">
      <w:pPr>
        <w:rPr>
          <w:sz w:val="24"/>
          <w:szCs w:val="24"/>
        </w:rPr>
      </w:pPr>
      <w:r w:rsidRPr="005975E3">
        <w:rPr>
          <w:noProof/>
          <w:sz w:val="24"/>
          <w:szCs w:val="24"/>
          <w:lang w:eastAsia="en-US"/>
        </w:rPr>
        <w:drawing>
          <wp:inline distT="0" distB="0" distL="114300" distR="114300" wp14:anchorId="67F5B02A" wp14:editId="577430AB">
            <wp:extent cx="3954145" cy="2084705"/>
            <wp:effectExtent l="0" t="0" r="8255" b="10795"/>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8"/>
                    <pic:cNvPicPr>
                      <a:picLocks noChangeAspect="1"/>
                    </pic:cNvPicPr>
                  </pic:nvPicPr>
                  <pic:blipFill>
                    <a:blip r:embed="rId16"/>
                    <a:stretch>
                      <a:fillRect/>
                    </a:stretch>
                  </pic:blipFill>
                  <pic:spPr>
                    <a:xfrm>
                      <a:off x="0" y="0"/>
                      <a:ext cx="3954145" cy="2084705"/>
                    </a:xfrm>
                    <a:prstGeom prst="rect">
                      <a:avLst/>
                    </a:prstGeom>
                    <a:noFill/>
                    <a:ln>
                      <a:noFill/>
                    </a:ln>
                  </pic:spPr>
                </pic:pic>
              </a:graphicData>
            </a:graphic>
          </wp:inline>
        </w:drawing>
      </w:r>
    </w:p>
    <w:p w14:paraId="220A1CCD" w14:textId="77777777" w:rsidR="008B01BE" w:rsidRPr="007115C9" w:rsidRDefault="00E64418">
      <w:pPr>
        <w:pStyle w:val="Caption"/>
        <w:rPr>
          <w:sz w:val="24"/>
          <w:szCs w:val="24"/>
        </w:rPr>
      </w:pPr>
      <w:r w:rsidRPr="007115C9">
        <w:rPr>
          <w:sz w:val="24"/>
          <w:szCs w:val="24"/>
        </w:rPr>
        <w:t xml:space="preserve">Figure </w:t>
      </w:r>
      <w:r w:rsidRPr="007115C9">
        <w:rPr>
          <w:sz w:val="24"/>
          <w:szCs w:val="24"/>
        </w:rPr>
        <w:fldChar w:fldCharType="begin"/>
      </w:r>
      <w:r w:rsidRPr="007115C9">
        <w:rPr>
          <w:sz w:val="24"/>
          <w:szCs w:val="24"/>
        </w:rPr>
        <w:instrText xml:space="preserve"> SEQ Figure \* ARABIC </w:instrText>
      </w:r>
      <w:r w:rsidRPr="007115C9">
        <w:rPr>
          <w:sz w:val="24"/>
          <w:szCs w:val="24"/>
        </w:rPr>
        <w:fldChar w:fldCharType="separate"/>
      </w:r>
      <w:r w:rsidRPr="007115C9">
        <w:rPr>
          <w:sz w:val="24"/>
          <w:szCs w:val="24"/>
        </w:rPr>
        <w:t>8</w:t>
      </w:r>
      <w:r w:rsidRPr="007115C9">
        <w:rPr>
          <w:sz w:val="24"/>
          <w:szCs w:val="24"/>
        </w:rPr>
        <w:fldChar w:fldCharType="end"/>
      </w:r>
      <w:r w:rsidRPr="007115C9">
        <w:rPr>
          <w:sz w:val="24"/>
          <w:szCs w:val="24"/>
        </w:rPr>
        <w:t>: Earnings observed (Source: ONS, 2022).</w:t>
      </w:r>
    </w:p>
    <w:p w14:paraId="78FFA98E" w14:textId="77777777" w:rsidR="008B01BE" w:rsidRPr="00EA0263" w:rsidRDefault="00E64418">
      <w:pPr>
        <w:outlineLvl w:val="1"/>
        <w:rPr>
          <w:rFonts w:ascii="Times New Roman" w:hAnsi="Times New Roman" w:cs="Times New Roman"/>
          <w:b/>
          <w:bCs/>
          <w:sz w:val="28"/>
          <w:szCs w:val="28"/>
        </w:rPr>
      </w:pPr>
      <w:bookmarkStart w:id="8" w:name="_Toc122246299"/>
      <w:r w:rsidRPr="00EA0263">
        <w:rPr>
          <w:rFonts w:ascii="Times New Roman" w:hAnsi="Times New Roman" w:cs="Times New Roman"/>
          <w:b/>
          <w:bCs/>
          <w:sz w:val="28"/>
          <w:szCs w:val="28"/>
        </w:rPr>
        <w:t>2.6 People in the labor market</w:t>
      </w:r>
      <w:bookmarkEnd w:id="8"/>
    </w:p>
    <w:p w14:paraId="03189890" w14:textId="77777777"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Women and men:</w:t>
      </w:r>
      <w:r w:rsidRPr="005975E3">
        <w:rPr>
          <w:rFonts w:ascii="Times New Roman" w:hAnsi="Times New Roman" w:cs="Times New Roman"/>
          <w:sz w:val="24"/>
          <w:szCs w:val="24"/>
        </w:rPr>
        <w:t xml:space="preserve"> When comparing both genders, the opportunities for men are higher compared to women. Because, 17.13 million men were worked whilst 15.64 million women </w:t>
      </w:r>
      <w:r w:rsidRPr="005975E3">
        <w:rPr>
          <w:rFonts w:ascii="Times New Roman" w:hAnsi="Times New Roman" w:cs="Times New Roman"/>
          <w:sz w:val="24"/>
          <w:szCs w:val="24"/>
        </w:rPr>
        <w:lastRenderedPageBreak/>
        <w:t>were at work in October, 2022. Thus, nearly 79% of men were employed and 72.2% of women were employed. However, the gap rates were observed to narrow down steadily because of the number of women who are economically inactive. Because, the economic inactivity of women in 2022 was 25.1% compared to 17.9% of men (Powell and Francis-Devine, 2022).</w:t>
      </w:r>
    </w:p>
    <w:p w14:paraId="61A1760C" w14:textId="77777777" w:rsidR="008B01BE" w:rsidRPr="005975E3" w:rsidRDefault="00E64418">
      <w:pPr>
        <w:rPr>
          <w:sz w:val="24"/>
          <w:szCs w:val="24"/>
        </w:rPr>
      </w:pPr>
      <w:r w:rsidRPr="005975E3">
        <w:rPr>
          <w:noProof/>
          <w:sz w:val="24"/>
          <w:szCs w:val="24"/>
          <w:lang w:eastAsia="en-US"/>
        </w:rPr>
        <w:drawing>
          <wp:inline distT="0" distB="0" distL="114300" distR="114300" wp14:anchorId="1F7C022A" wp14:editId="736BCA44">
            <wp:extent cx="3317240" cy="1943100"/>
            <wp:effectExtent l="0" t="0" r="1651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pic:cNvPicPr>
                      <a:picLocks noChangeAspect="1"/>
                    </pic:cNvPicPr>
                  </pic:nvPicPr>
                  <pic:blipFill>
                    <a:blip r:embed="rId17"/>
                    <a:stretch>
                      <a:fillRect/>
                    </a:stretch>
                  </pic:blipFill>
                  <pic:spPr>
                    <a:xfrm>
                      <a:off x="0" y="0"/>
                      <a:ext cx="3317240" cy="1943100"/>
                    </a:xfrm>
                    <a:prstGeom prst="rect">
                      <a:avLst/>
                    </a:prstGeom>
                    <a:noFill/>
                    <a:ln>
                      <a:noFill/>
                    </a:ln>
                  </pic:spPr>
                </pic:pic>
              </a:graphicData>
            </a:graphic>
          </wp:inline>
        </w:drawing>
      </w:r>
    </w:p>
    <w:p w14:paraId="0A3A8ADF" w14:textId="77777777" w:rsidR="008B01BE" w:rsidRPr="005975E3" w:rsidRDefault="00E64418">
      <w:pPr>
        <w:pStyle w:val="Caption"/>
        <w:rPr>
          <w:sz w:val="24"/>
          <w:szCs w:val="24"/>
        </w:rPr>
      </w:pPr>
      <w:r w:rsidRPr="005975E3">
        <w:rPr>
          <w:sz w:val="24"/>
          <w:szCs w:val="24"/>
        </w:rPr>
        <w:t xml:space="preserve">Figure </w:t>
      </w:r>
      <w:r w:rsidRPr="005975E3">
        <w:rPr>
          <w:sz w:val="24"/>
          <w:szCs w:val="24"/>
        </w:rPr>
        <w:fldChar w:fldCharType="begin"/>
      </w:r>
      <w:r w:rsidRPr="005975E3">
        <w:rPr>
          <w:sz w:val="24"/>
          <w:szCs w:val="24"/>
        </w:rPr>
        <w:instrText xml:space="preserve"> SEQ Figure \* ARABIC </w:instrText>
      </w:r>
      <w:r w:rsidRPr="005975E3">
        <w:rPr>
          <w:sz w:val="24"/>
          <w:szCs w:val="24"/>
        </w:rPr>
        <w:fldChar w:fldCharType="separate"/>
      </w:r>
      <w:r w:rsidRPr="005975E3">
        <w:rPr>
          <w:sz w:val="24"/>
          <w:szCs w:val="24"/>
        </w:rPr>
        <w:t>9</w:t>
      </w:r>
      <w:r w:rsidRPr="005975E3">
        <w:rPr>
          <w:sz w:val="24"/>
          <w:szCs w:val="24"/>
        </w:rPr>
        <w:fldChar w:fldCharType="end"/>
      </w:r>
      <w:r w:rsidRPr="005975E3">
        <w:rPr>
          <w:sz w:val="24"/>
          <w:szCs w:val="24"/>
        </w:rPr>
        <w:t>: UK Employment profiles by gender and employment status 1981-2027</w:t>
      </w:r>
    </w:p>
    <w:p w14:paraId="02EE55B2" w14:textId="77777777"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Young people:</w:t>
      </w:r>
      <w:r w:rsidRPr="005975E3">
        <w:rPr>
          <w:rFonts w:ascii="Times New Roman" w:hAnsi="Times New Roman" w:cs="Times New Roman"/>
          <w:sz w:val="24"/>
          <w:szCs w:val="24"/>
        </w:rPr>
        <w:t xml:space="preserve"> Nearly, 431,000 people who are aged 16-24 were unemployed which accounts for 10.5%, yet the unemployment standards remains low for these people. In the early 2020, there was a large fall in the employment levels thereby increased the unemployment. However, after September, 2020 the unemployment levels decreased. However, the employment of young people were lower compared to other categories (Powell and Francis-Devine, 2022). </w:t>
      </w:r>
    </w:p>
    <w:p w14:paraId="0C5A487C" w14:textId="77777777" w:rsidR="008B01BE" w:rsidRPr="005975E3" w:rsidRDefault="00E64418">
      <w:pPr>
        <w:rPr>
          <w:sz w:val="24"/>
          <w:szCs w:val="24"/>
        </w:rPr>
      </w:pPr>
      <w:r w:rsidRPr="005975E3">
        <w:rPr>
          <w:noProof/>
          <w:sz w:val="24"/>
          <w:szCs w:val="24"/>
          <w:lang w:eastAsia="en-US"/>
        </w:rPr>
        <w:drawing>
          <wp:inline distT="0" distB="0" distL="114300" distR="114300" wp14:anchorId="093B77B6" wp14:editId="496C2EE6">
            <wp:extent cx="3870325" cy="1625600"/>
            <wp:effectExtent l="0" t="0" r="15875" b="1270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8"/>
                    <a:stretch>
                      <a:fillRect/>
                    </a:stretch>
                  </pic:blipFill>
                  <pic:spPr>
                    <a:xfrm>
                      <a:off x="0" y="0"/>
                      <a:ext cx="3870325" cy="1625600"/>
                    </a:xfrm>
                    <a:prstGeom prst="rect">
                      <a:avLst/>
                    </a:prstGeom>
                    <a:noFill/>
                    <a:ln>
                      <a:noFill/>
                    </a:ln>
                  </pic:spPr>
                </pic:pic>
              </a:graphicData>
            </a:graphic>
          </wp:inline>
        </w:drawing>
      </w:r>
    </w:p>
    <w:p w14:paraId="7E9B8713" w14:textId="77777777" w:rsidR="008B01BE" w:rsidRPr="005975E3" w:rsidRDefault="00E64418">
      <w:pPr>
        <w:pStyle w:val="Caption"/>
        <w:rPr>
          <w:sz w:val="24"/>
          <w:szCs w:val="24"/>
        </w:rPr>
      </w:pPr>
      <w:r w:rsidRPr="005975E3">
        <w:rPr>
          <w:sz w:val="24"/>
          <w:szCs w:val="24"/>
        </w:rPr>
        <w:t xml:space="preserve">Figure </w:t>
      </w:r>
      <w:r w:rsidRPr="005975E3">
        <w:rPr>
          <w:sz w:val="24"/>
          <w:szCs w:val="24"/>
        </w:rPr>
        <w:fldChar w:fldCharType="begin"/>
      </w:r>
      <w:r w:rsidRPr="005975E3">
        <w:rPr>
          <w:sz w:val="24"/>
          <w:szCs w:val="24"/>
        </w:rPr>
        <w:instrText xml:space="preserve"> SEQ Figure \* ARABIC </w:instrText>
      </w:r>
      <w:r w:rsidRPr="005975E3">
        <w:rPr>
          <w:sz w:val="24"/>
          <w:szCs w:val="24"/>
        </w:rPr>
        <w:fldChar w:fldCharType="separate"/>
      </w:r>
      <w:r w:rsidRPr="005975E3">
        <w:rPr>
          <w:sz w:val="24"/>
          <w:szCs w:val="24"/>
        </w:rPr>
        <w:t>10</w:t>
      </w:r>
      <w:r w:rsidRPr="005975E3">
        <w:rPr>
          <w:sz w:val="24"/>
          <w:szCs w:val="24"/>
        </w:rPr>
        <w:fldChar w:fldCharType="end"/>
      </w:r>
      <w:r w:rsidRPr="005975E3">
        <w:rPr>
          <w:sz w:val="24"/>
          <w:szCs w:val="24"/>
        </w:rPr>
        <w:t>: Employment rate of young people in UK (Source: ONS, 2022).</w:t>
      </w:r>
    </w:p>
    <w:p w14:paraId="2F99E66B" w14:textId="77777777"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Nationality:</w:t>
      </w:r>
      <w:r w:rsidRPr="005975E3">
        <w:rPr>
          <w:rFonts w:ascii="Times New Roman" w:hAnsi="Times New Roman" w:cs="Times New Roman"/>
          <w:sz w:val="24"/>
          <w:szCs w:val="24"/>
        </w:rPr>
        <w:t xml:space="preserve"> 75.2% employment rate was seen for non-UK nationals and 75.6% were observed for UK nationals. Thus, EU nationals possessed 80.9% employment rate which is higher than non-EU nationals, where they had only 69.5%. In a broader aspect, nearly 2.11 million people were nationals from 27 EU countries whilst 1.83 million were nationals outside the EU countries (Powell and Francis-Devine, 2022). </w:t>
      </w:r>
    </w:p>
    <w:p w14:paraId="3E29719C" w14:textId="77777777" w:rsidR="008B01BE" w:rsidRPr="005975E3" w:rsidRDefault="00E64418">
      <w:pPr>
        <w:rPr>
          <w:sz w:val="24"/>
          <w:szCs w:val="24"/>
        </w:rPr>
      </w:pPr>
      <w:r w:rsidRPr="005975E3">
        <w:rPr>
          <w:noProof/>
          <w:sz w:val="24"/>
          <w:szCs w:val="24"/>
          <w:lang w:eastAsia="en-US"/>
        </w:rPr>
        <w:lastRenderedPageBreak/>
        <w:drawing>
          <wp:inline distT="0" distB="0" distL="114300" distR="114300" wp14:anchorId="565006B8" wp14:editId="571EA087">
            <wp:extent cx="3900170" cy="2207260"/>
            <wp:effectExtent l="0" t="0" r="5080" b="254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pic:cNvPicPr>
                      <a:picLocks noChangeAspect="1"/>
                    </pic:cNvPicPr>
                  </pic:nvPicPr>
                  <pic:blipFill>
                    <a:blip r:embed="rId19"/>
                    <a:stretch>
                      <a:fillRect/>
                    </a:stretch>
                  </pic:blipFill>
                  <pic:spPr>
                    <a:xfrm>
                      <a:off x="0" y="0"/>
                      <a:ext cx="3900170" cy="2207260"/>
                    </a:xfrm>
                    <a:prstGeom prst="rect">
                      <a:avLst/>
                    </a:prstGeom>
                    <a:noFill/>
                    <a:ln>
                      <a:noFill/>
                    </a:ln>
                  </pic:spPr>
                </pic:pic>
              </a:graphicData>
            </a:graphic>
          </wp:inline>
        </w:drawing>
      </w:r>
    </w:p>
    <w:p w14:paraId="56F8463C" w14:textId="77777777" w:rsidR="008B01BE" w:rsidRPr="005975E3" w:rsidRDefault="00E64418">
      <w:pPr>
        <w:pStyle w:val="Caption"/>
        <w:rPr>
          <w:sz w:val="24"/>
          <w:szCs w:val="24"/>
        </w:rPr>
      </w:pPr>
      <w:r w:rsidRPr="005975E3">
        <w:rPr>
          <w:sz w:val="24"/>
          <w:szCs w:val="24"/>
        </w:rPr>
        <w:t xml:space="preserve">Figure </w:t>
      </w:r>
      <w:r w:rsidRPr="005975E3">
        <w:rPr>
          <w:sz w:val="24"/>
          <w:szCs w:val="24"/>
        </w:rPr>
        <w:fldChar w:fldCharType="begin"/>
      </w:r>
      <w:r w:rsidRPr="005975E3">
        <w:rPr>
          <w:sz w:val="24"/>
          <w:szCs w:val="24"/>
        </w:rPr>
        <w:instrText xml:space="preserve"> SEQ Figure \* ARABIC </w:instrText>
      </w:r>
      <w:r w:rsidRPr="005975E3">
        <w:rPr>
          <w:sz w:val="24"/>
          <w:szCs w:val="24"/>
        </w:rPr>
        <w:fldChar w:fldCharType="separate"/>
      </w:r>
      <w:r w:rsidRPr="005975E3">
        <w:rPr>
          <w:sz w:val="24"/>
          <w:szCs w:val="24"/>
        </w:rPr>
        <w:t>11</w:t>
      </w:r>
      <w:r w:rsidRPr="005975E3">
        <w:rPr>
          <w:sz w:val="24"/>
          <w:szCs w:val="24"/>
        </w:rPr>
        <w:fldChar w:fldCharType="end"/>
      </w:r>
      <w:r w:rsidRPr="005975E3">
        <w:rPr>
          <w:sz w:val="24"/>
          <w:szCs w:val="24"/>
        </w:rPr>
        <w:t>: Employment rate by nationality in UK (Source: ONS, 2022).</w:t>
      </w:r>
    </w:p>
    <w:p w14:paraId="0DAB6077" w14:textId="77777777" w:rsidR="008B01BE" w:rsidRPr="005975E3" w:rsidRDefault="00E64418">
      <w:pPr>
        <w:rPr>
          <w:rFonts w:ascii="Times New Roman" w:hAnsi="Times New Roman" w:cs="Times New Roman"/>
          <w:sz w:val="24"/>
          <w:szCs w:val="24"/>
        </w:rPr>
      </w:pPr>
      <w:r w:rsidRPr="00EA0263">
        <w:rPr>
          <w:rFonts w:ascii="Times New Roman" w:hAnsi="Times New Roman" w:cs="Times New Roman"/>
          <w:b/>
          <w:bCs/>
          <w:sz w:val="28"/>
          <w:szCs w:val="28"/>
          <w:u w:val="single"/>
        </w:rPr>
        <w:t>Disability:</w:t>
      </w:r>
      <w:r w:rsidRPr="005975E3">
        <w:rPr>
          <w:rFonts w:ascii="Times New Roman" w:hAnsi="Times New Roman" w:cs="Times New Roman"/>
          <w:sz w:val="24"/>
          <w:szCs w:val="24"/>
        </w:rPr>
        <w:t xml:space="preserve"> According to the statistics, 29.8% of gap difference was seen among employment rate for disabled people (52.6%) versus the people who are not disabled (82.5%) in 2018, which recorded the highest gap in the history. However, from 2013 to 2022, the disability gap difference reduced to 4.4% which suggests that the rate for disabled people was rising heavily (Powell and Francis-Devine, 2022). </w:t>
      </w:r>
    </w:p>
    <w:p w14:paraId="02A06198" w14:textId="77777777" w:rsidR="008B01BE" w:rsidRPr="005975E3" w:rsidRDefault="008B01BE">
      <w:pPr>
        <w:rPr>
          <w:rFonts w:ascii="Times New Roman" w:hAnsi="Times New Roman" w:cs="Times New Roman"/>
          <w:b/>
          <w:bCs/>
          <w:sz w:val="24"/>
          <w:szCs w:val="24"/>
        </w:rPr>
      </w:pPr>
    </w:p>
    <w:p w14:paraId="5DCCA5B6" w14:textId="77777777" w:rsidR="008B01BE" w:rsidRPr="005975E3" w:rsidRDefault="00E64418">
      <w:pPr>
        <w:rPr>
          <w:sz w:val="24"/>
          <w:szCs w:val="24"/>
        </w:rPr>
      </w:pPr>
      <w:r w:rsidRPr="005975E3">
        <w:rPr>
          <w:noProof/>
          <w:sz w:val="24"/>
          <w:szCs w:val="24"/>
          <w:lang w:eastAsia="en-US"/>
        </w:rPr>
        <w:drawing>
          <wp:inline distT="0" distB="0" distL="114300" distR="114300" wp14:anchorId="4D013328" wp14:editId="421476C0">
            <wp:extent cx="4093210" cy="2151380"/>
            <wp:effectExtent l="0" t="0" r="2540" b="127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2"/>
                    <pic:cNvPicPr>
                      <a:picLocks noChangeAspect="1"/>
                    </pic:cNvPicPr>
                  </pic:nvPicPr>
                  <pic:blipFill>
                    <a:blip r:embed="rId20"/>
                    <a:stretch>
                      <a:fillRect/>
                    </a:stretch>
                  </pic:blipFill>
                  <pic:spPr>
                    <a:xfrm>
                      <a:off x="0" y="0"/>
                      <a:ext cx="4093210" cy="2151380"/>
                    </a:xfrm>
                    <a:prstGeom prst="rect">
                      <a:avLst/>
                    </a:prstGeom>
                    <a:noFill/>
                    <a:ln>
                      <a:noFill/>
                    </a:ln>
                  </pic:spPr>
                </pic:pic>
              </a:graphicData>
            </a:graphic>
          </wp:inline>
        </w:drawing>
      </w:r>
    </w:p>
    <w:p w14:paraId="0EFE1861" w14:textId="77777777" w:rsidR="008B01BE" w:rsidRPr="005975E3" w:rsidRDefault="00E64418">
      <w:pPr>
        <w:pStyle w:val="Caption"/>
        <w:rPr>
          <w:sz w:val="24"/>
          <w:szCs w:val="24"/>
        </w:rPr>
      </w:pPr>
      <w:r w:rsidRPr="005975E3">
        <w:rPr>
          <w:sz w:val="24"/>
          <w:szCs w:val="24"/>
        </w:rPr>
        <w:t xml:space="preserve">Figure </w:t>
      </w:r>
      <w:r w:rsidRPr="005975E3">
        <w:rPr>
          <w:sz w:val="24"/>
          <w:szCs w:val="24"/>
        </w:rPr>
        <w:fldChar w:fldCharType="begin"/>
      </w:r>
      <w:r w:rsidRPr="005975E3">
        <w:rPr>
          <w:sz w:val="24"/>
          <w:szCs w:val="24"/>
        </w:rPr>
        <w:instrText xml:space="preserve"> SEQ Figure \* ARABIC </w:instrText>
      </w:r>
      <w:r w:rsidRPr="005975E3">
        <w:rPr>
          <w:sz w:val="24"/>
          <w:szCs w:val="24"/>
        </w:rPr>
        <w:fldChar w:fldCharType="separate"/>
      </w:r>
      <w:r w:rsidRPr="005975E3">
        <w:rPr>
          <w:sz w:val="24"/>
          <w:szCs w:val="24"/>
        </w:rPr>
        <w:t>12</w:t>
      </w:r>
      <w:r w:rsidRPr="005975E3">
        <w:rPr>
          <w:sz w:val="24"/>
          <w:szCs w:val="24"/>
        </w:rPr>
        <w:fldChar w:fldCharType="end"/>
      </w:r>
      <w:r w:rsidRPr="005975E3">
        <w:rPr>
          <w:sz w:val="24"/>
          <w:szCs w:val="24"/>
        </w:rPr>
        <w:t>: Disability gap (Source: ONS, 2022).</w:t>
      </w:r>
    </w:p>
    <w:p w14:paraId="44FA02E0" w14:textId="77777777" w:rsidR="008B01BE" w:rsidRPr="005975E3" w:rsidRDefault="008B01BE">
      <w:pPr>
        <w:rPr>
          <w:sz w:val="24"/>
          <w:szCs w:val="24"/>
        </w:rPr>
      </w:pPr>
    </w:p>
    <w:p w14:paraId="2955E77A" w14:textId="77777777" w:rsidR="00EA0263" w:rsidRDefault="00EA0263">
      <w:pPr>
        <w:outlineLvl w:val="0"/>
        <w:rPr>
          <w:rFonts w:ascii="Times New Roman" w:hAnsi="Times New Roman" w:cs="Times New Roman"/>
          <w:b/>
          <w:bCs/>
          <w:sz w:val="32"/>
          <w:szCs w:val="32"/>
        </w:rPr>
      </w:pPr>
      <w:bookmarkStart w:id="9" w:name="_Toc122246300"/>
    </w:p>
    <w:p w14:paraId="5F9E0E0F" w14:textId="77777777" w:rsidR="00EA0263" w:rsidRDefault="00EA0263">
      <w:pPr>
        <w:outlineLvl w:val="0"/>
        <w:rPr>
          <w:rFonts w:ascii="Times New Roman" w:hAnsi="Times New Roman" w:cs="Times New Roman"/>
          <w:b/>
          <w:bCs/>
          <w:sz w:val="32"/>
          <w:szCs w:val="32"/>
        </w:rPr>
      </w:pPr>
    </w:p>
    <w:p w14:paraId="464D29B6" w14:textId="77777777" w:rsidR="008B01BE" w:rsidRDefault="00E64418">
      <w:pPr>
        <w:outlineLvl w:val="0"/>
        <w:rPr>
          <w:rFonts w:ascii="Times New Roman" w:hAnsi="Times New Roman" w:cs="Times New Roman"/>
          <w:b/>
          <w:bCs/>
          <w:sz w:val="32"/>
          <w:szCs w:val="32"/>
        </w:rPr>
      </w:pPr>
      <w:r>
        <w:rPr>
          <w:rFonts w:ascii="Times New Roman" w:hAnsi="Times New Roman" w:cs="Times New Roman"/>
          <w:b/>
          <w:bCs/>
          <w:sz w:val="32"/>
          <w:szCs w:val="32"/>
        </w:rPr>
        <w:lastRenderedPageBreak/>
        <w:t>3.0 The emerging changes in Human Resourcing (HR) Strategies in the post Covid, post Brexit external environment</w:t>
      </w:r>
      <w:bookmarkEnd w:id="9"/>
    </w:p>
    <w:p w14:paraId="1945F8E5" w14:textId="77777777" w:rsidR="008B01BE" w:rsidRDefault="00E64418">
      <w:pPr>
        <w:outlineLvl w:val="1"/>
        <w:rPr>
          <w:rFonts w:ascii="Times New Roman" w:hAnsi="Times New Roman" w:cs="Times New Roman"/>
          <w:b/>
          <w:bCs/>
          <w:sz w:val="32"/>
          <w:szCs w:val="32"/>
        </w:rPr>
      </w:pPr>
      <w:bookmarkStart w:id="10" w:name="_Toc122246301"/>
      <w:r>
        <w:rPr>
          <w:rFonts w:ascii="Times New Roman" w:hAnsi="Times New Roman" w:cs="Times New Roman"/>
          <w:b/>
          <w:bCs/>
          <w:sz w:val="32"/>
          <w:szCs w:val="32"/>
        </w:rPr>
        <w:t>3.1 HR strategies in the post Covid period</w:t>
      </w:r>
      <w:bookmarkEnd w:id="10"/>
    </w:p>
    <w:p w14:paraId="2C6A3180" w14:textId="77777777"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Due to the spread of COVID-19 virus, several countries and companies have imposed necessary regulations to stop the spread of it. These include lockdown measures, quarantines, temporary closure of schools, universities and small-scale businesses, travel and flight restrictions, prohibition of mass gatherings and public events (Gourinchas, 2020). However, during the mid of the pandemic, several companies have reopened to recover from the economic shock with extreme and cautious rules and regulations (Hamouche, 2021). In this context, the pandemic has lead the human resource management practices to be challenging and difficult. As a result, the companies had to undergo several changes in order to fight with the crisis effectively and efficiently.</w:t>
      </w:r>
    </w:p>
    <w:p w14:paraId="00F9B9D8" w14:textId="3B8F80DC"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 xml:space="preserve">Due to the COVID-19, it has altered the working conditions greatly. For instance, for the business continuity, most organization should ensure that they operate in remote working conditions thus, allowing the workers to work from home (Gourinchas, 2020). However, this condition cannot be applicable to all the workforce in UK, as majority of them work in manufacturing industries or health care, where they need their physical location to work (Koirala and Acharya, 2020). As a result, of those who cannot work from home are more likely to </w:t>
      </w:r>
      <w:r w:rsidR="005E1BD8" w:rsidRPr="00EA0263">
        <w:rPr>
          <w:rFonts w:ascii="Times New Roman" w:hAnsi="Times New Roman" w:cs="Times New Roman"/>
          <w:sz w:val="24"/>
          <w:szCs w:val="24"/>
        </w:rPr>
        <w:t>lose</w:t>
      </w:r>
      <w:r w:rsidRPr="00EA0263">
        <w:rPr>
          <w:rFonts w:ascii="Times New Roman" w:hAnsi="Times New Roman" w:cs="Times New Roman"/>
          <w:sz w:val="24"/>
          <w:szCs w:val="24"/>
        </w:rPr>
        <w:t xml:space="preserve"> their jobs according to the studies conducted by Adams-Prassi and colleagues (2020). These factors drives the HR managers to restructure their working conditions to allow the employees to work efficiently despite the spread of the disease. For instance, some companies in UK allowed the remote work on alternate days/weeks and on a rotating basis, where the employees should visit the company on particular days of the month. Or else, some organizations worked on work-from-anywhere model, where the employees who wish to work remotely yet, can visit the company if there are any requirements (Przytula, Strzelec and Koscianska, 2020). The Boston Consulting group said that nearly 25% of their work-force worked remotely before the pandemic and it is expected to rise up to 50% or more in the post-covid period (Boston Group, 2020). </w:t>
      </w:r>
    </w:p>
    <w:p w14:paraId="075B4BBE" w14:textId="17891E2B" w:rsidR="008B01BE" w:rsidRDefault="005E1BD8">
      <w:pPr>
        <w:rPr>
          <w:rFonts w:ascii="Times New Roman" w:hAnsi="Times New Roman" w:cs="Times New Roman"/>
          <w:sz w:val="22"/>
          <w:szCs w:val="22"/>
        </w:rPr>
      </w:pPr>
      <w:r>
        <w:rPr>
          <w:rFonts w:ascii="SimSun" w:eastAsia="SimSun" w:hAnsi="SimSun" w:cs="SimSun"/>
          <w:noProof/>
          <w:sz w:val="24"/>
          <w:szCs w:val="24"/>
          <w:lang w:eastAsia="en-US"/>
        </w:rPr>
        <w:lastRenderedPageBreak/>
        <w:drawing>
          <wp:inline distT="0" distB="0" distL="114300" distR="114300" wp14:anchorId="02571F68" wp14:editId="0A22290E">
            <wp:extent cx="6438838" cy="4625649"/>
            <wp:effectExtent l="0" t="0" r="635" b="3810"/>
            <wp:docPr id="13"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 descr="IMG_256"/>
                    <pic:cNvPicPr>
                      <a:picLocks noChangeAspect="1"/>
                    </pic:cNvPicPr>
                  </pic:nvPicPr>
                  <pic:blipFill>
                    <a:blip r:embed="rId21"/>
                    <a:stretch>
                      <a:fillRect/>
                    </a:stretch>
                  </pic:blipFill>
                  <pic:spPr>
                    <a:xfrm>
                      <a:off x="0" y="0"/>
                      <a:ext cx="6438838" cy="4625649"/>
                    </a:xfrm>
                    <a:prstGeom prst="rect">
                      <a:avLst/>
                    </a:prstGeom>
                    <a:noFill/>
                    <a:ln w="9525">
                      <a:noFill/>
                    </a:ln>
                  </pic:spPr>
                </pic:pic>
              </a:graphicData>
            </a:graphic>
          </wp:inline>
        </w:drawing>
      </w:r>
    </w:p>
    <w:p w14:paraId="54757B4F" w14:textId="310C5117" w:rsidR="008B01BE" w:rsidRDefault="008B01BE">
      <w:pPr>
        <w:rPr>
          <w:rFonts w:ascii="SimSun" w:eastAsia="SimSun" w:hAnsi="SimSun" w:cs="SimSun"/>
          <w:sz w:val="24"/>
          <w:szCs w:val="24"/>
        </w:rPr>
      </w:pPr>
    </w:p>
    <w:p w14:paraId="3A086F63" w14:textId="77777777" w:rsidR="008B01BE" w:rsidRPr="00EA0263" w:rsidRDefault="00E64418">
      <w:pPr>
        <w:pStyle w:val="Caption"/>
        <w:rPr>
          <w:rFonts w:ascii="SimSun" w:eastAsia="SimSun" w:hAnsi="SimSun" w:cs="SimSun"/>
          <w:sz w:val="24"/>
          <w:szCs w:val="24"/>
        </w:rPr>
      </w:pPr>
      <w:r w:rsidRPr="00EA0263">
        <w:rPr>
          <w:sz w:val="24"/>
          <w:szCs w:val="24"/>
        </w:rPr>
        <w:t xml:space="preserve">Figure </w:t>
      </w:r>
      <w:r w:rsidRPr="00EA0263">
        <w:rPr>
          <w:sz w:val="24"/>
          <w:szCs w:val="24"/>
        </w:rPr>
        <w:fldChar w:fldCharType="begin"/>
      </w:r>
      <w:r w:rsidRPr="00EA0263">
        <w:rPr>
          <w:sz w:val="24"/>
          <w:szCs w:val="24"/>
        </w:rPr>
        <w:instrText xml:space="preserve"> SEQ Figure \* ARABIC </w:instrText>
      </w:r>
      <w:r w:rsidRPr="00EA0263">
        <w:rPr>
          <w:sz w:val="24"/>
          <w:szCs w:val="24"/>
        </w:rPr>
        <w:fldChar w:fldCharType="separate"/>
      </w:r>
      <w:r w:rsidRPr="00EA0263">
        <w:rPr>
          <w:sz w:val="24"/>
          <w:szCs w:val="24"/>
        </w:rPr>
        <w:t>13</w:t>
      </w:r>
      <w:r w:rsidRPr="00EA0263">
        <w:rPr>
          <w:sz w:val="24"/>
          <w:szCs w:val="24"/>
        </w:rPr>
        <w:fldChar w:fldCharType="end"/>
      </w:r>
      <w:r w:rsidRPr="00EA0263">
        <w:rPr>
          <w:sz w:val="24"/>
          <w:szCs w:val="24"/>
        </w:rPr>
        <w:t>: 'New normal' during post-covid period (Source: Hamouche, 2021).</w:t>
      </w:r>
    </w:p>
    <w:p w14:paraId="70A5F77D" w14:textId="7627D691"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 xml:space="preserve">New opportunities have been created due to the implementation of digitalization and technology which allowed to overcome the difficult situations like pandemic. It has also provided new work opportunity like “work from home” ability to the employees without going to the physical locations. As a result, it has effectively responded to crises (Guo </w:t>
      </w:r>
      <w:r w:rsidRPr="00EA0263">
        <w:rPr>
          <w:rFonts w:ascii="Times New Roman" w:hAnsi="Times New Roman" w:cs="Times New Roman"/>
          <w:i/>
          <w:iCs/>
          <w:sz w:val="24"/>
          <w:szCs w:val="24"/>
        </w:rPr>
        <w:t xml:space="preserve">et al., </w:t>
      </w:r>
      <w:r w:rsidRPr="00EA0263">
        <w:rPr>
          <w:rFonts w:ascii="Times New Roman" w:hAnsi="Times New Roman" w:cs="Times New Roman"/>
          <w:sz w:val="24"/>
          <w:szCs w:val="24"/>
        </w:rPr>
        <w:t xml:space="preserve">2020). </w:t>
      </w:r>
      <w:r w:rsidR="005E1BD8" w:rsidRPr="00EA0263">
        <w:rPr>
          <w:rFonts w:ascii="Times New Roman" w:hAnsi="Times New Roman" w:cs="Times New Roman"/>
          <w:sz w:val="24"/>
          <w:szCs w:val="24"/>
        </w:rPr>
        <w:t>For example, in 2019, the KPMG C</w:t>
      </w:r>
      <w:r w:rsidRPr="00EA0263">
        <w:rPr>
          <w:rFonts w:ascii="Times New Roman" w:hAnsi="Times New Roman" w:cs="Times New Roman"/>
          <w:sz w:val="24"/>
          <w:szCs w:val="24"/>
        </w:rPr>
        <w:t xml:space="preserve">ompany was planning to invest on HR technology which will enhance their HR analytics and automation in the next two to three years. But, after the spread of the virus, the strongly believe that technology will be a significant change in the HR strategies. Nearly 60% of their employees agreed for new innovation through digitization (KPMG, 2020). </w:t>
      </w:r>
    </w:p>
    <w:p w14:paraId="2A145E0A" w14:textId="77777777"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 xml:space="preserve">Moreover, it is important that HR managers adapt to rapidly changing environment and to implement new skills to suit those environment and allow the employees to better suit new roles and regulations. As a result, reskill and up skill procedures will have a positive impact on </w:t>
      </w:r>
      <w:r w:rsidRPr="00EA0263">
        <w:rPr>
          <w:rFonts w:ascii="Times New Roman" w:hAnsi="Times New Roman" w:cs="Times New Roman"/>
          <w:sz w:val="24"/>
          <w:szCs w:val="24"/>
        </w:rPr>
        <w:lastRenderedPageBreak/>
        <w:t xml:space="preserve">the post-pandemic era to deliver new business models and ideas (Przytula, 2018). Notably, respondents of McKinsey and company stated that 87% of them are going through skill gaps. As a solution, nearly 56% of them agreed to hire or build up new skills to overcome these challenges in the post-pandemic time (McKinsey and Company, 2020). </w:t>
      </w:r>
    </w:p>
    <w:p w14:paraId="6A686133" w14:textId="77777777" w:rsidR="008B01BE" w:rsidRDefault="008B01BE">
      <w:pPr>
        <w:rPr>
          <w:rFonts w:ascii="Times New Roman" w:hAnsi="Times New Roman" w:cs="Times New Roman"/>
          <w:sz w:val="22"/>
          <w:szCs w:val="22"/>
        </w:rPr>
      </w:pPr>
    </w:p>
    <w:p w14:paraId="4165CAE0" w14:textId="77777777" w:rsidR="008B01BE" w:rsidRDefault="00E64418">
      <w:pPr>
        <w:outlineLvl w:val="1"/>
        <w:rPr>
          <w:rFonts w:ascii="Times New Roman" w:hAnsi="Times New Roman" w:cs="Times New Roman"/>
          <w:b/>
          <w:bCs/>
          <w:sz w:val="32"/>
          <w:szCs w:val="32"/>
        </w:rPr>
      </w:pPr>
      <w:bookmarkStart w:id="11" w:name="_Toc122246302"/>
      <w:r>
        <w:rPr>
          <w:rFonts w:ascii="Times New Roman" w:hAnsi="Times New Roman" w:cs="Times New Roman"/>
          <w:b/>
          <w:bCs/>
          <w:sz w:val="32"/>
          <w:szCs w:val="32"/>
        </w:rPr>
        <w:t>3.2 HR strategies in the post Brexit period</w:t>
      </w:r>
      <w:bookmarkEnd w:id="11"/>
    </w:p>
    <w:p w14:paraId="7924DC0C" w14:textId="77777777" w:rsidR="008B01BE" w:rsidRPr="00EA0263" w:rsidRDefault="00E64418">
      <w:pPr>
        <w:rPr>
          <w:rFonts w:ascii="Times New Roman" w:eastAsia="SimSun" w:hAnsi="Times New Roman" w:cs="Times New Roman"/>
          <w:sz w:val="24"/>
          <w:szCs w:val="24"/>
        </w:rPr>
      </w:pPr>
      <w:r w:rsidRPr="00EA0263">
        <w:rPr>
          <w:rFonts w:ascii="Times New Roman" w:eastAsia="SimSun" w:hAnsi="Times New Roman" w:cs="Times New Roman"/>
          <w:sz w:val="24"/>
          <w:szCs w:val="24"/>
        </w:rPr>
        <w:t xml:space="preserve">According to the analysis of PWC (2016), the Brexit impacts the UK to remain relatively large and growing economy. However, it is not as large as if the UK were to remain in the EU. </w:t>
      </w:r>
    </w:p>
    <w:p w14:paraId="161AAF0C" w14:textId="77777777" w:rsidR="008B01BE" w:rsidRPr="00EA0263" w:rsidRDefault="00E64418">
      <w:pPr>
        <w:rPr>
          <w:sz w:val="24"/>
          <w:szCs w:val="24"/>
        </w:rPr>
      </w:pPr>
      <w:r w:rsidRPr="00EA0263">
        <w:rPr>
          <w:noProof/>
          <w:sz w:val="24"/>
          <w:szCs w:val="24"/>
          <w:lang w:eastAsia="en-US"/>
        </w:rPr>
        <w:drawing>
          <wp:inline distT="0" distB="0" distL="114300" distR="114300" wp14:anchorId="1F640FB9" wp14:editId="5CBBDF62">
            <wp:extent cx="5474970" cy="4317365"/>
            <wp:effectExtent l="0" t="0" r="1143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2"/>
                    <pic:cNvPicPr>
                      <a:picLocks noChangeAspect="1"/>
                    </pic:cNvPicPr>
                  </pic:nvPicPr>
                  <pic:blipFill>
                    <a:blip r:embed="rId22"/>
                    <a:stretch>
                      <a:fillRect/>
                    </a:stretch>
                  </pic:blipFill>
                  <pic:spPr>
                    <a:xfrm>
                      <a:off x="0" y="0"/>
                      <a:ext cx="5474970" cy="4317365"/>
                    </a:xfrm>
                    <a:prstGeom prst="rect">
                      <a:avLst/>
                    </a:prstGeom>
                    <a:noFill/>
                    <a:ln>
                      <a:noFill/>
                    </a:ln>
                  </pic:spPr>
                </pic:pic>
              </a:graphicData>
            </a:graphic>
          </wp:inline>
        </w:drawing>
      </w:r>
    </w:p>
    <w:p w14:paraId="18BA2E69" w14:textId="77777777" w:rsidR="008B01BE" w:rsidRPr="00EA0263" w:rsidRDefault="00E64418">
      <w:pPr>
        <w:pStyle w:val="Caption"/>
        <w:rPr>
          <w:sz w:val="24"/>
          <w:szCs w:val="24"/>
        </w:rPr>
      </w:pPr>
      <w:r w:rsidRPr="00EA0263">
        <w:rPr>
          <w:sz w:val="24"/>
          <w:szCs w:val="24"/>
        </w:rPr>
        <w:t xml:space="preserve">Figure </w:t>
      </w:r>
      <w:r w:rsidRPr="00EA0263">
        <w:rPr>
          <w:sz w:val="24"/>
          <w:szCs w:val="24"/>
        </w:rPr>
        <w:fldChar w:fldCharType="begin"/>
      </w:r>
      <w:r w:rsidRPr="00EA0263">
        <w:rPr>
          <w:sz w:val="24"/>
          <w:szCs w:val="24"/>
        </w:rPr>
        <w:instrText xml:space="preserve"> SEQ Figure \* ARABIC </w:instrText>
      </w:r>
      <w:r w:rsidRPr="00EA0263">
        <w:rPr>
          <w:sz w:val="24"/>
          <w:szCs w:val="24"/>
        </w:rPr>
        <w:fldChar w:fldCharType="separate"/>
      </w:r>
      <w:r w:rsidRPr="00EA0263">
        <w:rPr>
          <w:sz w:val="24"/>
          <w:szCs w:val="24"/>
        </w:rPr>
        <w:t>14</w:t>
      </w:r>
      <w:r w:rsidRPr="00EA0263">
        <w:rPr>
          <w:sz w:val="24"/>
          <w:szCs w:val="24"/>
        </w:rPr>
        <w:fldChar w:fldCharType="end"/>
      </w:r>
      <w:r w:rsidRPr="00EA0263">
        <w:rPr>
          <w:sz w:val="24"/>
          <w:szCs w:val="24"/>
        </w:rPr>
        <w:t>: Analysis of UK's economic growth (Source: PWC, 2016).</w:t>
      </w:r>
    </w:p>
    <w:p w14:paraId="39933DD3" w14:textId="5B1AAD07" w:rsidR="008B01BE" w:rsidRPr="00EA0263" w:rsidRDefault="008715BE">
      <w:pPr>
        <w:rPr>
          <w:rFonts w:ascii="Times New Roman" w:hAnsi="Times New Roman" w:cs="Times New Roman"/>
          <w:sz w:val="24"/>
          <w:szCs w:val="24"/>
        </w:rPr>
      </w:pPr>
      <w:r w:rsidRPr="00EA0263">
        <w:rPr>
          <w:rFonts w:ascii="Times New Roman" w:hAnsi="Times New Roman" w:cs="Times New Roman"/>
          <w:sz w:val="24"/>
          <w:szCs w:val="24"/>
        </w:rPr>
        <w:t xml:space="preserve">However, since </w:t>
      </w:r>
      <w:r w:rsidR="00E64418" w:rsidRPr="00EA0263">
        <w:rPr>
          <w:rFonts w:ascii="Times New Roman" w:hAnsi="Times New Roman" w:cs="Times New Roman"/>
          <w:sz w:val="24"/>
          <w:szCs w:val="24"/>
        </w:rPr>
        <w:t xml:space="preserve">exist of UK from the EU, several companies are facing uncertainties which requires them to prepare for a wide range of post Brexit scenarios. The key issues in each of the sectors in UK and the major implications of them are provided in Figure. 15. In this context, HR management in the companies of UK are critically facing a challenging environment so as to enhance their business. </w:t>
      </w:r>
    </w:p>
    <w:p w14:paraId="60B78CA9" w14:textId="77777777" w:rsidR="008B01BE" w:rsidRPr="00EA0263" w:rsidRDefault="008B01BE">
      <w:pPr>
        <w:rPr>
          <w:sz w:val="24"/>
          <w:szCs w:val="24"/>
        </w:rPr>
      </w:pPr>
    </w:p>
    <w:p w14:paraId="7C9C1465" w14:textId="77777777" w:rsidR="008B01BE" w:rsidRDefault="008B01BE"/>
    <w:p w14:paraId="0AC76134" w14:textId="77777777" w:rsidR="008B01BE" w:rsidRDefault="00E64418">
      <w:r>
        <w:rPr>
          <w:noProof/>
          <w:lang w:eastAsia="en-US"/>
        </w:rPr>
        <w:drawing>
          <wp:inline distT="0" distB="0" distL="114300" distR="114300" wp14:anchorId="2E758EC4" wp14:editId="6EF2B8B6">
            <wp:extent cx="4619625" cy="4462145"/>
            <wp:effectExtent l="0" t="0" r="9525" b="14605"/>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3"/>
                    <pic:cNvPicPr>
                      <a:picLocks noChangeAspect="1"/>
                    </pic:cNvPicPr>
                  </pic:nvPicPr>
                  <pic:blipFill>
                    <a:blip r:embed="rId23"/>
                    <a:stretch>
                      <a:fillRect/>
                    </a:stretch>
                  </pic:blipFill>
                  <pic:spPr>
                    <a:xfrm>
                      <a:off x="0" y="0"/>
                      <a:ext cx="4619625" cy="4462145"/>
                    </a:xfrm>
                    <a:prstGeom prst="rect">
                      <a:avLst/>
                    </a:prstGeom>
                    <a:noFill/>
                    <a:ln>
                      <a:noFill/>
                    </a:ln>
                  </pic:spPr>
                </pic:pic>
              </a:graphicData>
            </a:graphic>
          </wp:inline>
        </w:drawing>
      </w:r>
    </w:p>
    <w:p w14:paraId="1DE8BAC5" w14:textId="77777777" w:rsidR="008B01BE" w:rsidRPr="00EA0263" w:rsidRDefault="00E64418">
      <w:pPr>
        <w:pStyle w:val="Caption"/>
        <w:rPr>
          <w:sz w:val="24"/>
          <w:szCs w:val="24"/>
        </w:rPr>
      </w:pPr>
      <w:r w:rsidRPr="00EA0263">
        <w:rPr>
          <w:sz w:val="24"/>
          <w:szCs w:val="24"/>
        </w:rPr>
        <w:t xml:space="preserve">Figure </w:t>
      </w:r>
      <w:r w:rsidRPr="00EA0263">
        <w:rPr>
          <w:sz w:val="24"/>
          <w:szCs w:val="24"/>
        </w:rPr>
        <w:fldChar w:fldCharType="begin"/>
      </w:r>
      <w:r w:rsidRPr="00EA0263">
        <w:rPr>
          <w:sz w:val="24"/>
          <w:szCs w:val="24"/>
        </w:rPr>
        <w:instrText xml:space="preserve"> SEQ Figure \* ARABIC </w:instrText>
      </w:r>
      <w:r w:rsidRPr="00EA0263">
        <w:rPr>
          <w:sz w:val="24"/>
          <w:szCs w:val="24"/>
        </w:rPr>
        <w:fldChar w:fldCharType="separate"/>
      </w:r>
      <w:r w:rsidRPr="00EA0263">
        <w:rPr>
          <w:sz w:val="24"/>
          <w:szCs w:val="24"/>
        </w:rPr>
        <w:t>15</w:t>
      </w:r>
      <w:r w:rsidRPr="00EA0263">
        <w:rPr>
          <w:sz w:val="24"/>
          <w:szCs w:val="24"/>
        </w:rPr>
        <w:fldChar w:fldCharType="end"/>
      </w:r>
      <w:r w:rsidRPr="00EA0263">
        <w:rPr>
          <w:sz w:val="24"/>
          <w:szCs w:val="24"/>
        </w:rPr>
        <w:t>: Key issues and the implications faced during post-Brexit period (Source: PWC, 2016).</w:t>
      </w:r>
    </w:p>
    <w:p w14:paraId="0451D7DC" w14:textId="77777777"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 xml:space="preserve">With the implementation of Brexit, labor, capital, goods, and services between UK and EU have been restrained which creates a stress among the workforce in UK. Therefore, the major role of HR department is to reduce this stress among their employees while keeping the internal communications as transparent as possible (Abbot, 2019). In addition, identification of immigrants who are potentially affected by Brexit and providing them with targeted support plays a significant role in the management (Azevedo, 2019). </w:t>
      </w:r>
    </w:p>
    <w:p w14:paraId="52D2C08D" w14:textId="77777777"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 xml:space="preserve">For certain companies, a changed market focus maybe required because of the changes in the trade and investment flows due to Brexit. As a result, these companies could move their operations in the EEA to access only the local and a single market whilst some may shift outside the EEA to access foreign markets (PWC, 2016). For example, uncertainties are most commonly seen among large banks and small financial organizations. Thus, allowing the </w:t>
      </w:r>
      <w:r w:rsidRPr="00EA0263">
        <w:rPr>
          <w:rFonts w:ascii="Times New Roman" w:hAnsi="Times New Roman" w:cs="Times New Roman"/>
          <w:sz w:val="24"/>
          <w:szCs w:val="24"/>
        </w:rPr>
        <w:lastRenderedPageBreak/>
        <w:t>chances for transfers of financial white-collar jobs to Frankfurt, Dublin, Zurich or Paris (Azevedo, 2019).</w:t>
      </w:r>
    </w:p>
    <w:p w14:paraId="7A31D2D0" w14:textId="4C727EB6"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Another challenging effect of Brexit is its long term impact on talent and labor markets. In order to</w:t>
      </w:r>
      <w:r w:rsidR="008715BE" w:rsidRPr="00EA0263">
        <w:rPr>
          <w:rFonts w:ascii="Times New Roman" w:hAnsi="Times New Roman" w:cs="Times New Roman"/>
          <w:sz w:val="24"/>
          <w:szCs w:val="24"/>
        </w:rPr>
        <w:t xml:space="preserve"> assess these challenges, analyz</w:t>
      </w:r>
      <w:r w:rsidRPr="00EA0263">
        <w:rPr>
          <w:rFonts w:ascii="Times New Roman" w:hAnsi="Times New Roman" w:cs="Times New Roman"/>
          <w:sz w:val="24"/>
          <w:szCs w:val="24"/>
        </w:rPr>
        <w:t xml:space="preserve">ing the dependence on EEA and Swiss nationals, in terms of who the managers directly employ and the impact of that population has on wages and labor availability are crucial factors (PWC, 2016). Although UK is considered as an important and dynamic market in the global arena, its participation could be greatly affected. Especially through Asian economies, which include China as a major country which produces innovative, productive and high growing business models. Despite the fact that Europe and America are finding numerous sustainable routes to withstand in the economies, the promotion of Brexit greatly impact the British businesses and the population (Azevedo, 2019: CIPD, 2018). In order to mitigate this risk, the HR strategies should focus on working collaboratively with other companies and through trade associations which offers potential recruits (Abbot, 2019). </w:t>
      </w:r>
    </w:p>
    <w:p w14:paraId="64715D7C" w14:textId="2C218CFF" w:rsidR="008B01BE" w:rsidRPr="00EA0263" w:rsidRDefault="00E64418">
      <w:pPr>
        <w:rPr>
          <w:rFonts w:ascii="Times New Roman" w:hAnsi="Times New Roman" w:cs="Times New Roman"/>
          <w:sz w:val="24"/>
          <w:szCs w:val="24"/>
        </w:rPr>
      </w:pPr>
      <w:r w:rsidRPr="00EA0263">
        <w:rPr>
          <w:rFonts w:ascii="Times New Roman" w:hAnsi="Times New Roman" w:cs="Times New Roman"/>
          <w:sz w:val="24"/>
          <w:szCs w:val="24"/>
        </w:rPr>
        <w:t>On top of all these factors, leadership is a major priority of HR strategies in which it helps how the organization will react and behave to any challenges faced in its external environment. The main responsibility of such leaders is to have the confidence, target goa</w:t>
      </w:r>
      <w:r w:rsidR="00EA0263">
        <w:rPr>
          <w:rFonts w:ascii="Times New Roman" w:hAnsi="Times New Roman" w:cs="Times New Roman"/>
          <w:sz w:val="24"/>
          <w:szCs w:val="24"/>
        </w:rPr>
        <w:t>ls, positive attitude and focus</w:t>
      </w:r>
      <w:r w:rsidRPr="00EA0263">
        <w:rPr>
          <w:rFonts w:ascii="Times New Roman" w:hAnsi="Times New Roman" w:cs="Times New Roman"/>
          <w:sz w:val="24"/>
          <w:szCs w:val="24"/>
        </w:rPr>
        <w:t xml:space="preserve">ed mind in overcoming the challenges in the future. Thus, the HR strategies should focus on reinforcing the company’s values, diversity, openness and tolerance. Meanwhile concentrate on HR systems, processes, procedures, and policies of the organization and the nation (CIPD, 2018: PWC, 2016). </w:t>
      </w:r>
    </w:p>
    <w:p w14:paraId="6C1C5BD9" w14:textId="77777777" w:rsidR="008B01BE" w:rsidRDefault="008B01BE">
      <w:pPr>
        <w:rPr>
          <w:rFonts w:ascii="Times New Roman" w:hAnsi="Times New Roman" w:cs="Times New Roman"/>
          <w:sz w:val="22"/>
          <w:szCs w:val="22"/>
        </w:rPr>
      </w:pPr>
    </w:p>
    <w:p w14:paraId="16FC9310" w14:textId="61BC0630" w:rsidR="008B01BE" w:rsidRDefault="002D25AF">
      <w:pPr>
        <w:outlineLvl w:val="0"/>
        <w:rPr>
          <w:rFonts w:ascii="Times New Roman" w:hAnsi="Times New Roman" w:cs="Times New Roman"/>
          <w:b/>
          <w:bCs/>
          <w:sz w:val="32"/>
          <w:szCs w:val="32"/>
        </w:rPr>
      </w:pPr>
      <w:bookmarkStart w:id="12" w:name="_Toc122246303"/>
      <w:r>
        <w:rPr>
          <w:rFonts w:ascii="Times New Roman" w:hAnsi="Times New Roman" w:cs="Times New Roman"/>
          <w:b/>
          <w:bCs/>
          <w:sz w:val="32"/>
          <w:szCs w:val="32"/>
        </w:rPr>
        <w:t>4.0 Conclusion</w:t>
      </w:r>
      <w:bookmarkEnd w:id="12"/>
    </w:p>
    <w:p w14:paraId="72A290C5" w14:textId="0D97582C" w:rsidR="00F13CB5" w:rsidRDefault="00E64418">
      <w:pPr>
        <w:rPr>
          <w:rFonts w:ascii="Times New Roman" w:hAnsi="Times New Roman" w:cs="Times New Roman"/>
          <w:sz w:val="22"/>
          <w:szCs w:val="22"/>
        </w:rPr>
      </w:pPr>
      <w:r>
        <w:rPr>
          <w:rFonts w:ascii="Times New Roman" w:hAnsi="Times New Roman" w:cs="Times New Roman"/>
          <w:sz w:val="22"/>
          <w:szCs w:val="22"/>
        </w:rPr>
        <w:t>One of the major aims of the report was to discuss about the labor market in UK. In this manner, the report concentrated on the employment, unemployment,</w:t>
      </w:r>
      <w:r w:rsidR="008715BE">
        <w:rPr>
          <w:rFonts w:ascii="Times New Roman" w:hAnsi="Times New Roman" w:cs="Times New Roman"/>
          <w:sz w:val="22"/>
          <w:szCs w:val="22"/>
        </w:rPr>
        <w:t xml:space="preserve"> and</w:t>
      </w:r>
      <w:r>
        <w:rPr>
          <w:rFonts w:ascii="Times New Roman" w:hAnsi="Times New Roman" w:cs="Times New Roman"/>
          <w:sz w:val="22"/>
          <w:szCs w:val="22"/>
        </w:rPr>
        <w:t xml:space="preserve"> type of employment, earnings and the type of labors in the context of labor market found in UK. In addition, it provided the real data statistics which suits the relevant points aforementioned in the report. The next aspect of the report is to focus on the human resourcing strategies during the post-Covid and post Brexit period. </w:t>
      </w:r>
      <w:r w:rsidR="008715BE">
        <w:rPr>
          <w:rFonts w:ascii="Times New Roman" w:hAnsi="Times New Roman" w:cs="Times New Roman"/>
          <w:sz w:val="22"/>
          <w:szCs w:val="22"/>
        </w:rPr>
        <w:t>In such a way, the report focus</w:t>
      </w:r>
      <w:r>
        <w:rPr>
          <w:rFonts w:ascii="Times New Roman" w:hAnsi="Times New Roman" w:cs="Times New Roman"/>
          <w:sz w:val="22"/>
          <w:szCs w:val="22"/>
        </w:rPr>
        <w:t xml:space="preserve">ed about various factors which influence these two events and how the HR leaders should focus. Hence, it provided an in-depth understanding to overcome various challenges in the future. </w:t>
      </w:r>
    </w:p>
    <w:p w14:paraId="11F3D658" w14:textId="77777777" w:rsidR="007A6C40" w:rsidRDefault="007A6C40" w:rsidP="007A6C40">
      <w:pPr>
        <w:spacing w:after="0" w:line="240" w:lineRule="auto"/>
        <w:jc w:val="left"/>
        <w:rPr>
          <w:rFonts w:ascii="Times New Roman" w:hAnsi="Times New Roman" w:cs="Times New Roman"/>
          <w:sz w:val="22"/>
          <w:szCs w:val="22"/>
        </w:rPr>
      </w:pPr>
      <w:bookmarkStart w:id="13" w:name="_Toc122246304"/>
    </w:p>
    <w:p w14:paraId="5272971B" w14:textId="77777777" w:rsidR="007A6C40" w:rsidRDefault="007A6C40" w:rsidP="007A6C40">
      <w:pPr>
        <w:spacing w:after="0" w:line="240" w:lineRule="auto"/>
        <w:jc w:val="left"/>
        <w:rPr>
          <w:rFonts w:ascii="Times New Roman" w:hAnsi="Times New Roman" w:cs="Times New Roman"/>
          <w:sz w:val="22"/>
          <w:szCs w:val="22"/>
        </w:rPr>
      </w:pPr>
    </w:p>
    <w:p w14:paraId="111BB5F0" w14:textId="77777777" w:rsidR="007A6C40" w:rsidRDefault="007A6C40" w:rsidP="007A6C40">
      <w:pPr>
        <w:spacing w:after="0" w:line="240" w:lineRule="auto"/>
        <w:jc w:val="left"/>
        <w:rPr>
          <w:rFonts w:ascii="Times New Roman" w:hAnsi="Times New Roman" w:cs="Times New Roman"/>
          <w:sz w:val="22"/>
          <w:szCs w:val="22"/>
        </w:rPr>
      </w:pPr>
    </w:p>
    <w:p w14:paraId="6F1F6478" w14:textId="77777777" w:rsidR="007A6C40" w:rsidRDefault="007A6C40" w:rsidP="007A6C40">
      <w:pPr>
        <w:spacing w:after="0" w:line="240" w:lineRule="auto"/>
        <w:jc w:val="left"/>
        <w:rPr>
          <w:rFonts w:ascii="Times New Roman" w:hAnsi="Times New Roman" w:cs="Times New Roman"/>
          <w:sz w:val="22"/>
          <w:szCs w:val="22"/>
        </w:rPr>
      </w:pPr>
    </w:p>
    <w:p w14:paraId="3F53FB52" w14:textId="23C9DB6E" w:rsidR="008B01BE" w:rsidRDefault="00E64418" w:rsidP="007A6C40">
      <w:pPr>
        <w:spacing w:after="0" w:line="240" w:lineRule="auto"/>
        <w:jc w:val="left"/>
        <w:rPr>
          <w:rFonts w:ascii="Times New Roman" w:hAnsi="Times New Roman" w:cs="Times New Roman"/>
          <w:b/>
          <w:bCs/>
          <w:sz w:val="32"/>
          <w:szCs w:val="32"/>
        </w:rPr>
      </w:pPr>
      <w:r>
        <w:rPr>
          <w:rFonts w:ascii="Times New Roman" w:hAnsi="Times New Roman" w:cs="Times New Roman"/>
          <w:b/>
          <w:bCs/>
          <w:sz w:val="32"/>
          <w:szCs w:val="32"/>
        </w:rPr>
        <w:lastRenderedPageBreak/>
        <w:t>References</w:t>
      </w:r>
      <w:bookmarkEnd w:id="13"/>
    </w:p>
    <w:p w14:paraId="225E36D9" w14:textId="77777777" w:rsidR="007A6C40" w:rsidRPr="007A6C40" w:rsidRDefault="007A6C40" w:rsidP="007A6C40">
      <w:pPr>
        <w:spacing w:after="0" w:line="240" w:lineRule="auto"/>
        <w:jc w:val="left"/>
        <w:rPr>
          <w:rFonts w:ascii="Times New Roman" w:hAnsi="Times New Roman" w:cs="Times New Roman"/>
          <w:sz w:val="22"/>
          <w:szCs w:val="22"/>
        </w:rPr>
      </w:pPr>
    </w:p>
    <w:p w14:paraId="2C5320B0"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Abbot, R., 2019. Hiring Strategies After Brexit. </w:t>
      </w:r>
      <w:r>
        <w:rPr>
          <w:rFonts w:ascii="Times New Roman" w:hAnsi="Times New Roman" w:cs="Times New Roman"/>
          <w:i/>
          <w:iCs/>
          <w:sz w:val="22"/>
          <w:szCs w:val="22"/>
        </w:rPr>
        <w:t xml:space="preserve">Through Leadership. </w:t>
      </w:r>
      <w:r>
        <w:rPr>
          <w:rFonts w:ascii="Times New Roman" w:hAnsi="Times New Roman" w:cs="Times New Roman"/>
          <w:sz w:val="22"/>
          <w:szCs w:val="22"/>
        </w:rPr>
        <w:t xml:space="preserve">Available at: </w:t>
      </w:r>
      <w:hyperlink r:id="rId24" w:history="1">
        <w:r>
          <w:rPr>
            <w:rStyle w:val="Hyperlink"/>
            <w:rFonts w:ascii="Times New Roman" w:hAnsi="Times New Roman" w:cs="Times New Roman"/>
            <w:sz w:val="22"/>
            <w:szCs w:val="22"/>
          </w:rPr>
          <w:t>https://blog.v-hr.com/blog/hiring-strategies-after-brexit</w:t>
        </w:r>
      </w:hyperlink>
      <w:r>
        <w:rPr>
          <w:rFonts w:ascii="Times New Roman" w:hAnsi="Times New Roman" w:cs="Times New Roman"/>
          <w:sz w:val="22"/>
          <w:szCs w:val="22"/>
        </w:rPr>
        <w:t xml:space="preserve"> (Accessed: 5</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0C19D01D" w14:textId="77777777" w:rsidR="008B01BE" w:rsidRDefault="00E64418" w:rsidP="002D25AF">
      <w:pPr>
        <w:jc w:val="left"/>
        <w:rPr>
          <w:rFonts w:ascii="Times New Roman" w:eastAsia="SimSun" w:hAnsi="Times New Roman" w:cs="Times New Roman"/>
          <w:color w:val="222222"/>
          <w:sz w:val="22"/>
          <w:szCs w:val="22"/>
          <w:shd w:val="clear" w:color="auto" w:fill="FFFFFF"/>
        </w:rPr>
      </w:pPr>
      <w:r>
        <w:rPr>
          <w:rFonts w:ascii="Times New Roman" w:eastAsia="SimSun" w:hAnsi="Times New Roman" w:cs="Times New Roman"/>
          <w:color w:val="222222"/>
          <w:sz w:val="22"/>
          <w:szCs w:val="22"/>
          <w:shd w:val="clear" w:color="auto" w:fill="FFFFFF"/>
        </w:rPr>
        <w:t>Adams-Prassl, A., Boneva, T., Golin, M. and Rauh, C., 2020. Inequality in the impact of the coronavirus shock: Evidence from real time surveys. </w:t>
      </w:r>
      <w:r>
        <w:rPr>
          <w:rFonts w:ascii="Times New Roman" w:eastAsia="SimSun" w:hAnsi="Times New Roman" w:cs="Times New Roman"/>
          <w:i/>
          <w:iCs/>
          <w:color w:val="222222"/>
          <w:sz w:val="22"/>
          <w:szCs w:val="22"/>
          <w:shd w:val="clear" w:color="auto" w:fill="FFFFFF"/>
        </w:rPr>
        <w:t>Journal of Public economics</w:t>
      </w:r>
      <w:r>
        <w:rPr>
          <w:rFonts w:ascii="Times New Roman" w:eastAsia="SimSun" w:hAnsi="Times New Roman" w:cs="Times New Roman"/>
          <w:color w:val="222222"/>
          <w:sz w:val="22"/>
          <w:szCs w:val="22"/>
          <w:shd w:val="clear" w:color="auto" w:fill="FFFFFF"/>
        </w:rPr>
        <w:t>, </w:t>
      </w:r>
      <w:r>
        <w:rPr>
          <w:rFonts w:ascii="Times New Roman" w:eastAsia="SimSun" w:hAnsi="Times New Roman" w:cs="Times New Roman"/>
          <w:i/>
          <w:iCs/>
          <w:color w:val="222222"/>
          <w:sz w:val="22"/>
          <w:szCs w:val="22"/>
          <w:shd w:val="clear" w:color="auto" w:fill="FFFFFF"/>
        </w:rPr>
        <w:t>189</w:t>
      </w:r>
      <w:r>
        <w:rPr>
          <w:rFonts w:ascii="Times New Roman" w:eastAsia="SimSun" w:hAnsi="Times New Roman" w:cs="Times New Roman"/>
          <w:color w:val="222222"/>
          <w:sz w:val="22"/>
          <w:szCs w:val="22"/>
          <w:shd w:val="clear" w:color="auto" w:fill="FFFFFF"/>
        </w:rPr>
        <w:t xml:space="preserve">, p.104245. Available at: </w:t>
      </w:r>
      <w:hyperlink r:id="rId25" w:history="1">
        <w:r>
          <w:rPr>
            <w:rStyle w:val="Hyperlink"/>
            <w:rFonts w:ascii="Times New Roman" w:eastAsia="SimSun" w:hAnsi="Times New Roman" w:cs="Times New Roman"/>
            <w:sz w:val="22"/>
            <w:szCs w:val="22"/>
            <w:shd w:val="clear" w:color="auto" w:fill="FFFFFF"/>
          </w:rPr>
          <w:t>https://www.econstor.eu/bitstream/10419/216495/1/dp13183.pdf</w:t>
        </w:r>
      </w:hyperlink>
      <w:r>
        <w:rPr>
          <w:rFonts w:ascii="Times New Roman" w:eastAsia="SimSun" w:hAnsi="Times New Roman" w:cs="Times New Roman"/>
          <w:color w:val="222222"/>
          <w:sz w:val="22"/>
          <w:szCs w:val="22"/>
          <w:shd w:val="clear" w:color="auto" w:fill="FFFFFF"/>
        </w:rPr>
        <w:t xml:space="preserve"> </w:t>
      </w:r>
      <w:r>
        <w:rPr>
          <w:rFonts w:ascii="Times New Roman" w:hAnsi="Times New Roman" w:cs="Times New Roman"/>
          <w:sz w:val="22"/>
          <w:szCs w:val="22"/>
        </w:rPr>
        <w:t>(Accessed: 10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5551A9A6"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Azevedo, G., 2019. International HR management in times of Brexit. Available at: </w:t>
      </w:r>
      <w:hyperlink r:id="rId26" w:history="1">
        <w:r>
          <w:rPr>
            <w:rStyle w:val="Hyperlink"/>
            <w:rFonts w:ascii="Times New Roman" w:hAnsi="Times New Roman" w:cs="Times New Roman"/>
            <w:sz w:val="22"/>
            <w:szCs w:val="22"/>
          </w:rPr>
          <w:t>https://www.thehrdirector.com/features/cultural-change/hr-management-in-times-of-brexit/</w:t>
        </w:r>
      </w:hyperlink>
      <w:r>
        <w:rPr>
          <w:rFonts w:ascii="Times New Roman" w:hAnsi="Times New Roman" w:cs="Times New Roman"/>
          <w:sz w:val="22"/>
          <w:szCs w:val="22"/>
        </w:rPr>
        <w:t xml:space="preserve"> (Accessed: 5</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38E6193A"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Bank of England, 2022. Monetary Policy Report - November 2022. Available at: </w:t>
      </w:r>
      <w:hyperlink r:id="rId27" w:history="1">
        <w:r>
          <w:rPr>
            <w:rStyle w:val="Hyperlink"/>
            <w:rFonts w:ascii="Times New Roman" w:hAnsi="Times New Roman" w:cs="Times New Roman"/>
            <w:sz w:val="22"/>
            <w:szCs w:val="22"/>
          </w:rPr>
          <w:t>https://www.bankofengland.co.uk/monetary-policy-report/2022/november-2022</w:t>
        </w:r>
      </w:hyperlink>
      <w:r>
        <w:rPr>
          <w:rFonts w:ascii="Times New Roman" w:hAnsi="Times New Roman" w:cs="Times New Roman"/>
          <w:sz w:val="22"/>
          <w:szCs w:val="22"/>
        </w:rPr>
        <w:t xml:space="preserve"> (Accessed: 5</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6E628A54"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Boston Consulting Group, 2020. What 12,000 Employees Have to Say About the Future of Remote Work. Boston. Available at: </w:t>
      </w:r>
      <w:hyperlink r:id="rId28" w:history="1">
        <w:r>
          <w:rPr>
            <w:rStyle w:val="Hyperlink"/>
            <w:rFonts w:ascii="Times New Roman" w:hAnsi="Times New Roman" w:cs="Times New Roman"/>
            <w:sz w:val="22"/>
            <w:szCs w:val="22"/>
          </w:rPr>
          <w:t>https://www.bcg.com/publications/2020/valuable-productiv-ity-gains-covid-19.</w:t>
        </w:r>
      </w:hyperlink>
      <w:r>
        <w:rPr>
          <w:rFonts w:ascii="Times New Roman" w:hAnsi="Times New Roman" w:cs="Times New Roman"/>
          <w:sz w:val="22"/>
          <w:szCs w:val="22"/>
        </w:rPr>
        <w:t xml:space="preserve">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5561A490"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CIPD, 2018. Preparing for Brexit through Workforce. Available at: </w:t>
      </w:r>
      <w:hyperlink r:id="rId29" w:history="1">
        <w:r>
          <w:rPr>
            <w:rStyle w:val="Hyperlink"/>
            <w:rFonts w:ascii="Times New Roman" w:hAnsi="Times New Roman" w:cs="Times New Roman"/>
            <w:sz w:val="22"/>
            <w:szCs w:val="22"/>
          </w:rPr>
          <w:t>https://informi.co.uk/wp-content/uploads/2019/09/CIPD_Brexit_Workforce_Planning.pdf</w:t>
        </w:r>
      </w:hyperlink>
      <w:r>
        <w:rPr>
          <w:rFonts w:ascii="Times New Roman" w:hAnsi="Times New Roman" w:cs="Times New Roman"/>
          <w:sz w:val="22"/>
          <w:szCs w:val="22"/>
        </w:rPr>
        <w:t xml:space="preserve"> (Accessed: 5</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1DF2FF75" w14:textId="77777777" w:rsidR="008B01BE" w:rsidRDefault="00E64418" w:rsidP="002D25AF">
      <w:pPr>
        <w:jc w:val="left"/>
        <w:rPr>
          <w:rFonts w:ascii="Times New Roman" w:eastAsia="SimSun" w:hAnsi="Times New Roman" w:cs="Times New Roman"/>
          <w:color w:val="222222"/>
          <w:sz w:val="22"/>
          <w:szCs w:val="22"/>
          <w:shd w:val="clear" w:color="auto" w:fill="FFFFFF"/>
        </w:rPr>
      </w:pPr>
      <w:r>
        <w:rPr>
          <w:rFonts w:ascii="Times New Roman" w:eastAsia="SimSun" w:hAnsi="Times New Roman" w:cs="Times New Roman"/>
          <w:color w:val="222222"/>
          <w:sz w:val="22"/>
          <w:szCs w:val="22"/>
          <w:shd w:val="clear" w:color="auto" w:fill="FFFFFF"/>
        </w:rPr>
        <w:t>Gourinchas, P.O., 2020. Flattening the pandemic and recession curves. </w:t>
      </w:r>
      <w:r>
        <w:rPr>
          <w:rFonts w:ascii="Times New Roman" w:eastAsia="SimSun" w:hAnsi="Times New Roman" w:cs="Times New Roman"/>
          <w:i/>
          <w:iCs/>
          <w:color w:val="222222"/>
          <w:sz w:val="22"/>
          <w:szCs w:val="22"/>
          <w:shd w:val="clear" w:color="auto" w:fill="FFFFFF"/>
        </w:rPr>
        <w:t>Mitigating the COVID economic crisis: Act fast and do whatever</w:t>
      </w:r>
      <w:r>
        <w:rPr>
          <w:rFonts w:ascii="Times New Roman" w:eastAsia="SimSun" w:hAnsi="Times New Roman" w:cs="Times New Roman"/>
          <w:color w:val="222222"/>
          <w:sz w:val="22"/>
          <w:szCs w:val="22"/>
          <w:shd w:val="clear" w:color="auto" w:fill="FFFFFF"/>
        </w:rPr>
        <w:t>, </w:t>
      </w:r>
      <w:r>
        <w:rPr>
          <w:rFonts w:ascii="Times New Roman" w:eastAsia="SimSun" w:hAnsi="Times New Roman" w:cs="Times New Roman"/>
          <w:i/>
          <w:iCs/>
          <w:color w:val="222222"/>
          <w:sz w:val="22"/>
          <w:szCs w:val="22"/>
          <w:shd w:val="clear" w:color="auto" w:fill="FFFFFF"/>
        </w:rPr>
        <w:t>31</w:t>
      </w:r>
      <w:r>
        <w:rPr>
          <w:rFonts w:ascii="Times New Roman" w:eastAsia="SimSun" w:hAnsi="Times New Roman" w:cs="Times New Roman"/>
          <w:color w:val="222222"/>
          <w:sz w:val="22"/>
          <w:szCs w:val="22"/>
          <w:shd w:val="clear" w:color="auto" w:fill="FFFFFF"/>
        </w:rPr>
        <w:t xml:space="preserve">(2), pp.57-62. Available at: </w:t>
      </w:r>
      <w:hyperlink r:id="rId30" w:anchor="page=38" w:history="1">
        <w:r>
          <w:rPr>
            <w:rStyle w:val="Hyperlink"/>
            <w:rFonts w:ascii="Times New Roman" w:eastAsia="SimSun" w:hAnsi="Times New Roman" w:cs="Times New Roman"/>
            <w:sz w:val="22"/>
            <w:szCs w:val="22"/>
            <w:shd w:val="clear" w:color="auto" w:fill="FFFFFF"/>
          </w:rPr>
          <w:t>http://viet-studies.net/kinhte/COVIDEconomicCrisis.pdf#page=38</w:t>
        </w:r>
      </w:hyperlink>
      <w:r>
        <w:rPr>
          <w:rFonts w:ascii="Times New Roman" w:eastAsia="SimSun" w:hAnsi="Times New Roman" w:cs="Times New Roman"/>
          <w:color w:val="222222"/>
          <w:sz w:val="22"/>
          <w:szCs w:val="22"/>
          <w:shd w:val="clear" w:color="auto" w:fill="FFFFFF"/>
        </w:rPr>
        <w:t xml:space="preserve"> </w:t>
      </w:r>
      <w:r>
        <w:rPr>
          <w:rFonts w:ascii="Times New Roman" w:hAnsi="Times New Roman" w:cs="Times New Roman"/>
          <w:sz w:val="22"/>
          <w:szCs w:val="22"/>
        </w:rPr>
        <w:t>(Accessed: 10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0E3EE880" w14:textId="77777777" w:rsidR="008B01BE" w:rsidRDefault="00E64418" w:rsidP="002D25AF">
      <w:pPr>
        <w:jc w:val="left"/>
        <w:rPr>
          <w:rFonts w:ascii="Times New Roman" w:eastAsia="Helvetica" w:hAnsi="Times New Roman" w:cs="Times New Roman"/>
          <w:color w:val="3E0577"/>
          <w:sz w:val="22"/>
          <w:szCs w:val="22"/>
          <w:u w:val="single"/>
          <w:shd w:val="clear" w:color="auto" w:fill="FFFFFF"/>
        </w:rPr>
      </w:pPr>
      <w:r w:rsidRPr="002D25AF">
        <w:rPr>
          <w:rFonts w:ascii="Times New Roman" w:eastAsia="Helvetica" w:hAnsi="Times New Roman" w:cs="Times New Roman"/>
          <w:color w:val="202020"/>
          <w:sz w:val="22"/>
          <w:szCs w:val="22"/>
          <w:shd w:val="clear" w:color="auto" w:fill="FFFFFF"/>
          <w:lang w:val="pt-BR"/>
        </w:rPr>
        <w:t xml:space="preserve">Guo H, Yang Z, Huang R, Guo A., 2020. </w:t>
      </w:r>
      <w:r>
        <w:rPr>
          <w:rFonts w:ascii="Times New Roman" w:eastAsia="Helvetica" w:hAnsi="Times New Roman" w:cs="Times New Roman"/>
          <w:color w:val="202020"/>
          <w:sz w:val="22"/>
          <w:szCs w:val="22"/>
          <w:shd w:val="clear" w:color="auto" w:fill="FFFFFF"/>
        </w:rPr>
        <w:t xml:space="preserve">The digitalization and public crisis responses of small and medium enterprises: Implications from a COVID-19 survey. </w:t>
      </w:r>
      <w:r>
        <w:rPr>
          <w:rFonts w:ascii="Times New Roman" w:eastAsia="Helvetica" w:hAnsi="Times New Roman" w:cs="Times New Roman"/>
          <w:i/>
          <w:iCs/>
          <w:color w:val="202020"/>
          <w:sz w:val="22"/>
          <w:szCs w:val="22"/>
          <w:shd w:val="clear" w:color="auto" w:fill="FFFFFF"/>
        </w:rPr>
        <w:t>Front Bus Res China,</w:t>
      </w:r>
      <w:r>
        <w:rPr>
          <w:rFonts w:ascii="Times New Roman" w:eastAsia="Helvetica" w:hAnsi="Times New Roman" w:cs="Times New Roman"/>
          <w:color w:val="202020"/>
          <w:sz w:val="22"/>
          <w:szCs w:val="22"/>
          <w:shd w:val="clear" w:color="auto" w:fill="FFFFFF"/>
        </w:rPr>
        <w:t xml:space="preserve"> 14(1), pp.1–25. Available at: </w:t>
      </w:r>
      <w:hyperlink r:id="rId31" w:history="1">
        <w:r>
          <w:rPr>
            <w:rStyle w:val="Hyperlink"/>
            <w:rFonts w:ascii="Times New Roman" w:eastAsia="Helvetica" w:hAnsi="Times New Roman" w:cs="Times New Roman"/>
            <w:color w:val="3E0577"/>
            <w:sz w:val="22"/>
            <w:szCs w:val="22"/>
            <w:shd w:val="clear" w:color="auto" w:fill="FFFFFF"/>
          </w:rPr>
          <w:t>https://fbr.springeropen.com/articles/10.1186/s11782-020-00087-1</w:t>
        </w:r>
      </w:hyperlink>
      <w:r>
        <w:rPr>
          <w:rFonts w:ascii="Times New Roman" w:eastAsia="Helvetica" w:hAnsi="Times New Roman" w:cs="Times New Roman"/>
          <w:color w:val="3E0577"/>
          <w:sz w:val="22"/>
          <w:szCs w:val="22"/>
          <w:u w:val="single"/>
          <w:shd w:val="clear" w:color="auto" w:fill="FFFFFF"/>
        </w:rPr>
        <w:t xml:space="preserve"> </w:t>
      </w:r>
      <w:r>
        <w:rPr>
          <w:rFonts w:ascii="Times New Roman" w:hAnsi="Times New Roman" w:cs="Times New Roman"/>
          <w:sz w:val="22"/>
          <w:szCs w:val="22"/>
        </w:rPr>
        <w:t>(Accessed: 10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1E6A246F"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Hamouche, S., 2021. Human resource management and the COVID-19 crisis: Implications, challenges, opportunities, and future organizational directions.</w:t>
      </w:r>
      <w:r>
        <w:rPr>
          <w:rFonts w:ascii="Times New Roman" w:hAnsi="Times New Roman" w:cs="Times New Roman"/>
          <w:i/>
          <w:iCs/>
          <w:sz w:val="22"/>
          <w:szCs w:val="22"/>
        </w:rPr>
        <w:t xml:space="preserve"> Journal of Management &amp; Organization,</w:t>
      </w:r>
      <w:r>
        <w:rPr>
          <w:rFonts w:ascii="Times New Roman" w:hAnsi="Times New Roman" w:cs="Times New Roman"/>
          <w:sz w:val="22"/>
          <w:szCs w:val="22"/>
        </w:rPr>
        <w:t xml:space="preserve"> pp.1-16. Available at: </w:t>
      </w:r>
      <w:hyperlink r:id="rId32" w:history="1">
        <w:r>
          <w:rPr>
            <w:rStyle w:val="Hyperlink"/>
            <w:rFonts w:ascii="Times New Roman" w:hAnsi="Times New Roman" w:cs="Times New Roman"/>
            <w:sz w:val="22"/>
            <w:szCs w:val="22"/>
          </w:rPr>
          <w:t>https://www.cambridge.org/core/journals/journal-of-management-and-organization/article/human-resource-management-and-the-covid19-crisis-implications-challenges-opportunities-and-future-organizational-directions/6857481FD64558659EE4C17C6DAE9AB9</w:t>
        </w:r>
      </w:hyperlink>
      <w:r>
        <w:rPr>
          <w:rFonts w:ascii="Times New Roman" w:hAnsi="Times New Roman" w:cs="Times New Roman"/>
          <w:sz w:val="22"/>
          <w:szCs w:val="22"/>
        </w:rPr>
        <w:t xml:space="preserve">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6904770F" w14:textId="77777777" w:rsidR="008B01BE" w:rsidRDefault="00E64418" w:rsidP="002D25AF">
      <w:pPr>
        <w:jc w:val="left"/>
        <w:rPr>
          <w:rFonts w:ascii="Times New Roman" w:eastAsia="SimSun" w:hAnsi="Times New Roman" w:cs="Times New Roman"/>
          <w:color w:val="222222"/>
          <w:sz w:val="22"/>
          <w:szCs w:val="22"/>
          <w:shd w:val="clear" w:color="auto" w:fill="FFFFFF"/>
        </w:rPr>
      </w:pPr>
      <w:r>
        <w:rPr>
          <w:rFonts w:ascii="Times New Roman" w:eastAsia="SimSun" w:hAnsi="Times New Roman" w:cs="Times New Roman"/>
          <w:color w:val="222222"/>
          <w:sz w:val="22"/>
          <w:szCs w:val="22"/>
          <w:shd w:val="clear" w:color="auto" w:fill="FFFFFF"/>
        </w:rPr>
        <w:lastRenderedPageBreak/>
        <w:t xml:space="preserve">Koirala, J. and Acharya, S., 2020. Dimensions of human resource management evolved with the outbreak of COVID-19. Available at: </w:t>
      </w:r>
      <w:hyperlink r:id="rId33" w:history="1">
        <w:r>
          <w:rPr>
            <w:rStyle w:val="Hyperlink"/>
            <w:rFonts w:ascii="Times New Roman" w:eastAsia="SimSun" w:hAnsi="Times New Roman" w:cs="Times New Roman"/>
            <w:sz w:val="22"/>
            <w:szCs w:val="22"/>
            <w:shd w:val="clear" w:color="auto" w:fill="FFFFFF"/>
          </w:rPr>
          <w:t>https://papers.ssrn.com/sol3/papers.cfm?abstract_id=3584092</w:t>
        </w:r>
      </w:hyperlink>
      <w:r>
        <w:rPr>
          <w:rFonts w:ascii="Times New Roman" w:eastAsia="SimSun" w:hAnsi="Times New Roman" w:cs="Times New Roman"/>
          <w:color w:val="222222"/>
          <w:sz w:val="22"/>
          <w:szCs w:val="22"/>
          <w:shd w:val="clear" w:color="auto" w:fill="FFFFFF"/>
        </w:rPr>
        <w:t xml:space="preserve"> </w:t>
      </w:r>
      <w:r>
        <w:rPr>
          <w:rFonts w:ascii="Times New Roman" w:hAnsi="Times New Roman" w:cs="Times New Roman"/>
          <w:sz w:val="22"/>
          <w:szCs w:val="22"/>
        </w:rPr>
        <w:t>(Accessed: 10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6B587840"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KPMG, 2019. Future of HR 2020: Which path are you taking?. Available at: </w:t>
      </w:r>
      <w:hyperlink r:id="rId34" w:history="1">
        <w:r>
          <w:rPr>
            <w:rStyle w:val="Hyperlink"/>
            <w:rFonts w:ascii="Times New Roman" w:hAnsi="Times New Roman" w:cs="Times New Roman"/>
            <w:sz w:val="22"/>
            <w:szCs w:val="22"/>
          </w:rPr>
          <w:t>https://assets.kpmg/content/dam/kpmg/xx/pdf/2019/11/future-of-hr-2020.pdf</w:t>
        </w:r>
      </w:hyperlink>
      <w:r>
        <w:rPr>
          <w:rFonts w:ascii="Times New Roman" w:hAnsi="Times New Roman" w:cs="Times New Roman"/>
          <w:sz w:val="22"/>
          <w:szCs w:val="22"/>
        </w:rPr>
        <w:t xml:space="preserve">  (Accessed: 10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3C0A2E7B"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McKinsey and Company, 2020. Beyond hiring: How companies are reskilling to address talent gaps. New York. Available at: https://www.mckinsey.com/~/media/McKinsey/Business Functions/Organization/Our Insights/Beyond hiring How companies are reskilling to address talent gaps/Beyond-hiring-How-companies-are-reskilling.ashx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6DA5E8A4"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Office for National Statistics (ONS), 2022. Earnings and employment from Pay As You Earn Real Time Information, UK: February 2022. Available at: </w:t>
      </w:r>
      <w:hyperlink r:id="rId35" w:history="1">
        <w:r>
          <w:rPr>
            <w:rStyle w:val="Hyperlink"/>
            <w:rFonts w:ascii="Times New Roman" w:hAnsi="Times New Roman" w:cs="Times New Roman"/>
            <w:sz w:val="22"/>
            <w:szCs w:val="22"/>
          </w:rPr>
          <w:t>https://www.ons.gov.uk/employmentandlabourmarket/peopleinwork/earningsandworkinghours/bulletins/earningsandemploymentfrompayasyouearnrealtimeinformationuk/february2022</w:t>
        </w:r>
      </w:hyperlink>
    </w:p>
    <w:p w14:paraId="10DAD21E"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Pietschmann, I., Kapsos, S., Bourmpoula, E., Sajaia, Z. and Lokshin, M., 2016. Key Labor Market Indicators: Analysis with Household Survey Data. Available at: </w:t>
      </w:r>
      <w:hyperlink r:id="rId36" w:history="1">
        <w:r>
          <w:rPr>
            <w:rStyle w:val="Hyperlink"/>
            <w:rFonts w:ascii="Times New Roman" w:hAnsi="Times New Roman" w:cs="Times New Roman"/>
            <w:sz w:val="22"/>
            <w:szCs w:val="22"/>
          </w:rPr>
          <w:t>https://www.ilo.org/wcmsp5/groups/public/---dgreports/---dcomm/---publ/documents/publication/wcms_519717.pdf</w:t>
        </w:r>
      </w:hyperlink>
      <w:r>
        <w:rPr>
          <w:rFonts w:ascii="Times New Roman" w:hAnsi="Times New Roman" w:cs="Times New Roman"/>
          <w:sz w:val="22"/>
          <w:szCs w:val="22"/>
        </w:rPr>
        <w:t xml:space="preserve">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35BB8A29"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Powell, A. and Francis-Devine, B., 2022. UK labor market statistics. </w:t>
      </w:r>
      <w:r>
        <w:rPr>
          <w:rFonts w:ascii="Times New Roman" w:hAnsi="Times New Roman" w:cs="Times New Roman"/>
          <w:i/>
          <w:iCs/>
          <w:sz w:val="22"/>
          <w:szCs w:val="22"/>
        </w:rPr>
        <w:t xml:space="preserve">House of Commons Library. </w:t>
      </w:r>
      <w:r>
        <w:rPr>
          <w:rFonts w:ascii="Times New Roman" w:hAnsi="Times New Roman" w:cs="Times New Roman"/>
          <w:sz w:val="22"/>
          <w:szCs w:val="22"/>
        </w:rPr>
        <w:t xml:space="preserve">Available at: </w:t>
      </w:r>
      <w:hyperlink r:id="rId37" w:history="1">
        <w:r>
          <w:rPr>
            <w:rStyle w:val="Hyperlink"/>
            <w:rFonts w:ascii="Times New Roman" w:hAnsi="Times New Roman" w:cs="Times New Roman"/>
            <w:sz w:val="22"/>
            <w:szCs w:val="22"/>
          </w:rPr>
          <w:t>https://researchbriefings.files.parliament.uk/documents/CBP-9366/CBP-9366.pdf</w:t>
        </w:r>
      </w:hyperlink>
      <w:r>
        <w:rPr>
          <w:rFonts w:ascii="Times New Roman" w:hAnsi="Times New Roman" w:cs="Times New Roman"/>
          <w:sz w:val="22"/>
          <w:szCs w:val="22"/>
        </w:rPr>
        <w:t xml:space="preserve"> (Accessed: 5</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76B028BF" w14:textId="77777777" w:rsidR="008B01BE" w:rsidRDefault="00E64418" w:rsidP="002D25AF">
      <w:pPr>
        <w:jc w:val="left"/>
        <w:rPr>
          <w:rFonts w:ascii="Times New Roman" w:eastAsia="SimSun" w:hAnsi="Times New Roman" w:cs="Times New Roman"/>
          <w:color w:val="222222"/>
          <w:sz w:val="22"/>
          <w:szCs w:val="22"/>
          <w:shd w:val="clear" w:color="auto" w:fill="FFFFFF"/>
        </w:rPr>
      </w:pPr>
      <w:r>
        <w:rPr>
          <w:rFonts w:ascii="Times New Roman" w:eastAsia="SimSun" w:hAnsi="Times New Roman" w:cs="Times New Roman"/>
          <w:color w:val="222222"/>
          <w:sz w:val="22"/>
          <w:szCs w:val="22"/>
          <w:shd w:val="clear" w:color="auto" w:fill="FFFFFF"/>
        </w:rPr>
        <w:t xml:space="preserve">Przytuła, S., 2018. Global labor market trends and their signicance for the future employees’ competences. </w:t>
      </w:r>
      <w:r>
        <w:rPr>
          <w:rFonts w:ascii="Times New Roman" w:eastAsia="SimSun" w:hAnsi="Times New Roman" w:cs="Times New Roman"/>
          <w:i/>
          <w:iCs/>
          <w:color w:val="222222"/>
          <w:sz w:val="22"/>
          <w:szCs w:val="22"/>
          <w:shd w:val="clear" w:color="auto" w:fill="FFFFFF"/>
        </w:rPr>
        <w:t>Journal of Intercultural Management,</w:t>
      </w:r>
      <w:r>
        <w:rPr>
          <w:rFonts w:ascii="Times New Roman" w:eastAsia="SimSun" w:hAnsi="Times New Roman" w:cs="Times New Roman"/>
          <w:color w:val="222222"/>
          <w:sz w:val="22"/>
          <w:szCs w:val="22"/>
          <w:shd w:val="clear" w:color="auto" w:fill="FFFFFF"/>
        </w:rPr>
        <w:t xml:space="preserve"> 10(4), pp.5–38. Available at: </w:t>
      </w:r>
      <w:hyperlink r:id="rId38" w:history="1">
        <w:r>
          <w:rPr>
            <w:rStyle w:val="Hyperlink"/>
            <w:rFonts w:ascii="Times New Roman" w:eastAsia="SimSun" w:hAnsi="Times New Roman" w:cs="Times New Roman"/>
            <w:sz w:val="22"/>
            <w:szCs w:val="22"/>
            <w:shd w:val="clear" w:color="auto" w:fill="FFFFFF"/>
          </w:rPr>
          <w:t>https://www.researchgate.net/publication/350773238_Global_Labor_Market_Trends_and_Their_Significance_for_the_Future_Employees'_Competences</w:t>
        </w:r>
      </w:hyperlink>
      <w:r>
        <w:rPr>
          <w:rFonts w:ascii="Times New Roman" w:eastAsia="SimSun" w:hAnsi="Times New Roman" w:cs="Times New Roman"/>
          <w:color w:val="222222"/>
          <w:sz w:val="22"/>
          <w:szCs w:val="22"/>
          <w:shd w:val="clear" w:color="auto" w:fill="FFFFFF"/>
        </w:rPr>
        <w:t xml:space="preserve"> </w:t>
      </w:r>
      <w:r>
        <w:rPr>
          <w:rFonts w:ascii="Times New Roman" w:hAnsi="Times New Roman" w:cs="Times New Roman"/>
          <w:sz w:val="22"/>
          <w:szCs w:val="22"/>
        </w:rPr>
        <w:t>(Accessed: 10</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5F183021"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Przytula, S., Strzelec, G. and Koscianska, K., 2020. Re-vision of Future Trends in Human Resource Management (HRM) after COVID-19. </w:t>
      </w:r>
      <w:r>
        <w:rPr>
          <w:rFonts w:ascii="Times New Roman" w:hAnsi="Times New Roman" w:cs="Times New Roman"/>
          <w:i/>
          <w:iCs/>
          <w:sz w:val="22"/>
          <w:szCs w:val="22"/>
        </w:rPr>
        <w:t xml:space="preserve">Journal of Intercultural Management, </w:t>
      </w:r>
      <w:r>
        <w:rPr>
          <w:rFonts w:ascii="Times New Roman" w:hAnsi="Times New Roman" w:cs="Times New Roman"/>
          <w:sz w:val="22"/>
          <w:szCs w:val="22"/>
        </w:rPr>
        <w:t xml:space="preserve">12(4), pp.70-90. Available at: </w:t>
      </w:r>
      <w:hyperlink r:id="rId39" w:history="1">
        <w:r>
          <w:rPr>
            <w:rStyle w:val="Hyperlink"/>
            <w:rFonts w:ascii="Times New Roman" w:hAnsi="Times New Roman" w:cs="Times New Roman"/>
            <w:sz w:val="22"/>
            <w:szCs w:val="22"/>
          </w:rPr>
          <w:t>https://www.researchgate.net/publication/348730561_Re-vision_of_Future_Trends_in_Human_Resource_Management_HRM_after_COVID-19</w:t>
        </w:r>
      </w:hyperlink>
      <w:r>
        <w:rPr>
          <w:rFonts w:ascii="Times New Roman" w:hAnsi="Times New Roman" w:cs="Times New Roman"/>
          <w:sz w:val="22"/>
          <w:szCs w:val="22"/>
        </w:rPr>
        <w:t xml:space="preserve">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3DFB4EDC"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PWC, 2016. Brexit – A key role for HR. </w:t>
      </w:r>
      <w:r>
        <w:rPr>
          <w:rFonts w:ascii="Times New Roman" w:hAnsi="Times New Roman" w:cs="Times New Roman"/>
          <w:i/>
          <w:iCs/>
          <w:sz w:val="22"/>
          <w:szCs w:val="22"/>
        </w:rPr>
        <w:t xml:space="preserve">People and organisation issues to consider following the EU referendum. </w:t>
      </w:r>
      <w:r>
        <w:rPr>
          <w:rFonts w:ascii="Times New Roman" w:hAnsi="Times New Roman" w:cs="Times New Roman"/>
          <w:sz w:val="22"/>
          <w:szCs w:val="22"/>
        </w:rPr>
        <w:t xml:space="preserve">Available at: </w:t>
      </w:r>
      <w:hyperlink r:id="rId40" w:history="1">
        <w:r>
          <w:rPr>
            <w:rStyle w:val="Hyperlink"/>
            <w:rFonts w:ascii="Times New Roman" w:hAnsi="Times New Roman" w:cs="Times New Roman"/>
            <w:sz w:val="22"/>
            <w:szCs w:val="22"/>
          </w:rPr>
          <w:t>https://www.pwc.co.uk/eu-referendum/po-summary-of-brexit-and-hr-related-issues-september-2016.pdf</w:t>
        </w:r>
      </w:hyperlink>
      <w:r>
        <w:rPr>
          <w:rFonts w:ascii="Times New Roman" w:hAnsi="Times New Roman" w:cs="Times New Roman"/>
          <w:sz w:val="22"/>
          <w:szCs w:val="22"/>
        </w:rPr>
        <w:t xml:space="preserve"> (Accessed: 5</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6D0D24D6"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lastRenderedPageBreak/>
        <w:t xml:space="preserve">Wadsworth, J., 2018. Off EU Go? Brexit, the UK Labour Market and Immigration. </w:t>
      </w:r>
      <w:r>
        <w:rPr>
          <w:rFonts w:ascii="Times New Roman" w:hAnsi="Times New Roman" w:cs="Times New Roman"/>
          <w:i/>
          <w:iCs/>
          <w:sz w:val="22"/>
          <w:szCs w:val="22"/>
        </w:rPr>
        <w:t xml:space="preserve">The Journal of Applied Public Economics. </w:t>
      </w:r>
      <w:r>
        <w:rPr>
          <w:rFonts w:ascii="Times New Roman" w:hAnsi="Times New Roman" w:cs="Times New Roman"/>
          <w:sz w:val="22"/>
          <w:szCs w:val="22"/>
        </w:rPr>
        <w:t xml:space="preserve">Available at: </w:t>
      </w:r>
      <w:hyperlink r:id="rId41" w:history="1">
        <w:r>
          <w:rPr>
            <w:rStyle w:val="Hyperlink"/>
            <w:rFonts w:ascii="Times New Roman" w:hAnsi="Times New Roman" w:cs="Times New Roman"/>
            <w:sz w:val="22"/>
            <w:szCs w:val="22"/>
          </w:rPr>
          <w:t>https://onlinelibrary.wiley.com/doi/abs/10.1111/1475-5890.12177</w:t>
        </w:r>
      </w:hyperlink>
      <w:r>
        <w:rPr>
          <w:rFonts w:ascii="Times New Roman" w:hAnsi="Times New Roman" w:cs="Times New Roman"/>
          <w:sz w:val="22"/>
          <w:szCs w:val="22"/>
        </w:rPr>
        <w:t xml:space="preserve">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2C4B1A8F" w14:textId="77777777" w:rsidR="008B01BE" w:rsidRDefault="00E64418" w:rsidP="002D25AF">
      <w:pPr>
        <w:jc w:val="left"/>
        <w:rPr>
          <w:rFonts w:ascii="Times New Roman" w:hAnsi="Times New Roman" w:cs="Times New Roman"/>
          <w:sz w:val="22"/>
          <w:szCs w:val="22"/>
        </w:rPr>
      </w:pPr>
      <w:r>
        <w:rPr>
          <w:rFonts w:ascii="Times New Roman" w:hAnsi="Times New Roman" w:cs="Times New Roman"/>
          <w:sz w:val="22"/>
          <w:szCs w:val="22"/>
        </w:rPr>
        <w:t xml:space="preserve">Wilson, R., Barnes, S., Giilings, M., Patel, S. and Bui, H., 2020. Working Futures 2017-2027: Long-run labour market and skills projections for the UK. Available at: </w:t>
      </w:r>
      <w:hyperlink r:id="rId42" w:history="1">
        <w:r>
          <w:rPr>
            <w:rStyle w:val="Hyperlink"/>
            <w:rFonts w:ascii="Times New Roman" w:hAnsi="Times New Roman" w:cs="Times New Roman"/>
            <w:sz w:val="22"/>
            <w:szCs w:val="22"/>
          </w:rPr>
          <w:t>https://assets.publishing.service.gov.uk/government/uploads/system/uploads/attachment_data/file/863506/Working_Futures_Main_Report.pdf</w:t>
        </w:r>
      </w:hyperlink>
      <w:r>
        <w:rPr>
          <w:rFonts w:ascii="Times New Roman" w:hAnsi="Times New Roman" w:cs="Times New Roman"/>
          <w:sz w:val="22"/>
          <w:szCs w:val="22"/>
        </w:rPr>
        <w:t xml:space="preserve"> (Accessed: 8</w:t>
      </w:r>
      <w:r>
        <w:rPr>
          <w:rFonts w:ascii="Times New Roman" w:hAnsi="Times New Roman" w:cs="Times New Roman"/>
          <w:sz w:val="22"/>
          <w:szCs w:val="22"/>
          <w:vertAlign w:val="superscript"/>
        </w:rPr>
        <w:t>th</w:t>
      </w:r>
      <w:r>
        <w:rPr>
          <w:rFonts w:ascii="Times New Roman" w:hAnsi="Times New Roman" w:cs="Times New Roman"/>
          <w:sz w:val="22"/>
          <w:szCs w:val="22"/>
        </w:rPr>
        <w:t xml:space="preserve"> Dec 2022). </w:t>
      </w:r>
    </w:p>
    <w:p w14:paraId="58469A51" w14:textId="77777777" w:rsidR="008B01BE" w:rsidRDefault="008B01BE"/>
    <w:sectPr w:rsidR="008B01BE" w:rsidSect="00E64418">
      <w:headerReference w:type="even" r:id="rId43"/>
      <w:headerReference w:type="default" r:id="rId44"/>
      <w:footerReference w:type="even" r:id="rId45"/>
      <w:footerReference w:type="default" r:id="rId46"/>
      <w:headerReference w:type="first" r:id="rId47"/>
      <w:footerReference w:type="first" r:id="rId4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EF0FF3" w14:textId="77777777" w:rsidR="001822B6" w:rsidRDefault="001822B6">
      <w:pPr>
        <w:spacing w:line="240" w:lineRule="auto"/>
      </w:pPr>
      <w:r>
        <w:separator/>
      </w:r>
    </w:p>
  </w:endnote>
  <w:endnote w:type="continuationSeparator" w:id="0">
    <w:p w14:paraId="3DD7D6F4" w14:textId="77777777" w:rsidR="001822B6" w:rsidRDefault="001822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48A46" w14:textId="77777777" w:rsidR="00E64418" w:rsidRDefault="00E644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8DAF87" w14:textId="77777777" w:rsidR="00E64418" w:rsidRDefault="00E64418">
    <w:pPr>
      <w:pStyle w:val="Footer"/>
    </w:pPr>
    <w:r>
      <w:rPr>
        <w:noProof/>
        <w:lang w:eastAsia="en-US"/>
      </w:rPr>
      <mc:AlternateContent>
        <mc:Choice Requires="wps">
          <w:drawing>
            <wp:anchor distT="0" distB="0" distL="114300" distR="114300" simplePos="0" relativeHeight="251658752" behindDoc="0" locked="0" layoutInCell="1" allowOverlap="1" wp14:anchorId="201CA128" wp14:editId="055F4FD4">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8638C1" w14:textId="77777777" w:rsidR="00E64418" w:rsidRDefault="00E64418">
                          <w:pPr>
                            <w:pStyle w:val="Footer"/>
                          </w:pPr>
                          <w:r>
                            <w:fldChar w:fldCharType="begin"/>
                          </w:r>
                          <w:r>
                            <w:instrText xml:space="preserve"> PAGE  \* MERGEFORMAT </w:instrText>
                          </w:r>
                          <w:r>
                            <w:fldChar w:fldCharType="separate"/>
                          </w:r>
                          <w:r w:rsidR="007A6C40">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01CA128" id="_x0000_t202" coordsize="21600,21600" o:spt="202" path="m,l,21600r21600,l21600,xe">
              <v:stroke joinstyle="miter"/>
              <v:path gradientshapeok="t" o:connecttype="rect"/>
            </v:shapetype>
            <v:shape id="Text Box 1" o:spid="_x0000_s1026"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dX5UAIAAAk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" filled="f" stroked="f" strokeweight=".5pt">
              <v:textbox style="mso-fit-shape-to-text:t" inset="0,0,0,0">
                <w:txbxContent>
                  <w:p w14:paraId="348638C1" w14:textId="77777777" w:rsidR="00E64418" w:rsidRDefault="00E64418">
                    <w:pPr>
                      <w:pStyle w:val="Footer"/>
                    </w:pPr>
                    <w:r>
                      <w:fldChar w:fldCharType="begin"/>
                    </w:r>
                    <w:r>
                      <w:instrText xml:space="preserve"> PAGE  \* MERGEFORMAT </w:instrText>
                    </w:r>
                    <w:r>
                      <w:fldChar w:fldCharType="separate"/>
                    </w:r>
                    <w:r w:rsidR="007A6C40">
                      <w:rPr>
                        <w:noProof/>
                      </w:rPr>
                      <w:t>4</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36729" w14:textId="77777777" w:rsidR="00E64418" w:rsidRDefault="00E644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355E21" w14:textId="77777777" w:rsidR="001822B6" w:rsidRDefault="001822B6">
      <w:pPr>
        <w:spacing w:after="0"/>
      </w:pPr>
      <w:r>
        <w:separator/>
      </w:r>
    </w:p>
  </w:footnote>
  <w:footnote w:type="continuationSeparator" w:id="0">
    <w:p w14:paraId="4F597DEC" w14:textId="77777777" w:rsidR="001822B6" w:rsidRDefault="001822B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BF04" w14:textId="77777777" w:rsidR="00E64418" w:rsidRDefault="00E644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DDB59" w14:textId="02E98949" w:rsidR="00E64418" w:rsidRDefault="00E644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F9906" w14:textId="77777777" w:rsidR="00E64418" w:rsidRDefault="00E6441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1">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2">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3">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4">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5">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6">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7">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8">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9">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0">
    <w:nsid w:val="451B667C"/>
    <w:multiLevelType w:val="hybridMultilevel"/>
    <w:tmpl w:val="FA80C0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46C53902"/>
    <w:multiLevelType w:val="hybridMultilevel"/>
    <w:tmpl w:val="6CC411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5E6656"/>
    <w:rsid w:val="00050A31"/>
    <w:rsid w:val="000716D2"/>
    <w:rsid w:val="00071AAB"/>
    <w:rsid w:val="000827C6"/>
    <w:rsid w:val="000B6442"/>
    <w:rsid w:val="000B76C4"/>
    <w:rsid w:val="000C5610"/>
    <w:rsid w:val="000E6552"/>
    <w:rsid w:val="000F3A4F"/>
    <w:rsid w:val="000F59AC"/>
    <w:rsid w:val="00127212"/>
    <w:rsid w:val="001364FE"/>
    <w:rsid w:val="001368DD"/>
    <w:rsid w:val="00147DB3"/>
    <w:rsid w:val="001518A5"/>
    <w:rsid w:val="00170095"/>
    <w:rsid w:val="00170E4F"/>
    <w:rsid w:val="001743F4"/>
    <w:rsid w:val="001822B6"/>
    <w:rsid w:val="00187C33"/>
    <w:rsid w:val="001936B7"/>
    <w:rsid w:val="00195C08"/>
    <w:rsid w:val="00196AB1"/>
    <w:rsid w:val="00201333"/>
    <w:rsid w:val="00210FA7"/>
    <w:rsid w:val="00216417"/>
    <w:rsid w:val="0026631D"/>
    <w:rsid w:val="002A5AC8"/>
    <w:rsid w:val="002C2F53"/>
    <w:rsid w:val="002D25AF"/>
    <w:rsid w:val="00321F55"/>
    <w:rsid w:val="0033518C"/>
    <w:rsid w:val="003437C2"/>
    <w:rsid w:val="00377186"/>
    <w:rsid w:val="003A1C03"/>
    <w:rsid w:val="00402476"/>
    <w:rsid w:val="00414627"/>
    <w:rsid w:val="00425D63"/>
    <w:rsid w:val="00435F45"/>
    <w:rsid w:val="0045646B"/>
    <w:rsid w:val="004643D8"/>
    <w:rsid w:val="00497C24"/>
    <w:rsid w:val="004C7BA5"/>
    <w:rsid w:val="004E7628"/>
    <w:rsid w:val="004F48F2"/>
    <w:rsid w:val="005149B1"/>
    <w:rsid w:val="005647F2"/>
    <w:rsid w:val="005662D1"/>
    <w:rsid w:val="00573A09"/>
    <w:rsid w:val="005975E3"/>
    <w:rsid w:val="005A4526"/>
    <w:rsid w:val="005C1B16"/>
    <w:rsid w:val="005E1BD8"/>
    <w:rsid w:val="005E53D0"/>
    <w:rsid w:val="006002EB"/>
    <w:rsid w:val="006128EF"/>
    <w:rsid w:val="006264B4"/>
    <w:rsid w:val="00643033"/>
    <w:rsid w:val="00644CC3"/>
    <w:rsid w:val="00661468"/>
    <w:rsid w:val="006649F0"/>
    <w:rsid w:val="0067245D"/>
    <w:rsid w:val="0068470E"/>
    <w:rsid w:val="00695DCD"/>
    <w:rsid w:val="006A05CC"/>
    <w:rsid w:val="006A35A7"/>
    <w:rsid w:val="007115C9"/>
    <w:rsid w:val="007152D7"/>
    <w:rsid w:val="00746C14"/>
    <w:rsid w:val="007A6C40"/>
    <w:rsid w:val="007C2C59"/>
    <w:rsid w:val="00801F23"/>
    <w:rsid w:val="00837632"/>
    <w:rsid w:val="0085640F"/>
    <w:rsid w:val="008567AA"/>
    <w:rsid w:val="008715BE"/>
    <w:rsid w:val="00892712"/>
    <w:rsid w:val="008A680A"/>
    <w:rsid w:val="008B01BE"/>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4080E"/>
    <w:rsid w:val="00C56C7E"/>
    <w:rsid w:val="00C776A4"/>
    <w:rsid w:val="00CA2C6C"/>
    <w:rsid w:val="00CB647C"/>
    <w:rsid w:val="00CC0600"/>
    <w:rsid w:val="00CC78AC"/>
    <w:rsid w:val="00CF7953"/>
    <w:rsid w:val="00D07232"/>
    <w:rsid w:val="00D10245"/>
    <w:rsid w:val="00D21BDD"/>
    <w:rsid w:val="00D65953"/>
    <w:rsid w:val="00D65F07"/>
    <w:rsid w:val="00D92BB7"/>
    <w:rsid w:val="00DC76D2"/>
    <w:rsid w:val="00DD30ED"/>
    <w:rsid w:val="00E03ABF"/>
    <w:rsid w:val="00E64418"/>
    <w:rsid w:val="00E64C21"/>
    <w:rsid w:val="00EA0263"/>
    <w:rsid w:val="00EC24C6"/>
    <w:rsid w:val="00EC5F7E"/>
    <w:rsid w:val="00EE7857"/>
    <w:rsid w:val="00EF2933"/>
    <w:rsid w:val="00F015C0"/>
    <w:rsid w:val="00F05146"/>
    <w:rsid w:val="00F1115D"/>
    <w:rsid w:val="00F13CB5"/>
    <w:rsid w:val="00F3513C"/>
    <w:rsid w:val="00F465C5"/>
    <w:rsid w:val="00F5180D"/>
    <w:rsid w:val="00F51B21"/>
    <w:rsid w:val="00F51D87"/>
    <w:rsid w:val="00F8455C"/>
    <w:rsid w:val="01B85F94"/>
    <w:rsid w:val="027F4BE6"/>
    <w:rsid w:val="05163217"/>
    <w:rsid w:val="06DA4CEB"/>
    <w:rsid w:val="087A758A"/>
    <w:rsid w:val="0D39738B"/>
    <w:rsid w:val="0E7D63D0"/>
    <w:rsid w:val="0EE53EE8"/>
    <w:rsid w:val="13496586"/>
    <w:rsid w:val="19E35985"/>
    <w:rsid w:val="1B36520D"/>
    <w:rsid w:val="1DE00795"/>
    <w:rsid w:val="1F0E0F96"/>
    <w:rsid w:val="1F342C07"/>
    <w:rsid w:val="1FA232CE"/>
    <w:rsid w:val="20497766"/>
    <w:rsid w:val="235E6656"/>
    <w:rsid w:val="284D7AAB"/>
    <w:rsid w:val="2BE121FF"/>
    <w:rsid w:val="2BFD78DC"/>
    <w:rsid w:val="2EB931C8"/>
    <w:rsid w:val="31A919F1"/>
    <w:rsid w:val="351E3332"/>
    <w:rsid w:val="36424464"/>
    <w:rsid w:val="37B31C40"/>
    <w:rsid w:val="38842D73"/>
    <w:rsid w:val="3A7C455A"/>
    <w:rsid w:val="3B9F5EFF"/>
    <w:rsid w:val="3E8379A2"/>
    <w:rsid w:val="3F2C57D3"/>
    <w:rsid w:val="3FCC0BF2"/>
    <w:rsid w:val="3FE96023"/>
    <w:rsid w:val="41B75356"/>
    <w:rsid w:val="41E51355"/>
    <w:rsid w:val="44E07304"/>
    <w:rsid w:val="45E36925"/>
    <w:rsid w:val="47BD3387"/>
    <w:rsid w:val="484F00E6"/>
    <w:rsid w:val="4C3F2E6D"/>
    <w:rsid w:val="4D463437"/>
    <w:rsid w:val="50584A31"/>
    <w:rsid w:val="50E96559"/>
    <w:rsid w:val="551E67B9"/>
    <w:rsid w:val="552568E3"/>
    <w:rsid w:val="552705DC"/>
    <w:rsid w:val="5A7A5D25"/>
    <w:rsid w:val="5B5A00FB"/>
    <w:rsid w:val="5D223C5B"/>
    <w:rsid w:val="5E690237"/>
    <w:rsid w:val="5F320812"/>
    <w:rsid w:val="5FF960DE"/>
    <w:rsid w:val="62122F41"/>
    <w:rsid w:val="62A87FB3"/>
    <w:rsid w:val="6723329A"/>
    <w:rsid w:val="68CE5D27"/>
    <w:rsid w:val="69704227"/>
    <w:rsid w:val="6AE47E80"/>
    <w:rsid w:val="6C4722FE"/>
    <w:rsid w:val="6C867F0A"/>
    <w:rsid w:val="71762034"/>
    <w:rsid w:val="735E14AC"/>
    <w:rsid w:val="7AC857BC"/>
    <w:rsid w:val="7DF620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526AE1"/>
  <w15:docId w15:val="{049ECDC9-E377-4945-AEFB-7216A767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qFormat="1"/>
    <w:lsdException w:name="index 2" w:qFormat="1"/>
    <w:lsdException w:name="index 3" w:qFormat="1"/>
    <w:lsdException w:name="index 4" w:qFormat="1"/>
    <w:lsdException w:name="index 6" w:qFormat="1"/>
    <w:lsdException w:name="index 7" w:qFormat="1"/>
    <w:lsdException w:name="index 8" w:qFormat="1"/>
    <w:lsdException w:name="toc 1" w:uiPriority="39"/>
    <w:lsdException w:name="toc 2" w:uiPriority="39"/>
    <w:lsdException w:name="toc 4" w:qFormat="1"/>
    <w:lsdException w:name="toc 5" w:qFormat="1"/>
    <w:lsdException w:name="toc 6" w:qFormat="1"/>
    <w:lsdException w:name="toc 7" w:qFormat="1"/>
    <w:lsdException w:name="index heading" w:qFormat="1"/>
    <w:lsdException w:name="caption" w:semiHidden="1" w:unhideWhenUsed="1" w:qFormat="1"/>
    <w:lsdException w:name="envelope address" w:qFormat="1"/>
    <w:lsdException w:name="annotation reference" w:qFormat="1"/>
    <w:lsdException w:name="line number" w:qFormat="1"/>
    <w:lsdException w:name="toa heading" w:qFormat="1"/>
    <w:lsdException w:name="List" w:qFormat="1"/>
    <w:lsdException w:name="List Bullet" w:qFormat="1"/>
    <w:lsdException w:name="List Number" w:qFormat="1"/>
    <w:lsdException w:name="List 2" w:qFormat="1"/>
    <w:lsdException w:name="List 4" w:qFormat="1"/>
    <w:lsdException w:name="List 5" w:qFormat="1"/>
    <w:lsdException w:name="List Bullet 2" w:qFormat="1"/>
    <w:lsdException w:name="List Number 2" w:qFormat="1"/>
    <w:lsdException w:name="Title" w:qFormat="1"/>
    <w:lsdException w:name="Closing" w:qFormat="1"/>
    <w:lsdException w:name="Default Paragraph Font" w:semiHidden="1"/>
    <w:lsdException w:name="List Continue" w:qFormat="1"/>
    <w:lsdException w:name="List Continue 2" w:qFormat="1"/>
    <w:lsdException w:name="List Continue 4" w:qFormat="1"/>
    <w:lsdException w:name="List Continue 5" w:qFormat="1"/>
    <w:lsdException w:name="Subtitle" w:qFormat="1"/>
    <w:lsdException w:name="Body Text First Indent 2" w:qFormat="1"/>
    <w:lsdException w:name="Note Heading" w:qFormat="1"/>
    <w:lsdException w:name="Body Text 3" w:qFormat="1"/>
    <w:lsdException w:name="Body Text Indent 3"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HTML Typewriter" w:qFormat="1"/>
    <w:lsdException w:name="HTML Variable"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qFormat="1"/>
    <w:lsdException w:name="Table Columns 2" w:semiHidden="1" w:unhideWhenUsed="1"/>
    <w:lsdException w:name="Table Columns 3" w:semiHidden="1" w:unhideWhenUsed="1" w:qFormat="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qFormat="1"/>
    <w:lsdException w:name="Table Grid 6" w:semiHidden="1" w:unhideWhenUsed="1" w:qFormat="1"/>
    <w:lsdException w:name="Table Grid 7" w:semiHidden="1" w:unhideWhenUsed="1"/>
    <w:lsdException w:name="Table Grid 8" w:semiHidden="1" w:unhideWhenUsed="1"/>
    <w:lsdException w:name="Table List 1" w:semiHidden="1" w:unhideWhenUsed="1"/>
    <w:lsdException w:name="Table List 2" w:semiHidden="1" w:unhideWhenUsed="1" w:qFormat="1"/>
    <w:lsdException w:name="Table List 3" w:semiHidden="1" w:unhideWhenUsed="1" w:qFormat="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qFormat="1"/>
    <w:lsdException w:name="Table Subtle 1" w:semiHidden="1" w:unhideWhenUsed="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Table Grid" w:qFormat="1"/>
    <w:lsdException w:name="Table Theme" w:semiHidden="1" w:unhideWhenUsed="1" w:qFormat="1"/>
    <w:lsdException w:name="Placeholder Text" w:semiHidden="1" w:uiPriority="99"/>
    <w:lsdException w:name="No Spacing" w:uiPriority="99"/>
    <w:lsdException w:name="Light Shading" w:uiPriority="60" w:qFormat="1"/>
    <w:lsdException w:name="Light List" w:uiPriority="61" w:qFormat="1"/>
    <w:lsdException w:name="Light Grid" w:uiPriority="62" w:qFormat="1"/>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qFormat="1"/>
    <w:lsdException w:name="Light Grid Accent 1" w:uiPriority="62" w:qFormat="1"/>
    <w:lsdException w:name="Medium Shading 1 Accent 1" w:uiPriority="63" w:qFormat="1"/>
    <w:lsdException w:name="Medium Shading 2 Accent 1" w:uiPriority="64" w:qFormat="1"/>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qFormat="1"/>
    <w:lsdException w:name="Medium Shading 1 Accent 2" w:uiPriority="63"/>
    <w:lsdException w:name="Medium Shading 2 Accent 2" w:uiPriority="64" w:qFormat="1"/>
    <w:lsdException w:name="Medium List 1 Accent 2" w:uiPriority="65"/>
    <w:lsdException w:name="Medium List 2 Accent 2" w:uiPriority="66" w:qFormat="1"/>
    <w:lsdException w:name="Medium Grid 1 Accent 2" w:uiPriority="67" w:qFormat="1"/>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qFormat="1"/>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qFormat="1"/>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lsdException w:name="Medium Shading 1 Accent 4" w:uiPriority="63" w:qFormat="1"/>
    <w:lsdException w:name="Medium Shading 2 Accent 4" w:uiPriority="64" w:qFormat="1"/>
    <w:lsdException w:name="Medium List 1 Accent 4" w:uiPriority="65" w:qFormat="1"/>
    <w:lsdException w:name="Medium List 2 Accent 4" w:uiPriority="66" w:qFormat="1"/>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lsdException w:name="Light List Accent 5" w:uiPriority="61" w:qFormat="1"/>
    <w:lsdException w:name="Light Grid Accent 5" w:uiPriority="62" w:qFormat="1"/>
    <w:lsdException w:name="Medium Shading 1 Accent 5" w:uiPriority="63" w:qFormat="1"/>
    <w:lsdException w:name="Medium Shading 2 Accent 5" w:uiPriority="64"/>
    <w:lsdException w:name="Medium List 1 Accent 5" w:uiPriority="65"/>
    <w:lsdException w:name="Medium List 2 Accent 5" w:uiPriority="66" w:qFormat="1"/>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qFormat="1"/>
    <w:lsdException w:name="Light Grid Accent 6" w:uiPriority="62" w:qFormat="1"/>
    <w:lsdException w:name="Medium Shading 1 Accent 6" w:uiPriority="63" w:qFormat="1"/>
    <w:lsdException w:name="Medium Shading 2 Accent 6" w:uiPriority="64" w:qFormat="1"/>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360" w:lineRule="auto"/>
      <w:jc w:val="both"/>
    </w:pPr>
    <w:rPr>
      <w:rFonts w:asciiTheme="minorHAnsi" w:eastAsiaTheme="minorEastAsia" w:hAnsiTheme="minorHAnsi" w:cstheme="minorBidi"/>
      <w:lang w:val="en-US"/>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semiHidden/>
    <w:unhideWhenUsed/>
    <w:qFormat/>
    <w:pPr>
      <w:keepNext/>
      <w:keepLines/>
      <w:spacing w:before="260" w:after="260" w:line="416" w:lineRule="auto"/>
      <w:outlineLvl w:val="1"/>
    </w:pPr>
    <w:rPr>
      <w:b/>
      <w:bCs/>
      <w:sz w:val="32"/>
      <w:szCs w:val="32"/>
    </w:rPr>
  </w:style>
  <w:style w:type="paragraph" w:styleId="Heading3">
    <w:name w:val="heading 3"/>
    <w:basedOn w:val="Normal"/>
    <w:next w:val="Normal"/>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sz w:val="16"/>
      <w:szCs w:val="16"/>
    </w:rPr>
  </w:style>
  <w:style w:type="paragraph" w:styleId="BlockText">
    <w:name w:val="Block Text"/>
    <w:basedOn w:val="Normal"/>
    <w:pPr>
      <w:ind w:leftChars="700" w:left="1440" w:rightChars="700" w:right="1440"/>
    </w:pPr>
  </w:style>
  <w:style w:type="paragraph" w:styleId="BodyText">
    <w:name w:val="Body Text"/>
    <w:basedOn w:val="Normal"/>
  </w:style>
  <w:style w:type="paragraph" w:styleId="BodyText2">
    <w:name w:val="Body Text 2"/>
    <w:basedOn w:val="Normal"/>
    <w:pPr>
      <w:spacing w:line="480" w:lineRule="auto"/>
    </w:pPr>
  </w:style>
  <w:style w:type="paragraph" w:styleId="BodyText3">
    <w:name w:val="Body Text 3"/>
    <w:basedOn w:val="Normal"/>
    <w:qFormat/>
    <w:rPr>
      <w:sz w:val="16"/>
      <w:szCs w:val="16"/>
    </w:rPr>
  </w:style>
  <w:style w:type="paragraph" w:styleId="BodyTextFirstIndent">
    <w:name w:val="Body Text First Indent"/>
    <w:basedOn w:val="BodyText"/>
    <w:pPr>
      <w:ind w:firstLineChars="100" w:firstLine="420"/>
    </w:pPr>
  </w:style>
  <w:style w:type="paragraph" w:styleId="BodyTextIndent">
    <w:name w:val="Body Text Indent"/>
    <w:basedOn w:val="Normal"/>
    <w:pPr>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pPr>
      <w:spacing w:line="480" w:lineRule="auto"/>
      <w:ind w:leftChars="200" w:left="420"/>
    </w:pPr>
  </w:style>
  <w:style w:type="paragraph" w:styleId="BodyTextIndent3">
    <w:name w:val="Body Text Indent 3"/>
    <w:basedOn w:val="Normal"/>
    <w:qFormat/>
    <w:pPr>
      <w:ind w:leftChars="200" w:left="420"/>
    </w:pPr>
    <w:rPr>
      <w:sz w:val="16"/>
      <w:szCs w:val="16"/>
    </w:rPr>
  </w:style>
  <w:style w:type="paragraph" w:styleId="Caption">
    <w:name w:val="caption"/>
    <w:basedOn w:val="Normal"/>
    <w:next w:val="Normal"/>
    <w:semiHidden/>
    <w:unhideWhenUsed/>
    <w:qFormat/>
    <w:rPr>
      <w:rFonts w:ascii="Arial" w:eastAsia="SimHei" w:hAnsi="Arial" w:cs="Arial"/>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pPr>
      <w:jc w:val="left"/>
    </w:pPr>
  </w:style>
  <w:style w:type="paragraph" w:styleId="CommentSubject">
    <w:name w:val="annotation subject"/>
    <w:basedOn w:val="CommentText"/>
    <w:next w:val="CommentText"/>
    <w:rPr>
      <w:b/>
      <w:bCs/>
    </w:rPr>
  </w:style>
  <w:style w:type="paragraph" w:styleId="Date">
    <w:name w:val="Date"/>
    <w:basedOn w:val="Normal"/>
    <w:next w:val="Normal"/>
    <w:pPr>
      <w:ind w:leftChars="2500" w:left="100"/>
    </w:pPr>
  </w:style>
  <w:style w:type="paragraph" w:styleId="DocumentMap">
    <w:name w:val="Document Map"/>
    <w:basedOn w:val="Normal"/>
    <w:pPr>
      <w:shd w:val="clear" w:color="auto" w:fill="000080"/>
    </w:pPr>
  </w:style>
  <w:style w:type="paragraph" w:styleId="E-mailSignature">
    <w:name w:val="E-mail Signature"/>
    <w:basedOn w:val="Normal"/>
  </w:style>
  <w:style w:type="character" w:styleId="Emphasis">
    <w:name w:val="Emphasis"/>
    <w:basedOn w:val="DefaultParagraphFont"/>
    <w:qFormat/>
    <w:rPr>
      <w:i/>
      <w:iCs/>
    </w:rPr>
  </w:style>
  <w:style w:type="character" w:styleId="EndnoteReference">
    <w:name w:val="endnote reference"/>
    <w:basedOn w:val="DefaultParagraphFont"/>
    <w:rPr>
      <w:vertAlign w:val="superscript"/>
    </w:rPr>
  </w:style>
  <w:style w:type="paragraph" w:styleId="EndnoteText">
    <w:name w:val="endnote text"/>
    <w:basedOn w:val="Normal"/>
    <w:pPr>
      <w:snapToGrid w:val="0"/>
      <w:jc w:val="left"/>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pPr>
      <w:snapToGrid w:val="0"/>
    </w:pPr>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pPr>
      <w:tabs>
        <w:tab w:val="center" w:pos="4153"/>
        <w:tab w:val="right" w:pos="8306"/>
      </w:tabs>
      <w:snapToGrid w:val="0"/>
      <w:jc w:val="left"/>
    </w:pPr>
    <w:rPr>
      <w:sz w:val="18"/>
      <w:szCs w:val="18"/>
    </w:rPr>
  </w:style>
  <w:style w:type="character" w:styleId="FootnoteReference">
    <w:name w:val="footnote reference"/>
    <w:basedOn w:val="DefaultParagraphFont"/>
    <w:rPr>
      <w:vertAlign w:val="superscript"/>
    </w:rPr>
  </w:style>
  <w:style w:type="paragraph" w:styleId="FootnoteText">
    <w:name w:val="footnote text"/>
    <w:basedOn w:val="Normal"/>
    <w:pPr>
      <w:snapToGrid w:val="0"/>
      <w:jc w:val="left"/>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qFormat/>
    <w:rPr>
      <w:rFonts w:ascii="Courier New" w:hAnsi="Courier New" w:cs="Courier New"/>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basedOn w:val="DefaultParagraphFont"/>
    <w:uiPriority w:val="99"/>
    <w:qForma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qFormat/>
    <w:pPr>
      <w:ind w:leftChars="200" w:left="420"/>
    </w:pPr>
  </w:style>
  <w:style w:type="paragraph" w:styleId="ListContinue2">
    <w:name w:val="List Continue 2"/>
    <w:basedOn w:val="Normal"/>
    <w:qFormat/>
    <w:pPr>
      <w:ind w:leftChars="400" w:left="840"/>
    </w:pPr>
  </w:style>
  <w:style w:type="paragraph" w:styleId="ListContinue3">
    <w:name w:val="List Continue 3"/>
    <w:basedOn w:val="Normal"/>
    <w:pPr>
      <w:ind w:leftChars="600" w:left="1260"/>
    </w:pPr>
  </w:style>
  <w:style w:type="paragraph" w:styleId="ListContinue4">
    <w:name w:val="List Continue 4"/>
    <w:basedOn w:val="Normal"/>
    <w:qFormat/>
    <w:pPr>
      <w:ind w:leftChars="800" w:left="1680"/>
    </w:pPr>
  </w:style>
  <w:style w:type="paragraph" w:styleId="ListContinue5">
    <w:name w:val="List Continue 5"/>
    <w:basedOn w:val="Normal"/>
    <w:qFormat/>
    <w:pPr>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after="120" w:line="360" w:lineRule="auto"/>
      <w:jc w:val="both"/>
    </w:pPr>
    <w:rPr>
      <w:rFonts w:ascii="Courier New" w:eastAsiaTheme="minorEastAsia" w:hAnsi="Courier New" w:cs="Courier New"/>
      <w:kern w:val="2"/>
      <w:sz w:val="24"/>
      <w:szCs w:val="24"/>
      <w:lang w:val="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style>
  <w:style w:type="paragraph" w:styleId="PlainText">
    <w:name w:val="Plain Text"/>
    <w:basedOn w:val="Normal"/>
    <w:rPr>
      <w:rFonts w:ascii="SimSun" w:hAnsi="Courier New" w:cs="Courier New"/>
      <w:szCs w:val="21"/>
    </w:rPr>
  </w:style>
  <w:style w:type="paragraph" w:styleId="Salutation">
    <w:name w:val="Salutation"/>
    <w:basedOn w:val="Normal"/>
    <w:next w:val="Normal"/>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pPr>
      <w:widowControl w:val="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pPr>
      <w:widowControl w:val="0"/>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pPr>
      <w:widowControl w:val="0"/>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pPr>
      <w:widowControl w:val="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pPr>
      <w:widowControl w:val="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pPr>
      <w:widowControl w:val="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pPr>
      <w:widowControl w:val="0"/>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pPr>
      <w:widowControl w:val="0"/>
      <w:jc w:val="both"/>
    </w:pPr>
    <w:tblPr>
      <w:tblStyleColBandSize w:val="1"/>
      <w:tblInd w:w="0" w:type="dxa"/>
      <w:tblCellMar>
        <w:top w:w="0" w:type="dxa"/>
        <w:left w:w="108" w:type="dxa"/>
        <w:bottom w:w="0" w:type="dxa"/>
        <w:right w:w="108" w:type="dxa"/>
      </w:tblCellMar>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widowControl w:val="0"/>
      <w:jc w:val="both"/>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widowControl w:val="0"/>
      <w:jc w:val="both"/>
    </w:p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pPr>
      <w:widowControl w:val="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pPr>
      <w:widowControl w:val="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pPr>
      <w:widowControl w:val="0"/>
      <w:jc w:val="both"/>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pPr>
      <w:widowControl w:val="0"/>
      <w:jc w:val="both"/>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pPr>
      <w:ind w:leftChars="200" w:left="200" w:hangingChars="200" w:hanging="200"/>
    </w:pPr>
  </w:style>
  <w:style w:type="table" w:styleId="TableProfessional">
    <w:name w:val="Table Professional"/>
    <w:basedOn w:val="TableNormal"/>
    <w:qFormat/>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Ind w:w="0" w:type="dxa"/>
      <w:tblCellMar>
        <w:top w:w="0" w:type="dxa"/>
        <w:left w:w="108" w:type="dxa"/>
        <w:bottom w:w="0" w:type="dxa"/>
        <w:right w:w="108" w:type="dxa"/>
      </w:tblCellMa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pPr>
      <w:widowControl w:val="0"/>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qFormat/>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qFormat/>
    <w:pPr>
      <w:spacing w:before="120"/>
    </w:pPr>
    <w:rPr>
      <w:rFonts w:ascii="Arial" w:hAnsi="Arial" w:cs="Arial"/>
      <w:sz w:val="24"/>
      <w:szCs w:val="24"/>
    </w:r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paragraph" w:styleId="TOC3">
    <w:name w:val="toc 3"/>
    <w:basedOn w:val="Normal"/>
    <w:next w:val="Normal"/>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qFormat/>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qFormat/>
    <w:rPr>
      <w:color w:val="76923C"/>
    </w:rPr>
    <w:tblPr>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Ind w:w="0" w:type="dxa"/>
      <w:tblBorders>
        <w:top w:val="single" w:sz="8" w:space="0" w:color="F79646"/>
        <w:bottom w:val="single" w:sz="8" w:space="0" w:color="F7964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tblPr>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Ind w:w="0" w:type="dxa"/>
      <w:tblBorders>
        <w:top w:val="single" w:sz="8" w:space="0" w:color="CF7B79"/>
        <w:left w:val="single" w:sz="8" w:space="0" w:color="CF7B79"/>
        <w:bottom w:val="single" w:sz="8" w:space="0" w:color="CF7B79"/>
        <w:right w:val="single" w:sz="8" w:space="0" w:color="CF7B79"/>
        <w:insideH w:val="single" w:sz="8" w:space="0" w:color="CF7B7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Ind w:w="0" w:type="dxa"/>
      <w:tblBorders>
        <w:top w:val="single" w:sz="8" w:space="0" w:color="F9B074"/>
        <w:left w:val="single" w:sz="8" w:space="0" w:color="F9B074"/>
        <w:bottom w:val="single" w:sz="8" w:space="0" w:color="F9B074"/>
        <w:right w:val="single" w:sz="8" w:space="0" w:color="F9B074"/>
        <w:insideH w:val="single" w:sz="8" w:space="0" w:color="F9B07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Pr>
      <w:color w:val="000000"/>
    </w:rPr>
    <w:tblPr>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Ind w:w="0" w:type="dxa"/>
      <w:tblBorders>
        <w:top w:val="single" w:sz="8" w:space="0" w:color="9BBB59"/>
        <w:bottom w:val="single" w:sz="8" w:space="0" w:color="9BBB59"/>
      </w:tblBorders>
      <w:tblCellMar>
        <w:top w:w="0" w:type="dxa"/>
        <w:left w:w="108" w:type="dxa"/>
        <w:bottom w:w="0" w:type="dxa"/>
        <w:right w:w="108" w:type="dxa"/>
      </w:tblCellMar>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Ind w:w="0" w:type="dxa"/>
      <w:tblBorders>
        <w:top w:val="single" w:sz="8" w:space="0" w:color="8064A2"/>
        <w:bottom w:val="single" w:sz="8" w:space="0" w:color="8064A2"/>
      </w:tblBorders>
      <w:tblCellMar>
        <w:top w:w="0" w:type="dxa"/>
        <w:left w:w="108" w:type="dxa"/>
        <w:bottom w:w="0" w:type="dxa"/>
        <w:right w:w="108" w:type="dxa"/>
      </w:tblCellMar>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Ind w:w="0" w:type="dxa"/>
      <w:tblBorders>
        <w:top w:val="single" w:sz="8" w:space="0" w:color="F79646"/>
        <w:bottom w:val="single" w:sz="8" w:space="0" w:color="F79646"/>
      </w:tblBorders>
      <w:tblCellMar>
        <w:top w:w="0" w:type="dxa"/>
        <w:left w:w="108" w:type="dxa"/>
        <w:bottom w:w="0" w:type="dxa"/>
        <w:right w:w="108" w:type="dxa"/>
      </w:tblCellMar>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olor w:val="000000"/>
    </w:rPr>
    <w:tblPr>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olor w:val="000000"/>
    </w:rPr>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olor w:val="000000"/>
    </w:rPr>
    <w:tblPr>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olor w:val="000000"/>
    </w:rPr>
    <w:tblPr>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olor w:val="000000"/>
    </w:rPr>
    <w:tblPr>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olor w:val="000000"/>
    </w:rPr>
    <w:tblPr>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olor w:val="000000"/>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Ind w:w="0" w:type="dxa"/>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CellMar>
        <w:top w:w="0" w:type="dxa"/>
        <w:left w:w="108" w:type="dxa"/>
        <w:bottom w:w="0" w:type="dxa"/>
        <w:right w:w="108" w:type="dxa"/>
      </w:tblCellMar>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Ind w:w="0" w:type="dxa"/>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CellMar>
        <w:top w:w="0" w:type="dxa"/>
        <w:left w:w="108" w:type="dxa"/>
        <w:bottom w:w="0" w:type="dxa"/>
        <w:right w:w="108" w:type="dxa"/>
      </w:tblCellMar>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olor w:val="000000"/>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olor w:val="000000"/>
    </w:rPr>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olor w:val="000000"/>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olor w:val="000000"/>
    </w:rPr>
    <w:tblPr>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olor w:val="000000"/>
    </w:rPr>
    <w:tblPr>
      <w:tblInd w:w="0" w:type="dxa"/>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CellMar>
        <w:top w:w="0" w:type="dxa"/>
        <w:left w:w="108" w:type="dxa"/>
        <w:bottom w:w="0" w:type="dxa"/>
        <w:right w:w="108" w:type="dxa"/>
      </w:tblCellMar>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olor w:val="000000"/>
    </w:rPr>
    <w:tblPr>
      <w:tblInd w:w="0" w:type="dxa"/>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CellMar>
        <w:top w:w="0" w:type="dxa"/>
        <w:left w:w="108" w:type="dxa"/>
        <w:bottom w:w="0" w:type="dxa"/>
        <w:right w:w="108" w:type="dxa"/>
      </w:tblCellMar>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olor w:val="000000"/>
    </w:rPr>
    <w:tblPr>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Ind w:w="0" w:type="dxa"/>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CellMar>
        <w:top w:w="0" w:type="dxa"/>
        <w:left w:w="108" w:type="dxa"/>
        <w:bottom w:w="0" w:type="dxa"/>
        <w:right w:w="108" w:type="dxa"/>
      </w:tblCellMar>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Ind w:w="0" w:type="dxa"/>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CellMar>
        <w:top w:w="0" w:type="dxa"/>
        <w:left w:w="108" w:type="dxa"/>
        <w:bottom w:w="0" w:type="dxa"/>
        <w:right w:w="108" w:type="dxa"/>
      </w:tblCellMar>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Ind w:w="0" w:type="dxa"/>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CellMar>
        <w:top w:w="0" w:type="dxa"/>
        <w:left w:w="108" w:type="dxa"/>
        <w:bottom w:w="0" w:type="dxa"/>
        <w:right w:w="108" w:type="dxa"/>
      </w:tblCellMar>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Ind w:w="0" w:type="dxa"/>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CellMar>
        <w:top w:w="0" w:type="dxa"/>
        <w:left w:w="108" w:type="dxa"/>
        <w:bottom w:w="0" w:type="dxa"/>
        <w:right w:w="108" w:type="dxa"/>
      </w:tblCellMar>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Ind w:w="0" w:type="dxa"/>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CellMar>
        <w:top w:w="0" w:type="dxa"/>
        <w:left w:w="108" w:type="dxa"/>
        <w:bottom w:w="0" w:type="dxa"/>
        <w:right w:w="108" w:type="dxa"/>
      </w:tblCellMar>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Ind w:w="0" w:type="dxa"/>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CellMar>
        <w:top w:w="0" w:type="dxa"/>
        <w:left w:w="108" w:type="dxa"/>
        <w:bottom w:w="0" w:type="dxa"/>
        <w:right w:w="108" w:type="dxa"/>
      </w:tblCellMar>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tblInd w:w="0" w:type="dxa"/>
      <w:tblCellMar>
        <w:top w:w="0" w:type="dxa"/>
        <w:left w:w="108" w:type="dxa"/>
        <w:bottom w:w="0" w:type="dxa"/>
        <w:right w:w="108" w:type="dxa"/>
      </w:tblCellMar>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WPSOffice1">
    <w:name w:val="WPSOffice手动目录 1"/>
  </w:style>
  <w:style w:type="paragraph" w:customStyle="1" w:styleId="WPSOffice2">
    <w:name w:val="WPSOffice手动目录 2"/>
    <w:pPr>
      <w:ind w:leftChars="200" w:left="200"/>
    </w:pPr>
  </w:style>
  <w:style w:type="paragraph" w:styleId="ListParagraph">
    <w:name w:val="List Paragraph"/>
    <w:basedOn w:val="Normal"/>
    <w:uiPriority w:val="34"/>
    <w:qFormat/>
    <w:rsid w:val="00D65953"/>
    <w:pPr>
      <w:spacing w:after="200" w:line="276" w:lineRule="auto"/>
      <w:ind w:left="720"/>
      <w:contextualSpacing/>
      <w:jc w:val="left"/>
    </w:pPr>
    <w:rPr>
      <w:rFonts w:eastAsiaTheme="minorHAnsi"/>
      <w:sz w:val="22"/>
      <w:szCs w:val="22"/>
      <w:lang w:val="en-GB" w:eastAsia="en-US"/>
    </w:rPr>
  </w:style>
  <w:style w:type="paragraph" w:customStyle="1" w:styleId="Normal1">
    <w:name w:val="Normal1"/>
    <w:rsid w:val="00127212"/>
    <w:pPr>
      <w:spacing w:line="276" w:lineRule="auto"/>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thehrdirector.com/features/cultural-change/hr-management-in-times-of-brexit/" TargetMode="External"/><Relationship Id="rId39" Type="http://schemas.openxmlformats.org/officeDocument/2006/relationships/hyperlink" Target="https://www.researchgate.net/publication/348730561_Re-vision_of_Future_Trends_in_Human_Resource_Management_HRM_after_COVID-19" TargetMode="Externa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yperlink" Target="https://assets.kpmg/content/dam/kpmg/xx/pdf/2019/11/future-of-hr-2020.pdf" TargetMode="External"/><Relationship Id="rId42" Type="http://schemas.openxmlformats.org/officeDocument/2006/relationships/hyperlink" Target="https://assets.publishing.service.gov.uk/government/uploads/system/uploads/attachment_data/file/863506/Working_Futures_Main_Report.pdf"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constor.eu/bitstream/10419/216495/1/dp13183.pdf" TargetMode="External"/><Relationship Id="rId33" Type="http://schemas.openxmlformats.org/officeDocument/2006/relationships/hyperlink" Target="https://papers.ssrn.com/sol3/papers.cfm?abstract_id=3584092" TargetMode="External"/><Relationship Id="rId38" Type="http://schemas.openxmlformats.org/officeDocument/2006/relationships/hyperlink" Target="https://www.researchgate.net/publication/350773238_Global_Labor_Market_Trends_and_Their_Significance_for_the_Future_Employees'_Competences"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informi.co.uk/wp-content/uploads/2019/09/CIPD_Brexit_Workforce_Planning.pdf" TargetMode="External"/><Relationship Id="rId41" Type="http://schemas.openxmlformats.org/officeDocument/2006/relationships/hyperlink" Target="https://onlinelibrary.wiley.com/doi/abs/10.1111/1475-5890.121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log.v-hr.com/blog/hiring-strategies-after-brexit" TargetMode="External"/><Relationship Id="rId32" Type="http://schemas.openxmlformats.org/officeDocument/2006/relationships/hyperlink" Target="https://www.cambridge.org/core/journals/journal-of-management-and-organization/article/human-resource-management-and-the-covid19-crisis-implications-challenges-opportunities-and-future-organizational-directions/6857481FD64558659EE4C17C6DAE9AB9" TargetMode="External"/><Relationship Id="rId37" Type="http://schemas.openxmlformats.org/officeDocument/2006/relationships/hyperlink" Target="https://researchbriefings.files.parliament.uk/documents/CBP-9366/CBP-9366.pdf" TargetMode="External"/><Relationship Id="rId40" Type="http://schemas.openxmlformats.org/officeDocument/2006/relationships/hyperlink" Target="https://www.pwc.co.uk/eu-referendum/po-summary-of-brexit-and-hr-related-issues-september-2016.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bcg.com/publications/2020/valuable-productiv-ity-gains-covid-19." TargetMode="External"/><Relationship Id="rId36" Type="http://schemas.openxmlformats.org/officeDocument/2006/relationships/hyperlink" Target="https://www.ilo.org/wcmsp5/groups/public/---dgreports/---dcomm/---publ/documents/publication/wcms_519717.pdf"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fbr.springeropen.com/articles/10.1186/s11782-020-00087-1"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bankofengland.co.uk/monetary-policy-report/2022/november-2022" TargetMode="External"/><Relationship Id="rId30" Type="http://schemas.openxmlformats.org/officeDocument/2006/relationships/hyperlink" Target="http://viet-studies.net/kinhte/COVIDEconomicCrisis.pdf" TargetMode="External"/><Relationship Id="rId35" Type="http://schemas.openxmlformats.org/officeDocument/2006/relationships/hyperlink" Target="https://www.ons.gov.uk/employmentandlabourmarket/peopleinwork/earningsandworkinghours/bulletins/earningsandemploymentfrompayasyouearnrealtimeinformationuk/february2022"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21</Pages>
  <Words>4632</Words>
  <Characters>26403</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Fabiola Fernando</dc:creator>
  <cp:lastModifiedBy>user</cp:lastModifiedBy>
  <cp:revision>5</cp:revision>
  <dcterms:created xsi:type="dcterms:W3CDTF">2023-01-03T11:38:00Z</dcterms:created>
  <dcterms:modified xsi:type="dcterms:W3CDTF">2023-01-03T14:38:00Z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C0B1D852FBDB4824998664A63259894E</vt:lpwstr>
  </property>
  <property fmtid="{D5CDD505-2E9C-101B-9397-08002B2CF9AE}" pid="4" name="MSIP_Label_3741da7a-79c1-417c-b408-16c0bfe99fca_Enabled">
    <vt:lpwstr>true</vt:lpwstr>
  </property>
  <property fmtid="{D5CDD505-2E9C-101B-9397-08002B2CF9AE}" pid="5" name="MSIP_Label_3741da7a-79c1-417c-b408-16c0bfe99fca_SetDate">
    <vt:lpwstr>2022-12-18T03:27:59Z</vt:lpwstr>
  </property>
  <property fmtid="{D5CDD505-2E9C-101B-9397-08002B2CF9AE}" pid="6" name="MSIP_Label_3741da7a-79c1-417c-b408-16c0bfe99fca_Method">
    <vt:lpwstr>Standard</vt:lpwstr>
  </property>
  <property fmtid="{D5CDD505-2E9C-101B-9397-08002B2CF9AE}" pid="7" name="MSIP_Label_3741da7a-79c1-417c-b408-16c0bfe99fca_Name">
    <vt:lpwstr>Internal Only - Amber</vt:lpwstr>
  </property>
  <property fmtid="{D5CDD505-2E9C-101B-9397-08002B2CF9AE}" pid="8" name="MSIP_Label_3741da7a-79c1-417c-b408-16c0bfe99fca_SiteId">
    <vt:lpwstr>1e355c04-e0a4-42ed-8e2d-7351591f0ef1</vt:lpwstr>
  </property>
  <property fmtid="{D5CDD505-2E9C-101B-9397-08002B2CF9AE}" pid="9" name="MSIP_Label_3741da7a-79c1-417c-b408-16c0bfe99fca_ActionId">
    <vt:lpwstr>ce8272b6-aa9a-419e-a53e-b67ce492b3ff</vt:lpwstr>
  </property>
  <property fmtid="{D5CDD505-2E9C-101B-9397-08002B2CF9AE}" pid="10" name="MSIP_Label_3741da7a-79c1-417c-b408-16c0bfe99fca_ContentBits">
    <vt:lpwstr>0</vt:lpwstr>
  </property>
</Properties>
</file>