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22" w:type="dxa"/>
        <w:tblInd w:w="-2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1559"/>
        <w:gridCol w:w="2948"/>
      </w:tblGrid>
      <w:tr w:rsidR="00E9609C" w:rsidRPr="00937C38" w14:paraId="053EDB71" w14:textId="77777777" w:rsidTr="00E9609C">
        <w:tc>
          <w:tcPr>
            <w:tcW w:w="2093" w:type="dxa"/>
            <w:shd w:val="clear" w:color="auto" w:fill="D9D9D9" w:themeFill="background1" w:themeFillShade="D9"/>
          </w:tcPr>
          <w:p w14:paraId="07215881"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Student name:</w:t>
            </w:r>
          </w:p>
        </w:tc>
        <w:tc>
          <w:tcPr>
            <w:tcW w:w="3322" w:type="dxa"/>
          </w:tcPr>
          <w:p w14:paraId="254D1459"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szCs w:val="24"/>
              </w:rPr>
              <w:t>Hammad Talib</w:t>
            </w:r>
          </w:p>
        </w:tc>
        <w:tc>
          <w:tcPr>
            <w:tcW w:w="1559" w:type="dxa"/>
            <w:shd w:val="clear" w:color="auto" w:fill="D9D9D9" w:themeFill="background1" w:themeFillShade="D9"/>
          </w:tcPr>
          <w:p w14:paraId="191258C0"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Student ID number:</w:t>
            </w:r>
          </w:p>
        </w:tc>
        <w:tc>
          <w:tcPr>
            <w:tcW w:w="2948" w:type="dxa"/>
          </w:tcPr>
          <w:p w14:paraId="6FE37CFD"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szCs w:val="24"/>
              </w:rPr>
              <w:t>2423857</w:t>
            </w:r>
          </w:p>
        </w:tc>
      </w:tr>
      <w:tr w:rsidR="00E9609C" w:rsidRPr="00937C38" w14:paraId="2EBC93E0" w14:textId="77777777" w:rsidTr="00E9609C">
        <w:tc>
          <w:tcPr>
            <w:tcW w:w="2093" w:type="dxa"/>
            <w:shd w:val="clear" w:color="auto" w:fill="D9D9D9" w:themeFill="background1" w:themeFillShade="D9"/>
          </w:tcPr>
          <w:p w14:paraId="57753652"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Programme:</w:t>
            </w:r>
          </w:p>
        </w:tc>
        <w:tc>
          <w:tcPr>
            <w:tcW w:w="7829" w:type="dxa"/>
            <w:gridSpan w:val="3"/>
            <w:vAlign w:val="center"/>
          </w:tcPr>
          <w:p w14:paraId="46B1D170" w14:textId="77777777" w:rsidR="00E9609C" w:rsidRPr="00937C38" w:rsidRDefault="00E9609C" w:rsidP="002C283F">
            <w:pPr>
              <w:spacing w:before="120" w:after="120" w:line="360" w:lineRule="auto"/>
              <w:jc w:val="both"/>
              <w:rPr>
                <w:rFonts w:asciiTheme="majorBidi" w:hAnsiTheme="majorBidi" w:cstheme="majorBidi"/>
                <w:bCs/>
                <w:szCs w:val="24"/>
              </w:rPr>
            </w:pPr>
            <w:r w:rsidRPr="00937C38">
              <w:rPr>
                <w:rFonts w:asciiTheme="majorBidi" w:eastAsia="Arial" w:hAnsiTheme="majorBidi" w:cstheme="majorBidi"/>
                <w:bCs/>
                <w:szCs w:val="24"/>
              </w:rPr>
              <w:t xml:space="preserve">BA (Hons) Leadership and Management Skills in the Workplace </w:t>
            </w:r>
          </w:p>
        </w:tc>
      </w:tr>
      <w:tr w:rsidR="00E9609C" w:rsidRPr="00937C38" w14:paraId="6F8CACFF" w14:textId="77777777" w:rsidTr="00E9609C">
        <w:tc>
          <w:tcPr>
            <w:tcW w:w="2093" w:type="dxa"/>
            <w:shd w:val="clear" w:color="auto" w:fill="D9D9D9" w:themeFill="background1" w:themeFillShade="D9"/>
          </w:tcPr>
          <w:p w14:paraId="1381B838" w14:textId="77777777" w:rsidR="00E9609C" w:rsidRPr="00937C38" w:rsidRDefault="00E9609C"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Module:</w:t>
            </w:r>
          </w:p>
        </w:tc>
        <w:tc>
          <w:tcPr>
            <w:tcW w:w="7829" w:type="dxa"/>
            <w:gridSpan w:val="3"/>
            <w:vAlign w:val="center"/>
          </w:tcPr>
          <w:p w14:paraId="7284E687" w14:textId="77777777" w:rsidR="00E9609C" w:rsidRPr="00937C38" w:rsidRDefault="00E9609C" w:rsidP="002C283F">
            <w:pPr>
              <w:spacing w:before="120" w:after="120" w:line="360" w:lineRule="auto"/>
              <w:jc w:val="both"/>
              <w:rPr>
                <w:rFonts w:asciiTheme="majorBidi" w:hAnsiTheme="majorBidi" w:cstheme="majorBidi"/>
                <w:bCs/>
                <w:szCs w:val="24"/>
              </w:rPr>
            </w:pPr>
            <w:r w:rsidRPr="00937C38">
              <w:rPr>
                <w:rFonts w:asciiTheme="majorBidi" w:eastAsia="Arial" w:hAnsiTheme="majorBidi" w:cstheme="majorBidi"/>
                <w:bCs/>
                <w:szCs w:val="24"/>
              </w:rPr>
              <w:t xml:space="preserve">Project Management  </w:t>
            </w:r>
          </w:p>
        </w:tc>
      </w:tr>
      <w:tr w:rsidR="00754BFB" w:rsidRPr="00937C38" w14:paraId="43B677D7" w14:textId="77777777" w:rsidTr="00C8580F">
        <w:tc>
          <w:tcPr>
            <w:tcW w:w="2093" w:type="dxa"/>
            <w:shd w:val="clear" w:color="auto" w:fill="D9D9D9" w:themeFill="background1" w:themeFillShade="D9"/>
          </w:tcPr>
          <w:p w14:paraId="02D59878" w14:textId="77777777" w:rsidR="00754BFB" w:rsidRPr="00937C38" w:rsidRDefault="00754BFB"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Module code:</w:t>
            </w:r>
          </w:p>
        </w:tc>
        <w:tc>
          <w:tcPr>
            <w:tcW w:w="7829" w:type="dxa"/>
            <w:gridSpan w:val="3"/>
          </w:tcPr>
          <w:p w14:paraId="3DF23A78" w14:textId="77777777" w:rsidR="00754BFB" w:rsidRPr="00937C38" w:rsidRDefault="00754BFB" w:rsidP="002C283F">
            <w:pPr>
              <w:spacing w:before="120" w:after="120" w:line="360" w:lineRule="auto"/>
              <w:jc w:val="both"/>
              <w:rPr>
                <w:rFonts w:asciiTheme="majorBidi" w:hAnsiTheme="majorBidi" w:cstheme="majorBidi"/>
                <w:bCs/>
                <w:szCs w:val="24"/>
              </w:rPr>
            </w:pPr>
            <w:r w:rsidRPr="00937C38">
              <w:rPr>
                <w:rFonts w:asciiTheme="majorBidi" w:hAnsiTheme="majorBidi" w:cstheme="majorBidi"/>
                <w:bCs/>
                <w:szCs w:val="24"/>
              </w:rPr>
              <w:t>LCLM5003</w:t>
            </w:r>
            <w:r w:rsidRPr="00937C38">
              <w:rPr>
                <w:rFonts w:asciiTheme="majorBidi" w:eastAsia="Arial" w:hAnsiTheme="majorBidi" w:cstheme="majorBidi"/>
                <w:bCs/>
                <w:szCs w:val="24"/>
              </w:rPr>
              <w:t xml:space="preserve"> </w:t>
            </w:r>
          </w:p>
          <w:p w14:paraId="389EEB52" w14:textId="2D372268" w:rsidR="00754BFB" w:rsidRPr="00937C38" w:rsidRDefault="00754BFB" w:rsidP="002C283F">
            <w:pPr>
              <w:spacing w:before="120" w:after="120" w:line="360" w:lineRule="auto"/>
              <w:jc w:val="both"/>
              <w:rPr>
                <w:rFonts w:asciiTheme="majorBidi" w:hAnsiTheme="majorBidi" w:cstheme="majorBidi"/>
                <w:bCs/>
                <w:szCs w:val="24"/>
              </w:rPr>
            </w:pPr>
          </w:p>
        </w:tc>
      </w:tr>
      <w:tr w:rsidR="0026375F" w:rsidRPr="00937C38" w14:paraId="30D4DF81" w14:textId="77777777" w:rsidTr="00C8580F">
        <w:tc>
          <w:tcPr>
            <w:tcW w:w="2093" w:type="dxa"/>
            <w:shd w:val="clear" w:color="auto" w:fill="D9D9D9" w:themeFill="background1" w:themeFillShade="D9"/>
          </w:tcPr>
          <w:p w14:paraId="4A023451" w14:textId="7407B8D1" w:rsidR="0026375F" w:rsidRPr="00937C38" w:rsidRDefault="0026375F" w:rsidP="002C283F">
            <w:pPr>
              <w:spacing w:before="120" w:after="120" w:line="360" w:lineRule="auto"/>
              <w:jc w:val="both"/>
              <w:rPr>
                <w:rFonts w:asciiTheme="majorBidi" w:hAnsiTheme="majorBidi" w:cstheme="majorBidi"/>
                <w:b/>
                <w:szCs w:val="24"/>
              </w:rPr>
            </w:pPr>
            <w:r w:rsidRPr="0026375F">
              <w:rPr>
                <w:rFonts w:asciiTheme="majorBidi" w:hAnsiTheme="majorBidi" w:cstheme="majorBidi"/>
                <w:b/>
                <w:szCs w:val="24"/>
              </w:rPr>
              <w:t>Lecturer Name</w:t>
            </w:r>
          </w:p>
        </w:tc>
        <w:tc>
          <w:tcPr>
            <w:tcW w:w="7829" w:type="dxa"/>
            <w:gridSpan w:val="3"/>
          </w:tcPr>
          <w:p w14:paraId="519DE130" w14:textId="1357FF3E" w:rsidR="0026375F" w:rsidRPr="00937C38" w:rsidRDefault="0026375F" w:rsidP="002C283F">
            <w:pPr>
              <w:spacing w:before="120" w:after="120" w:line="360" w:lineRule="auto"/>
              <w:jc w:val="both"/>
              <w:rPr>
                <w:rFonts w:asciiTheme="majorBidi" w:hAnsiTheme="majorBidi" w:cstheme="majorBidi"/>
                <w:bCs/>
                <w:szCs w:val="24"/>
              </w:rPr>
            </w:pPr>
            <w:r w:rsidRPr="0026375F">
              <w:rPr>
                <w:rFonts w:asciiTheme="majorBidi" w:hAnsiTheme="majorBidi" w:cstheme="majorBidi"/>
                <w:bCs/>
                <w:szCs w:val="24"/>
              </w:rPr>
              <w:t xml:space="preserve">Kareem </w:t>
            </w:r>
            <w:r>
              <w:rPr>
                <w:rFonts w:asciiTheme="majorBidi" w:hAnsiTheme="majorBidi" w:cstheme="majorBidi"/>
                <w:bCs/>
                <w:szCs w:val="24"/>
              </w:rPr>
              <w:t>S</w:t>
            </w:r>
            <w:r w:rsidRPr="0026375F">
              <w:rPr>
                <w:rFonts w:asciiTheme="majorBidi" w:hAnsiTheme="majorBidi" w:cstheme="majorBidi"/>
                <w:bCs/>
                <w:szCs w:val="24"/>
              </w:rPr>
              <w:t>ani</w:t>
            </w:r>
          </w:p>
        </w:tc>
      </w:tr>
      <w:tr w:rsidR="00E9609C" w:rsidRPr="00937C38" w14:paraId="5ED3BC54" w14:textId="77777777" w:rsidTr="00E9609C">
        <w:tc>
          <w:tcPr>
            <w:tcW w:w="2093" w:type="dxa"/>
            <w:shd w:val="clear" w:color="auto" w:fill="D9D9D9" w:themeFill="background1" w:themeFillShade="D9"/>
          </w:tcPr>
          <w:p w14:paraId="4A203EC8"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b/>
                <w:bCs/>
                <w:color w:val="000000" w:themeColor="text1"/>
                <w:szCs w:val="24"/>
              </w:rPr>
              <w:t xml:space="preserve"> Module Leaders:</w:t>
            </w:r>
          </w:p>
        </w:tc>
        <w:tc>
          <w:tcPr>
            <w:tcW w:w="3322" w:type="dxa"/>
            <w:vAlign w:val="center"/>
          </w:tcPr>
          <w:p w14:paraId="1A91738D"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color w:val="000000" w:themeColor="text1"/>
                <w:szCs w:val="24"/>
              </w:rPr>
              <w:t>Samson Oladejo</w:t>
            </w:r>
          </w:p>
          <w:p w14:paraId="590A9601"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color w:val="000000" w:themeColor="text1"/>
                <w:szCs w:val="24"/>
              </w:rPr>
              <w:t xml:space="preserve">Dr. Xavier </w:t>
            </w:r>
            <w:proofErr w:type="spellStart"/>
            <w:r w:rsidRPr="00937C38">
              <w:rPr>
                <w:rFonts w:asciiTheme="majorBidi" w:eastAsia="Arial" w:hAnsiTheme="majorBidi" w:cstheme="majorBidi"/>
                <w:color w:val="000000" w:themeColor="text1"/>
                <w:szCs w:val="24"/>
              </w:rPr>
              <w:t>Matieni</w:t>
            </w:r>
            <w:proofErr w:type="spellEnd"/>
          </w:p>
          <w:p w14:paraId="06297D88"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p>
        </w:tc>
        <w:tc>
          <w:tcPr>
            <w:tcW w:w="1559" w:type="dxa"/>
            <w:shd w:val="clear" w:color="auto" w:fill="D9D9D9" w:themeFill="background1" w:themeFillShade="D9"/>
            <w:vAlign w:val="center"/>
          </w:tcPr>
          <w:p w14:paraId="00C183BB"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b/>
                <w:bCs/>
                <w:color w:val="000000" w:themeColor="text1"/>
                <w:szCs w:val="24"/>
              </w:rPr>
              <w:t>Internal Verifier:</w:t>
            </w:r>
          </w:p>
        </w:tc>
        <w:tc>
          <w:tcPr>
            <w:tcW w:w="2948" w:type="dxa"/>
            <w:vAlign w:val="center"/>
          </w:tcPr>
          <w:p w14:paraId="1AE74EB0"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color w:val="000000" w:themeColor="text1"/>
                <w:szCs w:val="24"/>
              </w:rPr>
              <w:t>Md Kalam</w:t>
            </w:r>
          </w:p>
          <w:p w14:paraId="36C280CB" w14:textId="77777777" w:rsidR="00E9609C" w:rsidRPr="00937C38" w:rsidRDefault="00E9609C" w:rsidP="002C283F">
            <w:pPr>
              <w:spacing w:before="120" w:after="120" w:line="360" w:lineRule="auto"/>
              <w:jc w:val="both"/>
              <w:rPr>
                <w:rFonts w:asciiTheme="majorBidi" w:eastAsia="Arial" w:hAnsiTheme="majorBidi" w:cstheme="majorBidi"/>
                <w:color w:val="000000" w:themeColor="text1"/>
                <w:szCs w:val="24"/>
              </w:rPr>
            </w:pPr>
            <w:r w:rsidRPr="00937C38">
              <w:rPr>
                <w:rFonts w:asciiTheme="majorBidi" w:eastAsia="Arial" w:hAnsiTheme="majorBidi" w:cstheme="majorBidi"/>
                <w:color w:val="000000" w:themeColor="text1"/>
                <w:szCs w:val="24"/>
              </w:rPr>
              <w:t>Samuel Ofori</w:t>
            </w:r>
          </w:p>
        </w:tc>
      </w:tr>
      <w:tr w:rsidR="00EF6861" w:rsidRPr="00937C38" w14:paraId="3C67B633" w14:textId="77777777" w:rsidTr="002648FD">
        <w:tc>
          <w:tcPr>
            <w:tcW w:w="2093" w:type="dxa"/>
            <w:shd w:val="clear" w:color="auto" w:fill="D9D9D9" w:themeFill="background1" w:themeFillShade="D9"/>
          </w:tcPr>
          <w:p w14:paraId="7BECDD18" w14:textId="77777777" w:rsidR="00EF6861" w:rsidRPr="00937C38" w:rsidRDefault="00EF6861"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b/>
                <w:szCs w:val="24"/>
              </w:rPr>
              <w:t>Assignment Title:</w:t>
            </w:r>
          </w:p>
        </w:tc>
        <w:tc>
          <w:tcPr>
            <w:tcW w:w="7829" w:type="dxa"/>
            <w:gridSpan w:val="3"/>
          </w:tcPr>
          <w:p w14:paraId="7AC02693" w14:textId="77777777" w:rsidR="00EF6861" w:rsidRPr="00937C38" w:rsidRDefault="00EF6861" w:rsidP="002C283F">
            <w:pPr>
              <w:spacing w:before="120" w:after="120" w:line="360" w:lineRule="auto"/>
              <w:jc w:val="both"/>
              <w:rPr>
                <w:rFonts w:asciiTheme="majorBidi" w:hAnsiTheme="majorBidi" w:cstheme="majorBidi"/>
                <w:b/>
                <w:szCs w:val="24"/>
              </w:rPr>
            </w:pPr>
            <w:r w:rsidRPr="00937C38">
              <w:rPr>
                <w:rFonts w:asciiTheme="majorBidi" w:hAnsiTheme="majorBidi" w:cstheme="majorBidi"/>
                <w:szCs w:val="24"/>
              </w:rPr>
              <w:t>A Project portfolio.</w:t>
            </w:r>
          </w:p>
          <w:p w14:paraId="43BCC894" w14:textId="454A5849" w:rsidR="00EF6861" w:rsidRPr="00937C38" w:rsidRDefault="00EF6861" w:rsidP="002C283F">
            <w:pPr>
              <w:spacing w:before="120" w:after="120" w:line="360" w:lineRule="auto"/>
              <w:jc w:val="both"/>
              <w:rPr>
                <w:rFonts w:asciiTheme="majorBidi" w:eastAsia="Arial" w:hAnsiTheme="majorBidi" w:cstheme="majorBidi"/>
                <w:szCs w:val="24"/>
              </w:rPr>
            </w:pPr>
          </w:p>
        </w:tc>
      </w:tr>
    </w:tbl>
    <w:p w14:paraId="008A65B3" w14:textId="77777777" w:rsidR="00035935" w:rsidRPr="00937C38" w:rsidRDefault="00035935" w:rsidP="002C283F">
      <w:pPr>
        <w:spacing w:line="360" w:lineRule="auto"/>
        <w:jc w:val="both"/>
      </w:pPr>
    </w:p>
    <w:p w14:paraId="52570995" w14:textId="58F31571" w:rsidR="00710918" w:rsidRPr="00937C38" w:rsidRDefault="00D30EA6" w:rsidP="002C283F">
      <w:pPr>
        <w:spacing w:line="360" w:lineRule="auto"/>
        <w:jc w:val="both"/>
      </w:pPr>
      <w:r w:rsidRPr="00937C38">
        <w:br w:type="page"/>
      </w:r>
    </w:p>
    <w:sdt>
      <w:sdtPr>
        <w:rPr>
          <w:rFonts w:cstheme="minorBidi"/>
          <w:b w:val="0"/>
          <w:bCs w:val="0"/>
          <w:szCs w:val="22"/>
        </w:rPr>
        <w:id w:val="1223555482"/>
        <w:docPartObj>
          <w:docPartGallery w:val="Table of Contents"/>
          <w:docPartUnique/>
        </w:docPartObj>
      </w:sdtPr>
      <w:sdtEndPr>
        <w:rPr>
          <w:rFonts w:asciiTheme="majorBidi" w:hAnsiTheme="majorBidi"/>
          <w:noProof/>
        </w:rPr>
      </w:sdtEndPr>
      <w:sdtContent>
        <w:p w14:paraId="6FEE9E92" w14:textId="6DB71A3F" w:rsidR="002C283F" w:rsidRPr="002C283F" w:rsidRDefault="002C283F" w:rsidP="004F0E5E">
          <w:pPr>
            <w:pStyle w:val="TOCHeading"/>
            <w:spacing w:line="276" w:lineRule="auto"/>
            <w:jc w:val="center"/>
          </w:pPr>
          <w:r w:rsidRPr="002C283F">
            <w:t>Contents</w:t>
          </w:r>
        </w:p>
        <w:p w14:paraId="45F1E49D" w14:textId="44A96A1D" w:rsidR="002C283F" w:rsidRPr="002C283F" w:rsidRDefault="002C283F" w:rsidP="004F0E5E">
          <w:pPr>
            <w:pStyle w:val="TOC1"/>
            <w:tabs>
              <w:tab w:val="right" w:leader="dot" w:pos="9350"/>
            </w:tabs>
            <w:spacing w:line="276" w:lineRule="auto"/>
            <w:jc w:val="center"/>
            <w:rPr>
              <w:rFonts w:asciiTheme="majorBidi" w:hAnsiTheme="majorBidi" w:cstheme="majorBidi"/>
              <w:noProof/>
            </w:rPr>
          </w:pPr>
          <w:r w:rsidRPr="002C283F">
            <w:rPr>
              <w:rFonts w:asciiTheme="majorBidi" w:hAnsiTheme="majorBidi" w:cstheme="majorBidi"/>
            </w:rPr>
            <w:fldChar w:fldCharType="begin"/>
          </w:r>
          <w:r w:rsidRPr="002C283F">
            <w:rPr>
              <w:rFonts w:asciiTheme="majorBidi" w:hAnsiTheme="majorBidi" w:cstheme="majorBidi"/>
            </w:rPr>
            <w:instrText xml:space="preserve"> TOC \o "1-3" \h \z \u </w:instrText>
          </w:r>
          <w:r w:rsidRPr="002C283F">
            <w:rPr>
              <w:rFonts w:asciiTheme="majorBidi" w:hAnsiTheme="majorBidi" w:cstheme="majorBidi"/>
            </w:rPr>
            <w:fldChar w:fldCharType="separate"/>
          </w:r>
          <w:hyperlink w:anchor="_Toc233658603" w:history="1">
            <w:r w:rsidRPr="002C283F">
              <w:rPr>
                <w:rStyle w:val="Hyperlink"/>
                <w:rFonts w:asciiTheme="majorBidi" w:hAnsiTheme="majorBidi" w:cstheme="majorBidi"/>
                <w:noProof/>
              </w:rPr>
              <w:t>Part A: Project Proposal Poster</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_Toc233658603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3</w:t>
            </w:r>
            <w:r w:rsidRPr="002C283F">
              <w:rPr>
                <w:rFonts w:asciiTheme="majorBidi" w:hAnsiTheme="majorBidi" w:cstheme="majorBidi"/>
                <w:noProof/>
                <w:webHidden/>
              </w:rPr>
              <w:fldChar w:fldCharType="end"/>
            </w:r>
          </w:hyperlink>
        </w:p>
        <w:p w14:paraId="6BDC3B2A" w14:textId="0EED257C" w:rsidR="002C283F" w:rsidRPr="002C283F" w:rsidRDefault="002C283F" w:rsidP="004F0E5E">
          <w:pPr>
            <w:pStyle w:val="TOC1"/>
            <w:tabs>
              <w:tab w:val="right" w:leader="dot" w:pos="9350"/>
            </w:tabs>
            <w:spacing w:line="276" w:lineRule="auto"/>
            <w:jc w:val="center"/>
            <w:rPr>
              <w:rFonts w:asciiTheme="majorBidi" w:hAnsiTheme="majorBidi" w:cstheme="majorBidi"/>
              <w:noProof/>
            </w:rPr>
          </w:pPr>
          <w:hyperlink w:anchor="_Toc233658604" w:history="1">
            <w:r w:rsidRPr="002C283F">
              <w:rPr>
                <w:rStyle w:val="Hyperlink"/>
                <w:rFonts w:asciiTheme="majorBidi" w:hAnsiTheme="majorBidi" w:cstheme="majorBidi"/>
                <w:noProof/>
              </w:rPr>
              <w:t>Part B: Critical Reflection on Feedback</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_Toc233658604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4</w:t>
            </w:r>
            <w:r w:rsidRPr="002C283F">
              <w:rPr>
                <w:rFonts w:asciiTheme="majorBidi" w:hAnsiTheme="majorBidi" w:cstheme="majorBidi"/>
                <w:noProof/>
                <w:webHidden/>
              </w:rPr>
              <w:fldChar w:fldCharType="end"/>
            </w:r>
          </w:hyperlink>
        </w:p>
        <w:p w14:paraId="7AD6BC2E" w14:textId="00246D34" w:rsidR="002C283F" w:rsidRPr="002C283F" w:rsidRDefault="002C283F" w:rsidP="004F0E5E">
          <w:pPr>
            <w:pStyle w:val="TOC1"/>
            <w:tabs>
              <w:tab w:val="right" w:leader="dot" w:pos="9350"/>
            </w:tabs>
            <w:spacing w:line="276" w:lineRule="auto"/>
            <w:jc w:val="center"/>
            <w:rPr>
              <w:rFonts w:asciiTheme="majorBidi" w:hAnsiTheme="majorBidi" w:cstheme="majorBidi"/>
              <w:noProof/>
            </w:rPr>
          </w:pPr>
          <w:hyperlink w:anchor="_Toc233658605" w:history="1">
            <w:r w:rsidRPr="002C283F">
              <w:rPr>
                <w:rStyle w:val="Hyperlink"/>
                <w:rFonts w:asciiTheme="majorBidi" w:hAnsiTheme="majorBidi" w:cstheme="majorBidi"/>
                <w:noProof/>
              </w:rPr>
              <w:t>Part C: Project Management Plan</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_Toc233658605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6</w:t>
            </w:r>
            <w:r w:rsidRPr="002C283F">
              <w:rPr>
                <w:rFonts w:asciiTheme="majorBidi" w:hAnsiTheme="majorBidi" w:cstheme="majorBidi"/>
                <w:noProof/>
                <w:webHidden/>
              </w:rPr>
              <w:fldChar w:fldCharType="end"/>
            </w:r>
          </w:hyperlink>
        </w:p>
        <w:p w14:paraId="1AFE2FB8" w14:textId="4F3F4F3D"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06" w:history="1">
            <w:r w:rsidRPr="002C283F">
              <w:rPr>
                <w:rStyle w:val="Hyperlink"/>
                <w:rFonts w:asciiTheme="majorBidi" w:hAnsiTheme="majorBidi" w:cstheme="majorBidi"/>
                <w:noProof/>
              </w:rPr>
              <w:t>1. Introduction</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_Toc233658606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6</w:t>
            </w:r>
            <w:r w:rsidRPr="002C283F">
              <w:rPr>
                <w:rFonts w:asciiTheme="majorBidi" w:hAnsiTheme="majorBidi" w:cstheme="majorBidi"/>
                <w:noProof/>
                <w:webHidden/>
              </w:rPr>
              <w:fldChar w:fldCharType="end"/>
            </w:r>
          </w:hyperlink>
        </w:p>
        <w:p w14:paraId="247954D3" w14:textId="1AE83C32"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07" w:history="1">
            <w:r w:rsidRPr="002C283F">
              <w:rPr>
                <w:rStyle w:val="Hyperlink"/>
                <w:rFonts w:asciiTheme="majorBidi" w:hAnsiTheme="majorBidi" w:cstheme="majorBidi"/>
                <w:noProof/>
              </w:rPr>
              <w:t>2. Project description</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_Toc233658607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7</w:t>
            </w:r>
            <w:r w:rsidRPr="002C283F">
              <w:rPr>
                <w:rFonts w:asciiTheme="majorBidi" w:hAnsiTheme="majorBidi" w:cstheme="majorBidi"/>
                <w:noProof/>
                <w:webHidden/>
              </w:rPr>
              <w:fldChar w:fldCharType="end"/>
            </w:r>
          </w:hyperlink>
        </w:p>
        <w:p w14:paraId="5DB7F838" w14:textId="48C6355D"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08" w:history="1">
            <w:r w:rsidRPr="002C283F">
              <w:rPr>
                <w:rStyle w:val="Hyperlink"/>
                <w:rFonts w:asciiTheme="majorBidi" w:hAnsiTheme="majorBidi" w:cstheme="majorBidi"/>
                <w:noProof/>
              </w:rPr>
              <w:t>3. Scope</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_Toc233658608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8</w:t>
            </w:r>
            <w:r w:rsidRPr="002C283F">
              <w:rPr>
                <w:rFonts w:asciiTheme="majorBidi" w:hAnsiTheme="majorBidi" w:cstheme="majorBidi"/>
                <w:noProof/>
                <w:webHidden/>
              </w:rPr>
              <w:fldChar w:fldCharType="end"/>
            </w:r>
          </w:hyperlink>
        </w:p>
        <w:p w14:paraId="75BA66D0" w14:textId="70DE14A6"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09" w:history="1">
            <w:r w:rsidRPr="002C283F">
              <w:rPr>
                <w:rStyle w:val="Hyperlink"/>
                <w:rFonts w:asciiTheme="majorBidi" w:hAnsiTheme="majorBidi" w:cstheme="majorBidi"/>
                <w:noProof/>
              </w:rPr>
              <w:t>4. Work breakdown structure</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_Toc233658609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9</w:t>
            </w:r>
            <w:r w:rsidRPr="002C283F">
              <w:rPr>
                <w:rFonts w:asciiTheme="majorBidi" w:hAnsiTheme="majorBidi" w:cstheme="majorBidi"/>
                <w:noProof/>
                <w:webHidden/>
              </w:rPr>
              <w:fldChar w:fldCharType="end"/>
            </w:r>
          </w:hyperlink>
        </w:p>
        <w:p w14:paraId="0B073E0A" w14:textId="1472B5ED"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0" w:history="1">
            <w:r w:rsidRPr="002C283F">
              <w:rPr>
                <w:rStyle w:val="Hyperlink"/>
                <w:rFonts w:asciiTheme="majorBidi" w:hAnsiTheme="majorBidi" w:cstheme="majorBidi"/>
                <w:noProof/>
              </w:rPr>
              <w:t>5. Quad chart</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_Toc233658610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10</w:t>
            </w:r>
            <w:r w:rsidRPr="002C283F">
              <w:rPr>
                <w:rFonts w:asciiTheme="majorBidi" w:hAnsiTheme="majorBidi" w:cstheme="majorBidi"/>
                <w:noProof/>
                <w:webHidden/>
              </w:rPr>
              <w:fldChar w:fldCharType="end"/>
            </w:r>
          </w:hyperlink>
        </w:p>
        <w:p w14:paraId="2FE3BE81" w14:textId="6FCC2B2E"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1" w:history="1">
            <w:r w:rsidRPr="002C283F">
              <w:rPr>
                <w:rStyle w:val="Hyperlink"/>
                <w:rFonts w:asciiTheme="majorBidi" w:hAnsiTheme="majorBidi" w:cstheme="majorBidi"/>
                <w:noProof/>
              </w:rPr>
              <w:t>6. Gantt chart</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_Toc233658611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11</w:t>
            </w:r>
            <w:r w:rsidRPr="002C283F">
              <w:rPr>
                <w:rFonts w:asciiTheme="majorBidi" w:hAnsiTheme="majorBidi" w:cstheme="majorBidi"/>
                <w:noProof/>
                <w:webHidden/>
              </w:rPr>
              <w:fldChar w:fldCharType="end"/>
            </w:r>
          </w:hyperlink>
        </w:p>
        <w:p w14:paraId="4F102F88" w14:textId="7A82BA07"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2" w:history="1">
            <w:r w:rsidRPr="002C283F">
              <w:rPr>
                <w:rStyle w:val="Hyperlink"/>
                <w:rFonts w:asciiTheme="majorBidi" w:hAnsiTheme="majorBidi" w:cstheme="majorBidi"/>
                <w:noProof/>
              </w:rPr>
              <w:t>7. Stakeholder involvement</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_Toc233658612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12</w:t>
            </w:r>
            <w:r w:rsidRPr="002C283F">
              <w:rPr>
                <w:rFonts w:asciiTheme="majorBidi" w:hAnsiTheme="majorBidi" w:cstheme="majorBidi"/>
                <w:noProof/>
                <w:webHidden/>
              </w:rPr>
              <w:fldChar w:fldCharType="end"/>
            </w:r>
          </w:hyperlink>
        </w:p>
        <w:p w14:paraId="3AFC57FD" w14:textId="7F94709C"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3" w:history="1">
            <w:r w:rsidRPr="002C283F">
              <w:rPr>
                <w:rStyle w:val="Hyperlink"/>
                <w:rFonts w:asciiTheme="majorBidi" w:hAnsiTheme="majorBidi" w:cstheme="majorBidi"/>
                <w:noProof/>
              </w:rPr>
              <w:t>8. Allocation of resources</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_Toc233658613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13</w:t>
            </w:r>
            <w:r w:rsidRPr="002C283F">
              <w:rPr>
                <w:rFonts w:asciiTheme="majorBidi" w:hAnsiTheme="majorBidi" w:cstheme="majorBidi"/>
                <w:noProof/>
                <w:webHidden/>
              </w:rPr>
              <w:fldChar w:fldCharType="end"/>
            </w:r>
          </w:hyperlink>
        </w:p>
        <w:p w14:paraId="7DC847BE" w14:textId="2F265B9B"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4" w:history="1">
            <w:r w:rsidRPr="002C283F">
              <w:rPr>
                <w:rStyle w:val="Hyperlink"/>
                <w:rFonts w:asciiTheme="majorBidi" w:hAnsiTheme="majorBidi" w:cstheme="majorBidi"/>
                <w:noProof/>
              </w:rPr>
              <w:t>9. Risk analysis</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_Toc233658614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15</w:t>
            </w:r>
            <w:r w:rsidRPr="002C283F">
              <w:rPr>
                <w:rFonts w:asciiTheme="majorBidi" w:hAnsiTheme="majorBidi" w:cstheme="majorBidi"/>
                <w:noProof/>
                <w:webHidden/>
              </w:rPr>
              <w:fldChar w:fldCharType="end"/>
            </w:r>
          </w:hyperlink>
        </w:p>
        <w:p w14:paraId="07754521" w14:textId="09A0E673" w:rsidR="002C283F" w:rsidRPr="002C283F" w:rsidRDefault="002C283F" w:rsidP="004F0E5E">
          <w:pPr>
            <w:pStyle w:val="TOC2"/>
            <w:tabs>
              <w:tab w:val="right" w:leader="dot" w:pos="9350"/>
            </w:tabs>
            <w:spacing w:line="276" w:lineRule="auto"/>
            <w:jc w:val="center"/>
            <w:rPr>
              <w:rFonts w:asciiTheme="majorBidi" w:hAnsiTheme="majorBidi" w:cstheme="majorBidi"/>
              <w:noProof/>
            </w:rPr>
          </w:pPr>
          <w:hyperlink w:anchor="_Toc233658615" w:history="1">
            <w:r w:rsidRPr="002C283F">
              <w:rPr>
                <w:rStyle w:val="Hyperlink"/>
                <w:rFonts w:asciiTheme="majorBidi" w:hAnsiTheme="majorBidi" w:cstheme="majorBidi"/>
                <w:noProof/>
              </w:rPr>
              <w:t>10. Conclusion</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_Toc233658615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16</w:t>
            </w:r>
            <w:r w:rsidRPr="002C283F">
              <w:rPr>
                <w:rFonts w:asciiTheme="majorBidi" w:hAnsiTheme="majorBidi" w:cstheme="majorBidi"/>
                <w:noProof/>
                <w:webHidden/>
              </w:rPr>
              <w:fldChar w:fldCharType="end"/>
            </w:r>
          </w:hyperlink>
        </w:p>
        <w:p w14:paraId="38E9B544" w14:textId="5C89D624" w:rsidR="002C283F" w:rsidRPr="002C283F" w:rsidRDefault="002C283F" w:rsidP="004F0E5E">
          <w:pPr>
            <w:pStyle w:val="TOC1"/>
            <w:tabs>
              <w:tab w:val="right" w:leader="dot" w:pos="9350"/>
            </w:tabs>
            <w:spacing w:line="276" w:lineRule="auto"/>
            <w:jc w:val="center"/>
            <w:rPr>
              <w:rFonts w:asciiTheme="majorBidi" w:hAnsiTheme="majorBidi" w:cstheme="majorBidi"/>
              <w:noProof/>
            </w:rPr>
          </w:pPr>
          <w:hyperlink w:anchor="_Toc233658616" w:history="1">
            <w:r w:rsidRPr="002C283F">
              <w:rPr>
                <w:rStyle w:val="Hyperlink"/>
                <w:rFonts w:asciiTheme="majorBidi" w:hAnsiTheme="majorBidi" w:cstheme="majorBidi"/>
                <w:noProof/>
              </w:rPr>
              <w:t>References</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_Toc233658616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17</w:t>
            </w:r>
            <w:r w:rsidRPr="002C283F">
              <w:rPr>
                <w:rFonts w:asciiTheme="majorBidi" w:hAnsiTheme="majorBidi" w:cstheme="majorBidi"/>
                <w:noProof/>
                <w:webHidden/>
              </w:rPr>
              <w:fldChar w:fldCharType="end"/>
            </w:r>
          </w:hyperlink>
        </w:p>
        <w:p w14:paraId="78DBC6F8" w14:textId="3EDEEB24" w:rsidR="002C283F" w:rsidRPr="002C283F" w:rsidRDefault="002C283F" w:rsidP="004F0E5E">
          <w:pPr>
            <w:pStyle w:val="TOC1"/>
            <w:tabs>
              <w:tab w:val="right" w:leader="dot" w:pos="9350"/>
            </w:tabs>
            <w:spacing w:line="276" w:lineRule="auto"/>
            <w:jc w:val="center"/>
            <w:rPr>
              <w:rFonts w:asciiTheme="majorBidi" w:hAnsiTheme="majorBidi" w:cstheme="majorBidi"/>
              <w:noProof/>
            </w:rPr>
          </w:pPr>
          <w:hyperlink w:anchor="_Toc233658617" w:history="1">
            <w:r w:rsidRPr="002C283F">
              <w:rPr>
                <w:rStyle w:val="Hyperlink"/>
                <w:rFonts w:asciiTheme="majorBidi" w:hAnsiTheme="majorBidi" w:cstheme="majorBidi"/>
                <w:noProof/>
              </w:rPr>
              <w:t>Appendix: Feedback Received</w:t>
            </w:r>
            <w:r w:rsidRPr="002C283F">
              <w:rPr>
                <w:rFonts w:asciiTheme="majorBidi" w:hAnsiTheme="majorBidi" w:cstheme="majorBidi"/>
                <w:noProof/>
                <w:webHidden/>
              </w:rPr>
              <w:tab/>
            </w:r>
            <w:r w:rsidRPr="002C283F">
              <w:rPr>
                <w:rFonts w:asciiTheme="majorBidi" w:hAnsiTheme="majorBidi" w:cstheme="majorBidi"/>
                <w:noProof/>
                <w:webHidden/>
              </w:rPr>
              <w:fldChar w:fldCharType="begin"/>
            </w:r>
            <w:r w:rsidRPr="002C283F">
              <w:rPr>
                <w:rFonts w:asciiTheme="majorBidi" w:hAnsiTheme="majorBidi" w:cstheme="majorBidi"/>
                <w:noProof/>
                <w:webHidden/>
              </w:rPr>
              <w:instrText xml:space="preserve"> PAGEREF _Toc233658617 \h </w:instrText>
            </w:r>
            <w:r w:rsidRPr="002C283F">
              <w:rPr>
                <w:rFonts w:asciiTheme="majorBidi" w:hAnsiTheme="majorBidi" w:cstheme="majorBidi"/>
                <w:noProof/>
                <w:webHidden/>
              </w:rPr>
            </w:r>
            <w:r w:rsidRPr="002C283F">
              <w:rPr>
                <w:rFonts w:asciiTheme="majorBidi" w:hAnsiTheme="majorBidi" w:cstheme="majorBidi"/>
                <w:noProof/>
                <w:webHidden/>
              </w:rPr>
              <w:fldChar w:fldCharType="separate"/>
            </w:r>
            <w:r w:rsidR="004F0E5E">
              <w:rPr>
                <w:rFonts w:asciiTheme="majorBidi" w:hAnsiTheme="majorBidi" w:cstheme="majorBidi"/>
                <w:noProof/>
                <w:webHidden/>
              </w:rPr>
              <w:t>19</w:t>
            </w:r>
            <w:r w:rsidRPr="002C283F">
              <w:rPr>
                <w:rFonts w:asciiTheme="majorBidi" w:hAnsiTheme="majorBidi" w:cstheme="majorBidi"/>
                <w:noProof/>
                <w:webHidden/>
              </w:rPr>
              <w:fldChar w:fldCharType="end"/>
            </w:r>
          </w:hyperlink>
        </w:p>
        <w:p w14:paraId="304644D8" w14:textId="7A7B77FD" w:rsidR="002C283F" w:rsidRPr="002C283F" w:rsidRDefault="002C283F" w:rsidP="004F0E5E">
          <w:pPr>
            <w:spacing w:line="276" w:lineRule="auto"/>
            <w:jc w:val="center"/>
            <w:rPr>
              <w:rFonts w:asciiTheme="majorBidi" w:hAnsiTheme="majorBidi" w:cstheme="majorBidi"/>
            </w:rPr>
          </w:pPr>
          <w:r w:rsidRPr="002C283F">
            <w:rPr>
              <w:rFonts w:asciiTheme="majorBidi" w:hAnsiTheme="majorBidi" w:cstheme="majorBidi"/>
              <w:b/>
              <w:bCs/>
              <w:noProof/>
            </w:rPr>
            <w:fldChar w:fldCharType="end"/>
          </w:r>
        </w:p>
      </w:sdtContent>
    </w:sdt>
    <w:p w14:paraId="0BFFFAF7" w14:textId="050FEBE2" w:rsidR="00710918" w:rsidRPr="00937C38" w:rsidRDefault="00710918" w:rsidP="002C283F">
      <w:pPr>
        <w:spacing w:line="360" w:lineRule="auto"/>
      </w:pPr>
    </w:p>
    <w:p w14:paraId="764B9DF5" w14:textId="77777777" w:rsidR="00710918" w:rsidRPr="00937C38" w:rsidRDefault="00D30EA6" w:rsidP="002C283F">
      <w:pPr>
        <w:spacing w:line="360" w:lineRule="auto"/>
        <w:jc w:val="both"/>
      </w:pPr>
      <w:r w:rsidRPr="00937C38">
        <w:br w:type="page"/>
      </w:r>
    </w:p>
    <w:p w14:paraId="4DF7C41A" w14:textId="77777777" w:rsidR="00710918" w:rsidRPr="009253D0" w:rsidRDefault="00D30EA6" w:rsidP="009253D0">
      <w:pPr>
        <w:pStyle w:val="Heading1"/>
      </w:pPr>
      <w:bookmarkStart w:id="0" w:name="_Toc233658603"/>
      <w:r w:rsidRPr="009253D0">
        <w:lastRenderedPageBreak/>
        <w:t>Part A: Project Proposal Poster</w:t>
      </w:r>
      <w:bookmarkEnd w:id="0"/>
    </w:p>
    <w:p w14:paraId="4BC0B931" w14:textId="5C2D3FBA" w:rsidR="00630D9A" w:rsidRPr="00937C38" w:rsidRDefault="00D30EA6" w:rsidP="002C283F">
      <w:pPr>
        <w:spacing w:line="360" w:lineRule="auto"/>
        <w:jc w:val="center"/>
      </w:pPr>
      <w:r w:rsidRPr="00937C38">
        <w:rPr>
          <w:noProof/>
        </w:rPr>
        <w:drawing>
          <wp:inline distT="0" distB="0" distL="0" distR="0" wp14:anchorId="78562364" wp14:editId="1F4BCCC2">
            <wp:extent cx="5424126" cy="76676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rt_a_poster.png"/>
                    <pic:cNvPicPr/>
                  </pic:nvPicPr>
                  <pic:blipFill>
                    <a:blip r:embed="rId8"/>
                    <a:stretch>
                      <a:fillRect/>
                    </a:stretch>
                  </pic:blipFill>
                  <pic:spPr>
                    <a:xfrm>
                      <a:off x="0" y="0"/>
                      <a:ext cx="5427159" cy="7671913"/>
                    </a:xfrm>
                    <a:prstGeom prst="rect">
                      <a:avLst/>
                    </a:prstGeom>
                  </pic:spPr>
                </pic:pic>
              </a:graphicData>
            </a:graphic>
          </wp:inline>
        </w:drawing>
      </w:r>
    </w:p>
    <w:p w14:paraId="4D1CF9AC" w14:textId="77777777" w:rsidR="00710918" w:rsidRPr="00937C38" w:rsidRDefault="00D30EA6" w:rsidP="009253D0">
      <w:pPr>
        <w:pStyle w:val="Heading1"/>
      </w:pPr>
      <w:bookmarkStart w:id="1" w:name="_Toc233658604"/>
      <w:r w:rsidRPr="00937C38">
        <w:lastRenderedPageBreak/>
        <w:t>Part B: Critical Reflection on Feedback</w:t>
      </w:r>
      <w:bookmarkEnd w:id="1"/>
    </w:p>
    <w:p w14:paraId="2622DBE5" w14:textId="17470A49" w:rsidR="00DA73E6" w:rsidRPr="00937C38" w:rsidRDefault="00DA73E6" w:rsidP="002C283F">
      <w:pPr>
        <w:spacing w:line="360" w:lineRule="auto"/>
        <w:jc w:val="both"/>
      </w:pPr>
      <w:r w:rsidRPr="00937C38">
        <w:t>The feedback (provided in Appendix) suggests that the Part A poster is professional, coherent and has a good fit with the redevelopment scenario. The clearest strength of the poster is its logical justification for full redevelopment rather than relying on temporary or purely digital solutions. Closing the hub is linked to commuter disruption, delayed freight, local economic impacts and public dissatisfaction, which makes the project not just a construction project, but a strategic recovery intervention. Another advantage is the well-defined scope boundary. The poster reduces the risk of scope creep by excluding unnecessary rail extensions, housing development and private fleet replacement, demonstrating project discipline. The stakeholder section is also effective because it considers authorities, operators, commuters, residents, businesses, contractors, accessibility groups and environmental interests.</w:t>
      </w:r>
    </w:p>
    <w:p w14:paraId="225A9638" w14:textId="2AA7AED8" w:rsidR="00DA73E6" w:rsidRPr="00937C38" w:rsidRDefault="00DA73E6" w:rsidP="002C283F">
      <w:pPr>
        <w:spacing w:line="360" w:lineRule="auto"/>
        <w:jc w:val="both"/>
      </w:pPr>
      <w:r w:rsidRPr="00937C38">
        <w:t>The feedback also highlights some areas for improvement for the portfolio to achieve a higher distinction level. The first major improvement is to make the project objectives more measurable. The aims of the poster meet the criteria of relevance but are mostly stated as intentions. The final plan therefore converts them into SMART targets, including reopening the hub by December 2029, restoring 95% of core interchange capacity, achieving full step-free public access, and reducing embodied carbon by at least 20% against the baseline design. These targets provide stronger evidence for gateway decisions, increase funding confidence, confirm post-opening benefits and make success easier to monitor and evaluate.</w:t>
      </w:r>
    </w:p>
    <w:p w14:paraId="08419466" w14:textId="77777777" w:rsidR="00DA73E6" w:rsidRPr="00937C38" w:rsidRDefault="00DA73E6" w:rsidP="002C283F">
      <w:pPr>
        <w:spacing w:line="360" w:lineRule="auto"/>
        <w:jc w:val="both"/>
      </w:pPr>
      <w:r w:rsidRPr="00937C38">
        <w:t>The second improvement is the enhanced use of project management tools. The final plan will, therefore, feature a work breakdown structure, quad chart, Gantt chart, stakeholder power-interest matrix, resource allocation chart and risk heat map. These tools convert the poster proposal into a deliverable management system. They show scope, phasing, stakeholder priorities, resource demand and risk controls, while also explaining how theory can be applied to a real infrastructure project rather than described in isolation. This strengthens accountability throughout the project life cycle for sponsors and stakeholders.</w:t>
      </w:r>
    </w:p>
    <w:p w14:paraId="7556286E" w14:textId="56E6CD6B" w:rsidR="00710918" w:rsidRPr="00937C38" w:rsidRDefault="00DA73E6" w:rsidP="002C283F">
      <w:pPr>
        <w:spacing w:line="360" w:lineRule="auto"/>
        <w:jc w:val="both"/>
      </w:pPr>
      <w:r w:rsidRPr="00937C38">
        <w:t xml:space="preserve">The third enhancement is deeper risk and trade-off analysis. The poster identifies key risks, and the final plan covers their implications in terms of mitigation, ownership and delivery. Value engineering and contingency control are linked to cost escalation; critical-path monitoring is linked to schedule delay; interface testing and cybersecurity assurance are linked to digital integration; and business liaison and transparent communication are linked to public dissatisfaction. Overall, </w:t>
      </w:r>
      <w:r w:rsidRPr="00937C38">
        <w:lastRenderedPageBreak/>
        <w:t xml:space="preserve">the feedback has influenced the final plan by increasing measurability, strengthening tool-based planning and adding deeper analysis. This enhances the </w:t>
      </w:r>
      <w:proofErr w:type="gramStart"/>
      <w:r w:rsidRPr="00937C38">
        <w:t>portfolio as a whole, demonstrating</w:t>
      </w:r>
      <w:proofErr w:type="gramEnd"/>
      <w:r w:rsidRPr="00937C38">
        <w:t xml:space="preserve"> skills in the practical application of project management.</w:t>
      </w:r>
    </w:p>
    <w:p w14:paraId="507B4098" w14:textId="77777777" w:rsidR="00630D9A" w:rsidRPr="00937C38" w:rsidRDefault="00630D9A" w:rsidP="002C283F">
      <w:pPr>
        <w:spacing w:after="200" w:line="360" w:lineRule="auto"/>
        <w:rPr>
          <w:rFonts w:cstheme="majorBidi"/>
          <w:b/>
          <w:bCs/>
          <w:szCs w:val="28"/>
        </w:rPr>
      </w:pPr>
      <w:r w:rsidRPr="00937C38">
        <w:br w:type="page"/>
      </w:r>
    </w:p>
    <w:p w14:paraId="055A0CC9" w14:textId="583DA8A2" w:rsidR="00710918" w:rsidRPr="00937C38" w:rsidRDefault="00D30EA6" w:rsidP="009253D0">
      <w:pPr>
        <w:pStyle w:val="Heading1"/>
      </w:pPr>
      <w:bookmarkStart w:id="2" w:name="_Toc233658605"/>
      <w:r w:rsidRPr="00937C38">
        <w:lastRenderedPageBreak/>
        <w:t>Part C: Project Management Plan</w:t>
      </w:r>
      <w:bookmarkEnd w:id="2"/>
    </w:p>
    <w:p w14:paraId="6AA92234" w14:textId="77777777" w:rsidR="00710918" w:rsidRPr="00937C38" w:rsidRDefault="00D30EA6" w:rsidP="009253D0">
      <w:pPr>
        <w:pStyle w:val="Heading2"/>
      </w:pPr>
      <w:bookmarkStart w:id="3" w:name="_Toc233658606"/>
      <w:r w:rsidRPr="00937C38">
        <w:t>1. Introduction</w:t>
      </w:r>
      <w:bookmarkEnd w:id="3"/>
    </w:p>
    <w:p w14:paraId="427AC45A" w14:textId="55183A35" w:rsidR="00DA73E6" w:rsidRPr="00937C38" w:rsidRDefault="00DA73E6" w:rsidP="009253D0">
      <w:pPr>
        <w:spacing w:line="360" w:lineRule="auto"/>
        <w:jc w:val="both"/>
      </w:pPr>
      <w:r w:rsidRPr="00937C38">
        <w:t xml:space="preserve">This project management plan is for stakeholders who are responsible for the </w:t>
      </w:r>
      <w:proofErr w:type="spellStart"/>
      <w:r w:rsidRPr="00937C38">
        <w:t>MetroHub</w:t>
      </w:r>
      <w:proofErr w:type="spellEnd"/>
      <w:r w:rsidRPr="00937C38">
        <w:t xml:space="preserve"> Renewal Project: the redevelopment of the entire closed central transport hub in a major UK metropolitan city. The chosen option is supported on the grounds that the current hub has become structurally and operationally unsafe, and any temporary or short-term digital solutions would not ensure safe capacity, accessibility or long-term resilience. The delivery strategy uses a hybrid project management approach, combining stage-gate control for construction with agile techniques for digital systems integration. Stage-gate governance from PRINCE2 helps justify the business case, roles and responsibilities, and decision-making control (</w:t>
      </w:r>
      <w:proofErr w:type="spellStart"/>
      <w:r w:rsidRPr="00937C38">
        <w:t>PeopleCert</w:t>
      </w:r>
      <w:proofErr w:type="spellEnd"/>
      <w:r w:rsidRPr="00937C38">
        <w:t>, 2023). PMBOK performance domains support planning, stakeholder engagement, risk management and benefits focus (</w:t>
      </w:r>
      <w:r w:rsidR="009253D0" w:rsidRPr="009253D0">
        <w:t xml:space="preserve">Dessi, </w:t>
      </w:r>
      <w:r w:rsidR="009253D0">
        <w:t xml:space="preserve">et al. </w:t>
      </w:r>
      <w:r w:rsidR="009253D0" w:rsidRPr="009253D0">
        <w:t>2026</w:t>
      </w:r>
      <w:r w:rsidRPr="00937C38">
        <w:t>). ISO 21502 reinforces structured project management guidance across planning, delivery, control and closure (</w:t>
      </w:r>
      <w:r w:rsidR="009253D0" w:rsidRPr="009253D0">
        <w:t xml:space="preserve">Takagi, &amp; </w:t>
      </w:r>
      <w:proofErr w:type="spellStart"/>
      <w:r w:rsidR="009253D0" w:rsidRPr="009253D0">
        <w:t>Varajão</w:t>
      </w:r>
      <w:proofErr w:type="spellEnd"/>
      <w:r w:rsidR="009253D0" w:rsidRPr="009253D0">
        <w:t>, 2025</w:t>
      </w:r>
      <w:r w:rsidRPr="00937C38">
        <w:t>). Structural construction requires predictive control because it depends on design approvals, safety assurance, procurement and physical sequencing. Digital passenger flow, ticketing and logistics coordination work packages require iterative testing with users. A purely waterfall approach would be too rigid for stakeholder engagement, technology integration and operational continuity.</w:t>
      </w:r>
    </w:p>
    <w:p w14:paraId="7ACB994B" w14:textId="77777777" w:rsidR="00DA73E6" w:rsidRPr="00937C38" w:rsidRDefault="00DA73E6" w:rsidP="002C283F">
      <w:pPr>
        <w:spacing w:line="360" w:lineRule="auto"/>
        <w:jc w:val="both"/>
      </w:pPr>
      <w:r w:rsidRPr="00937C38">
        <w:t>The strategic case is also solid. Redevelopment needs to be designed with low-carbon considerations because transport remains a major source of UK emissions (Department for Energy Security and Net Zero, 2025). The project should also support an integrated and greener multimodal transport system (Department for Transport, 2021). The project therefore seeks to reopen an environment that is safe, inclusive and sets the foundation for digital access, whilst respecting public value.</w:t>
      </w:r>
    </w:p>
    <w:p w14:paraId="6FC4C1F6" w14:textId="77777777" w:rsidR="00DA73E6" w:rsidRPr="00937C38" w:rsidRDefault="00DA73E6" w:rsidP="002C283F">
      <w:pPr>
        <w:spacing w:line="360" w:lineRule="auto"/>
        <w:jc w:val="both"/>
      </w:pPr>
      <w:r w:rsidRPr="00937C38">
        <w:t xml:space="preserve">The governance model will be through a Project Board led by the senior responsible owner. The Project Board membership will include the sponsor, finance lead, user representative, transport operators, commercial lead, design authority and safety assurance lead. This separation helps to facilitate delivery management and strategic decision making. The project manager will be responsible for the day-to-day delivery of the project, but the board will approve stage transitions, tolerances, major changes and exception plans. This is relevant as public infrastructure projects are political, operationally pressured and shaped by several funding interests. Clear governance </w:t>
      </w:r>
      <w:r w:rsidRPr="00937C38">
        <w:lastRenderedPageBreak/>
        <w:t>minimises informal decision making and establishes an audit trail for value, safety and benefit decisions.</w:t>
      </w:r>
    </w:p>
    <w:p w14:paraId="6A51F3F9" w14:textId="77777777" w:rsidR="00DA73E6" w:rsidRPr="00937C38" w:rsidRDefault="00DA73E6" w:rsidP="002C283F">
      <w:pPr>
        <w:spacing w:line="360" w:lineRule="auto"/>
        <w:jc w:val="both"/>
      </w:pPr>
      <w:r w:rsidRPr="00937C38">
        <w:t>Project controls will be tailored and not cumbersome. The key controls are an integrated master schedule, cost baseline, risk register, issue log, change register, stakeholder log and quality plan and benefits realisation plan. A red/amber/green dashboard will be used for monthly reporting for safety, cost, time, scope, carbon, stakeholder sentiment and operational readiness. The dashboard will not be an analysis tool – it will be a tool to draw attention to what needs to be looked at in-depth. For large construction packages which may be reliably measured in physical terms, earned value will be utilized. In the case of digital work packages, it will be more appropriate to use milestone-based acceptance and user testing, as software value will be based on functional and usable and an integrated product, not on the number of units installed.</w:t>
      </w:r>
    </w:p>
    <w:p w14:paraId="6509902A" w14:textId="7054E59F" w:rsidR="00DA73E6" w:rsidRPr="00937C38" w:rsidRDefault="00DA73E6" w:rsidP="002C283F">
      <w:pPr>
        <w:spacing w:line="360" w:lineRule="auto"/>
        <w:jc w:val="both"/>
      </w:pPr>
      <w:r w:rsidRPr="00937C38">
        <w:t>Embedded in quality management will be the design review, gateway assurance, inspection plan and test plan and commissioning records. The quality standard is not a technical one. It also covers the usability, inclusion, maintainability and operational resilience. Way finding can be confusing or transfer routes inefficient and a design may meet engineering needs but not user needs. Thus, quality reviews will feature walk-throughs by operators, disabled user review panels and outputs from passenger simulations prior to irreversible construction decisions. Benefits management is going to pursue post-opening. The first-year benefit review will involve a comparison of forecast and actual performance in the areas of passenger capacity, accessibility, service reliability, business disruption recovery, carbon performance and customer satisfaction. It ensures that the project isn't solely assessed when it is completed and it helps to promote learning for future urban regeneration ventures.</w:t>
      </w:r>
    </w:p>
    <w:p w14:paraId="158E71F8" w14:textId="3AEC8D00" w:rsidR="00710918" w:rsidRPr="00937C38" w:rsidRDefault="00DA73E6" w:rsidP="002C283F">
      <w:pPr>
        <w:spacing w:line="360" w:lineRule="auto"/>
        <w:jc w:val="both"/>
      </w:pPr>
      <w:r w:rsidRPr="00937C38">
        <w:t>A brief lessons-learned review will be carried out at each gateway to document assumptions, incidents, stakeholder concerns and corrective actions before weaknesses are repeated.</w:t>
      </w:r>
    </w:p>
    <w:p w14:paraId="14B6FAFB" w14:textId="77777777" w:rsidR="00710918" w:rsidRPr="00937C38" w:rsidRDefault="00D30EA6" w:rsidP="009253D0">
      <w:pPr>
        <w:pStyle w:val="Heading2"/>
      </w:pPr>
      <w:bookmarkStart w:id="4" w:name="_Toc233658607"/>
      <w:r w:rsidRPr="00937C38">
        <w:t>2. Project description</w:t>
      </w:r>
      <w:bookmarkEnd w:id="4"/>
    </w:p>
    <w:p w14:paraId="64639A0A" w14:textId="45E22C54" w:rsidR="00DA73E6" w:rsidRPr="00937C38" w:rsidRDefault="00DA73E6" w:rsidP="009253D0">
      <w:pPr>
        <w:spacing w:line="360" w:lineRule="auto"/>
        <w:jc w:val="both"/>
      </w:pPr>
      <w:r w:rsidRPr="00937C38">
        <w:t xml:space="preserve">The project will upgrade the 40-year-old, unsafe interchange to a modern multimodal interchange featuring rail, bus, active travel routes, freight interface areas, customer information points and accessible waiting facilities. The local authority is the project sponsor, with the transport authority, public funding partners and operating companies supporting delivery. A two-stage design-and-build procurement route is recommended. The factors that make complex infrastructure schemes buildable should be incorporated from the early stages of project design, and market intelligence </w:t>
      </w:r>
      <w:r w:rsidRPr="00937C38">
        <w:lastRenderedPageBreak/>
        <w:t>and supply-chain risk visibility should help inform the final cost of the project (</w:t>
      </w:r>
      <w:proofErr w:type="spellStart"/>
      <w:r w:rsidR="009253D0" w:rsidRPr="009253D0">
        <w:t>Memari</w:t>
      </w:r>
      <w:proofErr w:type="spellEnd"/>
      <w:r w:rsidR="009253D0" w:rsidRPr="009253D0">
        <w:t xml:space="preserve">, </w:t>
      </w:r>
      <w:r w:rsidR="009253D0">
        <w:t xml:space="preserve">et al. </w:t>
      </w:r>
      <w:r w:rsidR="009253D0" w:rsidRPr="009253D0">
        <w:t>2025</w:t>
      </w:r>
      <w:r w:rsidRPr="00937C38">
        <w:t>). It is planned to deliver from August 2026 to December 2029, and benefits monitoring will be carried out in the first year of operation.</w:t>
      </w:r>
    </w:p>
    <w:p w14:paraId="5C195968" w14:textId="038D845F" w:rsidR="00DA73E6" w:rsidRPr="00937C38" w:rsidRDefault="00DA73E6" w:rsidP="002C283F">
      <w:pPr>
        <w:spacing w:line="360" w:lineRule="auto"/>
        <w:jc w:val="both"/>
      </w:pPr>
      <w:r w:rsidRPr="00937C38">
        <w:t>Requirements to be used in procurement will be outcome-based, rather than overly prescriptive. A comprehensive assessment of tenderers will be based on price, programme credibility, safety performance, carbon reduction, social value, digital integration capability and experience in similar transport schemes. This reduces the risk of selecting a low initial bid that later becomes expensive through claims, redesign or poor collaboration. Contract incentives should recognise early risk reporting, whole-life performance and not just speed. The commercial approach will also protect competition by packaging specialist digital and civil works carefully, so interfaces can be coordinated by the main contractor without excluding capable suppliers. This is imperative because the project's success relies on integrated delivery across infrastructure, technology and operations.</w:t>
      </w:r>
    </w:p>
    <w:p w14:paraId="25A07CDC" w14:textId="6FCDC59B" w:rsidR="00710918" w:rsidRPr="00937C38" w:rsidRDefault="00DA73E6" w:rsidP="002C283F">
      <w:pPr>
        <w:spacing w:line="360" w:lineRule="auto"/>
        <w:jc w:val="both"/>
      </w:pPr>
      <w:r w:rsidRPr="00937C38">
        <w:t>The main outcomes and deliverables are a redefined structural concourse, safe platforms and bus interchange interfaces, step-free access, legible wayfinding, real-time information, smart ticketing, digital passenger-flow management, freight coordination interfaces, energy efficient lighting, low-carbon materials, and documentation for operation handover. There are measurable success criteria. The core rail-bus interchange facilities will be restored to 95% or more of the baseline design by December 2029; 100% of the public rail-bus interchange facilities will be step-free by December 2029; passenger information systems will be 99% available during testing; and stakeholder satisfaction through post-opening surveys will be more than 75%. These targets directly address feedback on the poster's objectives that they need to be better measured.</w:t>
      </w:r>
    </w:p>
    <w:p w14:paraId="18E2CBB5" w14:textId="77777777" w:rsidR="00710918" w:rsidRPr="00937C38" w:rsidRDefault="00D30EA6" w:rsidP="009253D0">
      <w:pPr>
        <w:pStyle w:val="Heading2"/>
      </w:pPr>
      <w:bookmarkStart w:id="5" w:name="_Toc233658608"/>
      <w:r w:rsidRPr="00937C38">
        <w:t>3. Scope</w:t>
      </w:r>
      <w:bookmarkEnd w:id="5"/>
    </w:p>
    <w:p w14:paraId="58557716" w14:textId="77777777" w:rsidR="00DA73E6" w:rsidRPr="00937C38" w:rsidRDefault="00DA73E6" w:rsidP="002C283F">
      <w:pPr>
        <w:spacing w:line="360" w:lineRule="auto"/>
        <w:jc w:val="both"/>
      </w:pPr>
      <w:r w:rsidRPr="00937C38">
        <w:t xml:space="preserve">Feasibility validation, surveys, concept design, planning approval support, detailed design, procurement, temporary passenger management, enabling works, demolition (where required), structural renewal, utilities diversion, construction, digital systems integration, accessibility works, sustainability measures, commissioning and handover are included within the project scope. Citywide rail expansion, unrelated commercial development, wider housing regeneration, private fleet replacement and long-term operation after the defects-liability period are excluded. The discipline of scope is relevant because large projects can experience cost growth where requirements are weakly controlled (National Audit Office, 2020). Wider evidence on major </w:t>
      </w:r>
      <w:r w:rsidRPr="00937C38">
        <w:lastRenderedPageBreak/>
        <w:t>projects also shows the importance of disciplined front-end planning and scope control (Flyvbjerg and Gardner, 2023).</w:t>
      </w:r>
    </w:p>
    <w:p w14:paraId="50E0F254" w14:textId="61C65D62" w:rsidR="00710918" w:rsidRPr="00937C38" w:rsidRDefault="00DA73E6" w:rsidP="002C283F">
      <w:pPr>
        <w:spacing w:line="360" w:lineRule="auto"/>
        <w:jc w:val="both"/>
      </w:pPr>
      <w:r w:rsidRPr="00937C38">
        <w:t>Change control will be controlled with a Project Board. Before approval any proposed change must have an identification of the reason for the change, the cost of the change, the programme effect, the safety effect, the carbon implication and the benefit impact of the change. Minor changes may be approved by the project manager in his/her delegated tolerance. Any changes that involve changes to budget, completion date or user benefits must be approved by the sponsor. This is a flexible approach that is balanced with accountability.</w:t>
      </w:r>
    </w:p>
    <w:p w14:paraId="60BD678A" w14:textId="77777777" w:rsidR="00710918" w:rsidRPr="00937C38" w:rsidRDefault="00D30EA6" w:rsidP="009253D0">
      <w:pPr>
        <w:pStyle w:val="Heading2"/>
      </w:pPr>
      <w:bookmarkStart w:id="6" w:name="_Toc233658609"/>
      <w:r w:rsidRPr="00937C38">
        <w:t>4. Work breakdown structure</w:t>
      </w:r>
      <w:bookmarkEnd w:id="6"/>
    </w:p>
    <w:p w14:paraId="5D3A0FF8" w14:textId="6FE285EF" w:rsidR="00710918" w:rsidRPr="00937C38" w:rsidRDefault="00DA73E6" w:rsidP="002C283F">
      <w:pPr>
        <w:spacing w:line="360" w:lineRule="auto"/>
        <w:jc w:val="both"/>
      </w:pPr>
      <w:r w:rsidRPr="00937C38">
        <w:t>The project is broken into smaller manageable control accounts in the work breakdown structure shown in Figure 1. WBS is used because it breaks scope into deliverables that can be scheduled and monitored (Kerzner, 2022). It also supports cost assignment and control-account ownership (Lock, 2020). In this project, the WBS eliminates ambiguity between civil works, digital works and operational transition work packages (Maylor, 2022).</w:t>
      </w:r>
    </w:p>
    <w:p w14:paraId="6E7C58EC" w14:textId="77777777" w:rsidR="00957CDD" w:rsidRPr="00937C38" w:rsidRDefault="00875232" w:rsidP="002C283F">
      <w:pPr>
        <w:keepNext/>
        <w:spacing w:line="360" w:lineRule="auto"/>
        <w:jc w:val="center"/>
      </w:pPr>
      <w:r w:rsidRPr="00937C38">
        <w:rPr>
          <w:noProof/>
        </w:rPr>
        <w:drawing>
          <wp:inline distT="0" distB="0" distL="0" distR="0" wp14:anchorId="1A5D7F36" wp14:editId="23B80F02">
            <wp:extent cx="5943600" cy="3005455"/>
            <wp:effectExtent l="0" t="0" r="0" b="4445"/>
            <wp:docPr id="863795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95606" name=""/>
                    <pic:cNvPicPr/>
                  </pic:nvPicPr>
                  <pic:blipFill>
                    <a:blip r:embed="rId9"/>
                    <a:stretch>
                      <a:fillRect/>
                    </a:stretch>
                  </pic:blipFill>
                  <pic:spPr>
                    <a:xfrm>
                      <a:off x="0" y="0"/>
                      <a:ext cx="5943600" cy="3005455"/>
                    </a:xfrm>
                    <a:prstGeom prst="rect">
                      <a:avLst/>
                    </a:prstGeom>
                  </pic:spPr>
                </pic:pic>
              </a:graphicData>
            </a:graphic>
          </wp:inline>
        </w:drawing>
      </w:r>
    </w:p>
    <w:p w14:paraId="4039A7DF" w14:textId="5BB59D42" w:rsidR="00875232"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1</w:t>
      </w:r>
      <w:r w:rsidRPr="00937C38">
        <w:fldChar w:fldCharType="end"/>
      </w:r>
      <w:r w:rsidRPr="00937C38">
        <w:t xml:space="preserve">: Work breakdown structure for </w:t>
      </w:r>
      <w:proofErr w:type="spellStart"/>
      <w:r w:rsidRPr="00937C38">
        <w:t>MetroHub</w:t>
      </w:r>
      <w:proofErr w:type="spellEnd"/>
      <w:r w:rsidRPr="00937C38">
        <w:t xml:space="preserve"> Renewal</w:t>
      </w:r>
    </w:p>
    <w:p w14:paraId="29EF3B11" w14:textId="79E4DF52" w:rsidR="00710918" w:rsidRPr="00937C38" w:rsidRDefault="00710918" w:rsidP="002C283F">
      <w:pPr>
        <w:pStyle w:val="Caption"/>
        <w:spacing w:line="360" w:lineRule="auto"/>
      </w:pPr>
    </w:p>
    <w:p w14:paraId="59B9C0EF" w14:textId="6223E5DA" w:rsidR="00710918" w:rsidRPr="00937C38" w:rsidRDefault="00DA73E6" w:rsidP="002C283F">
      <w:pPr>
        <w:spacing w:line="360" w:lineRule="auto"/>
        <w:jc w:val="both"/>
      </w:pPr>
      <w:r w:rsidRPr="00937C38">
        <w:t xml:space="preserve">The first WBS branch relates to governance, business case, reporting and assurance. The second one relates to surveys, concept design, consultation with stakeholders and statutory approvals. The third one covers temporary operations, hoarding, traffic management and utilities diversions. The fourth is </w:t>
      </w:r>
      <w:r w:rsidR="00937C38" w:rsidRPr="00937C38">
        <w:t>about demolition</w:t>
      </w:r>
      <w:r w:rsidRPr="00937C38">
        <w:t xml:space="preserve">, foundations, structural frame, concourse and platforms interfaces. The </w:t>
      </w:r>
      <w:r w:rsidRPr="00937C38">
        <w:lastRenderedPageBreak/>
        <w:t>fifth is related to passenger information, smart ticketing, digital flow analytics, cyber testing and logistics coordination. The sixth is concerned with finishes, accessibility, energy systems and carbon controls. The last branch deals with integrated testing, employee training, safety certification, opening readiness and defects management. The work packages will be assigned names and criteria. This helps accountability to be transparent and enables Earned Value reporting.</w:t>
      </w:r>
    </w:p>
    <w:p w14:paraId="462B6EC9" w14:textId="77777777" w:rsidR="00710918" w:rsidRPr="00937C38" w:rsidRDefault="00D30EA6" w:rsidP="009253D0">
      <w:pPr>
        <w:pStyle w:val="Heading2"/>
      </w:pPr>
      <w:bookmarkStart w:id="7" w:name="_Toc233658610"/>
      <w:r w:rsidRPr="00937C38">
        <w:t>5. Quad chart</w:t>
      </w:r>
      <w:bookmarkEnd w:id="7"/>
    </w:p>
    <w:p w14:paraId="0B45E652" w14:textId="62D70821" w:rsidR="00710918" w:rsidRPr="00937C38" w:rsidRDefault="00DA73E6" w:rsidP="002C283F">
      <w:pPr>
        <w:spacing w:line="360" w:lineRule="auto"/>
        <w:jc w:val="both"/>
      </w:pPr>
      <w:r w:rsidRPr="00937C38">
        <w:t>The Project is summarized in a quad chart (Figure 2). It is intentionally short as a sponsor needs to have a single page control view prior to looking through detailed schedules or registers.</w:t>
      </w:r>
    </w:p>
    <w:p w14:paraId="5A40CB40" w14:textId="77777777" w:rsidR="00957CDD" w:rsidRPr="00937C38" w:rsidRDefault="00875232" w:rsidP="002C283F">
      <w:pPr>
        <w:keepNext/>
        <w:spacing w:line="360" w:lineRule="auto"/>
        <w:jc w:val="center"/>
      </w:pPr>
      <w:r w:rsidRPr="00937C38">
        <w:rPr>
          <w:noProof/>
        </w:rPr>
        <w:drawing>
          <wp:inline distT="0" distB="0" distL="0" distR="0" wp14:anchorId="05A8D01C" wp14:editId="5B60BC9F">
            <wp:extent cx="6019800" cy="4514850"/>
            <wp:effectExtent l="0" t="0" r="0" b="0"/>
            <wp:docPr id="14641982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800" cy="4514850"/>
                    </a:xfrm>
                    <a:prstGeom prst="rect">
                      <a:avLst/>
                    </a:prstGeom>
                    <a:noFill/>
                  </pic:spPr>
                </pic:pic>
              </a:graphicData>
            </a:graphic>
          </wp:inline>
        </w:drawing>
      </w:r>
    </w:p>
    <w:p w14:paraId="13A18E57" w14:textId="4B09A340" w:rsidR="00710918"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2</w:t>
      </w:r>
      <w:r w:rsidRPr="00937C38">
        <w:fldChar w:fldCharType="end"/>
      </w:r>
      <w:r w:rsidRPr="00937C38">
        <w:t>: Quad chart summary of project purpose, scope, outputs and controls.</w:t>
      </w:r>
    </w:p>
    <w:p w14:paraId="687F0EC8" w14:textId="13568318" w:rsidR="00710918" w:rsidRPr="00937C38" w:rsidRDefault="00DA73E6" w:rsidP="002C283F">
      <w:pPr>
        <w:spacing w:line="360" w:lineRule="auto"/>
        <w:jc w:val="both"/>
      </w:pPr>
      <w:r w:rsidRPr="00937C38">
        <w:t>The key take-away from the quad chart is that it's not just a construction scheme. It is a regeneration and service continuity program that has safety, economic, accessibility, carbon and digital outcomes that are interdependent. The quad chart will be revised at each stage boundary to allow Project Board to verify if the business justification is still valid.</w:t>
      </w:r>
    </w:p>
    <w:p w14:paraId="6D66EC3D" w14:textId="77777777" w:rsidR="00710918" w:rsidRPr="00937C38" w:rsidRDefault="00D30EA6" w:rsidP="009253D0">
      <w:pPr>
        <w:pStyle w:val="Heading2"/>
      </w:pPr>
      <w:bookmarkStart w:id="8" w:name="_Toc233658611"/>
      <w:r w:rsidRPr="00937C38">
        <w:lastRenderedPageBreak/>
        <w:t>6. Gantt chart</w:t>
      </w:r>
      <w:bookmarkEnd w:id="8"/>
    </w:p>
    <w:p w14:paraId="2081DB58" w14:textId="3BE8B023" w:rsidR="00710918" w:rsidRPr="00937C38" w:rsidRDefault="00DA73E6" w:rsidP="009253D0">
      <w:pPr>
        <w:spacing w:line="360" w:lineRule="auto"/>
        <w:jc w:val="both"/>
      </w:pPr>
      <w:r w:rsidRPr="00937C38">
        <w:t>An indicative Gantt chart for the project is shown in Figure 3, which shows the project initiated, designed, procured, enabled, constructed, integrated with digital, commissioned and handed over. A schedule baseline will be approved after detailed design. Optimism bias and schedule compression often contribute to infrastructure underperformance (Flyvbjerg and Gardner, 2023). Recent major-project lessons also emphasise the need for realistic governance and decision-making checkpoints (</w:t>
      </w:r>
      <w:r w:rsidR="009253D0" w:rsidRPr="009253D0">
        <w:t xml:space="preserve">Burgess, &amp; </w:t>
      </w:r>
      <w:proofErr w:type="spellStart"/>
      <w:r w:rsidR="009253D0" w:rsidRPr="009253D0">
        <w:t>Foulcher</w:t>
      </w:r>
      <w:proofErr w:type="spellEnd"/>
      <w:r w:rsidR="009253D0" w:rsidRPr="009253D0">
        <w:t>, 2025</w:t>
      </w:r>
      <w:r w:rsidRPr="00937C38">
        <w:t>).</w:t>
      </w:r>
    </w:p>
    <w:p w14:paraId="69F6A1C5" w14:textId="77777777" w:rsidR="00957CDD" w:rsidRPr="00937C38" w:rsidRDefault="00957CDD" w:rsidP="002C283F">
      <w:pPr>
        <w:keepNext/>
        <w:spacing w:line="360" w:lineRule="auto"/>
        <w:jc w:val="center"/>
      </w:pPr>
      <w:r w:rsidRPr="00937C38">
        <w:rPr>
          <w:noProof/>
        </w:rPr>
        <w:drawing>
          <wp:inline distT="0" distB="0" distL="0" distR="0" wp14:anchorId="599FE574" wp14:editId="67EE371D">
            <wp:extent cx="5689600" cy="4267200"/>
            <wp:effectExtent l="0" t="0" r="6350" b="0"/>
            <wp:docPr id="12165515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89600" cy="4267200"/>
                    </a:xfrm>
                    <a:prstGeom prst="rect">
                      <a:avLst/>
                    </a:prstGeom>
                    <a:noFill/>
                  </pic:spPr>
                </pic:pic>
              </a:graphicData>
            </a:graphic>
          </wp:inline>
        </w:drawing>
      </w:r>
    </w:p>
    <w:p w14:paraId="30C88A20" w14:textId="5AEA29BE" w:rsidR="00710918"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3</w:t>
      </w:r>
      <w:r w:rsidRPr="00937C38">
        <w:fldChar w:fldCharType="end"/>
      </w:r>
      <w:r w:rsidRPr="00937C38">
        <w:t xml:space="preserve">: Indicative Gantt chart for </w:t>
      </w:r>
      <w:proofErr w:type="spellStart"/>
      <w:r w:rsidRPr="00937C38">
        <w:t>MetroHub</w:t>
      </w:r>
      <w:proofErr w:type="spellEnd"/>
      <w:r w:rsidRPr="00937C38">
        <w:t xml:space="preserve"> Renewal</w:t>
      </w:r>
    </w:p>
    <w:p w14:paraId="5BAD47D4" w14:textId="7DF1C519" w:rsidR="00710918" w:rsidRPr="00937C38" w:rsidRDefault="00DA73E6" w:rsidP="002C283F">
      <w:pPr>
        <w:spacing w:line="360" w:lineRule="auto"/>
        <w:jc w:val="both"/>
      </w:pPr>
      <w:r w:rsidRPr="00937C38">
        <w:t xml:space="preserve">The sequence of planned activities starts with mobilisation and governance set-up from August to October 2026. Surveys, concept design and stakeholder consultation will continue from October 2026 to March 2027, while approvals and detailed design will run from March to November 2027. Procurement and early contractor involvement will take place from June to December 2027. Enabling works and temporary operations will run from October 2027 to June 2028, with temporary passenger routes and freight arrangements in place before major works. The main construction period is from April 2028 to July 2029. Digital integration and testing will run from </w:t>
      </w:r>
      <w:r w:rsidRPr="00937C38">
        <w:lastRenderedPageBreak/>
        <w:t>March to December 2029, allowing software, data and operational interfaces to be tested before opening. Commissioning and handover will take place from October 2029 to January 2030, with public opening targeted for December 2029. The primary constraint is the need for timely approvals, access to land and market capacity. Governance reviews will therefore check schedule realism at every stage rather than simply assuming that the first plan is correct.</w:t>
      </w:r>
    </w:p>
    <w:p w14:paraId="21A987E7" w14:textId="77777777" w:rsidR="00710918" w:rsidRPr="00937C38" w:rsidRDefault="00D30EA6" w:rsidP="009253D0">
      <w:pPr>
        <w:pStyle w:val="Heading2"/>
      </w:pPr>
      <w:bookmarkStart w:id="9" w:name="_Toc233658612"/>
      <w:r w:rsidRPr="00937C38">
        <w:t>7. Stakeholder involvement</w:t>
      </w:r>
      <w:bookmarkEnd w:id="9"/>
    </w:p>
    <w:p w14:paraId="7FCF745E" w14:textId="44D4C189" w:rsidR="00710918" w:rsidRPr="00937C38" w:rsidRDefault="00DA73E6" w:rsidP="002C283F">
      <w:pPr>
        <w:spacing w:line="360" w:lineRule="auto"/>
        <w:jc w:val="both"/>
      </w:pPr>
      <w:r w:rsidRPr="00937C38">
        <w:t>The project has a significant impact on daily passengers, commercial operators, the local community and public funding agencies and therefore stakeholder involvement is a key element. The stakeholder matrix shown in Figure 4 classifies the stakeholders according to their power and interest. High-power, high-interest stakeholders include the local authority, transport authority, rail and bus operators, freight representatives and public funding partners. They need formal representation on the board, monthly reporting and early escalation processes. Lower-power but high-interest stakeholders include commuters, disabled passengers, residents and local businesses. They need easy access to consultation, disruption notices, design workshops and feedback loops.</w:t>
      </w:r>
    </w:p>
    <w:p w14:paraId="7D6D5322" w14:textId="77777777" w:rsidR="00957CDD" w:rsidRPr="00937C38" w:rsidRDefault="00957CDD" w:rsidP="002C283F">
      <w:pPr>
        <w:keepNext/>
        <w:spacing w:line="360" w:lineRule="auto"/>
        <w:jc w:val="center"/>
      </w:pPr>
      <w:r w:rsidRPr="00937C38">
        <w:rPr>
          <w:noProof/>
        </w:rPr>
        <w:drawing>
          <wp:inline distT="0" distB="0" distL="0" distR="0" wp14:anchorId="1392043E" wp14:editId="3A146331">
            <wp:extent cx="5459494" cy="3974465"/>
            <wp:effectExtent l="0" t="0" r="8255" b="6985"/>
            <wp:docPr id="467154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54478" name=""/>
                    <pic:cNvPicPr/>
                  </pic:nvPicPr>
                  <pic:blipFill>
                    <a:blip r:embed="rId12"/>
                    <a:stretch>
                      <a:fillRect/>
                    </a:stretch>
                  </pic:blipFill>
                  <pic:spPr>
                    <a:xfrm>
                      <a:off x="0" y="0"/>
                      <a:ext cx="5462043" cy="3976321"/>
                    </a:xfrm>
                    <a:prstGeom prst="rect">
                      <a:avLst/>
                    </a:prstGeom>
                  </pic:spPr>
                </pic:pic>
              </a:graphicData>
            </a:graphic>
          </wp:inline>
        </w:drawing>
      </w:r>
    </w:p>
    <w:p w14:paraId="0BE6FBB0" w14:textId="7F6F45BF" w:rsidR="00DA73E6"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4</w:t>
      </w:r>
      <w:r w:rsidRPr="00937C38">
        <w:fldChar w:fldCharType="end"/>
      </w:r>
      <w:r w:rsidRPr="00937C38">
        <w:t>: Stakeholder power-interest matrix</w:t>
      </w:r>
    </w:p>
    <w:p w14:paraId="5811F233" w14:textId="2598FACD" w:rsidR="00710918" w:rsidRPr="00937C38" w:rsidRDefault="00937C38" w:rsidP="009253D0">
      <w:pPr>
        <w:spacing w:line="360" w:lineRule="auto"/>
        <w:jc w:val="both"/>
      </w:pPr>
      <w:r w:rsidRPr="00937C38">
        <w:lastRenderedPageBreak/>
        <w:t>A stakeholder engagement plan will be employed that is based on transparency, inclusion and evidence. Accessibility groups will be engaged throughout the design process considering inclusive mobility guidance which focuses on barrier removal and good access for disabled, luggage and families (</w:t>
      </w:r>
      <w:r w:rsidR="009253D0" w:rsidRPr="009253D0">
        <w:t>Dropkin, &amp; Smith, 2021</w:t>
      </w:r>
      <w:r w:rsidRPr="00937C38">
        <w:t xml:space="preserve">). Construction phasing briefings will be provided locally to minimise the impact of trading. Operators will participate in the planning of possession, as well as in the interface with safety and timetable coordination. One of the drawbacks to consultation is that decision making may be delayed. </w:t>
      </w:r>
      <w:r w:rsidR="002C283F" w:rsidRPr="00937C38">
        <w:t>But</w:t>
      </w:r>
      <w:r w:rsidRPr="00937C38">
        <w:t xml:space="preserve"> under-consultation means that there is more risk of objections, redesign, and reputational damage. The engagement strategy is thus based on targeted consultations at appropriate design moments instead of guided conversations throughout the delivery.</w:t>
      </w:r>
    </w:p>
    <w:p w14:paraId="43856A04" w14:textId="77777777" w:rsidR="00710918" w:rsidRPr="00937C38" w:rsidRDefault="00D30EA6" w:rsidP="009253D0">
      <w:pPr>
        <w:pStyle w:val="Heading2"/>
      </w:pPr>
      <w:bookmarkStart w:id="10" w:name="_Toc233658613"/>
      <w:r w:rsidRPr="00937C38">
        <w:t>8. Allocation of resources</w:t>
      </w:r>
      <w:bookmarkEnd w:id="10"/>
    </w:p>
    <w:p w14:paraId="7040ECF9" w14:textId="2B4A1716" w:rsidR="00710918" w:rsidRPr="00937C38" w:rsidRDefault="00DA73E6" w:rsidP="002C283F">
      <w:pPr>
        <w:spacing w:line="360" w:lineRule="auto"/>
        <w:jc w:val="both"/>
      </w:pPr>
      <w:r w:rsidRPr="00937C38">
        <w:t>The distribution of resources is depicted in Figure 5. The project is required to have a sponsor, a senior responsible owner, a project manager, a commercial manager, a planner, a risk manager, a stakeholder lead, a design manager, a construction contractor, a digital systems supplier, a safety assurance lead, a sustainability adviser and a commissioning manager. Functional teams will increase in the construction phase, decrease in commissioning and handover phases.</w:t>
      </w:r>
    </w:p>
    <w:p w14:paraId="618E078D" w14:textId="77777777" w:rsidR="00957CDD" w:rsidRPr="00937C38" w:rsidRDefault="00957CDD" w:rsidP="002C283F">
      <w:pPr>
        <w:keepNext/>
        <w:spacing w:line="360" w:lineRule="auto"/>
        <w:jc w:val="center"/>
      </w:pPr>
      <w:r w:rsidRPr="00937C38">
        <w:rPr>
          <w:noProof/>
        </w:rPr>
        <w:lastRenderedPageBreak/>
        <w:drawing>
          <wp:inline distT="0" distB="0" distL="0" distR="0" wp14:anchorId="26E3747E" wp14:editId="02270C69">
            <wp:extent cx="5476240" cy="4107180"/>
            <wp:effectExtent l="0" t="0" r="0" b="7620"/>
            <wp:docPr id="11202013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78894" cy="4109171"/>
                    </a:xfrm>
                    <a:prstGeom prst="rect">
                      <a:avLst/>
                    </a:prstGeom>
                    <a:noFill/>
                  </pic:spPr>
                </pic:pic>
              </a:graphicData>
            </a:graphic>
          </wp:inline>
        </w:drawing>
      </w:r>
    </w:p>
    <w:p w14:paraId="175A99FA" w14:textId="7CAE1133" w:rsidR="00710918"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5</w:t>
      </w:r>
      <w:r w:rsidRPr="00937C38">
        <w:fldChar w:fldCharType="end"/>
      </w:r>
      <w:r w:rsidRPr="00937C38">
        <w:t>: Indicative resource allocation by phase</w:t>
      </w:r>
    </w:p>
    <w:p w14:paraId="5294B3AC" w14:textId="2E74A906" w:rsidR="00DA73E6" w:rsidRPr="00937C38" w:rsidRDefault="00DA73E6" w:rsidP="009253D0">
      <w:pPr>
        <w:spacing w:line="360" w:lineRule="auto"/>
        <w:jc w:val="both"/>
      </w:pPr>
      <w:r w:rsidRPr="00937C38">
        <w:t>Resources will be allocated per project phase. Strong governance and planning capacity is required during initiation. Multidisciplinary engineering, cost, carbon and accessibility skills are needed for design. Commercial, legal and technical evaluation is required for procurement. Site management, civil engineering, mechanical and electrical specialists, logistics coordinators and safety supervisors are the most important elements of the construction phase because they are responsible for the most labour-intensive work. Software, data, cybersecurity and operational testing specialists are required for digital integration. For commissioning, safety assurance, training and handover support are required. The staged approach is in line with the principle of project capability being matched to the delivery challenge (</w:t>
      </w:r>
      <w:r w:rsidR="009253D0" w:rsidRPr="009253D0">
        <w:t xml:space="preserve">Arar, </w:t>
      </w:r>
      <w:r w:rsidR="009253D0">
        <w:t xml:space="preserve">et al. </w:t>
      </w:r>
      <w:r w:rsidR="009253D0" w:rsidRPr="009253D0">
        <w:t>2025</w:t>
      </w:r>
      <w:r w:rsidRPr="00937C38">
        <w:t>). It also reflects the need to align people, resources and governance with project complexity (Huemann and Turner, 2024).</w:t>
      </w:r>
    </w:p>
    <w:p w14:paraId="4D76C5DC" w14:textId="668836B8" w:rsidR="00710918" w:rsidRPr="00937C38" w:rsidRDefault="00DA73E6" w:rsidP="0063484D">
      <w:pPr>
        <w:spacing w:line="360" w:lineRule="auto"/>
        <w:jc w:val="both"/>
      </w:pPr>
      <w:r w:rsidRPr="00937C38">
        <w:t xml:space="preserve">Budget control will be implemented through baseline estimating, contingency management and monthly cost reporting. Carbon management should be treated as a core project constraint rather than an optional enhancement. Carbon targets must be integrated into design reviews, procurement scoring and change control as part of lifecycle carbon thinking, early collaboration and integrated </w:t>
      </w:r>
      <w:r w:rsidRPr="00937C38">
        <w:lastRenderedPageBreak/>
        <w:t>decision making (British Standards Institution, 2023). In addition, the public value of options will be evaluated using Green Book logic, where options are assessed on costs, benefits and risks rather than lowest initial price (</w:t>
      </w:r>
      <w:r w:rsidR="0063484D" w:rsidRPr="0063484D">
        <w:t>Mishan, &amp; Quah, 2020</w:t>
      </w:r>
      <w:r w:rsidRPr="00937C38">
        <w:t>).</w:t>
      </w:r>
    </w:p>
    <w:p w14:paraId="60916D06" w14:textId="77777777" w:rsidR="00710918" w:rsidRPr="00937C38" w:rsidRDefault="00D30EA6" w:rsidP="009253D0">
      <w:pPr>
        <w:pStyle w:val="Heading2"/>
      </w:pPr>
      <w:bookmarkStart w:id="11" w:name="_Toc233658614"/>
      <w:r w:rsidRPr="00937C38">
        <w:t>9. Risk analysis</w:t>
      </w:r>
      <w:bookmarkEnd w:id="11"/>
    </w:p>
    <w:p w14:paraId="461072CB" w14:textId="2AD88E2B" w:rsidR="00710918" w:rsidRPr="00937C38" w:rsidRDefault="00DA73E6" w:rsidP="002C283F">
      <w:pPr>
        <w:spacing w:line="360" w:lineRule="auto"/>
        <w:jc w:val="both"/>
      </w:pPr>
      <w:r w:rsidRPr="00937C38">
        <w:t>Figure 6 shows a risk heat map, which ranks the major risks according to their probability and impact. The most significant risks are escalating costs, schedule delays, complexity of diverting utilities, poor contractor performance, dissatisfied public, and failures to integrate digital. The risk management will be based on the live register with named owners, response actions and target scores and review dates.</w:t>
      </w:r>
    </w:p>
    <w:p w14:paraId="45C60FFD" w14:textId="77777777" w:rsidR="00957CDD" w:rsidRPr="00937C38" w:rsidRDefault="00957CDD" w:rsidP="002C283F">
      <w:pPr>
        <w:keepNext/>
        <w:spacing w:line="360" w:lineRule="auto"/>
        <w:jc w:val="center"/>
      </w:pPr>
      <w:r w:rsidRPr="00937C38">
        <w:rPr>
          <w:noProof/>
        </w:rPr>
        <w:drawing>
          <wp:inline distT="0" distB="0" distL="0" distR="0" wp14:anchorId="3DC9D24F" wp14:editId="7A941AD5">
            <wp:extent cx="5207000" cy="3905250"/>
            <wp:effectExtent l="0" t="0" r="0" b="0"/>
            <wp:docPr id="1117198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7000" cy="3905250"/>
                    </a:xfrm>
                    <a:prstGeom prst="rect">
                      <a:avLst/>
                    </a:prstGeom>
                    <a:noFill/>
                  </pic:spPr>
                </pic:pic>
              </a:graphicData>
            </a:graphic>
          </wp:inline>
        </w:drawing>
      </w:r>
    </w:p>
    <w:p w14:paraId="0010BA01" w14:textId="0CD7E029" w:rsidR="00710918" w:rsidRPr="00937C38" w:rsidRDefault="00957CDD" w:rsidP="002C283F">
      <w:pPr>
        <w:pStyle w:val="Caption"/>
        <w:spacing w:line="360" w:lineRule="auto"/>
        <w:jc w:val="center"/>
      </w:pPr>
      <w:r w:rsidRPr="00937C38">
        <w:t xml:space="preserve">Figure </w:t>
      </w:r>
      <w:r w:rsidRPr="00937C38">
        <w:fldChar w:fldCharType="begin"/>
      </w:r>
      <w:r w:rsidRPr="00937C38">
        <w:instrText xml:space="preserve"> SEQ Figure \* ARABIC </w:instrText>
      </w:r>
      <w:r w:rsidRPr="00937C38">
        <w:fldChar w:fldCharType="separate"/>
      </w:r>
      <w:r w:rsidRPr="00937C38">
        <w:t>6</w:t>
      </w:r>
      <w:r w:rsidRPr="00937C38">
        <w:fldChar w:fldCharType="end"/>
      </w:r>
      <w:r w:rsidRPr="00937C38">
        <w:t>: Risk heat map for key project threats</w:t>
      </w:r>
    </w:p>
    <w:p w14:paraId="03B5A674" w14:textId="13CE9D7F" w:rsidR="00710918" w:rsidRPr="00937C38" w:rsidRDefault="00DA73E6" w:rsidP="002C283F">
      <w:pPr>
        <w:spacing w:line="360" w:lineRule="auto"/>
        <w:jc w:val="both"/>
      </w:pPr>
      <w:r w:rsidRPr="00937C38">
        <w:t xml:space="preserve">Cost escalation will be addressed by involving the contractor early, providing inflation allowances, applying value engineering and maintaining change control. Schedule delay will be minimised by realistic baseline planning, possession coordination, critical-path monitoring and stage-gate reviews. Utility diversion risk will be minimised through advance surveys and statutory undertaker agreements. Contractor underperformance will be managed through prequalification, performance bonds, milestone payments and reporting. Public dissatisfaction will be reduced through phased </w:t>
      </w:r>
      <w:r w:rsidRPr="00937C38">
        <w:lastRenderedPageBreak/>
        <w:t>access arrangements, clear signage, business liaison meetings and rapid response procedures for disruption-related complaints. Digital integration failure will be reduced through open standards, interface testing, cybersecurity assurance and pilot trials before opening.</w:t>
      </w:r>
    </w:p>
    <w:p w14:paraId="6ABF7359" w14:textId="38EFF212" w:rsidR="00710918" w:rsidRPr="00937C38" w:rsidRDefault="00DA73E6" w:rsidP="009253D0">
      <w:pPr>
        <w:spacing w:line="360" w:lineRule="auto"/>
        <w:jc w:val="both"/>
      </w:pPr>
      <w:r w:rsidRPr="00937C38">
        <w:t>Trade-offs must be explicitly governed. Faster delivery may reduce the quality of consultation, while increasing sustainability requirements can lead to an increase in initial capital costs, and keeping live transport routes can slow construction. The safest, most accessible and best whole-life-value approach is recommended, even if this increases planning time. This is legitimate because a poorly managed reopening that fails operationally would damage public confidence and could increase long-term costs. Project controls need to be geared toward benefits instead of just time and budget. This approach is underpinned by the value-oriented principles of PMBOK (</w:t>
      </w:r>
      <w:r w:rsidR="009253D0" w:rsidRPr="009253D0">
        <w:t xml:space="preserve">Dessi, </w:t>
      </w:r>
      <w:r w:rsidR="009253D0">
        <w:t xml:space="preserve">et al. </w:t>
      </w:r>
      <w:r w:rsidR="009253D0" w:rsidRPr="009253D0">
        <w:t>2026</w:t>
      </w:r>
      <w:r w:rsidRPr="00937C38">
        <w:t>). It also reflects the PRINCE2 principle of ongoing business justification (</w:t>
      </w:r>
      <w:proofErr w:type="spellStart"/>
      <w:r w:rsidRPr="00937C38">
        <w:t>PeopleCert</w:t>
      </w:r>
      <w:proofErr w:type="spellEnd"/>
      <w:r w:rsidRPr="00937C38">
        <w:t>, 2023).</w:t>
      </w:r>
    </w:p>
    <w:p w14:paraId="4DB91AE9" w14:textId="77777777" w:rsidR="00710918" w:rsidRPr="00937C38" w:rsidRDefault="00D30EA6" w:rsidP="009253D0">
      <w:pPr>
        <w:pStyle w:val="Heading2"/>
      </w:pPr>
      <w:bookmarkStart w:id="12" w:name="_Toc233658615"/>
      <w:r w:rsidRPr="00937C38">
        <w:t>10. Conclusion</w:t>
      </w:r>
      <w:bookmarkEnd w:id="12"/>
    </w:p>
    <w:p w14:paraId="514A46F8" w14:textId="0C19E909" w:rsidR="00710918" w:rsidRPr="00937C38" w:rsidRDefault="00DA73E6" w:rsidP="002C283F">
      <w:pPr>
        <w:spacing w:line="360" w:lineRule="auto"/>
        <w:jc w:val="both"/>
      </w:pPr>
      <w:r w:rsidRPr="00937C38">
        <w:t xml:space="preserve">The most suitable project response is </w:t>
      </w:r>
      <w:proofErr w:type="spellStart"/>
      <w:r w:rsidRPr="00937C38">
        <w:t>MetroHub</w:t>
      </w:r>
      <w:proofErr w:type="spellEnd"/>
      <w:r w:rsidRPr="00937C38">
        <w:t xml:space="preserve"> Renewal because it takes a holistic approach to the hub closure and tackles the underlying cause of the closure: unsafe, outdated and operationally inadequate transport infrastructure. The plan turns the poster proposal into a controlled project management plan by setting measurable objectives, scope boundaries, WBS, quad chart, Gantt chart, stakeholder strategy, resource allocation and risk analysis. The suggested hybrid approach is suitable because physical infrastructure needs disciplined stage control and digital infrastructure needs iterative testing. The main constraints are uncertainty over approvals, cost inflation, construction disruption and stakeholder expectations. These restrictions are controlled through governance, contingency, consultation and clear decision-making. The project, when implemented as intended, will deliver capacity, enhance safety and accessibility, assist local economic recovery and integrate transport infrastructure with the net-zero and digital modernisation agenda.</w:t>
      </w:r>
    </w:p>
    <w:p w14:paraId="29916845" w14:textId="77777777" w:rsidR="00710918" w:rsidRPr="00937C38" w:rsidRDefault="00D30EA6" w:rsidP="002C283F">
      <w:pPr>
        <w:spacing w:line="360" w:lineRule="auto"/>
        <w:jc w:val="both"/>
      </w:pPr>
      <w:r w:rsidRPr="00937C38">
        <w:br w:type="page"/>
      </w:r>
    </w:p>
    <w:p w14:paraId="4A59E02E" w14:textId="77777777" w:rsidR="00710918" w:rsidRPr="00937C38" w:rsidRDefault="00D30EA6" w:rsidP="009253D0">
      <w:pPr>
        <w:pStyle w:val="Heading1"/>
      </w:pPr>
      <w:bookmarkStart w:id="13" w:name="_Toc233658616"/>
      <w:r w:rsidRPr="00937C38">
        <w:lastRenderedPageBreak/>
        <w:t>References</w:t>
      </w:r>
      <w:bookmarkEnd w:id="13"/>
    </w:p>
    <w:p w14:paraId="36C37397" w14:textId="77777777" w:rsidR="00CD11AC" w:rsidRDefault="00CD11AC" w:rsidP="009253D0">
      <w:pPr>
        <w:spacing w:line="360" w:lineRule="auto"/>
        <w:ind w:left="432" w:hanging="432"/>
        <w:jc w:val="both"/>
      </w:pPr>
      <w:r>
        <w:t>Arar, A. J., Poirier, E., &amp; Staub-French, S. (2025). A capability maturity model for integrated project delivery. Buildings, 15(10), 1733.</w:t>
      </w:r>
    </w:p>
    <w:p w14:paraId="03363E2D" w14:textId="77777777" w:rsidR="00CD11AC" w:rsidRPr="00937C38" w:rsidRDefault="00CD11AC" w:rsidP="002C283F">
      <w:pPr>
        <w:spacing w:line="360" w:lineRule="auto"/>
        <w:ind w:left="432" w:hanging="432"/>
        <w:jc w:val="both"/>
      </w:pPr>
      <w:r w:rsidRPr="00937C38">
        <w:t xml:space="preserve">British Standards Institution (2023) PAS 2080:2023 Carbon Management in Buildings and Infrastructure. London: BSI. Available at: </w:t>
      </w:r>
      <w:hyperlink r:id="rId15" w:history="1">
        <w:r w:rsidRPr="00E646BA">
          <w:rPr>
            <w:rStyle w:val="Hyperlink"/>
          </w:rPr>
          <w:t>https://www.bsigroup.com/en-GB/insights-and-media/insights/brochures/carbon-management-in-buildings-and-infrastructure/</w:t>
        </w:r>
      </w:hyperlink>
      <w:r>
        <w:t xml:space="preserve"> </w:t>
      </w:r>
    </w:p>
    <w:p w14:paraId="52FC016A" w14:textId="77777777" w:rsidR="00CD11AC" w:rsidRDefault="00CD11AC" w:rsidP="009253D0">
      <w:pPr>
        <w:spacing w:line="360" w:lineRule="auto"/>
        <w:ind w:left="432" w:hanging="432"/>
        <w:jc w:val="both"/>
      </w:pPr>
      <w:r>
        <w:t xml:space="preserve">Burgess, P., &amp; </w:t>
      </w:r>
      <w:proofErr w:type="spellStart"/>
      <w:r>
        <w:t>Foulcher</w:t>
      </w:r>
      <w:proofErr w:type="spellEnd"/>
      <w:r>
        <w:t>, N. (2025). Construction Projects: Strategic Planning and Project Initiation. In Handbook of Construction Project Management (pp. 59-107). Singapore: Springer Nature Singapore.</w:t>
      </w:r>
    </w:p>
    <w:p w14:paraId="28CF1AC6" w14:textId="77777777" w:rsidR="00CD11AC" w:rsidRPr="00937C38" w:rsidRDefault="00CD11AC" w:rsidP="002C283F">
      <w:pPr>
        <w:spacing w:line="360" w:lineRule="auto"/>
        <w:ind w:left="432" w:hanging="432"/>
        <w:jc w:val="both"/>
      </w:pPr>
      <w:r w:rsidRPr="00937C38">
        <w:t xml:space="preserve">Department for Energy Security and Net Zero (2025) 2024 UK greenhouse gas emissions: provisional figures. London: DESNZ. Available at: </w:t>
      </w:r>
      <w:hyperlink r:id="rId16" w:history="1">
        <w:r w:rsidRPr="00E646BA">
          <w:rPr>
            <w:rStyle w:val="Hyperlink"/>
          </w:rPr>
          <w:t>https://assets.publishing.service.gov.uk/media/67e4060df356a2dc0e39b4cd/2024-provisional-greenhouse-gas-emissions-statistics-statistical-release.pdf</w:t>
        </w:r>
      </w:hyperlink>
      <w:r>
        <w:t xml:space="preserve"> </w:t>
      </w:r>
    </w:p>
    <w:p w14:paraId="2C42F18D" w14:textId="77777777" w:rsidR="00CD11AC" w:rsidRPr="00937C38" w:rsidRDefault="00CD11AC" w:rsidP="002C283F">
      <w:pPr>
        <w:spacing w:line="360" w:lineRule="auto"/>
        <w:ind w:left="432" w:hanging="432"/>
        <w:jc w:val="both"/>
      </w:pPr>
      <w:r w:rsidRPr="00937C38">
        <w:t xml:space="preserve">Department for Transport (2021) Decarbonising Transport: A Better, Greener Britain. London: Department for Transport. Available at: </w:t>
      </w:r>
      <w:hyperlink r:id="rId17" w:history="1">
        <w:r w:rsidRPr="00937C38">
          <w:rPr>
            <w:rStyle w:val="Hyperlink"/>
          </w:rPr>
          <w:t>https://assets.publishing.service.gov.uk/media/610d63ffe90e0706d92fa282/decarbonising-transport-a-better-greener-britain.pdf</w:t>
        </w:r>
      </w:hyperlink>
      <w:r w:rsidRPr="00937C38">
        <w:t xml:space="preserve"> </w:t>
      </w:r>
    </w:p>
    <w:p w14:paraId="1F397CFA" w14:textId="77777777" w:rsidR="00CD11AC" w:rsidRDefault="00CD11AC" w:rsidP="009253D0">
      <w:pPr>
        <w:spacing w:line="360" w:lineRule="auto"/>
        <w:ind w:left="432" w:hanging="432"/>
        <w:jc w:val="both"/>
      </w:pPr>
      <w:r w:rsidRPr="009253D0">
        <w:rPr>
          <w:lang w:val="da-DK"/>
        </w:rPr>
        <w:t xml:space="preserve">Dessi, C., Basile, V., Caboni, F., &amp; De Trane, F. (2026). </w:t>
      </w:r>
      <w:r>
        <w:t>Formalising Sustainability Management as a Core Process Group in Project Management. Business Strategy and the Environment.</w:t>
      </w:r>
    </w:p>
    <w:p w14:paraId="7B7C329F" w14:textId="77777777" w:rsidR="00CD11AC" w:rsidRDefault="00CD11AC" w:rsidP="009253D0">
      <w:pPr>
        <w:spacing w:line="360" w:lineRule="auto"/>
        <w:ind w:left="432" w:hanging="432"/>
        <w:jc w:val="both"/>
      </w:pPr>
      <w:r>
        <w:t>Dropkin, D., &amp; Smith, N. (2021). Inclusive and accessible design. In Metric Handbook (pp. 4-1). Routledge.</w:t>
      </w:r>
    </w:p>
    <w:p w14:paraId="66AEF99E" w14:textId="77777777" w:rsidR="00CD11AC" w:rsidRPr="00937C38" w:rsidRDefault="00CD11AC" w:rsidP="009253D0">
      <w:pPr>
        <w:spacing w:line="360" w:lineRule="auto"/>
        <w:ind w:left="432" w:hanging="432"/>
        <w:jc w:val="both"/>
      </w:pPr>
      <w:r w:rsidRPr="00937C38">
        <w:t>Flyvbjerg, B. and Gardner, D. (2023) How Big Things Get Done: The Surprising Factors That Determine the Fate of Every Project. London: Macmillan.</w:t>
      </w:r>
    </w:p>
    <w:p w14:paraId="61AB05FA" w14:textId="77777777" w:rsidR="00CD11AC" w:rsidRDefault="00CD11AC" w:rsidP="009253D0">
      <w:pPr>
        <w:spacing w:line="360" w:lineRule="auto"/>
        <w:ind w:left="432" w:hanging="432"/>
        <w:jc w:val="both"/>
      </w:pPr>
      <w:r w:rsidRPr="00937C38">
        <w:t xml:space="preserve">Huemann, M. and Turner, J.R. (eds.) (2024) The Handbook of Project Management. 6th </w:t>
      </w:r>
      <w:proofErr w:type="spellStart"/>
      <w:r w:rsidRPr="00937C38">
        <w:t>edn</w:t>
      </w:r>
      <w:proofErr w:type="spellEnd"/>
      <w:r w:rsidRPr="00937C38">
        <w:t>. Abingdon: Routledge.</w:t>
      </w:r>
    </w:p>
    <w:p w14:paraId="79113104" w14:textId="77777777" w:rsidR="00CD11AC" w:rsidRPr="00937C38" w:rsidRDefault="00CD11AC" w:rsidP="002C283F">
      <w:pPr>
        <w:spacing w:line="360" w:lineRule="auto"/>
        <w:ind w:left="432" w:hanging="432"/>
        <w:jc w:val="both"/>
      </w:pPr>
      <w:r w:rsidRPr="00937C38">
        <w:t xml:space="preserve">Kerzner, H. (2022) Project Management: A Systems Approach to Planning, Scheduling, and Controlling. 13th </w:t>
      </w:r>
      <w:proofErr w:type="spellStart"/>
      <w:r w:rsidRPr="00937C38">
        <w:t>edn</w:t>
      </w:r>
      <w:proofErr w:type="spellEnd"/>
      <w:r w:rsidRPr="00937C38">
        <w:t>. Hoboken: Wiley.</w:t>
      </w:r>
    </w:p>
    <w:p w14:paraId="2392678E" w14:textId="77777777" w:rsidR="00CD11AC" w:rsidRPr="00937C38" w:rsidRDefault="00CD11AC" w:rsidP="002C283F">
      <w:pPr>
        <w:spacing w:line="360" w:lineRule="auto"/>
        <w:ind w:left="432" w:hanging="432"/>
        <w:jc w:val="both"/>
      </w:pPr>
      <w:r w:rsidRPr="00937C38">
        <w:t xml:space="preserve">Lock, D. (2020) Project Management. 11th </w:t>
      </w:r>
      <w:proofErr w:type="spellStart"/>
      <w:r w:rsidRPr="00937C38">
        <w:t>edn</w:t>
      </w:r>
      <w:proofErr w:type="spellEnd"/>
      <w:r w:rsidRPr="00937C38">
        <w:t xml:space="preserve">. Abingdon: Routledge. </w:t>
      </w:r>
      <w:hyperlink r:id="rId18" w:tgtFrame="_blank" w:history="1">
        <w:r w:rsidRPr="00937C38">
          <w:rPr>
            <w:rStyle w:val="Hyperlink"/>
          </w:rPr>
          <w:t>https://doi.org/10.4324/9781315245911</w:t>
        </w:r>
      </w:hyperlink>
      <w:r w:rsidRPr="00937C38">
        <w:t xml:space="preserve"> </w:t>
      </w:r>
    </w:p>
    <w:p w14:paraId="429B8B3A" w14:textId="77777777" w:rsidR="00CD11AC" w:rsidRPr="00937C38" w:rsidRDefault="00CD11AC" w:rsidP="002C283F">
      <w:pPr>
        <w:spacing w:line="360" w:lineRule="auto"/>
        <w:ind w:left="432" w:hanging="432"/>
        <w:jc w:val="both"/>
      </w:pPr>
      <w:r w:rsidRPr="00937C38">
        <w:t xml:space="preserve">Maylor, H. (2022) Project Management. 5th </w:t>
      </w:r>
      <w:proofErr w:type="spellStart"/>
      <w:r w:rsidRPr="00937C38">
        <w:t>edn</w:t>
      </w:r>
      <w:proofErr w:type="spellEnd"/>
      <w:r w:rsidRPr="00937C38">
        <w:t>. Harlow: Pearson.</w:t>
      </w:r>
    </w:p>
    <w:p w14:paraId="64390556" w14:textId="77777777" w:rsidR="00CD11AC" w:rsidRDefault="00CD11AC" w:rsidP="009253D0">
      <w:pPr>
        <w:spacing w:line="360" w:lineRule="auto"/>
        <w:ind w:left="432" w:hanging="432"/>
        <w:jc w:val="both"/>
      </w:pPr>
      <w:proofErr w:type="spellStart"/>
      <w:r w:rsidRPr="00E2169E">
        <w:lastRenderedPageBreak/>
        <w:t>Memari</w:t>
      </w:r>
      <w:proofErr w:type="spellEnd"/>
      <w:r w:rsidRPr="00E2169E">
        <w:t xml:space="preserve">, A., </w:t>
      </w:r>
      <w:proofErr w:type="spellStart"/>
      <w:r w:rsidRPr="00E2169E">
        <w:t>Ogunmakinde</w:t>
      </w:r>
      <w:proofErr w:type="spellEnd"/>
      <w:r w:rsidRPr="00E2169E">
        <w:t xml:space="preserve">, O. E., &amp; </w:t>
      </w:r>
      <w:proofErr w:type="spellStart"/>
      <w:r w:rsidRPr="00E2169E">
        <w:t>Skulmoski</w:t>
      </w:r>
      <w:proofErr w:type="spellEnd"/>
      <w:r w:rsidRPr="00E2169E">
        <w:t xml:space="preserve">, G. (2025). </w:t>
      </w:r>
      <w:r>
        <w:t>Strategies for improving supply chain efficiency in public-private partnership infrastructure projects. Management Decision.</w:t>
      </w:r>
    </w:p>
    <w:p w14:paraId="7A8EA934" w14:textId="77777777" w:rsidR="00CD11AC" w:rsidRPr="00937C38" w:rsidRDefault="00CD11AC" w:rsidP="0063484D">
      <w:pPr>
        <w:spacing w:line="360" w:lineRule="auto"/>
        <w:ind w:left="432" w:hanging="432"/>
        <w:jc w:val="both"/>
      </w:pPr>
      <w:r w:rsidRPr="0063484D">
        <w:t>Mishan, E. J., &amp; Quah, E. (2020). </w:t>
      </w:r>
      <w:r w:rsidRPr="0063484D">
        <w:rPr>
          <w:i/>
          <w:iCs/>
        </w:rPr>
        <w:t>Cost-benefit analysis</w:t>
      </w:r>
      <w:r w:rsidRPr="0063484D">
        <w:t>. Routledge.</w:t>
      </w:r>
    </w:p>
    <w:p w14:paraId="4DFE1E7C" w14:textId="77777777" w:rsidR="00CD11AC" w:rsidRPr="00937C38" w:rsidRDefault="00CD11AC" w:rsidP="002C283F">
      <w:pPr>
        <w:spacing w:line="360" w:lineRule="auto"/>
        <w:ind w:left="432" w:hanging="432"/>
        <w:jc w:val="both"/>
      </w:pPr>
      <w:r w:rsidRPr="00937C38">
        <w:t xml:space="preserve">National Audit Office (2020) Lessons Learned from Major Programmes. London: National Audit Office. Available at: </w:t>
      </w:r>
      <w:hyperlink r:id="rId19" w:history="1">
        <w:r w:rsidRPr="00937C38">
          <w:rPr>
            <w:rStyle w:val="Hyperlink"/>
          </w:rPr>
          <w:t>https://www.nao.org.uk/wp-content/uploads/2020/09/Lessons-learned-from-Major-Programmes.pdf</w:t>
        </w:r>
      </w:hyperlink>
      <w:r w:rsidRPr="00937C38">
        <w:t xml:space="preserve"> </w:t>
      </w:r>
    </w:p>
    <w:p w14:paraId="28E458C9" w14:textId="77777777" w:rsidR="00CD11AC" w:rsidRPr="00937C38" w:rsidRDefault="00CD11AC" w:rsidP="009253D0">
      <w:pPr>
        <w:spacing w:line="360" w:lineRule="auto"/>
        <w:ind w:left="432" w:hanging="432"/>
        <w:jc w:val="both"/>
      </w:pPr>
      <w:proofErr w:type="spellStart"/>
      <w:r w:rsidRPr="00937C38">
        <w:t>PeopleCert</w:t>
      </w:r>
      <w:proofErr w:type="spellEnd"/>
      <w:r w:rsidRPr="00937C38">
        <w:t xml:space="preserve"> (2023) Managing Successful Projects with PRINCE2 7. London: </w:t>
      </w:r>
      <w:proofErr w:type="spellStart"/>
      <w:r w:rsidRPr="00937C38">
        <w:t>PeopleCert</w:t>
      </w:r>
      <w:proofErr w:type="spellEnd"/>
      <w:r w:rsidRPr="00937C38">
        <w:t xml:space="preserve"> International.</w:t>
      </w:r>
      <w:r w:rsidRPr="00937C38">
        <w:br w:type="page"/>
      </w:r>
    </w:p>
    <w:p w14:paraId="19E3119E" w14:textId="77777777" w:rsidR="009253D0" w:rsidRPr="00937C38" w:rsidRDefault="009253D0" w:rsidP="009253D0">
      <w:pPr>
        <w:spacing w:line="360" w:lineRule="auto"/>
        <w:ind w:left="432" w:hanging="432"/>
        <w:jc w:val="both"/>
      </w:pPr>
      <w:r>
        <w:lastRenderedPageBreak/>
        <w:t xml:space="preserve">Takagi, N., &amp; </w:t>
      </w:r>
      <w:proofErr w:type="spellStart"/>
      <w:r>
        <w:t>Varajão</w:t>
      </w:r>
      <w:proofErr w:type="spellEnd"/>
      <w:r>
        <w:t>, J. (2025). ISO 21502 and success management: A required marriage in project management. SAGE Open, 15(3), 21582440251355046.</w:t>
      </w:r>
    </w:p>
    <w:p w14:paraId="3A360344" w14:textId="2A46C3C9" w:rsidR="00710918" w:rsidRPr="00937C38" w:rsidRDefault="00630D9A" w:rsidP="009253D0">
      <w:pPr>
        <w:pStyle w:val="Heading1"/>
      </w:pPr>
      <w:bookmarkStart w:id="14" w:name="_Toc233658617"/>
      <w:r w:rsidRPr="00937C38">
        <w:t>Appendix: Feedback Received</w:t>
      </w:r>
      <w:bookmarkEnd w:id="14"/>
    </w:p>
    <w:p w14:paraId="75C97C9F" w14:textId="795E4B78" w:rsidR="00630D9A" w:rsidRPr="00937C38" w:rsidRDefault="00630D9A" w:rsidP="002C283F">
      <w:pPr>
        <w:spacing w:line="360" w:lineRule="auto"/>
        <w:jc w:val="both"/>
      </w:pPr>
      <w:r w:rsidRPr="00937C38">
        <w:t>“You have produced a professional and well-structured poster that clearly addresses the redevelopment of the central transport hub. The project rationale effectively explains why full redevelopment is the most appropriate long-term solution, linking the closure of the hub to disruptions in commuter travel, freight logistics, and local economic activity. The aims, objectives, scope, stakeholders, risks, and strategic value are all clearly presented and aligned with the project scenario. The inclusion of sustainability considerations and digital modernisation demonstrates a good understanding of contemporary transport infrastructure priorities.</w:t>
      </w:r>
    </w:p>
    <w:p w14:paraId="4DBED3E6" w14:textId="77777777" w:rsidR="00630D9A" w:rsidRPr="00937C38" w:rsidRDefault="00630D9A" w:rsidP="002C283F">
      <w:pPr>
        <w:spacing w:line="360" w:lineRule="auto"/>
        <w:jc w:val="both"/>
      </w:pPr>
      <w:r w:rsidRPr="00937C38">
        <w:t>A key strength is the clarity and balance of the content. The scope and boundaries are particularly well defined, helping to establish realistic project expectations and prevent scope creep. The stakeholder section recognises the diverse groups affected by the project, while the discussion of risks and trade-offs demonstrates awareness of the practical challenges involved in delivering a major infrastructure programme. The inclusion of supporting evidence, such as the emissions chart, also strengthens the strategic justification for the project and highlights the importance of sustainable transport investment.</w:t>
      </w:r>
    </w:p>
    <w:p w14:paraId="2CD40D60" w14:textId="77777777" w:rsidR="00630D9A" w:rsidRPr="00937C38" w:rsidRDefault="00630D9A" w:rsidP="002C283F">
      <w:pPr>
        <w:spacing w:line="360" w:lineRule="auto"/>
        <w:jc w:val="both"/>
      </w:pPr>
      <w:r w:rsidRPr="00937C38">
        <w:t>To strengthen the work further, the objectives could be made more measurable by including specific performance targets and timescales. Greater application of project management tools and techniques, such as stakeholder matrices, risk heat maps, governance structures, or project schedules, would provide stronger evidence of project management knowledge. Additionally, the risks and trade-offs could be explored in greater analytical depth, particularly regarding mitigation strategies and their implications for project delivery.</w:t>
      </w:r>
    </w:p>
    <w:p w14:paraId="6CEC6BEB" w14:textId="69A59AE6" w:rsidR="00630D9A" w:rsidRPr="00630D9A" w:rsidRDefault="00630D9A" w:rsidP="002C283F">
      <w:pPr>
        <w:spacing w:line="360" w:lineRule="auto"/>
        <w:jc w:val="both"/>
      </w:pPr>
      <w:r w:rsidRPr="00937C38">
        <w:t>Overall, this is a strong poster that meets the assessment requirements effectively. The professional presentation, clear structure, and good integration of strategic considerations demonstrate a solid understanding of project management principles. Further use of project management tools and deeper critical analysis would help elevate the work to a higher distinction level.”</w:t>
      </w:r>
    </w:p>
    <w:sectPr w:rsidR="00630D9A" w:rsidRPr="00630D9A" w:rsidSect="00034616">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2635A" w14:textId="77777777" w:rsidR="00710429" w:rsidRPr="00937C38" w:rsidRDefault="00710429">
      <w:pPr>
        <w:spacing w:line="240" w:lineRule="auto"/>
      </w:pPr>
      <w:r w:rsidRPr="00937C38">
        <w:separator/>
      </w:r>
    </w:p>
  </w:endnote>
  <w:endnote w:type="continuationSeparator" w:id="0">
    <w:p w14:paraId="763ED1FA" w14:textId="77777777" w:rsidR="00710429" w:rsidRPr="00937C38" w:rsidRDefault="00710429">
      <w:pPr>
        <w:spacing w:line="240" w:lineRule="auto"/>
      </w:pPr>
      <w:r w:rsidRPr="00937C3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708B4" w14:textId="77777777" w:rsidR="00710918" w:rsidRPr="00937C38" w:rsidRDefault="00D30EA6">
    <w:pPr>
      <w:pStyle w:val="Footer"/>
      <w:spacing w:line="480" w:lineRule="auto"/>
      <w:jc w:val="center"/>
    </w:pPr>
    <w:r w:rsidRPr="00937C38">
      <w:fldChar w:fldCharType="begin"/>
    </w:r>
    <w:r w:rsidRPr="00937C38">
      <w:instrText>PAGE</w:instrText>
    </w:r>
    <w:r w:rsidRPr="00937C38">
      <w:fldChar w:fldCharType="separate"/>
    </w:r>
    <w:r w:rsidR="00630D9A" w:rsidRPr="00937C38">
      <w:t>1</w:t>
    </w:r>
    <w:r w:rsidRPr="00937C38">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C9E1A" w14:textId="77777777" w:rsidR="00710429" w:rsidRPr="00937C38" w:rsidRDefault="00710429">
      <w:pPr>
        <w:spacing w:line="240" w:lineRule="auto"/>
      </w:pPr>
      <w:r w:rsidRPr="00937C38">
        <w:separator/>
      </w:r>
    </w:p>
  </w:footnote>
  <w:footnote w:type="continuationSeparator" w:id="0">
    <w:p w14:paraId="62A9312D" w14:textId="77777777" w:rsidR="00710429" w:rsidRPr="00937C38" w:rsidRDefault="00710429">
      <w:pPr>
        <w:spacing w:line="240" w:lineRule="auto"/>
      </w:pPr>
      <w:r w:rsidRPr="00937C3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AE6665" w14:textId="554A8C0C" w:rsidR="00E2169E" w:rsidRDefault="00E2169E">
    <w:pPr>
      <w:pStyle w:val="Header"/>
    </w:pPr>
    <w:r>
      <w:rPr>
        <w:noProof/>
      </w:rPr>
      <w:drawing>
        <wp:anchor distT="0" distB="0" distL="114300" distR="114300" simplePos="0" relativeHeight="251658240" behindDoc="0" locked="0" layoutInCell="1" allowOverlap="1" wp14:anchorId="4D62AA82" wp14:editId="177E3BF0">
          <wp:simplePos x="0" y="0"/>
          <wp:positionH relativeFrom="margin">
            <wp:posOffset>5505450</wp:posOffset>
          </wp:positionH>
          <wp:positionV relativeFrom="paragraph">
            <wp:posOffset>-352425</wp:posOffset>
          </wp:positionV>
          <wp:extent cx="638175" cy="638175"/>
          <wp:effectExtent l="0" t="0" r="9525" b="9525"/>
          <wp:wrapSquare wrapText="bothSides"/>
          <wp:docPr id="1459905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38175" cy="63817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03293642">
    <w:abstractNumId w:val="8"/>
  </w:num>
  <w:num w:numId="2" w16cid:durableId="650595693">
    <w:abstractNumId w:val="6"/>
  </w:num>
  <w:num w:numId="3" w16cid:durableId="1498106183">
    <w:abstractNumId w:val="5"/>
  </w:num>
  <w:num w:numId="4" w16cid:durableId="131140703">
    <w:abstractNumId w:val="4"/>
  </w:num>
  <w:num w:numId="5" w16cid:durableId="753085437">
    <w:abstractNumId w:val="7"/>
  </w:num>
  <w:num w:numId="6" w16cid:durableId="1749228342">
    <w:abstractNumId w:val="3"/>
  </w:num>
  <w:num w:numId="7" w16cid:durableId="1091463774">
    <w:abstractNumId w:val="2"/>
  </w:num>
  <w:num w:numId="8" w16cid:durableId="1040665822">
    <w:abstractNumId w:val="1"/>
  </w:num>
  <w:num w:numId="9" w16cid:durableId="1792237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C70"/>
    <w:rsid w:val="00034616"/>
    <w:rsid w:val="00035935"/>
    <w:rsid w:val="000541CA"/>
    <w:rsid w:val="0006063C"/>
    <w:rsid w:val="0015074B"/>
    <w:rsid w:val="0026375F"/>
    <w:rsid w:val="0029639D"/>
    <w:rsid w:val="002C283F"/>
    <w:rsid w:val="00326F90"/>
    <w:rsid w:val="003A15F3"/>
    <w:rsid w:val="004F0E5E"/>
    <w:rsid w:val="005A35C7"/>
    <w:rsid w:val="00630D9A"/>
    <w:rsid w:val="0063484D"/>
    <w:rsid w:val="00710429"/>
    <w:rsid w:val="00710918"/>
    <w:rsid w:val="007279C8"/>
    <w:rsid w:val="00754BFB"/>
    <w:rsid w:val="007743D8"/>
    <w:rsid w:val="00875232"/>
    <w:rsid w:val="008E696F"/>
    <w:rsid w:val="009253D0"/>
    <w:rsid w:val="00937C38"/>
    <w:rsid w:val="00957CDD"/>
    <w:rsid w:val="00AA0D29"/>
    <w:rsid w:val="00AA1D8D"/>
    <w:rsid w:val="00AD62DD"/>
    <w:rsid w:val="00B31546"/>
    <w:rsid w:val="00B47730"/>
    <w:rsid w:val="00C53043"/>
    <w:rsid w:val="00CB0664"/>
    <w:rsid w:val="00CD11AC"/>
    <w:rsid w:val="00D30EA6"/>
    <w:rsid w:val="00DA73E6"/>
    <w:rsid w:val="00E2169E"/>
    <w:rsid w:val="00E9609C"/>
    <w:rsid w:val="00E97191"/>
    <w:rsid w:val="00EF6861"/>
    <w:rsid w:val="00F56F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669C28"/>
  <w14:defaultImageDpi w14:val="300"/>
  <w15:docId w15:val="{C29637A6-6377-44A6-BDFC-5F2623A67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480" w:lineRule="auto"/>
    </w:pPr>
    <w:rPr>
      <w:rFonts w:ascii="Times New Roman" w:eastAsia="Times New Roman" w:hAnsi="Times New Roman"/>
      <w:color w:val="000000"/>
      <w:sz w:val="24"/>
      <w:lang w:val="en-GB"/>
    </w:rPr>
  </w:style>
  <w:style w:type="paragraph" w:styleId="Heading1">
    <w:name w:val="heading 1"/>
    <w:basedOn w:val="Normal"/>
    <w:next w:val="Normal"/>
    <w:link w:val="Heading1Char"/>
    <w:uiPriority w:val="9"/>
    <w:qFormat/>
    <w:rsid w:val="009253D0"/>
    <w:pPr>
      <w:keepNext/>
      <w:keepLines/>
      <w:spacing w:line="360" w:lineRule="auto"/>
      <w:outlineLvl w:val="0"/>
    </w:pPr>
    <w:rPr>
      <w:rFonts w:cstheme="majorBidi"/>
      <w:b/>
      <w:bCs/>
      <w:szCs w:val="28"/>
    </w:rPr>
  </w:style>
  <w:style w:type="paragraph" w:styleId="Heading2">
    <w:name w:val="heading 2"/>
    <w:basedOn w:val="Heading1"/>
    <w:next w:val="Normal"/>
    <w:link w:val="Heading2Char"/>
    <w:uiPriority w:val="9"/>
    <w:unhideWhenUsed/>
    <w:qFormat/>
    <w:rsid w:val="00630D9A"/>
    <w:pPr>
      <w:outlineLvl w:val="1"/>
    </w:pPr>
    <w:rPr>
      <w:i/>
      <w:iCs/>
    </w:rPr>
  </w:style>
  <w:style w:type="paragraph" w:styleId="Heading3">
    <w:name w:val="heading 3"/>
    <w:basedOn w:val="Normal"/>
    <w:next w:val="Normal"/>
    <w:link w:val="Heading3Char"/>
    <w:uiPriority w:val="9"/>
    <w:unhideWhenUsed/>
    <w:qFormat/>
    <w:rsid w:val="00FC693F"/>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9253D0"/>
    <w:rPr>
      <w:rFonts w:ascii="Times New Roman" w:eastAsia="Times New Roman" w:hAnsi="Times New Roman" w:cstheme="majorBidi"/>
      <w:b/>
      <w:bCs/>
      <w:color w:val="000000"/>
      <w:sz w:val="24"/>
      <w:szCs w:val="28"/>
      <w:lang w:val="en-GB"/>
    </w:rPr>
  </w:style>
  <w:style w:type="character" w:customStyle="1" w:styleId="Heading2Char">
    <w:name w:val="Heading 2 Char"/>
    <w:basedOn w:val="DefaultParagraphFont"/>
    <w:link w:val="Heading2"/>
    <w:uiPriority w:val="9"/>
    <w:rsid w:val="00630D9A"/>
    <w:rPr>
      <w:rFonts w:ascii="Times New Roman" w:eastAsia="Times New Roman" w:hAnsi="Times New Roman" w:cstheme="majorBidi"/>
      <w:b/>
      <w:bCs/>
      <w:i/>
      <w:iCs/>
      <w:color w:val="000000"/>
      <w:sz w:val="24"/>
      <w:szCs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A0D29"/>
    <w:rPr>
      <w:color w:val="0000FF" w:themeColor="hyperlink"/>
      <w:u w:val="single"/>
    </w:rPr>
  </w:style>
  <w:style w:type="character" w:styleId="UnresolvedMention">
    <w:name w:val="Unresolved Mention"/>
    <w:basedOn w:val="DefaultParagraphFont"/>
    <w:uiPriority w:val="99"/>
    <w:semiHidden/>
    <w:unhideWhenUsed/>
    <w:rsid w:val="00AA0D29"/>
    <w:rPr>
      <w:color w:val="605E5C"/>
      <w:shd w:val="clear" w:color="auto" w:fill="E1DFDD"/>
    </w:rPr>
  </w:style>
  <w:style w:type="paragraph" w:styleId="TOC1">
    <w:name w:val="toc 1"/>
    <w:basedOn w:val="Normal"/>
    <w:next w:val="Normal"/>
    <w:autoRedefine/>
    <w:uiPriority w:val="39"/>
    <w:unhideWhenUsed/>
    <w:rsid w:val="002C283F"/>
    <w:pPr>
      <w:spacing w:after="100"/>
    </w:pPr>
  </w:style>
  <w:style w:type="paragraph" w:styleId="TOC2">
    <w:name w:val="toc 2"/>
    <w:basedOn w:val="Normal"/>
    <w:next w:val="Normal"/>
    <w:autoRedefine/>
    <w:uiPriority w:val="39"/>
    <w:unhideWhenUsed/>
    <w:rsid w:val="002C28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4324/978131524591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sets.publishing.service.gov.uk/media/610d63ffe90e0706d92fa282/decarbonising-transport-a-better-greener-britain.pdf" TargetMode="External"/><Relationship Id="rId2" Type="http://schemas.openxmlformats.org/officeDocument/2006/relationships/numbering" Target="numbering.xml"/><Relationship Id="rId16" Type="http://schemas.openxmlformats.org/officeDocument/2006/relationships/hyperlink" Target="https://assets.publishing.service.gov.uk/media/67e4060df356a2dc0e39b4cd/2024-provisional-greenhouse-gas-emissions-statistics-statistical-release.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sigroup.com/en-GB/insights-and-media/insights/brochures/carbon-management-in-buildings-and-infrastructur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nao.org.uk/wp-content/uploads/2020/09/Lessons-learned-from-Major-Programm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4465</Words>
  <Characters>25451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29857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01-134222-134</cp:lastModifiedBy>
  <cp:revision>6</cp:revision>
  <dcterms:created xsi:type="dcterms:W3CDTF">2026-06-29T15:59:00Z</dcterms:created>
  <dcterms:modified xsi:type="dcterms:W3CDTF">2026-07-01T16:35:00Z</dcterms:modified>
  <cp:category/>
</cp:coreProperties>
</file>