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0399B6" w14:textId="77777777" w:rsidR="006D494C" w:rsidRDefault="006D494C">
      <w:pPr>
        <w:rPr>
          <w:rFonts w:ascii="Arial" w:hAnsi="Arial" w:cs="Arial"/>
          <w:b/>
        </w:rPr>
      </w:pPr>
    </w:p>
    <w:p w14:paraId="58D749D8" w14:textId="77777777" w:rsidR="006D494C" w:rsidRPr="004119A2" w:rsidRDefault="006D494C" w:rsidP="006D494C">
      <w:pPr>
        <w:spacing w:after="0" w:line="360" w:lineRule="auto"/>
        <w:rPr>
          <w:rFonts w:ascii="Arial" w:hAnsi="Arial" w:cs="Arial"/>
          <w:b/>
        </w:rPr>
      </w:pPr>
    </w:p>
    <w:p w14:paraId="0D661F99" w14:textId="502C9184" w:rsidR="006D494C" w:rsidRPr="004119A2" w:rsidRDefault="006D494C" w:rsidP="006D494C">
      <w:pPr>
        <w:spacing w:after="0" w:line="360" w:lineRule="auto"/>
        <w:rPr>
          <w:rFonts w:ascii="Arial" w:hAnsi="Arial" w:cs="Arial"/>
          <w:bCs/>
        </w:rPr>
      </w:pPr>
      <w:r w:rsidRPr="004119A2">
        <w:rPr>
          <w:rFonts w:ascii="Arial" w:hAnsi="Arial" w:cs="Arial"/>
          <w:b/>
        </w:rPr>
        <w:t xml:space="preserve">Module: </w:t>
      </w:r>
      <w:r w:rsidRPr="004119A2">
        <w:rPr>
          <w:rFonts w:ascii="Arial" w:hAnsi="Arial" w:cs="Arial"/>
          <w:bCs/>
        </w:rPr>
        <w:t>Introduction to Independent Research Skills</w:t>
      </w:r>
    </w:p>
    <w:p w14:paraId="4D1A380F" w14:textId="07CA0D4A" w:rsidR="006D494C" w:rsidRPr="004119A2" w:rsidRDefault="006D494C" w:rsidP="006D494C">
      <w:pPr>
        <w:spacing w:after="0" w:line="360" w:lineRule="auto"/>
        <w:rPr>
          <w:rFonts w:ascii="Arial" w:hAnsi="Arial" w:cs="Arial"/>
          <w:b/>
          <w:bCs/>
        </w:rPr>
      </w:pPr>
      <w:r w:rsidRPr="004119A2">
        <w:rPr>
          <w:rFonts w:ascii="Arial" w:hAnsi="Arial" w:cs="Arial"/>
          <w:b/>
        </w:rPr>
        <w:t xml:space="preserve">Module code: </w:t>
      </w:r>
      <w:r w:rsidRPr="004119A2">
        <w:rPr>
          <w:rFonts w:ascii="Arial" w:hAnsi="Arial" w:cs="Arial"/>
          <w:bCs/>
        </w:rPr>
        <w:t>BMHP5019</w:t>
      </w:r>
    </w:p>
    <w:p w14:paraId="62529771" w14:textId="2A7C5A12" w:rsidR="006D494C" w:rsidRPr="004119A2" w:rsidRDefault="006D494C" w:rsidP="006D494C">
      <w:pPr>
        <w:spacing w:after="0" w:line="360" w:lineRule="auto"/>
        <w:rPr>
          <w:rFonts w:ascii="Arial" w:hAnsi="Arial" w:cs="Arial"/>
          <w:b/>
          <w:bCs/>
        </w:rPr>
      </w:pPr>
      <w:r w:rsidRPr="004119A2">
        <w:rPr>
          <w:rFonts w:ascii="Arial" w:hAnsi="Arial" w:cs="Arial"/>
          <w:b/>
        </w:rPr>
        <w:t xml:space="preserve">Lecturer: </w:t>
      </w:r>
      <w:r w:rsidRPr="004119A2">
        <w:rPr>
          <w:rFonts w:ascii="Arial" w:eastAsia="Arial" w:hAnsi="Arial" w:cs="Arial"/>
          <w:color w:val="000000" w:themeColor="text1"/>
        </w:rPr>
        <w:t>Philip Jones</w:t>
      </w:r>
    </w:p>
    <w:p w14:paraId="5D18C138" w14:textId="77777777" w:rsidR="006D494C" w:rsidRPr="004119A2" w:rsidRDefault="006D494C" w:rsidP="006D494C">
      <w:pPr>
        <w:spacing w:after="0" w:line="360" w:lineRule="auto"/>
        <w:rPr>
          <w:rFonts w:ascii="Arial" w:hAnsi="Arial" w:cs="Arial"/>
          <w:bCs/>
        </w:rPr>
      </w:pPr>
      <w:r w:rsidRPr="004119A2">
        <w:rPr>
          <w:rFonts w:ascii="Arial" w:hAnsi="Arial" w:cs="Arial"/>
          <w:b/>
        </w:rPr>
        <w:t>Assignment Title</w:t>
      </w:r>
      <w:r w:rsidRPr="004119A2">
        <w:rPr>
          <w:rFonts w:ascii="Arial" w:hAnsi="Arial" w:cs="Arial"/>
          <w:bCs/>
        </w:rPr>
        <w:t xml:space="preserve">: Component 2: </w:t>
      </w:r>
    </w:p>
    <w:p w14:paraId="3B11B94E" w14:textId="19B95B1C" w:rsidR="006D494C" w:rsidRPr="004119A2" w:rsidRDefault="006D494C" w:rsidP="006D494C">
      <w:pPr>
        <w:spacing w:after="0" w:line="360" w:lineRule="auto"/>
        <w:rPr>
          <w:rFonts w:ascii="Arial" w:hAnsi="Arial" w:cs="Arial"/>
          <w:bCs/>
        </w:rPr>
      </w:pPr>
      <w:r w:rsidRPr="004119A2">
        <w:rPr>
          <w:rFonts w:ascii="Arial" w:hAnsi="Arial" w:cs="Arial"/>
          <w:bCs/>
        </w:rPr>
        <w:t>Written Assignment (Research Report)</w:t>
      </w:r>
    </w:p>
    <w:p w14:paraId="12F38A4D" w14:textId="04DAB0BD" w:rsidR="006D494C" w:rsidRPr="004119A2" w:rsidRDefault="006D494C" w:rsidP="006D494C">
      <w:pPr>
        <w:spacing w:after="0" w:line="360" w:lineRule="auto"/>
        <w:rPr>
          <w:rFonts w:ascii="Arial" w:hAnsi="Arial" w:cs="Arial"/>
          <w:b/>
          <w:bCs/>
        </w:rPr>
      </w:pPr>
      <w:r w:rsidRPr="004119A2">
        <w:rPr>
          <w:rFonts w:ascii="Arial" w:hAnsi="Arial" w:cs="Arial"/>
          <w:b/>
          <w:bCs/>
        </w:rPr>
        <w:t xml:space="preserve">Student Name: </w:t>
      </w:r>
      <w:r w:rsidRPr="004119A2">
        <w:rPr>
          <w:rFonts w:ascii="Arial" w:hAnsi="Arial" w:cs="Arial"/>
        </w:rPr>
        <w:t>Saiset Trigueiros</w:t>
      </w:r>
      <w:r w:rsidRPr="004119A2">
        <w:rPr>
          <w:rFonts w:ascii="Arial" w:hAnsi="Arial" w:cs="Arial"/>
          <w:b/>
          <w:bCs/>
        </w:rPr>
        <w:t xml:space="preserve"> </w:t>
      </w:r>
    </w:p>
    <w:p w14:paraId="31F0BAFB" w14:textId="1B24A047" w:rsidR="006D494C" w:rsidRPr="004119A2" w:rsidRDefault="006D494C" w:rsidP="006D494C">
      <w:pPr>
        <w:spacing w:after="0" w:line="360" w:lineRule="auto"/>
        <w:rPr>
          <w:rFonts w:ascii="Arial" w:hAnsi="Arial" w:cs="Arial"/>
        </w:rPr>
      </w:pPr>
      <w:r w:rsidRPr="004119A2">
        <w:rPr>
          <w:rFonts w:ascii="Arial" w:hAnsi="Arial" w:cs="Arial"/>
          <w:b/>
          <w:bCs/>
        </w:rPr>
        <w:t xml:space="preserve">Student Number: </w:t>
      </w:r>
      <w:r w:rsidRPr="004119A2">
        <w:rPr>
          <w:rFonts w:ascii="Arial" w:hAnsi="Arial" w:cs="Arial"/>
        </w:rPr>
        <w:t>2331396</w:t>
      </w:r>
    </w:p>
    <w:p w14:paraId="3046F282" w14:textId="77777777" w:rsidR="006D494C" w:rsidRPr="004119A2" w:rsidRDefault="006D494C" w:rsidP="006D494C">
      <w:pPr>
        <w:spacing w:after="0" w:line="360" w:lineRule="auto"/>
        <w:rPr>
          <w:rFonts w:ascii="Arial" w:hAnsi="Arial" w:cs="Arial"/>
          <w:b/>
          <w:bCs/>
        </w:rPr>
      </w:pPr>
    </w:p>
    <w:p w14:paraId="1554E8AF" w14:textId="77777777" w:rsidR="006D494C" w:rsidRPr="004119A2" w:rsidRDefault="006D494C" w:rsidP="006D494C">
      <w:pPr>
        <w:spacing w:after="0" w:line="360" w:lineRule="auto"/>
        <w:rPr>
          <w:rFonts w:ascii="Arial" w:hAnsi="Arial" w:cs="Arial"/>
          <w:b/>
          <w:bCs/>
        </w:rPr>
      </w:pPr>
    </w:p>
    <w:p w14:paraId="46C0407B" w14:textId="77777777" w:rsidR="006D494C" w:rsidRPr="004119A2" w:rsidRDefault="006D494C" w:rsidP="006D494C">
      <w:pPr>
        <w:spacing w:after="0" w:line="360" w:lineRule="auto"/>
        <w:rPr>
          <w:rFonts w:ascii="Arial" w:hAnsi="Arial" w:cs="Arial"/>
          <w:b/>
          <w:bCs/>
        </w:rPr>
      </w:pPr>
    </w:p>
    <w:p w14:paraId="55D6548F" w14:textId="77777777" w:rsidR="006D494C" w:rsidRPr="004119A2" w:rsidRDefault="006D494C" w:rsidP="006D494C">
      <w:pPr>
        <w:spacing w:after="0" w:line="360" w:lineRule="auto"/>
        <w:rPr>
          <w:rFonts w:ascii="Arial" w:hAnsi="Arial" w:cs="Arial"/>
          <w:b/>
          <w:bCs/>
        </w:rPr>
      </w:pPr>
    </w:p>
    <w:p w14:paraId="5B498C7C" w14:textId="77777777" w:rsidR="006D494C" w:rsidRPr="004119A2" w:rsidRDefault="006D494C" w:rsidP="006D494C">
      <w:pPr>
        <w:spacing w:after="0" w:line="360" w:lineRule="auto"/>
        <w:rPr>
          <w:rFonts w:ascii="Arial" w:hAnsi="Arial" w:cs="Arial"/>
          <w:b/>
          <w:bCs/>
        </w:rPr>
      </w:pPr>
    </w:p>
    <w:p w14:paraId="0D42358E" w14:textId="77777777" w:rsidR="006D494C" w:rsidRPr="004119A2" w:rsidRDefault="006D494C" w:rsidP="006D494C">
      <w:pPr>
        <w:spacing w:after="0" w:line="360" w:lineRule="auto"/>
        <w:rPr>
          <w:rFonts w:ascii="Arial" w:hAnsi="Arial" w:cs="Arial"/>
          <w:b/>
          <w:bCs/>
        </w:rPr>
      </w:pPr>
    </w:p>
    <w:p w14:paraId="55DA4E17" w14:textId="77777777" w:rsidR="006D494C" w:rsidRPr="004119A2" w:rsidRDefault="006D494C" w:rsidP="006D494C">
      <w:pPr>
        <w:spacing w:after="0" w:line="360" w:lineRule="auto"/>
        <w:rPr>
          <w:rFonts w:ascii="Arial" w:hAnsi="Arial" w:cs="Arial"/>
          <w:b/>
          <w:bCs/>
        </w:rPr>
      </w:pPr>
    </w:p>
    <w:p w14:paraId="201A374A" w14:textId="77777777" w:rsidR="006D494C" w:rsidRPr="004119A2" w:rsidRDefault="006D494C" w:rsidP="006D494C">
      <w:pPr>
        <w:spacing w:after="0" w:line="360" w:lineRule="auto"/>
        <w:rPr>
          <w:rFonts w:ascii="Arial" w:hAnsi="Arial" w:cs="Arial"/>
          <w:b/>
          <w:bCs/>
        </w:rPr>
      </w:pPr>
    </w:p>
    <w:p w14:paraId="13D6E17E" w14:textId="77777777" w:rsidR="006D494C" w:rsidRPr="004119A2" w:rsidRDefault="006D494C" w:rsidP="006D494C">
      <w:pPr>
        <w:spacing w:after="0" w:line="360" w:lineRule="auto"/>
        <w:rPr>
          <w:rFonts w:ascii="Arial" w:hAnsi="Arial" w:cs="Arial"/>
          <w:b/>
          <w:bCs/>
        </w:rPr>
      </w:pPr>
    </w:p>
    <w:p w14:paraId="3D89A706" w14:textId="77777777" w:rsidR="006D494C" w:rsidRPr="004119A2" w:rsidRDefault="006D494C" w:rsidP="006D494C">
      <w:pPr>
        <w:spacing w:after="0" w:line="360" w:lineRule="auto"/>
        <w:rPr>
          <w:rFonts w:ascii="Arial" w:hAnsi="Arial" w:cs="Arial"/>
          <w:b/>
          <w:bCs/>
        </w:rPr>
      </w:pPr>
    </w:p>
    <w:p w14:paraId="0486A982" w14:textId="77777777" w:rsidR="006D494C" w:rsidRPr="004119A2" w:rsidRDefault="006D494C" w:rsidP="006D494C">
      <w:pPr>
        <w:spacing w:after="0" w:line="360" w:lineRule="auto"/>
        <w:rPr>
          <w:rFonts w:ascii="Arial" w:hAnsi="Arial" w:cs="Arial"/>
          <w:b/>
          <w:bCs/>
        </w:rPr>
      </w:pPr>
    </w:p>
    <w:p w14:paraId="4D4025A6" w14:textId="77777777" w:rsidR="006D494C" w:rsidRPr="004119A2" w:rsidRDefault="006D494C" w:rsidP="006D494C">
      <w:pPr>
        <w:spacing w:after="0" w:line="360" w:lineRule="auto"/>
        <w:rPr>
          <w:rFonts w:ascii="Arial" w:hAnsi="Arial" w:cs="Arial"/>
          <w:b/>
          <w:bCs/>
        </w:rPr>
      </w:pPr>
    </w:p>
    <w:p w14:paraId="2D33D195" w14:textId="77777777" w:rsidR="006D494C" w:rsidRPr="004119A2" w:rsidRDefault="006D494C" w:rsidP="006D494C">
      <w:pPr>
        <w:spacing w:after="0" w:line="360" w:lineRule="auto"/>
        <w:rPr>
          <w:rFonts w:ascii="Arial" w:hAnsi="Arial" w:cs="Arial"/>
          <w:b/>
          <w:bCs/>
        </w:rPr>
      </w:pPr>
    </w:p>
    <w:p w14:paraId="5C9AF9AA" w14:textId="77777777" w:rsidR="006D494C" w:rsidRPr="004119A2" w:rsidRDefault="006D494C" w:rsidP="006D494C">
      <w:pPr>
        <w:spacing w:after="0" w:line="360" w:lineRule="auto"/>
        <w:rPr>
          <w:rFonts w:ascii="Arial" w:hAnsi="Arial" w:cs="Arial"/>
          <w:b/>
          <w:bCs/>
        </w:rPr>
      </w:pPr>
    </w:p>
    <w:p w14:paraId="0E26AFCB" w14:textId="77777777" w:rsidR="006D494C" w:rsidRPr="004119A2" w:rsidRDefault="006D494C" w:rsidP="006D494C">
      <w:pPr>
        <w:spacing w:after="0" w:line="360" w:lineRule="auto"/>
        <w:rPr>
          <w:rFonts w:ascii="Arial" w:hAnsi="Arial" w:cs="Arial"/>
          <w:b/>
          <w:bCs/>
        </w:rPr>
      </w:pPr>
    </w:p>
    <w:p w14:paraId="78548690" w14:textId="77777777" w:rsidR="006D494C" w:rsidRPr="004119A2" w:rsidRDefault="006D494C" w:rsidP="006D494C">
      <w:pPr>
        <w:spacing w:after="0" w:line="360" w:lineRule="auto"/>
        <w:rPr>
          <w:rFonts w:ascii="Arial" w:hAnsi="Arial" w:cs="Arial"/>
          <w:b/>
          <w:bCs/>
        </w:rPr>
      </w:pPr>
    </w:p>
    <w:p w14:paraId="727DE482" w14:textId="77777777" w:rsidR="006D494C" w:rsidRPr="004119A2" w:rsidRDefault="006D494C" w:rsidP="006D494C">
      <w:pPr>
        <w:spacing w:after="0" w:line="360" w:lineRule="auto"/>
        <w:rPr>
          <w:rFonts w:ascii="Arial" w:hAnsi="Arial" w:cs="Arial"/>
          <w:b/>
          <w:bCs/>
        </w:rPr>
      </w:pPr>
    </w:p>
    <w:p w14:paraId="3B1E57B6" w14:textId="77777777" w:rsidR="006D494C" w:rsidRPr="004119A2" w:rsidRDefault="006D494C" w:rsidP="006D494C">
      <w:pPr>
        <w:spacing w:after="0" w:line="360" w:lineRule="auto"/>
        <w:rPr>
          <w:rFonts w:ascii="Arial" w:hAnsi="Arial" w:cs="Arial"/>
          <w:b/>
          <w:bCs/>
        </w:rPr>
      </w:pPr>
    </w:p>
    <w:p w14:paraId="24FC56BE" w14:textId="77777777" w:rsidR="006D494C" w:rsidRPr="004119A2" w:rsidRDefault="006D494C" w:rsidP="006D494C">
      <w:pPr>
        <w:spacing w:after="0" w:line="360" w:lineRule="auto"/>
        <w:rPr>
          <w:rFonts w:ascii="Arial" w:hAnsi="Arial" w:cs="Arial"/>
          <w:b/>
          <w:bCs/>
        </w:rPr>
      </w:pPr>
    </w:p>
    <w:p w14:paraId="16F24E63" w14:textId="77777777" w:rsidR="006D494C" w:rsidRPr="004119A2" w:rsidRDefault="006D494C" w:rsidP="006D494C">
      <w:pPr>
        <w:spacing w:after="0" w:line="360" w:lineRule="auto"/>
        <w:rPr>
          <w:rFonts w:ascii="Arial" w:hAnsi="Arial" w:cs="Arial"/>
          <w:b/>
          <w:bCs/>
        </w:rPr>
      </w:pPr>
    </w:p>
    <w:p w14:paraId="277A1EFF" w14:textId="77777777" w:rsidR="006D494C" w:rsidRPr="004119A2" w:rsidRDefault="006D494C" w:rsidP="006D494C">
      <w:pPr>
        <w:spacing w:after="0" w:line="360" w:lineRule="auto"/>
        <w:rPr>
          <w:rFonts w:ascii="Arial" w:hAnsi="Arial" w:cs="Arial"/>
          <w:b/>
          <w:bCs/>
        </w:rPr>
      </w:pPr>
    </w:p>
    <w:p w14:paraId="1716DA65" w14:textId="77777777" w:rsidR="006D494C" w:rsidRPr="004119A2" w:rsidRDefault="006D494C" w:rsidP="006D494C">
      <w:pPr>
        <w:spacing w:after="0" w:line="360" w:lineRule="auto"/>
        <w:rPr>
          <w:rFonts w:ascii="Arial" w:hAnsi="Arial" w:cs="Arial"/>
          <w:b/>
          <w:bCs/>
        </w:rPr>
      </w:pPr>
    </w:p>
    <w:p w14:paraId="27B336D7" w14:textId="24F54CD3" w:rsidR="006D494C" w:rsidRDefault="00F737D8" w:rsidP="00F737D8">
      <w:pPr>
        <w:tabs>
          <w:tab w:val="left" w:pos="5745"/>
        </w:tabs>
        <w:spacing w:after="0" w:line="360" w:lineRule="auto"/>
        <w:rPr>
          <w:rFonts w:ascii="Arial" w:hAnsi="Arial" w:cs="Arial"/>
          <w:b/>
          <w:bCs/>
        </w:rPr>
      </w:pPr>
      <w:r>
        <w:rPr>
          <w:rFonts w:ascii="Arial" w:hAnsi="Arial" w:cs="Arial"/>
          <w:b/>
          <w:bCs/>
        </w:rPr>
        <w:tab/>
      </w:r>
    </w:p>
    <w:p w14:paraId="49008723" w14:textId="77777777" w:rsidR="00F737D8" w:rsidRDefault="00F737D8" w:rsidP="006D494C">
      <w:pPr>
        <w:spacing w:after="0" w:line="360" w:lineRule="auto"/>
        <w:rPr>
          <w:rFonts w:ascii="Arial" w:hAnsi="Arial" w:cs="Arial"/>
          <w:b/>
          <w:bCs/>
        </w:rPr>
      </w:pPr>
    </w:p>
    <w:p w14:paraId="11874BA9" w14:textId="77777777" w:rsidR="00F737D8" w:rsidRDefault="00F737D8" w:rsidP="006D494C">
      <w:pPr>
        <w:spacing w:after="0" w:line="360" w:lineRule="auto"/>
        <w:rPr>
          <w:rFonts w:ascii="Arial" w:hAnsi="Arial" w:cs="Arial"/>
          <w:b/>
          <w:bCs/>
        </w:rPr>
      </w:pPr>
    </w:p>
    <w:p w14:paraId="3ADC86C2" w14:textId="77777777" w:rsidR="00F737D8" w:rsidRDefault="00F737D8" w:rsidP="006D494C">
      <w:pPr>
        <w:spacing w:after="0" w:line="360" w:lineRule="auto"/>
        <w:rPr>
          <w:rFonts w:ascii="Arial" w:hAnsi="Arial" w:cs="Arial"/>
          <w:b/>
          <w:bCs/>
        </w:rPr>
      </w:pPr>
    </w:p>
    <w:p w14:paraId="30721DFD" w14:textId="77777777" w:rsidR="00F737D8" w:rsidRPr="004119A2" w:rsidRDefault="00F737D8" w:rsidP="006D494C">
      <w:pPr>
        <w:spacing w:after="0" w:line="360" w:lineRule="auto"/>
        <w:rPr>
          <w:rFonts w:ascii="Arial" w:hAnsi="Arial" w:cs="Arial"/>
          <w:b/>
          <w:bCs/>
        </w:rPr>
      </w:pPr>
    </w:p>
    <w:p w14:paraId="1D5F0135" w14:textId="77777777" w:rsidR="006D494C" w:rsidRPr="004119A2" w:rsidRDefault="006D494C" w:rsidP="006D494C">
      <w:pPr>
        <w:spacing w:after="0" w:line="360" w:lineRule="auto"/>
        <w:rPr>
          <w:rFonts w:ascii="Arial" w:hAnsi="Arial" w:cs="Arial"/>
          <w:b/>
          <w:bCs/>
        </w:rPr>
      </w:pPr>
    </w:p>
    <w:p w14:paraId="4002132C" w14:textId="7D32B537" w:rsidR="007C70B6" w:rsidRPr="004119A2" w:rsidRDefault="00D567A5" w:rsidP="006D494C">
      <w:pPr>
        <w:spacing w:after="0" w:line="360" w:lineRule="auto"/>
        <w:rPr>
          <w:rFonts w:ascii="Arial" w:hAnsi="Arial" w:cs="Arial"/>
          <w:b/>
          <w:bCs/>
        </w:rPr>
      </w:pPr>
      <w:r w:rsidRPr="004119A2">
        <w:rPr>
          <w:rFonts w:ascii="Arial" w:hAnsi="Arial" w:cs="Arial"/>
          <w:b/>
          <w:bCs/>
        </w:rPr>
        <w:t>Stress and Emotional Distress Among Black Caribbean Young Adults (18–25 Years) in the United Kingdom: A Scoping Review</w:t>
      </w:r>
    </w:p>
    <w:p w14:paraId="50B4B2C9" w14:textId="77777777" w:rsidR="003F50FE" w:rsidRPr="004119A2" w:rsidRDefault="003F50FE" w:rsidP="006D494C">
      <w:pPr>
        <w:spacing w:after="0" w:line="360" w:lineRule="auto"/>
        <w:rPr>
          <w:rFonts w:ascii="Arial" w:hAnsi="Arial" w:cs="Arial"/>
          <w:b/>
          <w:bCs/>
        </w:rPr>
      </w:pPr>
    </w:p>
    <w:p w14:paraId="2C5047D1" w14:textId="77777777" w:rsidR="00AA4826" w:rsidRPr="004119A2" w:rsidRDefault="00AA4826" w:rsidP="006D494C">
      <w:pPr>
        <w:spacing w:after="0" w:line="360" w:lineRule="auto"/>
        <w:rPr>
          <w:rFonts w:ascii="Arial" w:hAnsi="Arial" w:cs="Arial"/>
          <w:b/>
          <w:bCs/>
        </w:rPr>
      </w:pPr>
      <w:r w:rsidRPr="004119A2">
        <w:rPr>
          <w:rFonts w:ascii="Arial" w:hAnsi="Arial" w:cs="Arial"/>
          <w:b/>
          <w:bCs/>
        </w:rPr>
        <w:t>1. Introduction</w:t>
      </w:r>
    </w:p>
    <w:p w14:paraId="1C175D8C" w14:textId="5CA083F0" w:rsidR="007A6D1A" w:rsidRPr="004119A2" w:rsidRDefault="007A6D1A" w:rsidP="006D494C">
      <w:pPr>
        <w:spacing w:after="0" w:line="360" w:lineRule="auto"/>
        <w:rPr>
          <w:rFonts w:ascii="Arial" w:hAnsi="Arial" w:cs="Arial"/>
        </w:rPr>
      </w:pPr>
      <w:r w:rsidRPr="004119A2">
        <w:rPr>
          <w:rFonts w:ascii="Arial" w:hAnsi="Arial" w:cs="Arial"/>
        </w:rPr>
        <w:t>Mental health is a fundamental component of overall health and wellbeing. The World Health Organization (WHO) (2022) defines mental health as a state of wellbeing in which individuals can cope with the normal stresses of life, realise their abilities, work productively and contribute to their communities. Although stress is a normal response to challenging situations, prolonged or unmanaged stress can negatively affect emotional wellbeing and increase the risk of anxiety, depression and other mental health conditions (</w:t>
      </w:r>
      <w:r w:rsidR="00861360" w:rsidRPr="004119A2">
        <w:rPr>
          <w:rFonts w:ascii="Arial" w:hAnsi="Arial" w:cs="Arial"/>
        </w:rPr>
        <w:t>Department of Health and Social Care (2019)</w:t>
      </w:r>
      <w:r w:rsidRPr="004119A2">
        <w:rPr>
          <w:rFonts w:ascii="Arial" w:hAnsi="Arial" w:cs="Arial"/>
        </w:rPr>
        <w:t>. Emotional distress includes experiences such as anxiety, sadness and feelings of being overwhelmed, which may impair an individual's daily functioning</w:t>
      </w:r>
      <w:r w:rsidR="002103DC" w:rsidRPr="004119A2">
        <w:rPr>
          <w:rFonts w:ascii="Arial" w:hAnsi="Arial" w:cs="Arial"/>
          <w:color w:val="EE0000"/>
        </w:rPr>
        <w:t xml:space="preserve"> </w:t>
      </w:r>
      <w:r w:rsidR="00881E60" w:rsidRPr="00881E60">
        <w:rPr>
          <w:rFonts w:ascii="Arial" w:hAnsi="Arial" w:cs="Arial"/>
        </w:rPr>
        <w:t>(Balogun, Foley and Powell, 2024)</w:t>
      </w:r>
      <w:r w:rsidR="00881E60">
        <w:rPr>
          <w:rFonts w:ascii="Arial" w:hAnsi="Arial" w:cs="Arial"/>
        </w:rPr>
        <w:t>.</w:t>
      </w:r>
    </w:p>
    <w:p w14:paraId="476C8832" w14:textId="77777777" w:rsidR="007A6D1A" w:rsidRPr="004119A2" w:rsidRDefault="007A6D1A" w:rsidP="006D494C">
      <w:pPr>
        <w:spacing w:after="0" w:line="360" w:lineRule="auto"/>
        <w:rPr>
          <w:rFonts w:ascii="Arial" w:hAnsi="Arial" w:cs="Arial"/>
        </w:rPr>
      </w:pPr>
      <w:r w:rsidRPr="004119A2">
        <w:rPr>
          <w:rFonts w:ascii="Arial" w:hAnsi="Arial" w:cs="Arial"/>
        </w:rPr>
        <w:t xml:space="preserve">Mental health inequalities remain a significant public health concern in the United Kingdom (UK). Black Caribbean communities experience poorer mental health outcomes and greater barriers to accessing mental health services than the White British population (Halvorsrud </w:t>
      </w:r>
      <w:r w:rsidRPr="004119A2">
        <w:rPr>
          <w:rFonts w:ascii="Arial" w:hAnsi="Arial" w:cs="Arial"/>
          <w:i/>
          <w:iCs/>
        </w:rPr>
        <w:t>et al</w:t>
      </w:r>
      <w:r w:rsidRPr="004119A2">
        <w:rPr>
          <w:rFonts w:ascii="Arial" w:hAnsi="Arial" w:cs="Arial"/>
        </w:rPr>
        <w:t xml:space="preserve">., 2019; NHS England, 2023). These inequalities are largely influenced by wider social determinants of health, including socioeconomic disadvantage, discrimination, unemployment and structural racism (Marmot et al., 2020; </w:t>
      </w:r>
      <w:proofErr w:type="spellStart"/>
      <w:r w:rsidRPr="004119A2">
        <w:rPr>
          <w:rFonts w:ascii="Arial" w:hAnsi="Arial" w:cs="Arial"/>
        </w:rPr>
        <w:t>Nazroo</w:t>
      </w:r>
      <w:proofErr w:type="spellEnd"/>
      <w:r w:rsidRPr="004119A2">
        <w:rPr>
          <w:rFonts w:ascii="Arial" w:hAnsi="Arial" w:cs="Arial"/>
        </w:rPr>
        <w:t xml:space="preserve"> </w:t>
      </w:r>
      <w:r w:rsidRPr="004119A2">
        <w:rPr>
          <w:rFonts w:ascii="Arial" w:hAnsi="Arial" w:cs="Arial"/>
          <w:i/>
          <w:iCs/>
        </w:rPr>
        <w:t>et al</w:t>
      </w:r>
      <w:r w:rsidRPr="004119A2">
        <w:rPr>
          <w:rFonts w:ascii="Arial" w:hAnsi="Arial" w:cs="Arial"/>
        </w:rPr>
        <w:t>., 2020).</w:t>
      </w:r>
    </w:p>
    <w:p w14:paraId="29B1B2D1" w14:textId="77777777" w:rsidR="007A6D1A" w:rsidRPr="004119A2" w:rsidRDefault="007A6D1A" w:rsidP="006D494C">
      <w:pPr>
        <w:spacing w:after="0" w:line="360" w:lineRule="auto"/>
        <w:rPr>
          <w:rFonts w:ascii="Arial" w:hAnsi="Arial" w:cs="Arial"/>
        </w:rPr>
      </w:pPr>
      <w:r w:rsidRPr="004119A2">
        <w:rPr>
          <w:rFonts w:ascii="Arial" w:hAnsi="Arial" w:cs="Arial"/>
        </w:rPr>
        <w:t xml:space="preserve">Young adulthood (18–25 years) is a key stage of development marked by increased independence, education, employment and changing social relationships. For Black Caribbean young adults, these transitions may be further complicated by experiences of racism, cultural stigma and difficulties accessing appropriate mental health support (Halvorsrud </w:t>
      </w:r>
      <w:r w:rsidRPr="004119A2">
        <w:rPr>
          <w:rFonts w:ascii="Arial" w:hAnsi="Arial" w:cs="Arial"/>
          <w:i/>
          <w:iCs/>
        </w:rPr>
        <w:t>et al</w:t>
      </w:r>
      <w:r w:rsidRPr="004119A2">
        <w:rPr>
          <w:rFonts w:ascii="Arial" w:hAnsi="Arial" w:cs="Arial"/>
        </w:rPr>
        <w:t>., 2019).</w:t>
      </w:r>
    </w:p>
    <w:p w14:paraId="2125CECC" w14:textId="77777777" w:rsidR="007A6D1A" w:rsidRPr="004119A2" w:rsidRDefault="007A6D1A" w:rsidP="006D494C">
      <w:pPr>
        <w:spacing w:after="0" w:line="360" w:lineRule="auto"/>
        <w:rPr>
          <w:rFonts w:ascii="Arial" w:hAnsi="Arial" w:cs="Arial"/>
        </w:rPr>
      </w:pPr>
      <w:r w:rsidRPr="004119A2">
        <w:rPr>
          <w:rFonts w:ascii="Arial" w:hAnsi="Arial" w:cs="Arial"/>
        </w:rPr>
        <w:t>Despite increasing recognition of mental health inequalities, evidence relating specifically to stress and emotional distress among Black Caribbean young adults in the UK remains limited. Therefore, this scoping review aims to map and synthesise the available peer-reviewed evidence while identifying gaps to inform future research, policy and clinical practice (Arksey and O'Malley, 2005).</w:t>
      </w:r>
    </w:p>
    <w:p w14:paraId="427B3DE7" w14:textId="77777777" w:rsidR="007A6D1A" w:rsidRPr="004119A2" w:rsidRDefault="007A6D1A" w:rsidP="006D494C">
      <w:pPr>
        <w:spacing w:after="0" w:line="360" w:lineRule="auto"/>
        <w:rPr>
          <w:rFonts w:ascii="Arial" w:hAnsi="Arial" w:cs="Arial"/>
        </w:rPr>
      </w:pPr>
      <w:r w:rsidRPr="004119A2">
        <w:rPr>
          <w:rFonts w:ascii="Arial" w:hAnsi="Arial" w:cs="Arial"/>
        </w:rPr>
        <w:t>The review was guided by the following question:</w:t>
      </w:r>
    </w:p>
    <w:p w14:paraId="0D029FF0" w14:textId="77777777" w:rsidR="007A6D1A" w:rsidRPr="004119A2" w:rsidRDefault="007A6D1A" w:rsidP="006D494C">
      <w:pPr>
        <w:spacing w:after="0" w:line="360" w:lineRule="auto"/>
        <w:rPr>
          <w:rFonts w:ascii="Arial" w:hAnsi="Arial" w:cs="Arial"/>
        </w:rPr>
      </w:pPr>
      <w:r w:rsidRPr="004119A2">
        <w:rPr>
          <w:rFonts w:ascii="Arial" w:hAnsi="Arial" w:cs="Arial"/>
        </w:rPr>
        <w:t>What evidence exists regarding stress and emotional distress among Black Caribbean young adults (18–25 years) living in the United Kingdom?</w:t>
      </w:r>
    </w:p>
    <w:p w14:paraId="38BE6592" w14:textId="77777777" w:rsidR="007A6D1A" w:rsidRPr="004119A2" w:rsidRDefault="007A6D1A" w:rsidP="006D494C">
      <w:pPr>
        <w:spacing w:after="0" w:line="360" w:lineRule="auto"/>
        <w:rPr>
          <w:rFonts w:ascii="Arial" w:hAnsi="Arial" w:cs="Arial"/>
        </w:rPr>
      </w:pPr>
      <w:r w:rsidRPr="004119A2">
        <w:rPr>
          <w:rFonts w:ascii="Arial" w:hAnsi="Arial" w:cs="Arial"/>
        </w:rPr>
        <w:t>The objectives were to identify factors associated with stress and emotional distress, explore the experiences of Black Caribbean young adults, examine barriers and facilitators to accessing mental health support, and identify gaps within the current evidence.</w:t>
      </w:r>
    </w:p>
    <w:p w14:paraId="0B567F84" w14:textId="77777777" w:rsidR="00AA4826" w:rsidRPr="004119A2" w:rsidRDefault="00AA4826" w:rsidP="006D494C">
      <w:pPr>
        <w:spacing w:after="0" w:line="360" w:lineRule="auto"/>
        <w:rPr>
          <w:rFonts w:ascii="Arial" w:hAnsi="Arial" w:cs="Arial"/>
          <w:b/>
          <w:bCs/>
        </w:rPr>
      </w:pPr>
    </w:p>
    <w:p w14:paraId="599DBDA6" w14:textId="77777777" w:rsidR="00AC227F" w:rsidRPr="004119A2" w:rsidRDefault="00AC227F" w:rsidP="006D494C">
      <w:pPr>
        <w:spacing w:after="0" w:line="360" w:lineRule="auto"/>
        <w:rPr>
          <w:rFonts w:ascii="Arial" w:hAnsi="Arial" w:cs="Arial"/>
          <w:b/>
          <w:bCs/>
        </w:rPr>
      </w:pPr>
    </w:p>
    <w:p w14:paraId="4DB62861" w14:textId="77777777" w:rsidR="007F79BC" w:rsidRPr="004119A2" w:rsidRDefault="007F79BC" w:rsidP="006D494C">
      <w:pPr>
        <w:spacing w:after="0" w:line="360" w:lineRule="auto"/>
        <w:rPr>
          <w:rFonts w:ascii="Arial" w:hAnsi="Arial" w:cs="Arial"/>
          <w:b/>
          <w:bCs/>
        </w:rPr>
      </w:pPr>
      <w:r w:rsidRPr="004119A2">
        <w:rPr>
          <w:rFonts w:ascii="Arial" w:hAnsi="Arial" w:cs="Arial"/>
          <w:b/>
          <w:bCs/>
        </w:rPr>
        <w:t>2. Background</w:t>
      </w:r>
    </w:p>
    <w:p w14:paraId="64F7E462" w14:textId="3810F05D" w:rsidR="00AC227F" w:rsidRPr="004119A2" w:rsidRDefault="00AC227F" w:rsidP="006D494C">
      <w:pPr>
        <w:spacing w:after="0" w:line="360" w:lineRule="auto"/>
        <w:rPr>
          <w:rFonts w:ascii="Arial" w:hAnsi="Arial" w:cs="Arial"/>
        </w:rPr>
      </w:pPr>
      <w:r w:rsidRPr="004119A2">
        <w:rPr>
          <w:rFonts w:ascii="Arial" w:hAnsi="Arial" w:cs="Arial"/>
        </w:rPr>
        <w:t xml:space="preserve">Mental health is a major public health priority in the United Kingdom (UK), with approximately one in four adults experiencing a mental health problem each year (McManus </w:t>
      </w:r>
      <w:r w:rsidRPr="004119A2">
        <w:rPr>
          <w:rFonts w:ascii="Arial" w:hAnsi="Arial" w:cs="Arial"/>
          <w:i/>
          <w:iCs/>
        </w:rPr>
        <w:t>et al</w:t>
      </w:r>
      <w:r w:rsidRPr="004119A2">
        <w:rPr>
          <w:rFonts w:ascii="Arial" w:hAnsi="Arial" w:cs="Arial"/>
        </w:rPr>
        <w:t xml:space="preserve">., 2016). Young adulthood (18–25 years) is a critical stage of psychological, social and emotional development, characterised by transitions into higher education, employment and independent living. While these experiences can promote personal growth, they may also increase vulnerability to stress and emotional distress, particularly when combined with financial pressures, insecure employment and limited social support </w:t>
      </w:r>
      <w:r w:rsidR="002103DC" w:rsidRPr="004119A2">
        <w:rPr>
          <w:rFonts w:ascii="Arial" w:hAnsi="Arial" w:cs="Arial"/>
        </w:rPr>
        <w:t xml:space="preserve">(Department of Health and Social Care (2019). </w:t>
      </w:r>
      <w:r w:rsidRPr="004119A2">
        <w:rPr>
          <w:rFonts w:ascii="Arial" w:hAnsi="Arial" w:cs="Arial"/>
        </w:rPr>
        <w:t>Prolonged stress can negatively affect mental and physical health, while emotional distress may present as anxiety, sadness, hopelessness and emotional exhaustion, reducing an individual's ability to cope with everyday life</w:t>
      </w:r>
      <w:r w:rsidR="002103DC" w:rsidRPr="004119A2">
        <w:rPr>
          <w:rFonts w:ascii="Arial" w:hAnsi="Arial" w:cs="Arial"/>
        </w:rPr>
        <w:t xml:space="preserve"> </w:t>
      </w:r>
      <w:r w:rsidR="00881E60" w:rsidRPr="00881E60">
        <w:rPr>
          <w:rFonts w:ascii="Arial" w:hAnsi="Arial" w:cs="Arial"/>
        </w:rPr>
        <w:t>(Balogun, Foley and Powell, 2024)</w:t>
      </w:r>
      <w:r w:rsidR="00881E60">
        <w:rPr>
          <w:rFonts w:ascii="Arial" w:hAnsi="Arial" w:cs="Arial"/>
        </w:rPr>
        <w:t>.</w:t>
      </w:r>
    </w:p>
    <w:p w14:paraId="15017FC3" w14:textId="77777777" w:rsidR="00AC227F" w:rsidRPr="004119A2" w:rsidRDefault="00AC227F" w:rsidP="006D494C">
      <w:pPr>
        <w:spacing w:after="0" w:line="360" w:lineRule="auto"/>
        <w:rPr>
          <w:rFonts w:ascii="Arial" w:hAnsi="Arial" w:cs="Arial"/>
        </w:rPr>
      </w:pPr>
      <w:r w:rsidRPr="004119A2">
        <w:rPr>
          <w:rFonts w:ascii="Arial" w:hAnsi="Arial" w:cs="Arial"/>
        </w:rPr>
        <w:t xml:space="preserve">Mental health outcomes are not experienced equally across the UK population. The Marmot Review (Marmot </w:t>
      </w:r>
      <w:r w:rsidRPr="004119A2">
        <w:rPr>
          <w:rFonts w:ascii="Arial" w:hAnsi="Arial" w:cs="Arial"/>
          <w:i/>
          <w:iCs/>
        </w:rPr>
        <w:t>et al</w:t>
      </w:r>
      <w:r w:rsidRPr="004119A2">
        <w:rPr>
          <w:rFonts w:ascii="Arial" w:hAnsi="Arial" w:cs="Arial"/>
        </w:rPr>
        <w:t>., 2020) highlights that health inequalities are strongly influenced by wider social determinants, including income, education, employment, housing and social inclusion. These factors disproportionately affect ethnic minority communities and contribute to poorer mental health outcomes. Rather than ethnicity itself being a risk factor, structural inequalities increase vulnerability to psychological distress.</w:t>
      </w:r>
    </w:p>
    <w:p w14:paraId="758F0E7D" w14:textId="77777777" w:rsidR="00AC227F" w:rsidRPr="004119A2" w:rsidRDefault="00AC227F" w:rsidP="006D494C">
      <w:pPr>
        <w:spacing w:after="0" w:line="360" w:lineRule="auto"/>
        <w:rPr>
          <w:rFonts w:ascii="Arial" w:hAnsi="Arial" w:cs="Arial"/>
        </w:rPr>
      </w:pPr>
      <w:r w:rsidRPr="004119A2">
        <w:rPr>
          <w:rFonts w:ascii="Arial" w:hAnsi="Arial" w:cs="Arial"/>
        </w:rPr>
        <w:t>Black Caribbean communities experience persistent mental health inequalities within the UK. Evidence suggests that racism, discrimination and social exclusion are significant contributors to stress and emotional distress (</w:t>
      </w:r>
      <w:proofErr w:type="spellStart"/>
      <w:r w:rsidRPr="004119A2">
        <w:rPr>
          <w:rFonts w:ascii="Arial" w:hAnsi="Arial" w:cs="Arial"/>
        </w:rPr>
        <w:t>Nazroo</w:t>
      </w:r>
      <w:proofErr w:type="spellEnd"/>
      <w:r w:rsidRPr="004119A2">
        <w:rPr>
          <w:rFonts w:ascii="Arial" w:hAnsi="Arial" w:cs="Arial"/>
        </w:rPr>
        <w:t xml:space="preserve"> </w:t>
      </w:r>
      <w:r w:rsidRPr="004119A2">
        <w:rPr>
          <w:rFonts w:ascii="Arial" w:hAnsi="Arial" w:cs="Arial"/>
          <w:i/>
          <w:iCs/>
        </w:rPr>
        <w:t>et al</w:t>
      </w:r>
      <w:r w:rsidRPr="004119A2">
        <w:rPr>
          <w:rFonts w:ascii="Arial" w:hAnsi="Arial" w:cs="Arial"/>
        </w:rPr>
        <w:t xml:space="preserve">., 2020). Experiences of structural, institutional and interpersonal racism may affect educational opportunities, employment, housing and healthcare access, increasing the risk of anxiety, depression and reduced psychological wellbeing. Socioeconomic disadvantage further compounds these inequalities, with Black Caribbean communities more likely to experience unemployment, lower income and residence in deprived areas (Marmot </w:t>
      </w:r>
      <w:r w:rsidRPr="004119A2">
        <w:rPr>
          <w:rFonts w:ascii="Arial" w:hAnsi="Arial" w:cs="Arial"/>
          <w:i/>
          <w:iCs/>
        </w:rPr>
        <w:t>et al</w:t>
      </w:r>
      <w:r w:rsidRPr="004119A2">
        <w:rPr>
          <w:rFonts w:ascii="Arial" w:hAnsi="Arial" w:cs="Arial"/>
        </w:rPr>
        <w:t>., 2020).</w:t>
      </w:r>
    </w:p>
    <w:p w14:paraId="0C2BC986" w14:textId="77777777" w:rsidR="00AC227F" w:rsidRPr="004119A2" w:rsidRDefault="00AC227F" w:rsidP="006D494C">
      <w:pPr>
        <w:spacing w:after="0" w:line="360" w:lineRule="auto"/>
        <w:rPr>
          <w:rFonts w:ascii="Arial" w:hAnsi="Arial" w:cs="Arial"/>
        </w:rPr>
      </w:pPr>
      <w:r w:rsidRPr="004119A2">
        <w:rPr>
          <w:rFonts w:ascii="Arial" w:hAnsi="Arial" w:cs="Arial"/>
        </w:rPr>
        <w:t xml:space="preserve">Stigma surrounding mental health also influences help-seeking behaviour. Fear of judgement, cultural beliefs and mistrust of statutory services may discourage individuals from seeking professional support, resulting in delayed intervention and poorer mental health outcomes (Halvorsrud </w:t>
      </w:r>
      <w:r w:rsidRPr="004119A2">
        <w:rPr>
          <w:rFonts w:ascii="Arial" w:hAnsi="Arial" w:cs="Arial"/>
          <w:i/>
          <w:iCs/>
        </w:rPr>
        <w:t>et al</w:t>
      </w:r>
      <w:r w:rsidRPr="004119A2">
        <w:rPr>
          <w:rFonts w:ascii="Arial" w:hAnsi="Arial" w:cs="Arial"/>
        </w:rPr>
        <w:t>., 2019). These barriers highlight the importance of culturally appropriate and accessible mental health services.</w:t>
      </w:r>
    </w:p>
    <w:p w14:paraId="06DED3C1" w14:textId="26086841" w:rsidR="00AC227F" w:rsidRPr="004119A2" w:rsidRDefault="00AC227F" w:rsidP="006D494C">
      <w:pPr>
        <w:spacing w:after="0" w:line="360" w:lineRule="auto"/>
        <w:rPr>
          <w:rFonts w:ascii="Arial" w:hAnsi="Arial" w:cs="Arial"/>
        </w:rPr>
      </w:pPr>
      <w:r w:rsidRPr="004119A2">
        <w:rPr>
          <w:rFonts w:ascii="Arial" w:hAnsi="Arial" w:cs="Arial"/>
        </w:rPr>
        <w:t xml:space="preserve">Mental health care in the UK is primarily delivered through the National Health Service (NHS), including general practice, NHS Talking Therapies, community mental health teams and specialist services. The NHS Long Term Plan </w:t>
      </w:r>
      <w:r w:rsidR="002103DC" w:rsidRPr="004119A2">
        <w:rPr>
          <w:rFonts w:ascii="Arial" w:hAnsi="Arial" w:cs="Arial"/>
        </w:rPr>
        <w:t xml:space="preserve">(Department of Health and Social Care (2019). </w:t>
      </w:r>
      <w:r w:rsidRPr="004119A2">
        <w:rPr>
          <w:rFonts w:ascii="Arial" w:hAnsi="Arial" w:cs="Arial"/>
        </w:rPr>
        <w:t xml:space="preserve"> identifies mental health as a national priority and aims to improve access to services while reducing health inequalities. Similarly, the Patient and Carer Race Equality Framework </w:t>
      </w:r>
      <w:r w:rsidRPr="004119A2">
        <w:rPr>
          <w:rFonts w:ascii="Arial" w:hAnsi="Arial" w:cs="Arial"/>
        </w:rPr>
        <w:lastRenderedPageBreak/>
        <w:t xml:space="preserve">(PCREF) </w:t>
      </w:r>
      <w:r w:rsidR="00A6608A" w:rsidRPr="004119A2">
        <w:rPr>
          <w:rFonts w:ascii="Arial" w:hAnsi="Arial" w:cs="Arial"/>
        </w:rPr>
        <w:t>seek</w:t>
      </w:r>
      <w:r w:rsidRPr="004119A2">
        <w:rPr>
          <w:rFonts w:ascii="Arial" w:hAnsi="Arial" w:cs="Arial"/>
        </w:rPr>
        <w:t xml:space="preserve"> to address racial inequalities by promoting culturally responsive care and improving service users' experiences (NHS England, 2023).</w:t>
      </w:r>
      <w:r w:rsidR="002103DC" w:rsidRPr="004119A2">
        <w:rPr>
          <w:rFonts w:ascii="Arial" w:hAnsi="Arial" w:cs="Arial"/>
        </w:rPr>
        <w:t xml:space="preserve"> </w:t>
      </w:r>
    </w:p>
    <w:p w14:paraId="2D6E3DD3" w14:textId="77777777" w:rsidR="00AC227F" w:rsidRPr="004119A2" w:rsidRDefault="00AC227F" w:rsidP="006D494C">
      <w:pPr>
        <w:spacing w:after="0" w:line="360" w:lineRule="auto"/>
        <w:rPr>
          <w:rFonts w:ascii="Arial" w:hAnsi="Arial" w:cs="Arial"/>
        </w:rPr>
      </w:pPr>
      <w:r w:rsidRPr="004119A2">
        <w:rPr>
          <w:rFonts w:ascii="Arial" w:hAnsi="Arial" w:cs="Arial"/>
        </w:rPr>
        <w:t>Several legislative and professional frameworks underpin equitable mental healthcare. The Equality Act 2010 protects individuals from racial discrimination, while the Mental Health Act 1983 (as amended in 2007) provides the legal framework for the assessment and treatment of individuals with severe mental illness. In addition, the Nursing and Midwifery Council (2018) Code requires nurses to provide person-centred, non-discriminatory care that respects diversity and challenges inequality.</w:t>
      </w:r>
    </w:p>
    <w:p w14:paraId="79468FA8" w14:textId="77777777" w:rsidR="00AC227F" w:rsidRPr="004119A2" w:rsidRDefault="00AC227F" w:rsidP="006D494C">
      <w:pPr>
        <w:spacing w:after="0" w:line="360" w:lineRule="auto"/>
        <w:rPr>
          <w:rFonts w:ascii="Arial" w:hAnsi="Arial" w:cs="Arial"/>
        </w:rPr>
      </w:pPr>
      <w:r w:rsidRPr="004119A2">
        <w:rPr>
          <w:rFonts w:ascii="Arial" w:hAnsi="Arial" w:cs="Arial"/>
        </w:rPr>
        <w:t>Despite increasing recognition of racial inequalities in mental health, evidence relating specifically to Black Caribbean young adults remains limited. Many studies include broader Black or ethnic minority populations, making it difficult to identify experiences unique to Black Caribbean young adults aged 18–25 years. Therefore, a scoping review is needed to map the available evidence, identify key themes and highlight gaps to inform future research, policy and culturally competent nursing practice.</w:t>
      </w:r>
    </w:p>
    <w:p w14:paraId="1E3CEF90" w14:textId="77777777" w:rsidR="007F79BC" w:rsidRPr="004119A2" w:rsidRDefault="007F79BC" w:rsidP="006D494C">
      <w:pPr>
        <w:spacing w:after="0" w:line="360" w:lineRule="auto"/>
        <w:rPr>
          <w:rFonts w:ascii="Arial" w:hAnsi="Arial" w:cs="Arial"/>
        </w:rPr>
      </w:pPr>
    </w:p>
    <w:p w14:paraId="41DE93A5" w14:textId="242A9078" w:rsidR="00B12BD9" w:rsidRPr="004119A2" w:rsidRDefault="00B12BD9" w:rsidP="006D494C">
      <w:pPr>
        <w:spacing w:after="0" w:line="360" w:lineRule="auto"/>
        <w:rPr>
          <w:rFonts w:ascii="Arial" w:hAnsi="Arial" w:cs="Arial"/>
          <w:b/>
          <w:bCs/>
        </w:rPr>
      </w:pPr>
      <w:r w:rsidRPr="004119A2">
        <w:rPr>
          <w:rFonts w:ascii="Arial" w:hAnsi="Arial" w:cs="Arial"/>
          <w:b/>
          <w:bCs/>
        </w:rPr>
        <w:t xml:space="preserve">3. Methods </w:t>
      </w:r>
    </w:p>
    <w:p w14:paraId="2929BB1D" w14:textId="77777777" w:rsidR="006D494C" w:rsidRPr="004119A2" w:rsidRDefault="00B12BD9" w:rsidP="006D494C">
      <w:pPr>
        <w:spacing w:after="0" w:line="360" w:lineRule="auto"/>
        <w:rPr>
          <w:rFonts w:ascii="Arial" w:hAnsi="Arial" w:cs="Arial"/>
        </w:rPr>
      </w:pPr>
      <w:r w:rsidRPr="004119A2">
        <w:rPr>
          <w:rFonts w:ascii="Arial" w:hAnsi="Arial" w:cs="Arial"/>
        </w:rPr>
        <w:t xml:space="preserve">This research adopted a scoping review methodology to systematically identify, map and synthesise the existing literature relating to stress and emotional distress among Black Caribbean young adults in the United Kingdom (UK). A scoping review was considered the most appropriate approach because it enables the exploration of broad research questions, examines the extent and nature of available evidence, and identifies gaps in knowledge without restricting the review to specific study designs (Arksey and O'Malley, 2005). </w:t>
      </w:r>
    </w:p>
    <w:p w14:paraId="12D2FB75" w14:textId="5A37C913" w:rsidR="00B12BD9" w:rsidRPr="004119A2" w:rsidRDefault="00B12BD9" w:rsidP="006D494C">
      <w:pPr>
        <w:spacing w:after="0" w:line="360" w:lineRule="auto"/>
        <w:rPr>
          <w:rFonts w:ascii="Arial" w:hAnsi="Arial" w:cs="Arial"/>
        </w:rPr>
      </w:pPr>
      <w:r w:rsidRPr="004119A2">
        <w:rPr>
          <w:rFonts w:ascii="Arial" w:hAnsi="Arial" w:cs="Arial"/>
        </w:rPr>
        <w:t>This methodology is particularly appropriate where evidence is diverse or emerging and where the aim is to provide a comprehensive overview rather than evaluate the effectiveness of interventions. The review followed the enhanced methodological framework proposed by Levac, Colquhoun and O'Brien (2010) and was conducted in accordance with the Preferred Reporting Items for Systematic Reviews and Meta-Analyses Extension for Scoping Reviews (PRISMA-</w:t>
      </w:r>
      <w:proofErr w:type="spellStart"/>
      <w:r w:rsidRPr="004119A2">
        <w:rPr>
          <w:rFonts w:ascii="Arial" w:hAnsi="Arial" w:cs="Arial"/>
        </w:rPr>
        <w:t>ScR</w:t>
      </w:r>
      <w:proofErr w:type="spellEnd"/>
      <w:r w:rsidRPr="004119A2">
        <w:rPr>
          <w:rFonts w:ascii="Arial" w:hAnsi="Arial" w:cs="Arial"/>
        </w:rPr>
        <w:t>) guidelines to ensure transparency and methodological rigour (</w:t>
      </w:r>
      <w:proofErr w:type="spellStart"/>
      <w:r w:rsidRPr="004119A2">
        <w:rPr>
          <w:rFonts w:ascii="Arial" w:hAnsi="Arial" w:cs="Arial"/>
        </w:rPr>
        <w:t>Tricco</w:t>
      </w:r>
      <w:proofErr w:type="spellEnd"/>
      <w:r w:rsidRPr="004119A2">
        <w:rPr>
          <w:rFonts w:ascii="Arial" w:hAnsi="Arial" w:cs="Arial"/>
        </w:rPr>
        <w:t xml:space="preserve"> </w:t>
      </w:r>
      <w:r w:rsidRPr="004119A2">
        <w:rPr>
          <w:rFonts w:ascii="Arial" w:hAnsi="Arial" w:cs="Arial"/>
          <w:i/>
          <w:iCs/>
        </w:rPr>
        <w:t>et al</w:t>
      </w:r>
      <w:r w:rsidRPr="004119A2">
        <w:rPr>
          <w:rFonts w:ascii="Arial" w:hAnsi="Arial" w:cs="Arial"/>
        </w:rPr>
        <w:t>., 2018).</w:t>
      </w:r>
    </w:p>
    <w:p w14:paraId="4AFB40B0" w14:textId="77777777" w:rsidR="00566191" w:rsidRPr="004119A2" w:rsidRDefault="00566191" w:rsidP="006D494C">
      <w:pPr>
        <w:spacing w:after="0" w:line="360" w:lineRule="auto"/>
        <w:rPr>
          <w:rFonts w:ascii="Arial" w:hAnsi="Arial" w:cs="Arial"/>
          <w:b/>
          <w:bCs/>
        </w:rPr>
      </w:pPr>
    </w:p>
    <w:p w14:paraId="43057B2A" w14:textId="465877DD" w:rsidR="00B12BD9" w:rsidRPr="004119A2" w:rsidRDefault="00B12BD9" w:rsidP="006D494C">
      <w:pPr>
        <w:spacing w:after="0" w:line="360" w:lineRule="auto"/>
        <w:rPr>
          <w:rFonts w:ascii="Arial" w:hAnsi="Arial" w:cs="Arial"/>
          <w:b/>
          <w:bCs/>
        </w:rPr>
      </w:pPr>
      <w:r w:rsidRPr="004119A2">
        <w:rPr>
          <w:rFonts w:ascii="Arial" w:hAnsi="Arial" w:cs="Arial"/>
          <w:b/>
          <w:bCs/>
        </w:rPr>
        <w:t>Search Strategy</w:t>
      </w:r>
    </w:p>
    <w:p w14:paraId="4452D4EC" w14:textId="77777777" w:rsidR="00B12BD9" w:rsidRPr="004119A2" w:rsidRDefault="00B12BD9" w:rsidP="006D494C">
      <w:pPr>
        <w:spacing w:after="0" w:line="360" w:lineRule="auto"/>
        <w:rPr>
          <w:rFonts w:ascii="Arial" w:hAnsi="Arial" w:cs="Arial"/>
        </w:rPr>
      </w:pPr>
      <w:r w:rsidRPr="004119A2">
        <w:rPr>
          <w:rFonts w:ascii="Arial" w:hAnsi="Arial" w:cs="Arial"/>
        </w:rPr>
        <w:t>A comprehensive literature search was undertaken using four electronic databases: CINAHL Complete, MEDLINE, PsycINFO and Scopus. These databases were selected because they index a broad range of nursing, psychology, public health and social science literature relevant to the review topic. Searches were conducted using combinations of keywords and Boolean operators, including:</w:t>
      </w:r>
    </w:p>
    <w:p w14:paraId="38BF3355" w14:textId="77777777" w:rsidR="00B12BD9" w:rsidRPr="004119A2" w:rsidRDefault="00B12BD9" w:rsidP="006D494C">
      <w:pPr>
        <w:spacing w:after="0" w:line="360" w:lineRule="auto"/>
        <w:rPr>
          <w:rFonts w:ascii="Arial" w:hAnsi="Arial" w:cs="Arial"/>
        </w:rPr>
      </w:pPr>
      <w:r w:rsidRPr="004119A2">
        <w:rPr>
          <w:rFonts w:ascii="Arial" w:hAnsi="Arial" w:cs="Arial"/>
          <w:i/>
          <w:iCs/>
        </w:rPr>
        <w:lastRenderedPageBreak/>
        <w:t>("Black Caribbean" OR Afro-Caribbean OR "Black British") AND (stress OR "emotional distress" OR "psychological distress" OR "mental health" OR wellbeing) AND ("young adult" OR youth) AND ("United Kingdom" OR UK OR England OR Wales OR Scotland</w:t>
      </w:r>
      <w:proofErr w:type="gramStart"/>
      <w:r w:rsidRPr="004119A2">
        <w:rPr>
          <w:rFonts w:ascii="Arial" w:hAnsi="Arial" w:cs="Arial"/>
          <w:i/>
          <w:iCs/>
        </w:rPr>
        <w:t>).</w:t>
      </w:r>
      <w:r w:rsidRPr="004119A2">
        <w:rPr>
          <w:rFonts w:ascii="Arial" w:hAnsi="Arial" w:cs="Arial"/>
        </w:rPr>
        <w:t>*</w:t>
      </w:r>
      <w:proofErr w:type="gramEnd"/>
    </w:p>
    <w:p w14:paraId="1A21164D" w14:textId="77777777" w:rsidR="00B12BD9" w:rsidRPr="004119A2" w:rsidRDefault="00B12BD9" w:rsidP="006D494C">
      <w:pPr>
        <w:spacing w:after="0" w:line="360" w:lineRule="auto"/>
        <w:rPr>
          <w:rFonts w:ascii="Arial" w:hAnsi="Arial" w:cs="Arial"/>
        </w:rPr>
      </w:pPr>
      <w:r w:rsidRPr="004119A2">
        <w:rPr>
          <w:rFonts w:ascii="Arial" w:hAnsi="Arial" w:cs="Arial"/>
        </w:rPr>
        <w:t>To maximise the identification of relevant literature, the reference lists of eligible studies were also manually searched to identify additional articles that met the inclusion criteria.</w:t>
      </w:r>
    </w:p>
    <w:p w14:paraId="66772F35" w14:textId="77777777" w:rsidR="00566191" w:rsidRPr="004119A2" w:rsidRDefault="00566191" w:rsidP="006D494C">
      <w:pPr>
        <w:spacing w:after="0" w:line="360" w:lineRule="auto"/>
        <w:rPr>
          <w:rFonts w:ascii="Arial" w:hAnsi="Arial" w:cs="Arial"/>
          <w:b/>
          <w:bCs/>
        </w:rPr>
      </w:pPr>
    </w:p>
    <w:p w14:paraId="02615A53" w14:textId="23ED6CE4" w:rsidR="00B12BD9" w:rsidRPr="004119A2" w:rsidRDefault="00B12BD9" w:rsidP="006D494C">
      <w:pPr>
        <w:spacing w:after="0" w:line="360" w:lineRule="auto"/>
        <w:rPr>
          <w:rFonts w:ascii="Arial" w:hAnsi="Arial" w:cs="Arial"/>
          <w:b/>
          <w:bCs/>
        </w:rPr>
      </w:pPr>
      <w:r w:rsidRPr="004119A2">
        <w:rPr>
          <w:rFonts w:ascii="Arial" w:hAnsi="Arial" w:cs="Arial"/>
          <w:b/>
          <w:bCs/>
        </w:rPr>
        <w:t>Inclusion and Exclusion Criteria</w:t>
      </w:r>
    </w:p>
    <w:p w14:paraId="6BD2C72A" w14:textId="77777777" w:rsidR="00B12BD9" w:rsidRPr="004119A2" w:rsidRDefault="00B12BD9" w:rsidP="006D494C">
      <w:pPr>
        <w:spacing w:after="0" w:line="360" w:lineRule="auto"/>
        <w:rPr>
          <w:rFonts w:ascii="Arial" w:hAnsi="Arial" w:cs="Arial"/>
        </w:rPr>
      </w:pPr>
      <w:r w:rsidRPr="004119A2">
        <w:rPr>
          <w:rFonts w:ascii="Arial" w:hAnsi="Arial" w:cs="Arial"/>
        </w:rPr>
        <w:t>Studies were included if they were peer-reviewed journal articles published in English between 2010 and 2025, focused on Black Caribbean young adults aged 18–25 years living in the UK, and examined stress, emotional distress or related aspects of mental health and wellbeing. Both qualitative and quantitative primary research studies, together with peer-reviewed secondary research, were eligible for inclusion.</w:t>
      </w:r>
    </w:p>
    <w:p w14:paraId="102F8C20" w14:textId="77777777" w:rsidR="00B12BD9" w:rsidRPr="004119A2" w:rsidRDefault="00B12BD9" w:rsidP="006D494C">
      <w:pPr>
        <w:spacing w:after="0" w:line="360" w:lineRule="auto"/>
        <w:rPr>
          <w:rFonts w:ascii="Arial" w:hAnsi="Arial" w:cs="Arial"/>
        </w:rPr>
      </w:pPr>
      <w:r w:rsidRPr="004119A2">
        <w:rPr>
          <w:rFonts w:ascii="Arial" w:hAnsi="Arial" w:cs="Arial"/>
        </w:rPr>
        <w:t>Studies were excluded if they were conducted outside the UK, included participants outside the specified age group without reporting separate findings for young adults, or consisted of editorials, conference abstracts, policy documents, dissertations, commentaries or other forms of grey literature. These exclusion criteria ensured that only high-quality, peer-reviewed evidence directly relevant to the review question was synthesised.</w:t>
      </w:r>
    </w:p>
    <w:p w14:paraId="03AB26E1" w14:textId="77777777" w:rsidR="00881E60" w:rsidRDefault="00881E60" w:rsidP="006D494C">
      <w:pPr>
        <w:spacing w:after="0" w:line="360" w:lineRule="auto"/>
        <w:rPr>
          <w:rFonts w:ascii="Arial" w:hAnsi="Arial" w:cs="Arial"/>
          <w:b/>
          <w:bCs/>
        </w:rPr>
      </w:pPr>
    </w:p>
    <w:p w14:paraId="0B1F6764" w14:textId="7CE1F619" w:rsidR="00B12BD9" w:rsidRPr="004119A2" w:rsidRDefault="00B12BD9" w:rsidP="006D494C">
      <w:pPr>
        <w:spacing w:after="0" w:line="360" w:lineRule="auto"/>
        <w:rPr>
          <w:rFonts w:ascii="Arial" w:hAnsi="Arial" w:cs="Arial"/>
          <w:b/>
          <w:bCs/>
        </w:rPr>
      </w:pPr>
      <w:r w:rsidRPr="004119A2">
        <w:rPr>
          <w:rFonts w:ascii="Arial" w:hAnsi="Arial" w:cs="Arial"/>
          <w:b/>
          <w:bCs/>
        </w:rPr>
        <w:t>Data Extraction and Analysis</w:t>
      </w:r>
    </w:p>
    <w:p w14:paraId="4ECE30E8" w14:textId="77777777" w:rsidR="00B12BD9" w:rsidRPr="004119A2" w:rsidRDefault="00B12BD9" w:rsidP="006D494C">
      <w:pPr>
        <w:spacing w:after="0" w:line="360" w:lineRule="auto"/>
        <w:rPr>
          <w:rFonts w:ascii="Arial" w:hAnsi="Arial" w:cs="Arial"/>
        </w:rPr>
      </w:pPr>
      <w:r w:rsidRPr="004119A2">
        <w:rPr>
          <w:rFonts w:ascii="Arial" w:hAnsi="Arial" w:cs="Arial"/>
        </w:rPr>
        <w:t>Relevant information from each included study was extracted using a standardised data extraction table. Extracted data included the author, year of publication, study design, sample characteristics, study setting, aims, key findings and reported limitations. The findings were synthesised using Braun and Clarke's (2006) six-phase thematic analysis framework to identify recurring patterns, similarities and differences across the included studies. This approach enabled themes to emerge inductively from the evidence, providing a comprehensive understanding of the factors influencing stress and emotional distress among Black Caribbean young adults in the UK.</w:t>
      </w:r>
    </w:p>
    <w:p w14:paraId="757C4210" w14:textId="77777777" w:rsidR="00881E60" w:rsidRDefault="00881E60" w:rsidP="006D494C">
      <w:pPr>
        <w:spacing w:after="0" w:line="360" w:lineRule="auto"/>
        <w:rPr>
          <w:rFonts w:ascii="Arial" w:hAnsi="Arial" w:cs="Arial"/>
          <w:b/>
          <w:bCs/>
        </w:rPr>
      </w:pPr>
    </w:p>
    <w:p w14:paraId="57371C5B" w14:textId="57FF3AB6" w:rsidR="00B12BD9" w:rsidRPr="004119A2" w:rsidRDefault="00B12BD9" w:rsidP="006D494C">
      <w:pPr>
        <w:spacing w:after="0" w:line="360" w:lineRule="auto"/>
        <w:rPr>
          <w:rFonts w:ascii="Arial" w:hAnsi="Arial" w:cs="Arial"/>
          <w:b/>
          <w:bCs/>
        </w:rPr>
      </w:pPr>
      <w:r w:rsidRPr="004119A2">
        <w:rPr>
          <w:rFonts w:ascii="Arial" w:hAnsi="Arial" w:cs="Arial"/>
          <w:b/>
          <w:bCs/>
        </w:rPr>
        <w:t>Ethical Considerations</w:t>
      </w:r>
    </w:p>
    <w:p w14:paraId="7847B45C" w14:textId="77777777" w:rsidR="00B12BD9" w:rsidRPr="004119A2" w:rsidRDefault="00B12BD9" w:rsidP="006D494C">
      <w:pPr>
        <w:spacing w:after="0" w:line="360" w:lineRule="auto"/>
        <w:rPr>
          <w:rFonts w:ascii="Arial" w:hAnsi="Arial" w:cs="Arial"/>
        </w:rPr>
      </w:pPr>
      <w:r w:rsidRPr="004119A2">
        <w:rPr>
          <w:rFonts w:ascii="Arial" w:hAnsi="Arial" w:cs="Arial"/>
        </w:rPr>
        <w:t>As this research involved the analysis of previously published literature and did not involve human participants, formal ethical approval was not required. Nevertheless, ethical principles were maintained throughout the review by conducting a transparent search strategy, accurately representing the findings of the included studies, critically appraising the evidence, acknowledging the work of original authors through appropriate UWTSD Harvard referencing, and avoiding plagiarism or selective reporting of results.</w:t>
      </w:r>
    </w:p>
    <w:p w14:paraId="6013680C" w14:textId="77777777" w:rsidR="00E40B8C" w:rsidRPr="004119A2" w:rsidRDefault="00E40B8C" w:rsidP="006D494C">
      <w:pPr>
        <w:spacing w:after="0" w:line="360" w:lineRule="auto"/>
        <w:rPr>
          <w:rFonts w:ascii="Arial" w:hAnsi="Arial" w:cs="Arial"/>
        </w:rPr>
      </w:pPr>
    </w:p>
    <w:p w14:paraId="712795CD" w14:textId="77777777" w:rsidR="00881E60" w:rsidRDefault="00881E60" w:rsidP="006D494C">
      <w:pPr>
        <w:spacing w:after="0" w:line="360" w:lineRule="auto"/>
        <w:rPr>
          <w:rFonts w:ascii="Arial" w:hAnsi="Arial" w:cs="Arial"/>
          <w:b/>
          <w:bCs/>
        </w:rPr>
      </w:pPr>
    </w:p>
    <w:p w14:paraId="04A5B261" w14:textId="3AFF59DF" w:rsidR="002E68D9" w:rsidRPr="004119A2" w:rsidRDefault="002E68D9" w:rsidP="006D494C">
      <w:pPr>
        <w:spacing w:after="0" w:line="360" w:lineRule="auto"/>
        <w:rPr>
          <w:rFonts w:ascii="Arial" w:hAnsi="Arial" w:cs="Arial"/>
          <w:b/>
          <w:bCs/>
        </w:rPr>
      </w:pPr>
      <w:r w:rsidRPr="004119A2">
        <w:rPr>
          <w:rFonts w:ascii="Arial" w:hAnsi="Arial" w:cs="Arial"/>
          <w:b/>
          <w:bCs/>
        </w:rPr>
        <w:lastRenderedPageBreak/>
        <w:t xml:space="preserve">4. Results </w:t>
      </w:r>
    </w:p>
    <w:p w14:paraId="2C04214B" w14:textId="46C24FDA" w:rsidR="000D3CCC" w:rsidRPr="004119A2" w:rsidRDefault="005C4EDC" w:rsidP="006D494C">
      <w:pPr>
        <w:spacing w:after="0" w:line="360" w:lineRule="auto"/>
        <w:rPr>
          <w:rFonts w:ascii="Arial" w:hAnsi="Arial" w:cs="Arial"/>
          <w:b/>
          <w:bCs/>
        </w:rPr>
      </w:pPr>
      <w:r w:rsidRPr="004119A2">
        <w:rPr>
          <w:rFonts w:ascii="Arial" w:hAnsi="Arial" w:cs="Arial"/>
        </w:rPr>
        <w:t>The literature search identified 248 records across CINAHL Complete, MEDLINE, PsycINFO and Scopus. Following the removal of 46 duplicates, 202 records remained for title and abstract screening. Of these, 28 full-text articles were assessed against the inclusion and exclusion criteria. Twenty-three articles were excluded because they did not meet the eligibility criteria. Reasons included studies conducted outside the United Kingdom, unsuitable populations, failure to examine stress or emotional distress, and publications that were not peer-reviewed. Consequently, f</w:t>
      </w:r>
      <w:r w:rsidR="00687C13" w:rsidRPr="004119A2">
        <w:rPr>
          <w:rFonts w:ascii="Arial" w:hAnsi="Arial" w:cs="Arial"/>
        </w:rPr>
        <w:t>our</w:t>
      </w:r>
      <w:r w:rsidRPr="004119A2">
        <w:rPr>
          <w:rFonts w:ascii="Arial" w:hAnsi="Arial" w:cs="Arial"/>
        </w:rPr>
        <w:t xml:space="preserve"> studies were included in the final scoping review.</w:t>
      </w:r>
      <w:r w:rsidR="00617CAD" w:rsidRPr="004119A2">
        <w:rPr>
          <w:rFonts w:ascii="Arial" w:hAnsi="Arial" w:cs="Arial"/>
        </w:rPr>
        <w:t xml:space="preserve"> </w:t>
      </w:r>
      <w:r w:rsidR="00712531" w:rsidRPr="00712531">
        <w:rPr>
          <w:rFonts w:ascii="Arial" w:hAnsi="Arial" w:cs="Arial"/>
        </w:rPr>
        <w:t>The study selection process is illustrated in the PRISMA 2020 flow diagram (Page et al., 2021) (Figure 1).</w:t>
      </w:r>
    </w:p>
    <w:p w14:paraId="612039F3" w14:textId="48C7974C" w:rsidR="00FE1535" w:rsidRPr="004119A2" w:rsidRDefault="00FE1535" w:rsidP="006D494C">
      <w:pPr>
        <w:spacing w:after="0" w:line="360" w:lineRule="auto"/>
        <w:rPr>
          <w:rFonts w:ascii="Arial" w:hAnsi="Arial" w:cs="Arial"/>
          <w:b/>
          <w:bCs/>
        </w:rPr>
      </w:pPr>
      <w:r w:rsidRPr="004119A2">
        <w:rPr>
          <w:rFonts w:ascii="Arial" w:hAnsi="Arial" w:cs="Arial"/>
          <w:b/>
          <w:bCs/>
        </w:rPr>
        <w:t>Figure 1. PRISMA Flow Diagram</w:t>
      </w:r>
    </w:p>
    <w:p w14:paraId="2C5C0089" w14:textId="77777777" w:rsidR="00FE1535" w:rsidRPr="004119A2" w:rsidRDefault="00FE1535" w:rsidP="006D494C">
      <w:pPr>
        <w:spacing w:after="0" w:line="360" w:lineRule="auto"/>
        <w:rPr>
          <w:rFonts w:ascii="Arial" w:hAnsi="Arial" w:cs="Arial"/>
          <w:b/>
          <w:bCs/>
        </w:rPr>
      </w:pPr>
      <w:r w:rsidRPr="004119A2">
        <w:rPr>
          <w:rFonts w:ascii="Arial" w:hAnsi="Arial" w:cs="Arial"/>
          <w:b/>
          <w:bCs/>
        </w:rPr>
        <w:t>Records identified through database searching (n = 248)</w:t>
      </w:r>
    </w:p>
    <w:p w14:paraId="608D58C4"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w:t>
      </w:r>
    </w:p>
    <w:p w14:paraId="29933E9B" w14:textId="77777777" w:rsidR="00FE1535" w:rsidRPr="004119A2" w:rsidRDefault="00FE1535" w:rsidP="006D494C">
      <w:pPr>
        <w:spacing w:after="0" w:line="360" w:lineRule="auto"/>
        <w:rPr>
          <w:rFonts w:ascii="Arial" w:hAnsi="Arial" w:cs="Arial"/>
          <w:b/>
          <w:bCs/>
        </w:rPr>
      </w:pPr>
      <w:r w:rsidRPr="004119A2">
        <w:rPr>
          <w:rFonts w:ascii="Arial" w:hAnsi="Arial" w:cs="Arial"/>
          <w:b/>
          <w:bCs/>
        </w:rPr>
        <w:t>Duplicates removed (n = 46)</w:t>
      </w:r>
    </w:p>
    <w:p w14:paraId="10D58D43"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w:t>
      </w:r>
    </w:p>
    <w:p w14:paraId="6B990BB8" w14:textId="77777777" w:rsidR="00FE1535" w:rsidRPr="004119A2" w:rsidRDefault="00FE1535" w:rsidP="006D494C">
      <w:pPr>
        <w:spacing w:after="0" w:line="360" w:lineRule="auto"/>
        <w:rPr>
          <w:rFonts w:ascii="Arial" w:hAnsi="Arial" w:cs="Arial"/>
          <w:b/>
          <w:bCs/>
        </w:rPr>
      </w:pPr>
      <w:r w:rsidRPr="004119A2">
        <w:rPr>
          <w:rFonts w:ascii="Arial" w:hAnsi="Arial" w:cs="Arial"/>
          <w:b/>
          <w:bCs/>
        </w:rPr>
        <w:t>Records screened (n = 202)</w:t>
      </w:r>
    </w:p>
    <w:p w14:paraId="69637D83"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w:t>
      </w:r>
    </w:p>
    <w:p w14:paraId="28D30B8B" w14:textId="77777777" w:rsidR="00FE1535" w:rsidRPr="004119A2" w:rsidRDefault="00FE1535" w:rsidP="006D494C">
      <w:pPr>
        <w:spacing w:after="0" w:line="360" w:lineRule="auto"/>
        <w:rPr>
          <w:rFonts w:ascii="Arial" w:hAnsi="Arial" w:cs="Arial"/>
          <w:b/>
          <w:bCs/>
        </w:rPr>
      </w:pPr>
      <w:r w:rsidRPr="004119A2">
        <w:rPr>
          <w:rFonts w:ascii="Arial" w:hAnsi="Arial" w:cs="Arial"/>
          <w:b/>
          <w:bCs/>
        </w:rPr>
        <w:t>Records excluded (n = 174)</w:t>
      </w:r>
    </w:p>
    <w:p w14:paraId="436E9E20"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w:t>
      </w:r>
    </w:p>
    <w:p w14:paraId="05B5082C" w14:textId="77777777" w:rsidR="00FE1535" w:rsidRPr="004119A2" w:rsidRDefault="00FE1535" w:rsidP="006D494C">
      <w:pPr>
        <w:spacing w:after="0" w:line="360" w:lineRule="auto"/>
        <w:rPr>
          <w:rFonts w:ascii="Arial" w:hAnsi="Arial" w:cs="Arial"/>
          <w:b/>
          <w:bCs/>
        </w:rPr>
      </w:pPr>
      <w:r w:rsidRPr="004119A2">
        <w:rPr>
          <w:rFonts w:ascii="Arial" w:hAnsi="Arial" w:cs="Arial"/>
          <w:b/>
          <w:bCs/>
        </w:rPr>
        <w:t>Full-text articles assessed (n = 28)</w:t>
      </w:r>
    </w:p>
    <w:p w14:paraId="0D072B99"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w:t>
      </w:r>
    </w:p>
    <w:p w14:paraId="6720351E" w14:textId="45373A83" w:rsidR="00FE1535" w:rsidRPr="004119A2" w:rsidRDefault="00FE1535" w:rsidP="006D494C">
      <w:pPr>
        <w:spacing w:after="0" w:line="360" w:lineRule="auto"/>
        <w:rPr>
          <w:rFonts w:ascii="Arial" w:hAnsi="Arial" w:cs="Arial"/>
          <w:b/>
          <w:bCs/>
        </w:rPr>
      </w:pPr>
      <w:r w:rsidRPr="004119A2">
        <w:rPr>
          <w:rFonts w:ascii="Arial" w:hAnsi="Arial" w:cs="Arial"/>
          <w:b/>
          <w:bCs/>
        </w:rPr>
        <w:t>Full-text articles excluded (n = 2</w:t>
      </w:r>
      <w:r w:rsidR="00FD3426" w:rsidRPr="004119A2">
        <w:rPr>
          <w:rFonts w:ascii="Arial" w:hAnsi="Arial" w:cs="Arial"/>
          <w:b/>
          <w:bCs/>
        </w:rPr>
        <w:t>3</w:t>
      </w:r>
      <w:r w:rsidRPr="004119A2">
        <w:rPr>
          <w:rFonts w:ascii="Arial" w:hAnsi="Arial" w:cs="Arial"/>
          <w:b/>
          <w:bCs/>
        </w:rPr>
        <w:t>)</w:t>
      </w:r>
    </w:p>
    <w:p w14:paraId="59A2A400"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Reasons for exclusion: </w:t>
      </w:r>
    </w:p>
    <w:p w14:paraId="4F7A879D"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Not UK study (n = 8) </w:t>
      </w:r>
    </w:p>
    <w:p w14:paraId="2AB1764A" w14:textId="7B1E1839" w:rsidR="00FE1535" w:rsidRPr="004119A2" w:rsidRDefault="00FE1535" w:rsidP="006D494C">
      <w:pPr>
        <w:spacing w:after="0" w:line="360" w:lineRule="auto"/>
        <w:rPr>
          <w:rFonts w:ascii="Arial" w:hAnsi="Arial" w:cs="Arial"/>
          <w:b/>
          <w:bCs/>
        </w:rPr>
      </w:pPr>
      <w:r w:rsidRPr="004119A2">
        <w:rPr>
          <w:rFonts w:ascii="Arial" w:hAnsi="Arial" w:cs="Arial"/>
          <w:b/>
          <w:bCs/>
        </w:rPr>
        <w:t xml:space="preserve">• Wrong population (n = </w:t>
      </w:r>
      <w:r w:rsidR="00367AB3" w:rsidRPr="004119A2">
        <w:rPr>
          <w:rFonts w:ascii="Arial" w:hAnsi="Arial" w:cs="Arial"/>
          <w:b/>
          <w:bCs/>
        </w:rPr>
        <w:t>7</w:t>
      </w:r>
      <w:r w:rsidRPr="004119A2">
        <w:rPr>
          <w:rFonts w:ascii="Arial" w:hAnsi="Arial" w:cs="Arial"/>
          <w:b/>
          <w:bCs/>
        </w:rPr>
        <w:t xml:space="preserve">) </w:t>
      </w:r>
    </w:p>
    <w:p w14:paraId="7513D011"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Did not examine stress or emotional distress (n = 4) </w:t>
      </w:r>
    </w:p>
    <w:p w14:paraId="14221E8E" w14:textId="77777777" w:rsidR="00FE1535" w:rsidRPr="004119A2" w:rsidRDefault="00FE1535" w:rsidP="006D494C">
      <w:pPr>
        <w:spacing w:after="0" w:line="360" w:lineRule="auto"/>
        <w:rPr>
          <w:rFonts w:ascii="Arial" w:hAnsi="Arial" w:cs="Arial"/>
          <w:b/>
          <w:bCs/>
        </w:rPr>
      </w:pPr>
      <w:r w:rsidRPr="004119A2">
        <w:rPr>
          <w:rFonts w:ascii="Arial" w:hAnsi="Arial" w:cs="Arial"/>
          <w:b/>
          <w:bCs/>
        </w:rPr>
        <w:t>• Not peer-reviewed (n = 4)</w:t>
      </w:r>
    </w:p>
    <w:p w14:paraId="7BFAE328" w14:textId="77777777" w:rsidR="00FE1535" w:rsidRPr="004119A2" w:rsidRDefault="00FE1535" w:rsidP="006D494C">
      <w:pPr>
        <w:spacing w:after="0" w:line="360" w:lineRule="auto"/>
        <w:rPr>
          <w:rFonts w:ascii="Arial" w:hAnsi="Arial" w:cs="Arial"/>
          <w:b/>
          <w:bCs/>
        </w:rPr>
      </w:pPr>
      <w:r w:rsidRPr="004119A2">
        <w:rPr>
          <w:rFonts w:ascii="Arial" w:hAnsi="Arial" w:cs="Arial"/>
          <w:b/>
          <w:bCs/>
        </w:rPr>
        <w:t xml:space="preserve">                    ↓</w:t>
      </w:r>
    </w:p>
    <w:p w14:paraId="62E970DD" w14:textId="7D8CD72B" w:rsidR="00FE1535" w:rsidRPr="004119A2" w:rsidRDefault="00FE1535" w:rsidP="006D494C">
      <w:pPr>
        <w:spacing w:after="0" w:line="360" w:lineRule="auto"/>
        <w:rPr>
          <w:rFonts w:ascii="Arial" w:hAnsi="Arial" w:cs="Arial"/>
          <w:b/>
          <w:bCs/>
        </w:rPr>
      </w:pPr>
      <w:r w:rsidRPr="004119A2">
        <w:rPr>
          <w:rFonts w:ascii="Arial" w:hAnsi="Arial" w:cs="Arial"/>
          <w:b/>
          <w:bCs/>
        </w:rPr>
        <w:t xml:space="preserve">Studies included in review (n = </w:t>
      </w:r>
      <w:r w:rsidR="00687C13" w:rsidRPr="004119A2">
        <w:rPr>
          <w:rFonts w:ascii="Arial" w:hAnsi="Arial" w:cs="Arial"/>
          <w:b/>
          <w:bCs/>
        </w:rPr>
        <w:t>4</w:t>
      </w:r>
      <w:r w:rsidRPr="004119A2">
        <w:rPr>
          <w:rFonts w:ascii="Arial" w:hAnsi="Arial" w:cs="Arial"/>
          <w:b/>
          <w:bCs/>
        </w:rPr>
        <w:t>)</w:t>
      </w:r>
    </w:p>
    <w:p w14:paraId="1A4AF5E2" w14:textId="77777777" w:rsidR="000D3CCC" w:rsidRPr="004119A2" w:rsidRDefault="000D3CCC" w:rsidP="006D494C">
      <w:pPr>
        <w:spacing w:after="0" w:line="360" w:lineRule="auto"/>
        <w:rPr>
          <w:rFonts w:ascii="Arial" w:hAnsi="Arial" w:cs="Arial"/>
          <w:b/>
          <w:bCs/>
        </w:rPr>
      </w:pPr>
    </w:p>
    <w:p w14:paraId="42625159" w14:textId="334DF4F1" w:rsidR="00FE5494" w:rsidRPr="004119A2" w:rsidRDefault="00FE5494" w:rsidP="006D494C">
      <w:pPr>
        <w:spacing w:after="0" w:line="360" w:lineRule="auto"/>
        <w:rPr>
          <w:rFonts w:ascii="Arial" w:hAnsi="Arial" w:cs="Arial"/>
        </w:rPr>
      </w:pPr>
      <w:r w:rsidRPr="004119A2">
        <w:rPr>
          <w:rFonts w:ascii="Arial" w:hAnsi="Arial" w:cs="Arial"/>
        </w:rPr>
        <w:t xml:space="preserve">The </w:t>
      </w:r>
      <w:r w:rsidR="00A71125" w:rsidRPr="004119A2">
        <w:rPr>
          <w:rFonts w:ascii="Arial" w:hAnsi="Arial" w:cs="Arial"/>
        </w:rPr>
        <w:t>four</w:t>
      </w:r>
      <w:r w:rsidRPr="004119A2">
        <w:rPr>
          <w:rFonts w:ascii="Arial" w:hAnsi="Arial" w:cs="Arial"/>
        </w:rPr>
        <w:t xml:space="preserve"> included studies were published between 2011 and 202</w:t>
      </w:r>
      <w:r w:rsidR="00881E60">
        <w:rPr>
          <w:rFonts w:ascii="Arial" w:hAnsi="Arial" w:cs="Arial"/>
        </w:rPr>
        <w:t>3</w:t>
      </w:r>
      <w:r w:rsidRPr="004119A2">
        <w:rPr>
          <w:rFonts w:ascii="Arial" w:hAnsi="Arial" w:cs="Arial"/>
        </w:rPr>
        <w:t xml:space="preserve"> and employed a range of research designs, including qualitative research, systematic reviews, narrative reviews and feasibility studies. Although the studies differed in methodology and participant characteristics, they consistently explored factors influencing the mental health and wellbeing of Black Caribbean or Black British populations within the UK. The principal topics investigated included experiences of racism and discrimination, socioeconomic inequalities, </w:t>
      </w:r>
      <w:r w:rsidRPr="004119A2">
        <w:rPr>
          <w:rFonts w:ascii="Arial" w:hAnsi="Arial" w:cs="Arial"/>
        </w:rPr>
        <w:lastRenderedPageBreak/>
        <w:t>stigma surrounding mental health, barriers to accessing mental health services and culturally appropriate approaches to care.</w:t>
      </w:r>
    </w:p>
    <w:p w14:paraId="50D7AD5B" w14:textId="77777777" w:rsidR="00FE5494" w:rsidRPr="004119A2" w:rsidRDefault="00FE5494" w:rsidP="006D494C">
      <w:pPr>
        <w:spacing w:after="0" w:line="360" w:lineRule="auto"/>
        <w:rPr>
          <w:rFonts w:ascii="Arial" w:hAnsi="Arial" w:cs="Arial"/>
        </w:rPr>
      </w:pPr>
      <w:r w:rsidRPr="004119A2">
        <w:rPr>
          <w:rFonts w:ascii="Arial" w:hAnsi="Arial" w:cs="Arial"/>
        </w:rPr>
        <w:t>Thematic analysis identified four overarching themes across the included studies: (1) racism and discrimination as contributors to stress and emotional distress; (2) cultural stigma and barriers to help-seeking; (3) inequalities in access to mental health services; and (4) protective factors, including family support, faith and community resilience. These themes were consistently reported despite variations in study design and participant groups.</w:t>
      </w:r>
    </w:p>
    <w:p w14:paraId="65112209" w14:textId="1937F4F9" w:rsidR="007E0ECA" w:rsidRPr="004119A2" w:rsidRDefault="00FE5494" w:rsidP="006D494C">
      <w:pPr>
        <w:spacing w:after="0" w:line="360" w:lineRule="auto"/>
        <w:rPr>
          <w:rFonts w:ascii="Arial" w:hAnsi="Arial" w:cs="Arial"/>
        </w:rPr>
      </w:pPr>
      <w:r w:rsidRPr="004119A2">
        <w:rPr>
          <w:rFonts w:ascii="Arial" w:hAnsi="Arial" w:cs="Arial"/>
        </w:rPr>
        <w:t>Although the included studies provided valuable insight into the experiences of Black Caribbean communities in the UK, relatively few focused exclusively on young adults aged 18–25 years. This highlights a significant gap within the existing evidence base and demonstrates the need for further UK research exploring the unique experiences of Black Caribbean young adults. The characteristics of the included studies are presented in Table 1, while the identified themes provide the framework for the discussion presented in the following chapter.</w:t>
      </w:r>
    </w:p>
    <w:p w14:paraId="4DC285F3" w14:textId="77777777" w:rsidR="00F97006" w:rsidRPr="004119A2" w:rsidRDefault="00F97006" w:rsidP="006D494C">
      <w:pPr>
        <w:spacing w:after="0" w:line="360" w:lineRule="auto"/>
        <w:rPr>
          <w:rFonts w:ascii="Arial" w:hAnsi="Arial" w:cs="Arial"/>
        </w:rPr>
      </w:pPr>
    </w:p>
    <w:p w14:paraId="0210B483" w14:textId="0E33C971" w:rsidR="002659CE" w:rsidRPr="004119A2" w:rsidRDefault="002659CE" w:rsidP="006D494C">
      <w:pPr>
        <w:spacing w:after="0" w:line="360" w:lineRule="auto"/>
        <w:rPr>
          <w:rFonts w:ascii="Arial" w:hAnsi="Arial" w:cs="Arial"/>
          <w:b/>
          <w:bCs/>
          <w:color w:val="EE0000"/>
        </w:rPr>
      </w:pPr>
      <w:r w:rsidRPr="004119A2">
        <w:rPr>
          <w:rFonts w:ascii="Arial" w:hAnsi="Arial" w:cs="Arial"/>
          <w:b/>
          <w:bCs/>
        </w:rPr>
        <w:t xml:space="preserve">Table 1. Characteristics of Included Studies </w:t>
      </w:r>
    </w:p>
    <w:tbl>
      <w:tblPr>
        <w:tblW w:w="9900" w:type="dxa"/>
        <w:tblLook w:val="04A0" w:firstRow="1" w:lastRow="0" w:firstColumn="1" w:lastColumn="0" w:noHBand="0" w:noVBand="1"/>
      </w:tblPr>
      <w:tblGrid>
        <w:gridCol w:w="1412"/>
        <w:gridCol w:w="1299"/>
        <w:gridCol w:w="1942"/>
        <w:gridCol w:w="1024"/>
        <w:gridCol w:w="4223"/>
      </w:tblGrid>
      <w:tr w:rsidR="00CB44FB" w:rsidRPr="004119A2" w14:paraId="3C25344E" w14:textId="77777777" w:rsidTr="00AB2801">
        <w:trPr>
          <w:trHeight w:val="300"/>
        </w:trPr>
        <w:tc>
          <w:tcPr>
            <w:tcW w:w="1416"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4B51C56F" w14:textId="77777777" w:rsidR="00CB44FB" w:rsidRPr="004119A2" w:rsidRDefault="00CB44FB" w:rsidP="006D494C">
            <w:pPr>
              <w:spacing w:after="0" w:line="360" w:lineRule="auto"/>
              <w:jc w:val="center"/>
              <w:rPr>
                <w:rFonts w:ascii="Arial" w:eastAsia="Times New Roman" w:hAnsi="Arial" w:cs="Arial"/>
                <w:b/>
                <w:bCs/>
                <w:color w:val="000000"/>
                <w:kern w:val="0"/>
                <w:lang w:eastAsia="en-GB"/>
                <w14:ligatures w14:val="none"/>
              </w:rPr>
            </w:pPr>
            <w:r w:rsidRPr="004119A2">
              <w:rPr>
                <w:rFonts w:ascii="Arial" w:eastAsia="Times New Roman" w:hAnsi="Arial" w:cs="Arial"/>
                <w:b/>
                <w:bCs/>
                <w:color w:val="000000"/>
                <w:kern w:val="0"/>
                <w:lang w:eastAsia="en-GB"/>
                <w14:ligatures w14:val="none"/>
              </w:rPr>
              <w:t>Author (Year)</w:t>
            </w:r>
          </w:p>
        </w:tc>
        <w:tc>
          <w:tcPr>
            <w:tcW w:w="1299" w:type="dxa"/>
            <w:tcBorders>
              <w:top w:val="single" w:sz="4" w:space="0" w:color="auto"/>
              <w:left w:val="nil"/>
              <w:bottom w:val="single" w:sz="4" w:space="0" w:color="auto"/>
              <w:right w:val="single" w:sz="4" w:space="0" w:color="auto"/>
            </w:tcBorders>
            <w:shd w:val="clear" w:color="000000" w:fill="D9D9D9"/>
            <w:vAlign w:val="center"/>
            <w:hideMark/>
          </w:tcPr>
          <w:p w14:paraId="1B0FFFD4" w14:textId="77777777" w:rsidR="00CB44FB" w:rsidRPr="004119A2" w:rsidRDefault="00CB44FB" w:rsidP="006D494C">
            <w:pPr>
              <w:spacing w:after="0" w:line="360" w:lineRule="auto"/>
              <w:jc w:val="center"/>
              <w:rPr>
                <w:rFonts w:ascii="Arial" w:eastAsia="Times New Roman" w:hAnsi="Arial" w:cs="Arial"/>
                <w:b/>
                <w:bCs/>
                <w:color w:val="000000"/>
                <w:kern w:val="0"/>
                <w:lang w:eastAsia="en-GB"/>
                <w14:ligatures w14:val="none"/>
              </w:rPr>
            </w:pPr>
            <w:r w:rsidRPr="004119A2">
              <w:rPr>
                <w:rFonts w:ascii="Arial" w:eastAsia="Times New Roman" w:hAnsi="Arial" w:cs="Arial"/>
                <w:b/>
                <w:bCs/>
                <w:color w:val="000000"/>
                <w:kern w:val="0"/>
                <w:lang w:eastAsia="en-GB"/>
                <w14:ligatures w14:val="none"/>
              </w:rPr>
              <w:t>Study design</w:t>
            </w:r>
          </w:p>
        </w:tc>
        <w:tc>
          <w:tcPr>
            <w:tcW w:w="1956" w:type="dxa"/>
            <w:tcBorders>
              <w:top w:val="single" w:sz="4" w:space="0" w:color="auto"/>
              <w:left w:val="nil"/>
              <w:bottom w:val="single" w:sz="4" w:space="0" w:color="auto"/>
              <w:right w:val="single" w:sz="4" w:space="0" w:color="auto"/>
            </w:tcBorders>
            <w:shd w:val="clear" w:color="000000" w:fill="D9D9D9"/>
            <w:vAlign w:val="center"/>
            <w:hideMark/>
          </w:tcPr>
          <w:p w14:paraId="4FD62CF3" w14:textId="77777777" w:rsidR="00CB44FB" w:rsidRPr="004119A2" w:rsidRDefault="00CB44FB" w:rsidP="006D494C">
            <w:pPr>
              <w:spacing w:after="0" w:line="360" w:lineRule="auto"/>
              <w:jc w:val="center"/>
              <w:rPr>
                <w:rFonts w:ascii="Arial" w:eastAsia="Times New Roman" w:hAnsi="Arial" w:cs="Arial"/>
                <w:b/>
                <w:bCs/>
                <w:color w:val="000000"/>
                <w:kern w:val="0"/>
                <w:lang w:eastAsia="en-GB"/>
                <w14:ligatures w14:val="none"/>
              </w:rPr>
            </w:pPr>
            <w:r w:rsidRPr="004119A2">
              <w:rPr>
                <w:rFonts w:ascii="Arial" w:eastAsia="Times New Roman" w:hAnsi="Arial" w:cs="Arial"/>
                <w:b/>
                <w:bCs/>
                <w:color w:val="000000"/>
                <w:kern w:val="0"/>
                <w:lang w:eastAsia="en-GB"/>
                <w14:ligatures w14:val="none"/>
              </w:rPr>
              <w:t>Participants</w:t>
            </w:r>
          </w:p>
        </w:tc>
        <w:tc>
          <w:tcPr>
            <w:tcW w:w="930" w:type="dxa"/>
            <w:tcBorders>
              <w:top w:val="single" w:sz="4" w:space="0" w:color="auto"/>
              <w:left w:val="nil"/>
              <w:bottom w:val="single" w:sz="4" w:space="0" w:color="auto"/>
              <w:right w:val="single" w:sz="4" w:space="0" w:color="auto"/>
            </w:tcBorders>
            <w:shd w:val="clear" w:color="000000" w:fill="D9D9D9"/>
            <w:vAlign w:val="center"/>
            <w:hideMark/>
          </w:tcPr>
          <w:p w14:paraId="6687444F" w14:textId="77777777" w:rsidR="00CB44FB" w:rsidRPr="004119A2" w:rsidRDefault="00CB44FB" w:rsidP="006D494C">
            <w:pPr>
              <w:spacing w:after="0" w:line="360" w:lineRule="auto"/>
              <w:jc w:val="center"/>
              <w:rPr>
                <w:rFonts w:ascii="Arial" w:eastAsia="Times New Roman" w:hAnsi="Arial" w:cs="Arial"/>
                <w:b/>
                <w:bCs/>
                <w:color w:val="000000"/>
                <w:kern w:val="0"/>
                <w:lang w:eastAsia="en-GB"/>
                <w14:ligatures w14:val="none"/>
              </w:rPr>
            </w:pPr>
            <w:r w:rsidRPr="004119A2">
              <w:rPr>
                <w:rFonts w:ascii="Arial" w:eastAsia="Times New Roman" w:hAnsi="Arial" w:cs="Arial"/>
                <w:b/>
                <w:bCs/>
                <w:color w:val="000000"/>
                <w:kern w:val="0"/>
                <w:lang w:eastAsia="en-GB"/>
                <w14:ligatures w14:val="none"/>
              </w:rPr>
              <w:t>Setting</w:t>
            </w:r>
          </w:p>
        </w:tc>
        <w:tc>
          <w:tcPr>
            <w:tcW w:w="4299" w:type="dxa"/>
            <w:tcBorders>
              <w:top w:val="single" w:sz="4" w:space="0" w:color="auto"/>
              <w:left w:val="nil"/>
              <w:bottom w:val="single" w:sz="4" w:space="0" w:color="auto"/>
              <w:right w:val="single" w:sz="4" w:space="0" w:color="auto"/>
            </w:tcBorders>
            <w:shd w:val="clear" w:color="000000" w:fill="D9D9D9"/>
            <w:vAlign w:val="center"/>
            <w:hideMark/>
          </w:tcPr>
          <w:p w14:paraId="6E548953" w14:textId="77777777" w:rsidR="00CB44FB" w:rsidRPr="004119A2" w:rsidRDefault="00CB44FB" w:rsidP="006D494C">
            <w:pPr>
              <w:spacing w:after="0" w:line="360" w:lineRule="auto"/>
              <w:jc w:val="center"/>
              <w:rPr>
                <w:rFonts w:ascii="Arial" w:eastAsia="Times New Roman" w:hAnsi="Arial" w:cs="Arial"/>
                <w:b/>
                <w:bCs/>
                <w:color w:val="000000"/>
                <w:kern w:val="0"/>
                <w:lang w:eastAsia="en-GB"/>
                <w14:ligatures w14:val="none"/>
              </w:rPr>
            </w:pPr>
            <w:r w:rsidRPr="004119A2">
              <w:rPr>
                <w:rFonts w:ascii="Arial" w:eastAsia="Times New Roman" w:hAnsi="Arial" w:cs="Arial"/>
                <w:b/>
                <w:bCs/>
                <w:color w:val="000000"/>
                <w:kern w:val="0"/>
                <w:lang w:eastAsia="en-GB"/>
                <w14:ligatures w14:val="none"/>
              </w:rPr>
              <w:t>Main findings</w:t>
            </w:r>
          </w:p>
        </w:tc>
      </w:tr>
      <w:tr w:rsidR="00CB44FB" w:rsidRPr="004119A2" w14:paraId="1059EEE1" w14:textId="77777777" w:rsidTr="00AB2801">
        <w:trPr>
          <w:trHeight w:val="990"/>
        </w:trPr>
        <w:tc>
          <w:tcPr>
            <w:tcW w:w="1416" w:type="dxa"/>
            <w:tcBorders>
              <w:top w:val="nil"/>
              <w:left w:val="single" w:sz="4" w:space="0" w:color="auto"/>
              <w:bottom w:val="single" w:sz="4" w:space="0" w:color="auto"/>
              <w:right w:val="single" w:sz="4" w:space="0" w:color="auto"/>
            </w:tcBorders>
            <w:vAlign w:val="center"/>
            <w:hideMark/>
          </w:tcPr>
          <w:p w14:paraId="7A54779D"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Halvorsrud et al. (2019)</w:t>
            </w:r>
          </w:p>
        </w:tc>
        <w:tc>
          <w:tcPr>
            <w:tcW w:w="1299" w:type="dxa"/>
            <w:tcBorders>
              <w:top w:val="nil"/>
              <w:left w:val="nil"/>
              <w:bottom w:val="single" w:sz="4" w:space="0" w:color="auto"/>
              <w:right w:val="single" w:sz="4" w:space="0" w:color="auto"/>
            </w:tcBorders>
            <w:vAlign w:val="center"/>
            <w:hideMark/>
          </w:tcPr>
          <w:p w14:paraId="157DB5BA"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Systematic review</w:t>
            </w:r>
          </w:p>
        </w:tc>
        <w:tc>
          <w:tcPr>
            <w:tcW w:w="1956" w:type="dxa"/>
            <w:tcBorders>
              <w:top w:val="nil"/>
              <w:left w:val="nil"/>
              <w:bottom w:val="single" w:sz="4" w:space="0" w:color="auto"/>
              <w:right w:val="single" w:sz="4" w:space="0" w:color="auto"/>
            </w:tcBorders>
            <w:vAlign w:val="center"/>
            <w:hideMark/>
          </w:tcPr>
          <w:p w14:paraId="12B1656F"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Black and minority ethnic adults</w:t>
            </w:r>
          </w:p>
        </w:tc>
        <w:tc>
          <w:tcPr>
            <w:tcW w:w="930" w:type="dxa"/>
            <w:tcBorders>
              <w:top w:val="nil"/>
              <w:left w:val="nil"/>
              <w:bottom w:val="single" w:sz="4" w:space="0" w:color="auto"/>
              <w:right w:val="single" w:sz="4" w:space="0" w:color="auto"/>
            </w:tcBorders>
            <w:vAlign w:val="center"/>
            <w:hideMark/>
          </w:tcPr>
          <w:p w14:paraId="3A8D0407"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UK</w:t>
            </w:r>
          </w:p>
        </w:tc>
        <w:tc>
          <w:tcPr>
            <w:tcW w:w="4299" w:type="dxa"/>
            <w:tcBorders>
              <w:top w:val="nil"/>
              <w:left w:val="nil"/>
              <w:bottom w:val="single" w:sz="4" w:space="0" w:color="auto"/>
              <w:right w:val="single" w:sz="4" w:space="0" w:color="auto"/>
            </w:tcBorders>
            <w:vAlign w:val="center"/>
            <w:hideMark/>
          </w:tcPr>
          <w:p w14:paraId="4EE05CEE"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Identified inequalities in access to mental health services and poorer experiences of care.</w:t>
            </w:r>
          </w:p>
        </w:tc>
      </w:tr>
      <w:tr w:rsidR="00CB44FB" w:rsidRPr="004119A2" w14:paraId="6950CCD4" w14:textId="77777777" w:rsidTr="00AB2801">
        <w:trPr>
          <w:trHeight w:val="990"/>
        </w:trPr>
        <w:tc>
          <w:tcPr>
            <w:tcW w:w="1416" w:type="dxa"/>
            <w:tcBorders>
              <w:top w:val="nil"/>
              <w:left w:val="single" w:sz="4" w:space="0" w:color="auto"/>
              <w:bottom w:val="single" w:sz="4" w:space="0" w:color="auto"/>
              <w:right w:val="single" w:sz="4" w:space="0" w:color="auto"/>
            </w:tcBorders>
            <w:vAlign w:val="center"/>
            <w:hideMark/>
          </w:tcPr>
          <w:p w14:paraId="652DEE1A"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proofErr w:type="spellStart"/>
            <w:r w:rsidRPr="004119A2">
              <w:rPr>
                <w:rFonts w:ascii="Arial" w:eastAsia="Times New Roman" w:hAnsi="Arial" w:cs="Arial"/>
                <w:color w:val="000000"/>
                <w:kern w:val="0"/>
                <w:lang w:eastAsia="en-GB"/>
                <w14:ligatures w14:val="none"/>
              </w:rPr>
              <w:t>Nazroo</w:t>
            </w:r>
            <w:proofErr w:type="spellEnd"/>
            <w:r w:rsidRPr="004119A2">
              <w:rPr>
                <w:rFonts w:ascii="Arial" w:eastAsia="Times New Roman" w:hAnsi="Arial" w:cs="Arial"/>
                <w:color w:val="000000"/>
                <w:kern w:val="0"/>
                <w:lang w:eastAsia="en-GB"/>
                <w14:ligatures w14:val="none"/>
              </w:rPr>
              <w:t xml:space="preserve">, </w:t>
            </w:r>
            <w:proofErr w:type="spellStart"/>
            <w:r w:rsidRPr="004119A2">
              <w:rPr>
                <w:rFonts w:ascii="Arial" w:eastAsia="Times New Roman" w:hAnsi="Arial" w:cs="Arial"/>
                <w:color w:val="000000"/>
                <w:kern w:val="0"/>
                <w:lang w:eastAsia="en-GB"/>
                <w14:ligatures w14:val="none"/>
              </w:rPr>
              <w:t>Bhui</w:t>
            </w:r>
            <w:proofErr w:type="spellEnd"/>
            <w:r w:rsidRPr="004119A2">
              <w:rPr>
                <w:rFonts w:ascii="Arial" w:eastAsia="Times New Roman" w:hAnsi="Arial" w:cs="Arial"/>
                <w:color w:val="000000"/>
                <w:kern w:val="0"/>
                <w:lang w:eastAsia="en-GB"/>
                <w14:ligatures w14:val="none"/>
              </w:rPr>
              <w:t xml:space="preserve"> and Rhodes (2020)</w:t>
            </w:r>
          </w:p>
        </w:tc>
        <w:tc>
          <w:tcPr>
            <w:tcW w:w="1299" w:type="dxa"/>
            <w:tcBorders>
              <w:top w:val="nil"/>
              <w:left w:val="nil"/>
              <w:bottom w:val="single" w:sz="4" w:space="0" w:color="auto"/>
              <w:right w:val="single" w:sz="4" w:space="0" w:color="auto"/>
            </w:tcBorders>
            <w:vAlign w:val="center"/>
            <w:hideMark/>
          </w:tcPr>
          <w:p w14:paraId="2E143669"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Narrative review</w:t>
            </w:r>
          </w:p>
        </w:tc>
        <w:tc>
          <w:tcPr>
            <w:tcW w:w="1956" w:type="dxa"/>
            <w:tcBorders>
              <w:top w:val="nil"/>
              <w:left w:val="nil"/>
              <w:bottom w:val="single" w:sz="4" w:space="0" w:color="auto"/>
              <w:right w:val="single" w:sz="4" w:space="0" w:color="auto"/>
            </w:tcBorders>
            <w:vAlign w:val="center"/>
            <w:hideMark/>
          </w:tcPr>
          <w:p w14:paraId="58782140"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Ethnic minority populations</w:t>
            </w:r>
          </w:p>
        </w:tc>
        <w:tc>
          <w:tcPr>
            <w:tcW w:w="930" w:type="dxa"/>
            <w:tcBorders>
              <w:top w:val="nil"/>
              <w:left w:val="nil"/>
              <w:bottom w:val="single" w:sz="4" w:space="0" w:color="auto"/>
              <w:right w:val="single" w:sz="4" w:space="0" w:color="auto"/>
            </w:tcBorders>
            <w:vAlign w:val="center"/>
            <w:hideMark/>
          </w:tcPr>
          <w:p w14:paraId="13A07C8E"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UK</w:t>
            </w:r>
          </w:p>
        </w:tc>
        <w:tc>
          <w:tcPr>
            <w:tcW w:w="4299" w:type="dxa"/>
            <w:tcBorders>
              <w:top w:val="nil"/>
              <w:left w:val="nil"/>
              <w:bottom w:val="single" w:sz="4" w:space="0" w:color="auto"/>
              <w:right w:val="single" w:sz="4" w:space="0" w:color="auto"/>
            </w:tcBorders>
            <w:vAlign w:val="center"/>
            <w:hideMark/>
          </w:tcPr>
          <w:p w14:paraId="0ED70112"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Identified structural racism as an important determinant of mental health inequalities.</w:t>
            </w:r>
          </w:p>
        </w:tc>
      </w:tr>
      <w:tr w:rsidR="00CB44FB" w:rsidRPr="004119A2" w14:paraId="0FDBA7E0" w14:textId="77777777" w:rsidTr="00AB2801">
        <w:trPr>
          <w:trHeight w:val="990"/>
        </w:trPr>
        <w:tc>
          <w:tcPr>
            <w:tcW w:w="1416" w:type="dxa"/>
            <w:tcBorders>
              <w:top w:val="nil"/>
              <w:left w:val="single" w:sz="4" w:space="0" w:color="auto"/>
              <w:bottom w:val="single" w:sz="4" w:space="0" w:color="auto"/>
              <w:right w:val="single" w:sz="4" w:space="0" w:color="auto"/>
            </w:tcBorders>
            <w:vAlign w:val="center"/>
            <w:hideMark/>
          </w:tcPr>
          <w:p w14:paraId="5BCED12F" w14:textId="5E77B0D1"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Devonport et al. (202</w:t>
            </w:r>
            <w:r w:rsidR="00462091" w:rsidRPr="004119A2">
              <w:rPr>
                <w:rFonts w:ascii="Arial" w:eastAsia="Times New Roman" w:hAnsi="Arial" w:cs="Arial"/>
                <w:color w:val="000000"/>
                <w:kern w:val="0"/>
                <w:lang w:eastAsia="en-GB"/>
                <w14:ligatures w14:val="none"/>
              </w:rPr>
              <w:t>3</w:t>
            </w:r>
            <w:r w:rsidRPr="004119A2">
              <w:rPr>
                <w:rFonts w:ascii="Arial" w:eastAsia="Times New Roman" w:hAnsi="Arial" w:cs="Arial"/>
                <w:color w:val="000000"/>
                <w:kern w:val="0"/>
                <w:lang w:eastAsia="en-GB"/>
                <w14:ligatures w14:val="none"/>
              </w:rPr>
              <w:t>)</w:t>
            </w:r>
          </w:p>
        </w:tc>
        <w:tc>
          <w:tcPr>
            <w:tcW w:w="1299" w:type="dxa"/>
            <w:tcBorders>
              <w:top w:val="nil"/>
              <w:left w:val="nil"/>
              <w:bottom w:val="single" w:sz="4" w:space="0" w:color="auto"/>
              <w:right w:val="single" w:sz="4" w:space="0" w:color="auto"/>
            </w:tcBorders>
            <w:vAlign w:val="center"/>
            <w:hideMark/>
          </w:tcPr>
          <w:p w14:paraId="283BCEB1"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Systematic review</w:t>
            </w:r>
          </w:p>
        </w:tc>
        <w:tc>
          <w:tcPr>
            <w:tcW w:w="1956" w:type="dxa"/>
            <w:tcBorders>
              <w:top w:val="nil"/>
              <w:left w:val="nil"/>
              <w:bottom w:val="single" w:sz="4" w:space="0" w:color="auto"/>
              <w:right w:val="single" w:sz="4" w:space="0" w:color="auto"/>
            </w:tcBorders>
            <w:vAlign w:val="center"/>
            <w:hideMark/>
          </w:tcPr>
          <w:p w14:paraId="1975353E"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Black African, Black Caribbean and Black-mixed populations</w:t>
            </w:r>
          </w:p>
        </w:tc>
        <w:tc>
          <w:tcPr>
            <w:tcW w:w="930" w:type="dxa"/>
            <w:tcBorders>
              <w:top w:val="nil"/>
              <w:left w:val="nil"/>
              <w:bottom w:val="single" w:sz="4" w:space="0" w:color="auto"/>
              <w:right w:val="single" w:sz="4" w:space="0" w:color="auto"/>
            </w:tcBorders>
            <w:vAlign w:val="center"/>
            <w:hideMark/>
          </w:tcPr>
          <w:p w14:paraId="4088564D"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UK</w:t>
            </w:r>
          </w:p>
        </w:tc>
        <w:tc>
          <w:tcPr>
            <w:tcW w:w="4299" w:type="dxa"/>
            <w:tcBorders>
              <w:top w:val="nil"/>
              <w:left w:val="nil"/>
              <w:bottom w:val="single" w:sz="4" w:space="0" w:color="auto"/>
              <w:right w:val="single" w:sz="4" w:space="0" w:color="auto"/>
            </w:tcBorders>
            <w:vAlign w:val="center"/>
            <w:hideMark/>
          </w:tcPr>
          <w:p w14:paraId="4963AC74"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Racism, discrimination and socioeconomic disadvantage were associated with poorer mental health.</w:t>
            </w:r>
          </w:p>
        </w:tc>
      </w:tr>
      <w:tr w:rsidR="00CB44FB" w:rsidRPr="004119A2" w14:paraId="7F5BEEC4" w14:textId="77777777" w:rsidTr="00AB2801">
        <w:trPr>
          <w:trHeight w:val="990"/>
        </w:trPr>
        <w:tc>
          <w:tcPr>
            <w:tcW w:w="1416" w:type="dxa"/>
            <w:tcBorders>
              <w:top w:val="nil"/>
              <w:left w:val="single" w:sz="4" w:space="0" w:color="auto"/>
              <w:bottom w:val="single" w:sz="4" w:space="0" w:color="auto"/>
              <w:right w:val="single" w:sz="4" w:space="0" w:color="auto"/>
            </w:tcBorders>
            <w:vAlign w:val="center"/>
            <w:hideMark/>
          </w:tcPr>
          <w:p w14:paraId="78C3E5A8"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Sancho and Larkin (2020)</w:t>
            </w:r>
          </w:p>
        </w:tc>
        <w:tc>
          <w:tcPr>
            <w:tcW w:w="1299" w:type="dxa"/>
            <w:tcBorders>
              <w:top w:val="nil"/>
              <w:left w:val="nil"/>
              <w:bottom w:val="single" w:sz="4" w:space="0" w:color="auto"/>
              <w:right w:val="single" w:sz="4" w:space="0" w:color="auto"/>
            </w:tcBorders>
            <w:vAlign w:val="center"/>
            <w:hideMark/>
          </w:tcPr>
          <w:p w14:paraId="0E4E6175"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Qualitative study</w:t>
            </w:r>
          </w:p>
        </w:tc>
        <w:tc>
          <w:tcPr>
            <w:tcW w:w="1956" w:type="dxa"/>
            <w:tcBorders>
              <w:top w:val="nil"/>
              <w:left w:val="nil"/>
              <w:bottom w:val="single" w:sz="4" w:space="0" w:color="auto"/>
              <w:right w:val="single" w:sz="4" w:space="0" w:color="auto"/>
            </w:tcBorders>
            <w:vAlign w:val="center"/>
            <w:hideMark/>
          </w:tcPr>
          <w:p w14:paraId="6FFD900E"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Afro-Caribbean university students</w:t>
            </w:r>
          </w:p>
        </w:tc>
        <w:tc>
          <w:tcPr>
            <w:tcW w:w="930" w:type="dxa"/>
            <w:tcBorders>
              <w:top w:val="nil"/>
              <w:left w:val="nil"/>
              <w:bottom w:val="single" w:sz="4" w:space="0" w:color="auto"/>
              <w:right w:val="single" w:sz="4" w:space="0" w:color="auto"/>
            </w:tcBorders>
            <w:vAlign w:val="center"/>
            <w:hideMark/>
          </w:tcPr>
          <w:p w14:paraId="6D8C5F05"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England</w:t>
            </w:r>
          </w:p>
        </w:tc>
        <w:tc>
          <w:tcPr>
            <w:tcW w:w="4299" w:type="dxa"/>
            <w:tcBorders>
              <w:top w:val="nil"/>
              <w:left w:val="nil"/>
              <w:bottom w:val="single" w:sz="4" w:space="0" w:color="auto"/>
              <w:right w:val="single" w:sz="4" w:space="0" w:color="auto"/>
            </w:tcBorders>
            <w:vAlign w:val="center"/>
            <w:hideMark/>
          </w:tcPr>
          <w:p w14:paraId="3D263F6C" w14:textId="77777777" w:rsidR="00CB44FB" w:rsidRPr="004119A2" w:rsidRDefault="00CB44FB" w:rsidP="006D494C">
            <w:pPr>
              <w:spacing w:after="0" w:line="360" w:lineRule="auto"/>
              <w:rPr>
                <w:rFonts w:ascii="Arial" w:eastAsia="Times New Roman" w:hAnsi="Arial" w:cs="Arial"/>
                <w:color w:val="000000"/>
                <w:kern w:val="0"/>
                <w:lang w:eastAsia="en-GB"/>
                <w14:ligatures w14:val="none"/>
              </w:rPr>
            </w:pPr>
            <w:r w:rsidRPr="004119A2">
              <w:rPr>
                <w:rFonts w:ascii="Arial" w:eastAsia="Times New Roman" w:hAnsi="Arial" w:cs="Arial"/>
                <w:color w:val="000000"/>
                <w:kern w:val="0"/>
                <w:lang w:eastAsia="en-GB"/>
                <w14:ligatures w14:val="none"/>
              </w:rPr>
              <w:t>Cultural stigma and mistrust reduced engagement with mental health services.</w:t>
            </w:r>
          </w:p>
        </w:tc>
      </w:tr>
    </w:tbl>
    <w:p w14:paraId="7256D7C0" w14:textId="77777777" w:rsidR="002E68D9" w:rsidRPr="004119A2" w:rsidRDefault="002E68D9" w:rsidP="006D494C">
      <w:pPr>
        <w:spacing w:after="0" w:line="360" w:lineRule="auto"/>
        <w:rPr>
          <w:rFonts w:ascii="Arial" w:hAnsi="Arial" w:cs="Arial"/>
        </w:rPr>
      </w:pPr>
    </w:p>
    <w:p w14:paraId="189A62FB" w14:textId="26C95836" w:rsidR="00C84036" w:rsidRPr="004119A2" w:rsidRDefault="00C84036" w:rsidP="006D494C">
      <w:pPr>
        <w:spacing w:after="0" w:line="360" w:lineRule="auto"/>
        <w:rPr>
          <w:rFonts w:ascii="Arial" w:hAnsi="Arial" w:cs="Arial"/>
          <w:b/>
          <w:bCs/>
        </w:rPr>
      </w:pPr>
      <w:r w:rsidRPr="004119A2">
        <w:rPr>
          <w:rFonts w:ascii="Arial" w:hAnsi="Arial" w:cs="Arial"/>
          <w:b/>
          <w:bCs/>
        </w:rPr>
        <w:t xml:space="preserve">5. Discussion </w:t>
      </w:r>
    </w:p>
    <w:p w14:paraId="22F6048D" w14:textId="77777777" w:rsidR="00A54574" w:rsidRPr="004119A2" w:rsidRDefault="00A54574" w:rsidP="006D494C">
      <w:pPr>
        <w:spacing w:after="0" w:line="360" w:lineRule="auto"/>
        <w:rPr>
          <w:rFonts w:ascii="Arial" w:hAnsi="Arial" w:cs="Arial"/>
        </w:rPr>
      </w:pPr>
      <w:r w:rsidRPr="004119A2">
        <w:rPr>
          <w:rFonts w:ascii="Arial" w:hAnsi="Arial" w:cs="Arial"/>
        </w:rPr>
        <w:t xml:space="preserve">This scoping review explored the available evidence on stress and emotional distress among Black Caribbean young adults in the United Kingdom (UK). Four themes emerged from the </w:t>
      </w:r>
      <w:r w:rsidRPr="004119A2">
        <w:rPr>
          <w:rFonts w:ascii="Arial" w:hAnsi="Arial" w:cs="Arial"/>
        </w:rPr>
        <w:lastRenderedPageBreak/>
        <w:t>analysis of the four included studies: (1) racism and discrimination as contributors to stress; (2) cultural stigma and barriers to help-seeking; (3) inequalities in access to mental health services; and (4) protective factors that promote resilience. Collectively, these findings indicate that psychological distress among Black Caribbean communities is influenced by complex structural, social and cultural factors, rather than individual factors alone.</w:t>
      </w:r>
    </w:p>
    <w:p w14:paraId="0C6E480C" w14:textId="77777777" w:rsidR="00A54574" w:rsidRPr="004119A2" w:rsidRDefault="00A54574" w:rsidP="006D494C">
      <w:pPr>
        <w:spacing w:after="0" w:line="360" w:lineRule="auto"/>
        <w:rPr>
          <w:rFonts w:ascii="Arial" w:hAnsi="Arial" w:cs="Arial"/>
        </w:rPr>
      </w:pPr>
    </w:p>
    <w:p w14:paraId="20EFA605" w14:textId="53194B65" w:rsidR="00370AC5" w:rsidRPr="004119A2" w:rsidRDefault="00370AC5" w:rsidP="006D494C">
      <w:pPr>
        <w:spacing w:after="0" w:line="360" w:lineRule="auto"/>
        <w:rPr>
          <w:rFonts w:ascii="Arial" w:hAnsi="Arial" w:cs="Arial"/>
          <w:b/>
          <w:bCs/>
        </w:rPr>
      </w:pPr>
      <w:r w:rsidRPr="004119A2">
        <w:rPr>
          <w:rFonts w:ascii="Arial" w:hAnsi="Arial" w:cs="Arial"/>
          <w:b/>
          <w:bCs/>
        </w:rPr>
        <w:t>Theme 1: Racism and Discrimination as Contributors to Stress</w:t>
      </w:r>
    </w:p>
    <w:p w14:paraId="24C0D753" w14:textId="77777777" w:rsidR="00370AC5" w:rsidRPr="004119A2" w:rsidRDefault="00370AC5" w:rsidP="006D494C">
      <w:pPr>
        <w:spacing w:after="0" w:line="360" w:lineRule="auto"/>
        <w:rPr>
          <w:rFonts w:ascii="Arial" w:hAnsi="Arial" w:cs="Arial"/>
        </w:rPr>
      </w:pPr>
      <w:r w:rsidRPr="004119A2">
        <w:rPr>
          <w:rFonts w:ascii="Arial" w:hAnsi="Arial" w:cs="Arial"/>
        </w:rPr>
        <w:t xml:space="preserve">The most consistent finding across the included studies was the relationship between racism, discrimination and emotional distress. </w:t>
      </w:r>
      <w:proofErr w:type="spellStart"/>
      <w:r w:rsidRPr="004119A2">
        <w:rPr>
          <w:rFonts w:ascii="Arial" w:hAnsi="Arial" w:cs="Arial"/>
        </w:rPr>
        <w:t>Nazroo</w:t>
      </w:r>
      <w:proofErr w:type="spellEnd"/>
      <w:r w:rsidRPr="004119A2">
        <w:rPr>
          <w:rFonts w:ascii="Arial" w:hAnsi="Arial" w:cs="Arial"/>
        </w:rPr>
        <w:t xml:space="preserve">, </w:t>
      </w:r>
      <w:proofErr w:type="spellStart"/>
      <w:r w:rsidRPr="004119A2">
        <w:rPr>
          <w:rFonts w:ascii="Arial" w:hAnsi="Arial" w:cs="Arial"/>
        </w:rPr>
        <w:t>Bhui</w:t>
      </w:r>
      <w:proofErr w:type="spellEnd"/>
      <w:r w:rsidRPr="004119A2">
        <w:rPr>
          <w:rFonts w:ascii="Arial" w:hAnsi="Arial" w:cs="Arial"/>
        </w:rPr>
        <w:t xml:space="preserve"> and Rhodes (2020) argued that racism should be understood as a structural determinant of mental health rather than simply an individual experience. They suggested that inequalities in education, employment, housing and healthcare create chronic stress that contributes to poorer psychological wellbeing among ethnic minority communities.</w:t>
      </w:r>
    </w:p>
    <w:p w14:paraId="151145E6" w14:textId="61AC1DEF" w:rsidR="00370AC5" w:rsidRPr="004119A2" w:rsidRDefault="00370AC5" w:rsidP="006D494C">
      <w:pPr>
        <w:spacing w:after="0" w:line="360" w:lineRule="auto"/>
        <w:rPr>
          <w:rFonts w:ascii="Arial" w:hAnsi="Arial" w:cs="Arial"/>
        </w:rPr>
      </w:pPr>
      <w:r w:rsidRPr="004119A2">
        <w:rPr>
          <w:rFonts w:ascii="Arial" w:hAnsi="Arial" w:cs="Arial"/>
        </w:rPr>
        <w:t xml:space="preserve">Similarly, the systematic review by Devonport </w:t>
      </w:r>
      <w:r w:rsidRPr="004119A2">
        <w:rPr>
          <w:rFonts w:ascii="Arial" w:hAnsi="Arial" w:cs="Arial"/>
          <w:i/>
          <w:iCs/>
        </w:rPr>
        <w:t>et al.</w:t>
      </w:r>
      <w:r w:rsidRPr="004119A2">
        <w:rPr>
          <w:rFonts w:ascii="Arial" w:hAnsi="Arial" w:cs="Arial"/>
        </w:rPr>
        <w:t xml:space="preserve"> (202</w:t>
      </w:r>
      <w:r w:rsidR="00462091" w:rsidRPr="004119A2">
        <w:rPr>
          <w:rFonts w:ascii="Arial" w:hAnsi="Arial" w:cs="Arial"/>
        </w:rPr>
        <w:t>3</w:t>
      </w:r>
      <w:r w:rsidRPr="004119A2">
        <w:rPr>
          <w:rFonts w:ascii="Arial" w:hAnsi="Arial" w:cs="Arial"/>
        </w:rPr>
        <w:t>) found that racism and discrimination were repeatedly associated with increased levels of stress, anxiety and emotional distress among Black African, Black Caribbean and Black-mixed populations living in the UK. Participants described both direct experiences of discrimination and more subtle forms of everyday racism, which negatively affected self-esteem, belonging and psychological wellbeing.</w:t>
      </w:r>
    </w:p>
    <w:p w14:paraId="52B34B9D" w14:textId="1BC69979" w:rsidR="00370AC5" w:rsidRPr="004119A2" w:rsidRDefault="00370AC5" w:rsidP="006D494C">
      <w:pPr>
        <w:spacing w:after="0" w:line="360" w:lineRule="auto"/>
        <w:rPr>
          <w:rFonts w:ascii="Arial" w:hAnsi="Arial" w:cs="Arial"/>
        </w:rPr>
      </w:pPr>
      <w:r w:rsidRPr="004119A2">
        <w:rPr>
          <w:rFonts w:ascii="Arial" w:hAnsi="Arial" w:cs="Arial"/>
        </w:rPr>
        <w:t xml:space="preserve">These findings support the Marmot Review (2020), which emphasises that health inequalities are largely driven by wider social determinants of health rather than biological differences. For nurses, recognising the impact of discrimination is essential when undertaking holistic assessments and developing person-centred care plans. However, both </w:t>
      </w:r>
      <w:proofErr w:type="spellStart"/>
      <w:r w:rsidRPr="004119A2">
        <w:rPr>
          <w:rFonts w:ascii="Arial" w:hAnsi="Arial" w:cs="Arial"/>
        </w:rPr>
        <w:t>Nazroo</w:t>
      </w:r>
      <w:proofErr w:type="spellEnd"/>
      <w:r w:rsidRPr="004119A2">
        <w:rPr>
          <w:rFonts w:ascii="Arial" w:hAnsi="Arial" w:cs="Arial"/>
        </w:rPr>
        <w:t xml:space="preserve"> </w:t>
      </w:r>
      <w:r w:rsidRPr="004119A2">
        <w:rPr>
          <w:rFonts w:ascii="Arial" w:hAnsi="Arial" w:cs="Arial"/>
          <w:i/>
          <w:iCs/>
        </w:rPr>
        <w:t>et al</w:t>
      </w:r>
      <w:r w:rsidRPr="004119A2">
        <w:rPr>
          <w:rFonts w:ascii="Arial" w:hAnsi="Arial" w:cs="Arial"/>
        </w:rPr>
        <w:t>. (2020) and Devonport et al. (202</w:t>
      </w:r>
      <w:r w:rsidR="00462091" w:rsidRPr="004119A2">
        <w:rPr>
          <w:rFonts w:ascii="Arial" w:hAnsi="Arial" w:cs="Arial"/>
        </w:rPr>
        <w:t>3</w:t>
      </w:r>
      <w:r w:rsidRPr="004119A2">
        <w:rPr>
          <w:rFonts w:ascii="Arial" w:hAnsi="Arial" w:cs="Arial"/>
        </w:rPr>
        <w:t>) examined broader Black populations rather than focusing exclusively on young adults aged 18–25 years. Consequently, there remains limited evidence describing the unique experiences of Black Caribbean young adults during the transition to adulthood.</w:t>
      </w:r>
    </w:p>
    <w:p w14:paraId="4368B5AE" w14:textId="77777777" w:rsidR="00370AC5" w:rsidRPr="004119A2" w:rsidRDefault="00370AC5" w:rsidP="006D494C">
      <w:pPr>
        <w:spacing w:after="0" w:line="360" w:lineRule="auto"/>
        <w:rPr>
          <w:rFonts w:ascii="Arial" w:hAnsi="Arial" w:cs="Arial"/>
          <w:b/>
          <w:bCs/>
        </w:rPr>
      </w:pPr>
      <w:r w:rsidRPr="004119A2">
        <w:rPr>
          <w:rFonts w:ascii="Arial" w:hAnsi="Arial" w:cs="Arial"/>
          <w:b/>
          <w:bCs/>
        </w:rPr>
        <w:t>Theme 2: Cultural Stigma and Barriers to Help-Seeking</w:t>
      </w:r>
    </w:p>
    <w:p w14:paraId="3542AC4F" w14:textId="77777777" w:rsidR="00046C93" w:rsidRPr="004119A2" w:rsidRDefault="00046C93" w:rsidP="006D494C">
      <w:pPr>
        <w:spacing w:after="0" w:line="360" w:lineRule="auto"/>
        <w:rPr>
          <w:rFonts w:ascii="Arial" w:hAnsi="Arial" w:cs="Arial"/>
        </w:rPr>
      </w:pPr>
      <w:r w:rsidRPr="004119A2">
        <w:rPr>
          <w:rFonts w:ascii="Arial" w:hAnsi="Arial" w:cs="Arial"/>
        </w:rPr>
        <w:t>Another important theme identified across the literature was the influence of cultural stigma on mental health and help-seeking behaviour. Sancho and Larkin (2020) reported that Afro-Caribbean undergraduate students often perceived mental illness as a taboo subject within their families and communities. Fear of judgement, embarrassment and concerns about being labelled discouraged participants from discussing emotional difficulties or seeking professional support.</w:t>
      </w:r>
    </w:p>
    <w:p w14:paraId="59D92DBC" w14:textId="77777777" w:rsidR="00046C93" w:rsidRPr="004119A2" w:rsidRDefault="00046C93" w:rsidP="006D494C">
      <w:pPr>
        <w:spacing w:after="0" w:line="360" w:lineRule="auto"/>
        <w:rPr>
          <w:rFonts w:ascii="Arial" w:hAnsi="Arial" w:cs="Arial"/>
        </w:rPr>
      </w:pPr>
      <w:r w:rsidRPr="004119A2">
        <w:rPr>
          <w:rFonts w:ascii="Arial" w:hAnsi="Arial" w:cs="Arial"/>
        </w:rPr>
        <w:t xml:space="preserve">Although Sancho and Larkin (2020) provided valuable insight into the experiences of young people, the study was qualitative and involved a relatively small sample size. While qualitative research provides rich descriptions of lived experiences, the findings cannot be </w:t>
      </w:r>
      <w:r w:rsidRPr="004119A2">
        <w:rPr>
          <w:rFonts w:ascii="Arial" w:hAnsi="Arial" w:cs="Arial"/>
        </w:rPr>
        <w:lastRenderedPageBreak/>
        <w:t>generalised to all Black Caribbean young adults across the UK. Nevertheless, the study highlights the importance of addressing cultural stigma and improving awareness of mental health services to encourage earlier help-seeking.</w:t>
      </w:r>
    </w:p>
    <w:p w14:paraId="7BBC79BB" w14:textId="77777777" w:rsidR="00046C93" w:rsidRPr="004119A2" w:rsidRDefault="00046C93" w:rsidP="006D494C">
      <w:pPr>
        <w:spacing w:after="0" w:line="360" w:lineRule="auto"/>
        <w:rPr>
          <w:rFonts w:ascii="Arial" w:hAnsi="Arial" w:cs="Arial"/>
        </w:rPr>
      </w:pPr>
      <w:r w:rsidRPr="004119A2">
        <w:rPr>
          <w:rFonts w:ascii="Arial" w:hAnsi="Arial" w:cs="Arial"/>
        </w:rPr>
        <w:t>For nursing practice, these findings emphasise the importance of culturally sensitive communication, mental health education and therapeutic relationships that encourage trust and openness. Early identification of emotional distress within primary care, universities and community settings may improve access to appropriate support before mental health problems become more severe.</w:t>
      </w:r>
    </w:p>
    <w:p w14:paraId="03D6D662" w14:textId="77777777" w:rsidR="00046C93" w:rsidRPr="004119A2" w:rsidRDefault="00046C93" w:rsidP="006D494C">
      <w:pPr>
        <w:spacing w:after="0" w:line="360" w:lineRule="auto"/>
        <w:rPr>
          <w:rFonts w:ascii="Arial" w:hAnsi="Arial" w:cs="Arial"/>
          <w:b/>
          <w:bCs/>
        </w:rPr>
      </w:pPr>
    </w:p>
    <w:p w14:paraId="0DBE0986" w14:textId="7206A437" w:rsidR="008E2056" w:rsidRPr="004119A2" w:rsidRDefault="008E2056" w:rsidP="006D494C">
      <w:pPr>
        <w:spacing w:after="0" w:line="360" w:lineRule="auto"/>
        <w:rPr>
          <w:rFonts w:ascii="Arial" w:hAnsi="Arial" w:cs="Arial"/>
          <w:b/>
          <w:bCs/>
        </w:rPr>
      </w:pPr>
      <w:r w:rsidRPr="004119A2">
        <w:rPr>
          <w:rFonts w:ascii="Arial" w:hAnsi="Arial" w:cs="Arial"/>
          <w:b/>
          <w:bCs/>
        </w:rPr>
        <w:t>Theme 3: Inequalities in Access to Mental Health Services</w:t>
      </w:r>
    </w:p>
    <w:p w14:paraId="7C5B9315" w14:textId="77777777" w:rsidR="00DD6D5D" w:rsidRPr="004119A2" w:rsidRDefault="00DD6D5D" w:rsidP="006D494C">
      <w:pPr>
        <w:spacing w:after="0" w:line="360" w:lineRule="auto"/>
        <w:rPr>
          <w:rFonts w:ascii="Arial" w:hAnsi="Arial" w:cs="Arial"/>
        </w:rPr>
      </w:pPr>
      <w:r w:rsidRPr="004119A2">
        <w:rPr>
          <w:rFonts w:ascii="Arial" w:hAnsi="Arial" w:cs="Arial"/>
        </w:rPr>
        <w:t>Access to mental health services emerged as another prominent theme across the reviewed literature. Halvorsrud et al. (2019) found that Black and minority ethnic groups consistently experienced poorer access to mental health services, lower satisfaction with care and greater reliance on crisis services compared with the wider population. Similarly, Devonport et al. (2023) identified racism, discrimination and mistrust of mental health services as significant barriers to accessing appropriate care. Together, these findings suggest that inequalities persist despite the principle of universal healthcare within the NHS.</w:t>
      </w:r>
    </w:p>
    <w:p w14:paraId="602688C9" w14:textId="77777777" w:rsidR="00DD6D5D" w:rsidRPr="004119A2" w:rsidRDefault="00DD6D5D" w:rsidP="006D494C">
      <w:pPr>
        <w:spacing w:after="0" w:line="360" w:lineRule="auto"/>
        <w:rPr>
          <w:rFonts w:ascii="Arial" w:hAnsi="Arial" w:cs="Arial"/>
        </w:rPr>
      </w:pPr>
      <w:r w:rsidRPr="004119A2">
        <w:rPr>
          <w:rFonts w:ascii="Arial" w:hAnsi="Arial" w:cs="Arial"/>
        </w:rPr>
        <w:t>These findings are reflected in NHS England's (2023) Patient and Carer Race Equality Framework (PCREF), which aims to reduce racial inequalities through culturally responsive mental health services. Although policy initiatives demonstrate increasing recognition of these issues, the evidence indicates that inequalities continue to exist in practice.</w:t>
      </w:r>
    </w:p>
    <w:p w14:paraId="415A601C" w14:textId="77777777" w:rsidR="00DD6D5D" w:rsidRPr="004119A2" w:rsidRDefault="00DD6D5D" w:rsidP="006D494C">
      <w:pPr>
        <w:spacing w:after="0" w:line="360" w:lineRule="auto"/>
        <w:rPr>
          <w:rFonts w:ascii="Arial" w:hAnsi="Arial" w:cs="Arial"/>
        </w:rPr>
      </w:pPr>
      <w:r w:rsidRPr="004119A2">
        <w:rPr>
          <w:rFonts w:ascii="Arial" w:hAnsi="Arial" w:cs="Arial"/>
        </w:rPr>
        <w:t>A limitation of the available evidence is that few studies specifically examined Black Caribbean young adults aged 18–25 years, with most including broader Black or ethnic minority populations. Furthermore, there is limited evidence evaluating interventions designed to improve access to mental health services for this group. Consequently, uncertainty remains regarding the most effective strategies for reducing inequalities and improving engagement with services.</w:t>
      </w:r>
    </w:p>
    <w:p w14:paraId="3B8E4E09" w14:textId="77777777" w:rsidR="008E2056" w:rsidRPr="004119A2" w:rsidRDefault="008E2056" w:rsidP="006D494C">
      <w:pPr>
        <w:spacing w:after="0" w:line="360" w:lineRule="auto"/>
        <w:rPr>
          <w:rFonts w:ascii="Arial" w:hAnsi="Arial" w:cs="Arial"/>
          <w:b/>
          <w:bCs/>
        </w:rPr>
      </w:pPr>
    </w:p>
    <w:p w14:paraId="5BB828C4" w14:textId="77777777" w:rsidR="008E3A63" w:rsidRPr="004119A2" w:rsidRDefault="008E3A63" w:rsidP="006D494C">
      <w:pPr>
        <w:spacing w:after="0" w:line="360" w:lineRule="auto"/>
        <w:rPr>
          <w:rFonts w:ascii="Arial" w:hAnsi="Arial" w:cs="Arial"/>
          <w:b/>
          <w:bCs/>
        </w:rPr>
      </w:pPr>
    </w:p>
    <w:p w14:paraId="2D55935B" w14:textId="37693F8F" w:rsidR="00B04A5B" w:rsidRPr="004119A2" w:rsidRDefault="00B04A5B" w:rsidP="006D494C">
      <w:pPr>
        <w:spacing w:after="0" w:line="360" w:lineRule="auto"/>
        <w:rPr>
          <w:rFonts w:ascii="Arial" w:hAnsi="Arial" w:cs="Arial"/>
          <w:b/>
          <w:bCs/>
        </w:rPr>
      </w:pPr>
      <w:r w:rsidRPr="004119A2">
        <w:rPr>
          <w:rFonts w:ascii="Arial" w:hAnsi="Arial" w:cs="Arial"/>
          <w:b/>
          <w:bCs/>
        </w:rPr>
        <w:t>Theme 4: Protective Factors and Resilience</w:t>
      </w:r>
    </w:p>
    <w:p w14:paraId="24E7AAFC" w14:textId="26AE8849" w:rsidR="002558DF" w:rsidRPr="004119A2" w:rsidRDefault="00EE7C5C" w:rsidP="006D494C">
      <w:pPr>
        <w:spacing w:after="0" w:line="360" w:lineRule="auto"/>
        <w:rPr>
          <w:rFonts w:ascii="Arial" w:hAnsi="Arial" w:cs="Arial"/>
        </w:rPr>
      </w:pPr>
      <w:r w:rsidRPr="004119A2">
        <w:rPr>
          <w:rFonts w:ascii="Arial" w:hAnsi="Arial" w:cs="Arial"/>
        </w:rPr>
        <w:t>Despite the challenges identified throughout the literature, the available evidence suggests that family support, friendships, faith and positive cultural identity may promote resilience and emotional wellbeing among Black Caribbean young adults</w:t>
      </w:r>
      <w:r w:rsidR="002558DF" w:rsidRPr="004119A2">
        <w:rPr>
          <w:rFonts w:ascii="Arial" w:hAnsi="Arial" w:cs="Arial"/>
        </w:rPr>
        <w:t xml:space="preserve">. Sancho and Larkin (2020) reported that family support, friendships, faith and positive cultural identity were important protective factors that helped individuals cope with stress and emotional distress. </w:t>
      </w:r>
      <w:r w:rsidR="00F665EA" w:rsidRPr="004119A2">
        <w:rPr>
          <w:rFonts w:ascii="Arial" w:hAnsi="Arial" w:cs="Arial"/>
        </w:rPr>
        <w:t>The available evidence suggests that strong social and cultural networks may enhance resilience and encourage positive coping strategies among Black Caribbean young adults.</w:t>
      </w:r>
    </w:p>
    <w:p w14:paraId="6697520C" w14:textId="4FB37958" w:rsidR="002558DF" w:rsidRPr="004119A2" w:rsidRDefault="002558DF" w:rsidP="006D494C">
      <w:pPr>
        <w:spacing w:after="0" w:line="360" w:lineRule="auto"/>
        <w:rPr>
          <w:rFonts w:ascii="Arial" w:hAnsi="Arial" w:cs="Arial"/>
        </w:rPr>
      </w:pPr>
      <w:r w:rsidRPr="004119A2">
        <w:rPr>
          <w:rFonts w:ascii="Arial" w:hAnsi="Arial" w:cs="Arial"/>
        </w:rPr>
        <w:lastRenderedPageBreak/>
        <w:t xml:space="preserve">The importance of protective factors contrasts with the deficit-focused perspective often adopted in mental health research, which tends to emphasise risk factors rather than strengths. </w:t>
      </w:r>
      <w:r w:rsidR="000F03FE" w:rsidRPr="004119A2">
        <w:rPr>
          <w:rFonts w:ascii="Arial" w:hAnsi="Arial" w:cs="Arial"/>
        </w:rPr>
        <w:t xml:space="preserve">Although evidence on resilience was limited, the available evidence suggests that family, community and faith-based support may play a valuable role in promoting emotional wellbeing. </w:t>
      </w:r>
      <w:r w:rsidRPr="004119A2">
        <w:rPr>
          <w:rFonts w:ascii="Arial" w:hAnsi="Arial" w:cs="Arial"/>
        </w:rPr>
        <w:t xml:space="preserve">However, these protective factors </w:t>
      </w:r>
      <w:r w:rsidRPr="00881E60">
        <w:rPr>
          <w:rFonts w:ascii="Arial" w:hAnsi="Arial" w:cs="Arial"/>
        </w:rPr>
        <w:t>were identified in only one of the four included studies, highlighting an important gap in the</w:t>
      </w:r>
      <w:r w:rsidRPr="004119A2">
        <w:rPr>
          <w:rFonts w:ascii="Arial" w:hAnsi="Arial" w:cs="Arial"/>
        </w:rPr>
        <w:t xml:space="preserve"> evidence base.</w:t>
      </w:r>
    </w:p>
    <w:p w14:paraId="563381A8" w14:textId="77777777" w:rsidR="002558DF" w:rsidRPr="004119A2" w:rsidRDefault="002558DF" w:rsidP="006D494C">
      <w:pPr>
        <w:spacing w:after="0" w:line="360" w:lineRule="auto"/>
        <w:rPr>
          <w:rFonts w:ascii="Arial" w:hAnsi="Arial" w:cs="Arial"/>
        </w:rPr>
      </w:pPr>
      <w:r w:rsidRPr="004119A2">
        <w:rPr>
          <w:rFonts w:ascii="Arial" w:hAnsi="Arial" w:cs="Arial"/>
        </w:rPr>
        <w:t>There remains limited longitudinal research exploring how resilience develops during young adulthood. Future studies should investigate how protective factors influence mental health over time and evaluate community-based and culturally appropriate interventions designed specifically for Black Caribbean young adults.</w:t>
      </w:r>
    </w:p>
    <w:p w14:paraId="081566D9" w14:textId="77777777" w:rsidR="00613337" w:rsidRPr="004119A2" w:rsidRDefault="00613337" w:rsidP="006D494C">
      <w:pPr>
        <w:spacing w:after="0" w:line="360" w:lineRule="auto"/>
        <w:rPr>
          <w:rFonts w:ascii="Arial" w:hAnsi="Arial" w:cs="Arial"/>
          <w:b/>
          <w:bCs/>
        </w:rPr>
      </w:pPr>
    </w:p>
    <w:p w14:paraId="018E0FBA" w14:textId="49421B12" w:rsidR="00633222" w:rsidRPr="004119A2" w:rsidRDefault="00633222" w:rsidP="006D494C">
      <w:pPr>
        <w:spacing w:after="0" w:line="360" w:lineRule="auto"/>
        <w:rPr>
          <w:rFonts w:ascii="Arial" w:hAnsi="Arial" w:cs="Arial"/>
          <w:b/>
          <w:bCs/>
        </w:rPr>
      </w:pPr>
      <w:r w:rsidRPr="004119A2">
        <w:rPr>
          <w:rFonts w:ascii="Arial" w:hAnsi="Arial" w:cs="Arial"/>
          <w:b/>
          <w:bCs/>
        </w:rPr>
        <w:t>6. Conclusion and Recommendations</w:t>
      </w:r>
    </w:p>
    <w:p w14:paraId="41FE1136" w14:textId="77777777" w:rsidR="00633222" w:rsidRPr="004119A2" w:rsidRDefault="00633222" w:rsidP="006D494C">
      <w:pPr>
        <w:spacing w:after="0" w:line="360" w:lineRule="auto"/>
        <w:rPr>
          <w:rFonts w:ascii="Arial" w:hAnsi="Arial" w:cs="Arial"/>
          <w:b/>
          <w:bCs/>
        </w:rPr>
      </w:pPr>
      <w:r w:rsidRPr="004119A2">
        <w:rPr>
          <w:rFonts w:ascii="Arial" w:hAnsi="Arial" w:cs="Arial"/>
          <w:b/>
          <w:bCs/>
        </w:rPr>
        <w:t>Conclusion</w:t>
      </w:r>
    </w:p>
    <w:p w14:paraId="4AE718C3" w14:textId="77777777" w:rsidR="00633222" w:rsidRPr="004119A2" w:rsidRDefault="00633222" w:rsidP="006D494C">
      <w:pPr>
        <w:spacing w:after="0" w:line="360" w:lineRule="auto"/>
        <w:rPr>
          <w:rFonts w:ascii="Arial" w:hAnsi="Arial" w:cs="Arial"/>
        </w:rPr>
      </w:pPr>
      <w:r w:rsidRPr="004119A2">
        <w:rPr>
          <w:rFonts w:ascii="Arial" w:hAnsi="Arial" w:cs="Arial"/>
        </w:rPr>
        <w:t>This scoping review explored the available evidence on stress and emotional distress among Black Caribbean young adults aged 18–25 years in the United Kingdom. The review identified four key themes: racism and discrimination, cultural stigma and barriers to help-seeking, inequalities in access to mental health services, and protective factors that promote resilience. Collectively, these findings indicate that stress and emotional distress are influenced by a complex interaction of structural, social and cultural factors rather than individual circumstances alone.</w:t>
      </w:r>
    </w:p>
    <w:p w14:paraId="1EADD579" w14:textId="77777777" w:rsidR="00633222" w:rsidRPr="004119A2" w:rsidRDefault="00633222" w:rsidP="006D494C">
      <w:pPr>
        <w:spacing w:after="0" w:line="360" w:lineRule="auto"/>
        <w:rPr>
          <w:rFonts w:ascii="Arial" w:hAnsi="Arial" w:cs="Arial"/>
        </w:rPr>
      </w:pPr>
      <w:r w:rsidRPr="004119A2">
        <w:rPr>
          <w:rFonts w:ascii="Arial" w:hAnsi="Arial" w:cs="Arial"/>
        </w:rPr>
        <w:t>The evidence consistently highlighted that experiences of racism and discrimination contribute significantly to psychological distress, while socioeconomic inequalities further increase vulnerability to poor mental health. Cultural stigma surrounding mental illness and mistrust of statutory services were also identified as barriers to seeking timely support, often delaying access to appropriate mental healthcare. Despite these challenges, family support, faith and community networks emerged as important protective factors that may strengthen resilience and improve emotional wellbeing.</w:t>
      </w:r>
    </w:p>
    <w:p w14:paraId="4274CFF5" w14:textId="611AD92C" w:rsidR="00BA4C79" w:rsidRPr="004119A2" w:rsidRDefault="00633222" w:rsidP="006D494C">
      <w:pPr>
        <w:spacing w:after="0" w:line="360" w:lineRule="auto"/>
        <w:rPr>
          <w:rFonts w:ascii="Arial" w:hAnsi="Arial" w:cs="Arial"/>
        </w:rPr>
      </w:pPr>
      <w:r w:rsidRPr="004119A2">
        <w:rPr>
          <w:rFonts w:ascii="Arial" w:hAnsi="Arial" w:cs="Arial"/>
        </w:rPr>
        <w:t>A notable finding of this review is the limited availability of research focusing specifically on Black Caribbean young adults within the UK. Most of the included studies examined broader Black or ethnic minority populations, making it difficult to identify experiences unique to Black Caribbean young adults aged 18–25 years. Furthermore, the small number of included studies highlights an important gap in the current evidence base and demonstrates the need for further research to better understand the mental health needs of this population.</w:t>
      </w:r>
    </w:p>
    <w:p w14:paraId="1C1E1991" w14:textId="77777777" w:rsidR="00627A46" w:rsidRDefault="00627A46" w:rsidP="006D494C">
      <w:pPr>
        <w:spacing w:after="0" w:line="360" w:lineRule="auto"/>
        <w:rPr>
          <w:rFonts w:ascii="Arial" w:hAnsi="Arial" w:cs="Arial"/>
        </w:rPr>
      </w:pPr>
    </w:p>
    <w:p w14:paraId="22E231C0" w14:textId="77777777" w:rsidR="00881E60" w:rsidRDefault="00881E60" w:rsidP="006D494C">
      <w:pPr>
        <w:spacing w:after="0" w:line="360" w:lineRule="auto"/>
        <w:rPr>
          <w:rFonts w:ascii="Arial" w:hAnsi="Arial" w:cs="Arial"/>
        </w:rPr>
      </w:pPr>
    </w:p>
    <w:p w14:paraId="1593A632" w14:textId="77777777" w:rsidR="00881E60" w:rsidRDefault="00881E60" w:rsidP="006D494C">
      <w:pPr>
        <w:spacing w:after="0" w:line="360" w:lineRule="auto"/>
        <w:rPr>
          <w:rFonts w:ascii="Arial" w:hAnsi="Arial" w:cs="Arial"/>
        </w:rPr>
      </w:pPr>
    </w:p>
    <w:p w14:paraId="40F3FD72" w14:textId="77777777" w:rsidR="00881E60" w:rsidRPr="004119A2" w:rsidRDefault="00881E60" w:rsidP="006D494C">
      <w:pPr>
        <w:spacing w:after="0" w:line="360" w:lineRule="auto"/>
        <w:rPr>
          <w:rFonts w:ascii="Arial" w:hAnsi="Arial" w:cs="Arial"/>
        </w:rPr>
      </w:pPr>
    </w:p>
    <w:p w14:paraId="3953C210" w14:textId="77777777" w:rsidR="00A4259F" w:rsidRPr="004119A2" w:rsidRDefault="00A4259F" w:rsidP="006D494C">
      <w:pPr>
        <w:spacing w:after="0" w:line="360" w:lineRule="auto"/>
        <w:rPr>
          <w:rFonts w:ascii="Arial" w:hAnsi="Arial" w:cs="Arial"/>
          <w:b/>
          <w:bCs/>
        </w:rPr>
      </w:pPr>
      <w:r w:rsidRPr="004119A2">
        <w:rPr>
          <w:rFonts w:ascii="Arial" w:hAnsi="Arial" w:cs="Arial"/>
          <w:b/>
          <w:bCs/>
        </w:rPr>
        <w:lastRenderedPageBreak/>
        <w:t>Recommendations</w:t>
      </w:r>
    </w:p>
    <w:p w14:paraId="5D48C557" w14:textId="77777777" w:rsidR="00A4259F" w:rsidRPr="004119A2" w:rsidRDefault="00A4259F" w:rsidP="006D494C">
      <w:pPr>
        <w:spacing w:after="0" w:line="360" w:lineRule="auto"/>
        <w:rPr>
          <w:rFonts w:ascii="Arial" w:hAnsi="Arial" w:cs="Arial"/>
          <w:b/>
          <w:bCs/>
        </w:rPr>
      </w:pPr>
      <w:r w:rsidRPr="004119A2">
        <w:rPr>
          <w:rFonts w:ascii="Arial" w:hAnsi="Arial" w:cs="Arial"/>
          <w:b/>
          <w:bCs/>
        </w:rPr>
        <w:t>Recommendations for Practice</w:t>
      </w:r>
    </w:p>
    <w:p w14:paraId="4BC7792A" w14:textId="77777777" w:rsidR="00A4259F" w:rsidRPr="004119A2" w:rsidRDefault="00A4259F" w:rsidP="006D494C">
      <w:pPr>
        <w:spacing w:after="0" w:line="360" w:lineRule="auto"/>
        <w:rPr>
          <w:rFonts w:ascii="Arial" w:hAnsi="Arial" w:cs="Arial"/>
        </w:rPr>
      </w:pPr>
      <w:r w:rsidRPr="004119A2">
        <w:rPr>
          <w:rFonts w:ascii="Arial" w:hAnsi="Arial" w:cs="Arial"/>
        </w:rPr>
        <w:t>Healthcare professionals should provide culturally competent, person-centred care that acknowledges the influence of racism, discrimination and the wider social determinants of health on mental wellbeing. Nurses should promote early identification of stress and emotional distress, encourage open conversations about mental health, and work collaboratively with individuals, families and community organisations to improve engagement with support services. Training in cultural competence and unconscious bias should also be strengthened to support equitable and inclusive mental healthcare.</w:t>
      </w:r>
    </w:p>
    <w:p w14:paraId="08CB00A4" w14:textId="77777777" w:rsidR="00627A46" w:rsidRPr="004119A2" w:rsidRDefault="00627A46" w:rsidP="006D494C">
      <w:pPr>
        <w:spacing w:after="0" w:line="360" w:lineRule="auto"/>
        <w:rPr>
          <w:rFonts w:ascii="Arial" w:hAnsi="Arial" w:cs="Arial"/>
          <w:b/>
          <w:bCs/>
        </w:rPr>
      </w:pPr>
    </w:p>
    <w:p w14:paraId="3E8022F0" w14:textId="49C795CF" w:rsidR="00A4259F" w:rsidRPr="004119A2" w:rsidRDefault="00A4259F" w:rsidP="006D494C">
      <w:pPr>
        <w:spacing w:after="0" w:line="360" w:lineRule="auto"/>
        <w:rPr>
          <w:rFonts w:ascii="Arial" w:hAnsi="Arial" w:cs="Arial"/>
          <w:b/>
          <w:bCs/>
        </w:rPr>
      </w:pPr>
      <w:r w:rsidRPr="004119A2">
        <w:rPr>
          <w:rFonts w:ascii="Arial" w:hAnsi="Arial" w:cs="Arial"/>
          <w:b/>
          <w:bCs/>
        </w:rPr>
        <w:t>Recommendations for Policy</w:t>
      </w:r>
    </w:p>
    <w:p w14:paraId="3744BBC0" w14:textId="2CA42907" w:rsidR="00033CD0" w:rsidRPr="004119A2" w:rsidRDefault="00A4259F" w:rsidP="006D494C">
      <w:pPr>
        <w:spacing w:after="0" w:line="360" w:lineRule="auto"/>
        <w:rPr>
          <w:rFonts w:ascii="Arial" w:hAnsi="Arial" w:cs="Arial"/>
        </w:rPr>
      </w:pPr>
      <w:r w:rsidRPr="004119A2">
        <w:rPr>
          <w:rFonts w:ascii="Arial" w:hAnsi="Arial" w:cs="Arial"/>
        </w:rPr>
        <w:t>Policymakers should continue to strengthen initiatives aimed at reducing racial inequalities within mental health services, including the implementation of the NHS Patient and Carer Race Equality Framework (PCREF). Investment in culturally appropriate mental health services and community-based interventions should be prioritised to improve access, build trust and reduce disparities in mental health outcomes.</w:t>
      </w:r>
    </w:p>
    <w:p w14:paraId="47868CEB" w14:textId="77777777" w:rsidR="00881E60" w:rsidRDefault="00881E60" w:rsidP="006D494C">
      <w:pPr>
        <w:spacing w:after="0" w:line="360" w:lineRule="auto"/>
        <w:rPr>
          <w:rFonts w:ascii="Arial" w:hAnsi="Arial" w:cs="Arial"/>
          <w:b/>
          <w:bCs/>
        </w:rPr>
      </w:pPr>
    </w:p>
    <w:p w14:paraId="45C94E9A" w14:textId="6B4EC272" w:rsidR="00A4259F" w:rsidRPr="004119A2" w:rsidRDefault="00A4259F" w:rsidP="006D494C">
      <w:pPr>
        <w:spacing w:after="0" w:line="360" w:lineRule="auto"/>
        <w:rPr>
          <w:rFonts w:ascii="Arial" w:hAnsi="Arial" w:cs="Arial"/>
          <w:b/>
          <w:bCs/>
        </w:rPr>
      </w:pPr>
      <w:r w:rsidRPr="004119A2">
        <w:rPr>
          <w:rFonts w:ascii="Arial" w:hAnsi="Arial" w:cs="Arial"/>
          <w:b/>
          <w:bCs/>
        </w:rPr>
        <w:t>Recommendations for Future Research</w:t>
      </w:r>
    </w:p>
    <w:p w14:paraId="56D93E04" w14:textId="77777777" w:rsidR="00A4259F" w:rsidRPr="004119A2" w:rsidRDefault="00A4259F" w:rsidP="006D494C">
      <w:pPr>
        <w:spacing w:after="0" w:line="360" w:lineRule="auto"/>
        <w:rPr>
          <w:rFonts w:ascii="Arial" w:hAnsi="Arial" w:cs="Arial"/>
        </w:rPr>
      </w:pPr>
      <w:r w:rsidRPr="004119A2">
        <w:rPr>
          <w:rFonts w:ascii="Arial" w:hAnsi="Arial" w:cs="Arial"/>
        </w:rPr>
        <w:t>Future research should focus specifically on Black Caribbean young adults aged 18–25 years living in the UK. Larger qualitative and quantitative studies are required to better understand the factors contributing to stress and emotional distress, while longitudinal research should examine how these experiences change over time. Future studies should also evaluate culturally tailored interventions and community-based approaches to identify effective strategies for improving mental health outcomes and reducing inequalities within this population.</w:t>
      </w:r>
    </w:p>
    <w:p w14:paraId="0E4E1C6E" w14:textId="77777777" w:rsidR="008E3A63" w:rsidRPr="004119A2" w:rsidRDefault="008E3A63" w:rsidP="006D494C">
      <w:pPr>
        <w:spacing w:after="0" w:line="360" w:lineRule="auto"/>
        <w:rPr>
          <w:rFonts w:ascii="Arial" w:hAnsi="Arial" w:cs="Arial"/>
          <w:b/>
          <w:bCs/>
        </w:rPr>
      </w:pPr>
    </w:p>
    <w:p w14:paraId="162FCCA7" w14:textId="77777777" w:rsidR="008E3A63" w:rsidRPr="004119A2" w:rsidRDefault="008E3A63" w:rsidP="006D494C">
      <w:pPr>
        <w:spacing w:after="0" w:line="360" w:lineRule="auto"/>
        <w:rPr>
          <w:rFonts w:ascii="Arial" w:hAnsi="Arial" w:cs="Arial"/>
          <w:b/>
          <w:bCs/>
        </w:rPr>
      </w:pPr>
    </w:p>
    <w:p w14:paraId="7B5511CC" w14:textId="77777777" w:rsidR="008E3A63" w:rsidRPr="004119A2" w:rsidRDefault="008E3A63" w:rsidP="006D494C">
      <w:pPr>
        <w:spacing w:after="0" w:line="360" w:lineRule="auto"/>
        <w:rPr>
          <w:rFonts w:ascii="Arial" w:hAnsi="Arial" w:cs="Arial"/>
          <w:b/>
          <w:bCs/>
        </w:rPr>
      </w:pPr>
    </w:p>
    <w:p w14:paraId="4565E0FF" w14:textId="77777777" w:rsidR="008E3A63" w:rsidRPr="004119A2" w:rsidRDefault="008E3A63" w:rsidP="006D494C">
      <w:pPr>
        <w:spacing w:after="0" w:line="360" w:lineRule="auto"/>
        <w:rPr>
          <w:rFonts w:ascii="Arial" w:hAnsi="Arial" w:cs="Arial"/>
          <w:b/>
          <w:bCs/>
        </w:rPr>
      </w:pPr>
    </w:p>
    <w:p w14:paraId="65969C69" w14:textId="77777777" w:rsidR="008E3A63" w:rsidRPr="004119A2" w:rsidRDefault="008E3A63" w:rsidP="006D494C">
      <w:pPr>
        <w:spacing w:after="0" w:line="360" w:lineRule="auto"/>
        <w:rPr>
          <w:rFonts w:ascii="Arial" w:hAnsi="Arial" w:cs="Arial"/>
          <w:b/>
          <w:bCs/>
        </w:rPr>
      </w:pPr>
    </w:p>
    <w:p w14:paraId="0F358326" w14:textId="77777777" w:rsidR="008E3A63" w:rsidRPr="004119A2" w:rsidRDefault="008E3A63" w:rsidP="006D494C">
      <w:pPr>
        <w:spacing w:after="0" w:line="360" w:lineRule="auto"/>
        <w:rPr>
          <w:rFonts w:ascii="Arial" w:hAnsi="Arial" w:cs="Arial"/>
          <w:b/>
          <w:bCs/>
        </w:rPr>
      </w:pPr>
    </w:p>
    <w:p w14:paraId="5AD86F54" w14:textId="77777777" w:rsidR="008E3A63" w:rsidRPr="004119A2" w:rsidRDefault="008E3A63" w:rsidP="006D494C">
      <w:pPr>
        <w:spacing w:after="0" w:line="360" w:lineRule="auto"/>
        <w:rPr>
          <w:rFonts w:ascii="Arial" w:hAnsi="Arial" w:cs="Arial"/>
          <w:b/>
          <w:bCs/>
        </w:rPr>
      </w:pPr>
    </w:p>
    <w:p w14:paraId="2A1C3D3F" w14:textId="77777777" w:rsidR="008E3A63" w:rsidRPr="004119A2" w:rsidRDefault="008E3A63" w:rsidP="006D494C">
      <w:pPr>
        <w:spacing w:after="0" w:line="360" w:lineRule="auto"/>
        <w:rPr>
          <w:rFonts w:ascii="Arial" w:hAnsi="Arial" w:cs="Arial"/>
          <w:b/>
          <w:bCs/>
        </w:rPr>
      </w:pPr>
    </w:p>
    <w:p w14:paraId="2D333B17" w14:textId="77777777" w:rsidR="008E3A63" w:rsidRPr="004119A2" w:rsidRDefault="008E3A63" w:rsidP="006D494C">
      <w:pPr>
        <w:spacing w:after="0" w:line="360" w:lineRule="auto"/>
        <w:rPr>
          <w:rFonts w:ascii="Arial" w:hAnsi="Arial" w:cs="Arial"/>
          <w:b/>
          <w:bCs/>
        </w:rPr>
      </w:pPr>
    </w:p>
    <w:p w14:paraId="2C55E9C6" w14:textId="77777777" w:rsidR="008E3A63" w:rsidRPr="004119A2" w:rsidRDefault="008E3A63" w:rsidP="006D494C">
      <w:pPr>
        <w:spacing w:after="0" w:line="360" w:lineRule="auto"/>
        <w:rPr>
          <w:rFonts w:ascii="Arial" w:hAnsi="Arial" w:cs="Arial"/>
          <w:b/>
          <w:bCs/>
        </w:rPr>
      </w:pPr>
    </w:p>
    <w:p w14:paraId="5AD3F042" w14:textId="77777777" w:rsidR="008E3A63" w:rsidRPr="004119A2" w:rsidRDefault="008E3A63" w:rsidP="006D494C">
      <w:pPr>
        <w:spacing w:after="0" w:line="360" w:lineRule="auto"/>
        <w:rPr>
          <w:rFonts w:ascii="Arial" w:hAnsi="Arial" w:cs="Arial"/>
          <w:b/>
          <w:bCs/>
        </w:rPr>
      </w:pPr>
    </w:p>
    <w:p w14:paraId="1180F1BD" w14:textId="77777777" w:rsidR="00881E60" w:rsidRDefault="00881E60" w:rsidP="006D494C">
      <w:pPr>
        <w:spacing w:after="0" w:line="360" w:lineRule="auto"/>
        <w:rPr>
          <w:rFonts w:ascii="Arial" w:hAnsi="Arial" w:cs="Arial"/>
          <w:b/>
          <w:bCs/>
        </w:rPr>
      </w:pPr>
    </w:p>
    <w:p w14:paraId="4106B2B4" w14:textId="0FD8F6CE" w:rsidR="007D2473" w:rsidRPr="004119A2" w:rsidRDefault="007D2473" w:rsidP="006D494C">
      <w:pPr>
        <w:spacing w:after="0" w:line="360" w:lineRule="auto"/>
        <w:rPr>
          <w:rFonts w:ascii="Arial" w:hAnsi="Arial" w:cs="Arial"/>
          <w:b/>
          <w:bCs/>
        </w:rPr>
      </w:pPr>
      <w:r w:rsidRPr="004119A2">
        <w:rPr>
          <w:rFonts w:ascii="Arial" w:hAnsi="Arial" w:cs="Arial"/>
          <w:b/>
          <w:bCs/>
        </w:rPr>
        <w:lastRenderedPageBreak/>
        <w:t>References</w:t>
      </w:r>
    </w:p>
    <w:p w14:paraId="0F73845A" w14:textId="746243B7" w:rsidR="00E73647" w:rsidRDefault="00E73647" w:rsidP="006D494C">
      <w:pPr>
        <w:spacing w:after="0" w:line="360" w:lineRule="auto"/>
        <w:rPr>
          <w:rFonts w:ascii="Arial" w:hAnsi="Arial" w:cs="Arial"/>
        </w:rPr>
      </w:pPr>
      <w:r w:rsidRPr="004119A2">
        <w:rPr>
          <w:rFonts w:ascii="Arial" w:hAnsi="Arial" w:cs="Arial"/>
        </w:rPr>
        <w:t xml:space="preserve">Arksey, H. and O’Malley, L. (2005). Scoping studies: Towards a methodological framework. </w:t>
      </w:r>
      <w:r w:rsidRPr="004119A2">
        <w:rPr>
          <w:rFonts w:ascii="Arial" w:hAnsi="Arial" w:cs="Arial"/>
          <w:i/>
          <w:iCs/>
        </w:rPr>
        <w:t xml:space="preserve">International journal of </w:t>
      </w:r>
      <w:proofErr w:type="gramStart"/>
      <w:r w:rsidRPr="004119A2">
        <w:rPr>
          <w:rFonts w:ascii="Arial" w:hAnsi="Arial" w:cs="Arial"/>
          <w:i/>
          <w:iCs/>
        </w:rPr>
        <w:t>Social</w:t>
      </w:r>
      <w:proofErr w:type="gramEnd"/>
      <w:r w:rsidRPr="004119A2">
        <w:rPr>
          <w:rFonts w:ascii="Arial" w:hAnsi="Arial" w:cs="Arial"/>
          <w:i/>
          <w:iCs/>
        </w:rPr>
        <w:t xml:space="preserve"> research methodology</w:t>
      </w:r>
      <w:r w:rsidRPr="004119A2">
        <w:rPr>
          <w:rFonts w:ascii="Arial" w:hAnsi="Arial" w:cs="Arial"/>
        </w:rPr>
        <w:t xml:space="preserve">, 8(1), pp.19–32. </w:t>
      </w:r>
      <w:r w:rsidR="00646675" w:rsidRPr="004119A2">
        <w:rPr>
          <w:rFonts w:ascii="Arial" w:hAnsi="Arial" w:cs="Arial"/>
        </w:rPr>
        <w:t>Doi</w:t>
      </w:r>
      <w:r w:rsidRPr="004119A2">
        <w:rPr>
          <w:rFonts w:ascii="Arial" w:hAnsi="Arial" w:cs="Arial"/>
        </w:rPr>
        <w:t>:</w:t>
      </w:r>
      <w:r w:rsidR="00646675" w:rsidRPr="004119A2">
        <w:rPr>
          <w:rFonts w:ascii="Arial" w:hAnsi="Arial" w:cs="Arial"/>
        </w:rPr>
        <w:t xml:space="preserve"> </w:t>
      </w:r>
      <w:hyperlink r:id="rId7" w:history="1">
        <w:r w:rsidR="00AA5272" w:rsidRPr="004119A2">
          <w:rPr>
            <w:rStyle w:val="Hyperlink"/>
            <w:rFonts w:ascii="Arial" w:hAnsi="Arial" w:cs="Arial"/>
          </w:rPr>
          <w:t>https://doi.org/10.1080/1364557032000119616</w:t>
        </w:r>
      </w:hyperlink>
      <w:r w:rsidRPr="004119A2">
        <w:rPr>
          <w:rFonts w:ascii="Arial" w:hAnsi="Arial" w:cs="Arial"/>
        </w:rPr>
        <w:t>.</w:t>
      </w:r>
    </w:p>
    <w:p w14:paraId="039CC31A" w14:textId="77777777" w:rsidR="00596DAD" w:rsidRDefault="00596DAD" w:rsidP="006D494C">
      <w:pPr>
        <w:spacing w:after="0" w:line="360" w:lineRule="auto"/>
        <w:rPr>
          <w:rFonts w:ascii="Arial" w:hAnsi="Arial" w:cs="Arial"/>
        </w:rPr>
      </w:pPr>
    </w:p>
    <w:p w14:paraId="27811D6D" w14:textId="3CA1636C" w:rsidR="00596DAD" w:rsidRDefault="00596DAD" w:rsidP="006D494C">
      <w:pPr>
        <w:spacing w:after="0" w:line="360" w:lineRule="auto"/>
        <w:rPr>
          <w:rFonts w:ascii="Arial" w:hAnsi="Arial" w:cs="Arial"/>
        </w:rPr>
      </w:pPr>
      <w:r w:rsidRPr="00596DAD">
        <w:rPr>
          <w:rFonts w:ascii="Arial" w:hAnsi="Arial" w:cs="Arial"/>
        </w:rPr>
        <w:t xml:space="preserve">Balogun, B., Foley, N. and Powell, T. (2024). </w:t>
      </w:r>
      <w:r w:rsidRPr="00596DAD">
        <w:rPr>
          <w:rFonts w:ascii="Arial" w:hAnsi="Arial" w:cs="Arial"/>
          <w:i/>
          <w:iCs/>
        </w:rPr>
        <w:t>Office for Health Improvement and Disparities and Health Inequalities</w:t>
      </w:r>
      <w:r w:rsidRPr="00596DAD">
        <w:rPr>
          <w:rFonts w:ascii="Arial" w:hAnsi="Arial" w:cs="Arial"/>
        </w:rPr>
        <w:t xml:space="preserve">. [online] </w:t>
      </w:r>
      <w:r w:rsidRPr="00596DAD">
        <w:rPr>
          <w:rFonts w:ascii="Arial" w:hAnsi="Arial" w:cs="Arial"/>
          <w:i/>
          <w:iCs/>
        </w:rPr>
        <w:t>House of Commons Library</w:t>
      </w:r>
      <w:r w:rsidRPr="00596DAD">
        <w:rPr>
          <w:rFonts w:ascii="Arial" w:hAnsi="Arial" w:cs="Arial"/>
        </w:rPr>
        <w:t xml:space="preserve">. Available at: </w:t>
      </w:r>
      <w:hyperlink r:id="rId8" w:history="1">
        <w:r w:rsidR="00881E60" w:rsidRPr="00641D83">
          <w:rPr>
            <w:rStyle w:val="Hyperlink"/>
            <w:rFonts w:ascii="Arial" w:hAnsi="Arial" w:cs="Arial"/>
          </w:rPr>
          <w:t>https://commonslibrary.parliament.uk/research-briefings/cdp-2022-0015/</w:t>
        </w:r>
      </w:hyperlink>
      <w:r w:rsidR="00881E60">
        <w:rPr>
          <w:rFonts w:ascii="Arial" w:hAnsi="Arial" w:cs="Arial"/>
        </w:rPr>
        <w:t xml:space="preserve"> </w:t>
      </w:r>
      <w:r w:rsidRPr="00596DAD">
        <w:rPr>
          <w:rFonts w:ascii="Arial" w:hAnsi="Arial" w:cs="Arial"/>
        </w:rPr>
        <w:t>[Accessed 26 July 2026].</w:t>
      </w:r>
    </w:p>
    <w:p w14:paraId="617AADAD" w14:textId="77777777" w:rsidR="00881E60" w:rsidRPr="004119A2" w:rsidRDefault="00881E60" w:rsidP="006D494C">
      <w:pPr>
        <w:spacing w:after="0" w:line="360" w:lineRule="auto"/>
        <w:rPr>
          <w:rFonts w:ascii="Arial" w:hAnsi="Arial" w:cs="Arial"/>
        </w:rPr>
      </w:pPr>
    </w:p>
    <w:p w14:paraId="5819A1E6" w14:textId="66638C55" w:rsidR="00C211CD" w:rsidRDefault="00C211CD" w:rsidP="006D494C">
      <w:pPr>
        <w:spacing w:after="0" w:line="360" w:lineRule="auto"/>
        <w:rPr>
          <w:rFonts w:ascii="Arial" w:hAnsi="Arial" w:cs="Arial"/>
        </w:rPr>
      </w:pPr>
      <w:r w:rsidRPr="004119A2">
        <w:rPr>
          <w:rFonts w:ascii="Arial" w:hAnsi="Arial" w:cs="Arial"/>
        </w:rPr>
        <w:t xml:space="preserve">Braun, V. and Clarke, V. (2006). Using thematic analysis in psychology. </w:t>
      </w:r>
      <w:r w:rsidRPr="004119A2">
        <w:rPr>
          <w:rFonts w:ascii="Arial" w:hAnsi="Arial" w:cs="Arial"/>
          <w:i/>
          <w:iCs/>
        </w:rPr>
        <w:t>Qualitative research in psychology</w:t>
      </w:r>
      <w:r w:rsidRPr="004119A2">
        <w:rPr>
          <w:rFonts w:ascii="Arial" w:hAnsi="Arial" w:cs="Arial"/>
        </w:rPr>
        <w:t>, 3(2), pp.77–101. doi:10.1191/1478088706qp063oa.</w:t>
      </w:r>
    </w:p>
    <w:p w14:paraId="781B0826" w14:textId="77777777" w:rsidR="00596DAD" w:rsidRPr="004119A2" w:rsidRDefault="00596DAD" w:rsidP="006D494C">
      <w:pPr>
        <w:spacing w:after="0" w:line="360" w:lineRule="auto"/>
        <w:rPr>
          <w:rFonts w:ascii="Arial" w:hAnsi="Arial" w:cs="Arial"/>
        </w:rPr>
      </w:pPr>
    </w:p>
    <w:p w14:paraId="74510E4E" w14:textId="3697D25B" w:rsidR="00561DE4" w:rsidRDefault="00561DE4" w:rsidP="006D494C">
      <w:pPr>
        <w:spacing w:after="0" w:line="360" w:lineRule="auto"/>
        <w:rPr>
          <w:rFonts w:ascii="Arial" w:hAnsi="Arial" w:cs="Arial"/>
        </w:rPr>
      </w:pPr>
      <w:r w:rsidRPr="004119A2">
        <w:rPr>
          <w:rFonts w:ascii="Arial" w:hAnsi="Arial" w:cs="Arial"/>
        </w:rPr>
        <w:t>Devonport, T.J., Ward, G., Morrissey, H., Burt, C., Harris, J., Burt, S., Patel, R., Manning, R., Paredes, R. and Nicholls, W. (202</w:t>
      </w:r>
      <w:r w:rsidR="00881E60">
        <w:rPr>
          <w:rFonts w:ascii="Arial" w:hAnsi="Arial" w:cs="Arial"/>
        </w:rPr>
        <w:t>3</w:t>
      </w:r>
      <w:r w:rsidRPr="004119A2">
        <w:rPr>
          <w:rFonts w:ascii="Arial" w:hAnsi="Arial" w:cs="Arial"/>
        </w:rPr>
        <w:t xml:space="preserve">). A systematic review of inequalities in the mental health experiences of black </w:t>
      </w:r>
      <w:proofErr w:type="spellStart"/>
      <w:r w:rsidRPr="004119A2">
        <w:rPr>
          <w:rFonts w:ascii="Arial" w:hAnsi="Arial" w:cs="Arial"/>
        </w:rPr>
        <w:t>african</w:t>
      </w:r>
      <w:proofErr w:type="spellEnd"/>
      <w:r w:rsidRPr="004119A2">
        <w:rPr>
          <w:rFonts w:ascii="Arial" w:hAnsi="Arial" w:cs="Arial"/>
        </w:rPr>
        <w:t xml:space="preserve">, black </w:t>
      </w:r>
      <w:proofErr w:type="spellStart"/>
      <w:r w:rsidRPr="004119A2">
        <w:rPr>
          <w:rFonts w:ascii="Arial" w:hAnsi="Arial" w:cs="Arial"/>
        </w:rPr>
        <w:t>caribbean</w:t>
      </w:r>
      <w:proofErr w:type="spellEnd"/>
      <w:r w:rsidRPr="004119A2">
        <w:rPr>
          <w:rFonts w:ascii="Arial" w:hAnsi="Arial" w:cs="Arial"/>
        </w:rPr>
        <w:t xml:space="preserve"> and black-mixed UK populations: Implications for action. </w:t>
      </w:r>
      <w:r w:rsidRPr="004119A2">
        <w:rPr>
          <w:rFonts w:ascii="Arial" w:hAnsi="Arial" w:cs="Arial"/>
          <w:i/>
          <w:iCs/>
        </w:rPr>
        <w:t>Journal of racial and ethnic health disparities</w:t>
      </w:r>
      <w:r w:rsidRPr="004119A2">
        <w:rPr>
          <w:rFonts w:ascii="Arial" w:hAnsi="Arial" w:cs="Arial"/>
        </w:rPr>
        <w:t>, 10(4). doi:10.1007/s40615-022-01352-0.</w:t>
      </w:r>
    </w:p>
    <w:p w14:paraId="7270645E" w14:textId="77777777" w:rsidR="00596DAD" w:rsidRPr="004119A2" w:rsidRDefault="00596DAD" w:rsidP="006D494C">
      <w:pPr>
        <w:spacing w:after="0" w:line="360" w:lineRule="auto"/>
        <w:rPr>
          <w:rFonts w:ascii="Arial" w:hAnsi="Arial" w:cs="Arial"/>
        </w:rPr>
      </w:pPr>
    </w:p>
    <w:p w14:paraId="3F9C4647" w14:textId="2262FD49" w:rsidR="00E74C71" w:rsidRDefault="00E74C71" w:rsidP="006D494C">
      <w:pPr>
        <w:spacing w:after="0" w:line="360" w:lineRule="auto"/>
        <w:rPr>
          <w:rFonts w:ascii="Arial" w:hAnsi="Arial" w:cs="Arial"/>
        </w:rPr>
      </w:pPr>
      <w:r w:rsidRPr="004119A2">
        <w:rPr>
          <w:rFonts w:ascii="Arial" w:hAnsi="Arial" w:cs="Arial"/>
        </w:rPr>
        <w:t xml:space="preserve">GOV.UK (2010). </w:t>
      </w:r>
      <w:r w:rsidRPr="004119A2">
        <w:rPr>
          <w:rFonts w:ascii="Arial" w:hAnsi="Arial" w:cs="Arial"/>
          <w:i/>
          <w:iCs/>
        </w:rPr>
        <w:t>Equality Act 2010</w:t>
      </w:r>
      <w:r w:rsidRPr="004119A2">
        <w:rPr>
          <w:rFonts w:ascii="Arial" w:hAnsi="Arial" w:cs="Arial"/>
        </w:rPr>
        <w:t xml:space="preserve">.  </w:t>
      </w:r>
      <w:r w:rsidRPr="004119A2">
        <w:rPr>
          <w:rFonts w:ascii="Arial" w:hAnsi="Arial" w:cs="Arial"/>
          <w:i/>
          <w:iCs/>
        </w:rPr>
        <w:t>Legislation.gov.uk</w:t>
      </w:r>
      <w:r w:rsidRPr="004119A2">
        <w:rPr>
          <w:rFonts w:ascii="Arial" w:hAnsi="Arial" w:cs="Arial"/>
        </w:rPr>
        <w:t xml:space="preserve">. Gov.uk. Available at: </w:t>
      </w:r>
      <w:hyperlink r:id="rId9" w:history="1">
        <w:r w:rsidR="00881E60" w:rsidRPr="00641D83">
          <w:rPr>
            <w:rStyle w:val="Hyperlink"/>
            <w:rFonts w:ascii="Arial" w:hAnsi="Arial" w:cs="Arial"/>
          </w:rPr>
          <w:t>https://www.legislation.gov.uk/ukpga/2010/15/contents</w:t>
        </w:r>
      </w:hyperlink>
      <w:r w:rsidR="00881E60">
        <w:rPr>
          <w:rFonts w:ascii="Arial" w:hAnsi="Arial" w:cs="Arial"/>
        </w:rPr>
        <w:t xml:space="preserve"> </w:t>
      </w:r>
      <w:r w:rsidR="004119A2">
        <w:rPr>
          <w:rFonts w:ascii="Arial" w:hAnsi="Arial" w:cs="Arial"/>
        </w:rPr>
        <w:t>(</w:t>
      </w:r>
      <w:r w:rsidRPr="004119A2">
        <w:rPr>
          <w:rFonts w:ascii="Arial" w:hAnsi="Arial" w:cs="Arial"/>
        </w:rPr>
        <w:t xml:space="preserve">Accessed </w:t>
      </w:r>
      <w:r w:rsidR="004119A2">
        <w:rPr>
          <w:rFonts w:ascii="Arial" w:hAnsi="Arial" w:cs="Arial"/>
        </w:rPr>
        <w:t>18</w:t>
      </w:r>
      <w:r w:rsidRPr="004119A2">
        <w:rPr>
          <w:rFonts w:ascii="Arial" w:hAnsi="Arial" w:cs="Arial"/>
        </w:rPr>
        <w:t xml:space="preserve"> July 2026</w:t>
      </w:r>
      <w:r w:rsidR="004119A2">
        <w:rPr>
          <w:rFonts w:ascii="Arial" w:hAnsi="Arial" w:cs="Arial"/>
        </w:rPr>
        <w:t>)</w:t>
      </w:r>
      <w:r w:rsidRPr="004119A2">
        <w:rPr>
          <w:rFonts w:ascii="Arial" w:hAnsi="Arial" w:cs="Arial"/>
        </w:rPr>
        <w:t>.</w:t>
      </w:r>
    </w:p>
    <w:p w14:paraId="6944F0A5" w14:textId="77777777" w:rsidR="00596DAD" w:rsidRPr="004119A2" w:rsidRDefault="00596DAD" w:rsidP="006D494C">
      <w:pPr>
        <w:spacing w:after="0" w:line="360" w:lineRule="auto"/>
        <w:rPr>
          <w:rFonts w:ascii="Arial" w:hAnsi="Arial" w:cs="Arial"/>
        </w:rPr>
      </w:pPr>
    </w:p>
    <w:p w14:paraId="6A5E2A13" w14:textId="77AC7E0F" w:rsidR="00596DAD" w:rsidRDefault="001634A2" w:rsidP="006D494C">
      <w:pPr>
        <w:spacing w:after="0" w:line="360" w:lineRule="auto"/>
        <w:rPr>
          <w:rFonts w:ascii="Arial" w:hAnsi="Arial" w:cs="Arial"/>
        </w:rPr>
      </w:pPr>
      <w:r w:rsidRPr="004119A2">
        <w:rPr>
          <w:rFonts w:ascii="Arial" w:hAnsi="Arial" w:cs="Arial"/>
        </w:rPr>
        <w:t xml:space="preserve">Halvorsrud, K., </w:t>
      </w:r>
      <w:proofErr w:type="spellStart"/>
      <w:r w:rsidRPr="004119A2">
        <w:rPr>
          <w:rFonts w:ascii="Arial" w:hAnsi="Arial" w:cs="Arial"/>
        </w:rPr>
        <w:t>Nazroo</w:t>
      </w:r>
      <w:proofErr w:type="spellEnd"/>
      <w:r w:rsidRPr="004119A2">
        <w:rPr>
          <w:rFonts w:ascii="Arial" w:hAnsi="Arial" w:cs="Arial"/>
        </w:rPr>
        <w:t xml:space="preserve">, J., Otis, M., Brown Hajdukova, E. and </w:t>
      </w:r>
      <w:proofErr w:type="spellStart"/>
      <w:r w:rsidRPr="004119A2">
        <w:rPr>
          <w:rFonts w:ascii="Arial" w:hAnsi="Arial" w:cs="Arial"/>
        </w:rPr>
        <w:t>Bhui</w:t>
      </w:r>
      <w:proofErr w:type="spellEnd"/>
      <w:r w:rsidRPr="004119A2">
        <w:rPr>
          <w:rFonts w:ascii="Arial" w:hAnsi="Arial" w:cs="Arial"/>
        </w:rPr>
        <w:t>, K. (201</w:t>
      </w:r>
      <w:r w:rsidR="00596DAD">
        <w:rPr>
          <w:rFonts w:ascii="Arial" w:hAnsi="Arial" w:cs="Arial"/>
        </w:rPr>
        <w:t>9</w:t>
      </w:r>
      <w:r w:rsidRPr="004119A2">
        <w:rPr>
          <w:rFonts w:ascii="Arial" w:hAnsi="Arial" w:cs="Arial"/>
        </w:rPr>
        <w:t xml:space="preserve">). Ethnic inequalities and pathways to care in psychosis in England: A systematic review and meta-analysis. </w:t>
      </w:r>
      <w:r w:rsidRPr="004119A2">
        <w:rPr>
          <w:rFonts w:ascii="Arial" w:hAnsi="Arial" w:cs="Arial"/>
          <w:i/>
          <w:iCs/>
        </w:rPr>
        <w:t>BMC medicine</w:t>
      </w:r>
      <w:r w:rsidRPr="004119A2">
        <w:rPr>
          <w:rFonts w:ascii="Arial" w:hAnsi="Arial" w:cs="Arial"/>
        </w:rPr>
        <w:t>, 16(1), p.223. doi:10.1186/s12916-018-1201-9.</w:t>
      </w:r>
    </w:p>
    <w:p w14:paraId="03849498" w14:textId="77777777" w:rsidR="00881E60" w:rsidRPr="00881E60" w:rsidRDefault="00881E60" w:rsidP="006D494C">
      <w:pPr>
        <w:spacing w:after="0" w:line="360" w:lineRule="auto"/>
        <w:rPr>
          <w:rFonts w:ascii="Arial" w:hAnsi="Arial" w:cs="Arial"/>
        </w:rPr>
      </w:pPr>
    </w:p>
    <w:p w14:paraId="1F96D7F5" w14:textId="502F50B2" w:rsidR="00F737D8" w:rsidRDefault="000A6BE9" w:rsidP="006D494C">
      <w:pPr>
        <w:spacing w:after="0" w:line="360" w:lineRule="auto"/>
        <w:rPr>
          <w:rFonts w:ascii="Arial" w:hAnsi="Arial" w:cs="Arial"/>
        </w:rPr>
      </w:pPr>
      <w:r w:rsidRPr="004119A2">
        <w:rPr>
          <w:rFonts w:ascii="Arial" w:hAnsi="Arial" w:cs="Arial"/>
        </w:rPr>
        <w:t xml:space="preserve">Levac, D., Colquhoun, H. and O’Brien, K.K. (2010). Scoping studies: Advancing the methodology. </w:t>
      </w:r>
      <w:r w:rsidRPr="004119A2">
        <w:rPr>
          <w:rFonts w:ascii="Arial" w:hAnsi="Arial" w:cs="Arial"/>
          <w:i/>
          <w:iCs/>
        </w:rPr>
        <w:t>Implementation science</w:t>
      </w:r>
      <w:r w:rsidRPr="004119A2">
        <w:rPr>
          <w:rFonts w:ascii="Arial" w:hAnsi="Arial" w:cs="Arial"/>
        </w:rPr>
        <w:t>, 5(1). doi:10.1186/1748-5908-5-69.</w:t>
      </w:r>
    </w:p>
    <w:p w14:paraId="69AF835E" w14:textId="77777777" w:rsidR="00596DAD" w:rsidRPr="004119A2" w:rsidRDefault="00596DAD" w:rsidP="006D494C">
      <w:pPr>
        <w:spacing w:after="0" w:line="360" w:lineRule="auto"/>
        <w:rPr>
          <w:rFonts w:ascii="Arial" w:hAnsi="Arial" w:cs="Arial"/>
        </w:rPr>
      </w:pPr>
    </w:p>
    <w:p w14:paraId="31AB9D33" w14:textId="06F357CA" w:rsidR="00B15037" w:rsidRPr="004119A2" w:rsidRDefault="007D2473" w:rsidP="006D494C">
      <w:pPr>
        <w:spacing w:after="0" w:line="360" w:lineRule="auto"/>
        <w:rPr>
          <w:rFonts w:ascii="Arial" w:hAnsi="Arial" w:cs="Arial"/>
        </w:rPr>
      </w:pPr>
      <w:r w:rsidRPr="004119A2">
        <w:rPr>
          <w:rFonts w:ascii="Arial" w:hAnsi="Arial" w:cs="Arial"/>
        </w:rPr>
        <w:t xml:space="preserve">Marmot, M., Allen, J., Boyce, T., Goldblatt, P. and Morrison, J. (2020) </w:t>
      </w:r>
      <w:r w:rsidRPr="004119A2">
        <w:rPr>
          <w:rFonts w:ascii="Arial" w:hAnsi="Arial" w:cs="Arial"/>
          <w:i/>
          <w:iCs/>
        </w:rPr>
        <w:t>Health Equity in England: The Marmot Review 10 Years On</w:t>
      </w:r>
      <w:r w:rsidRPr="004119A2">
        <w:rPr>
          <w:rFonts w:ascii="Arial" w:hAnsi="Arial" w:cs="Arial"/>
        </w:rPr>
        <w:t>. Institute of Health Equity.</w:t>
      </w:r>
    </w:p>
    <w:p w14:paraId="082695D6" w14:textId="2A2B0274" w:rsidR="002940DA" w:rsidRDefault="002940DA" w:rsidP="006D494C">
      <w:pPr>
        <w:spacing w:after="0" w:line="360" w:lineRule="auto"/>
        <w:rPr>
          <w:rFonts w:ascii="Arial" w:hAnsi="Arial" w:cs="Arial"/>
        </w:rPr>
      </w:pPr>
      <w:r w:rsidRPr="004119A2">
        <w:rPr>
          <w:rFonts w:ascii="Arial" w:hAnsi="Arial" w:cs="Arial"/>
        </w:rPr>
        <w:t xml:space="preserve">Mental Health Act (1983). </w:t>
      </w:r>
      <w:r w:rsidRPr="004119A2">
        <w:rPr>
          <w:rFonts w:ascii="Arial" w:hAnsi="Arial" w:cs="Arial"/>
          <w:i/>
          <w:iCs/>
        </w:rPr>
        <w:t>Mental Health Act 1983</w:t>
      </w:r>
      <w:r w:rsidRPr="004119A2">
        <w:rPr>
          <w:rFonts w:ascii="Arial" w:hAnsi="Arial" w:cs="Arial"/>
        </w:rPr>
        <w:t xml:space="preserve">. </w:t>
      </w:r>
      <w:r w:rsidRPr="004119A2">
        <w:rPr>
          <w:rFonts w:ascii="Arial" w:hAnsi="Arial" w:cs="Arial"/>
          <w:i/>
          <w:iCs/>
        </w:rPr>
        <w:t>Legislation.gov.uk</w:t>
      </w:r>
      <w:r w:rsidRPr="004119A2">
        <w:rPr>
          <w:rFonts w:ascii="Arial" w:hAnsi="Arial" w:cs="Arial"/>
        </w:rPr>
        <w:t xml:space="preserve">. Gov.uk. Available at: </w:t>
      </w:r>
      <w:hyperlink r:id="rId10" w:history="1">
        <w:r w:rsidR="0024072A" w:rsidRPr="004119A2">
          <w:rPr>
            <w:rStyle w:val="Hyperlink"/>
            <w:rFonts w:ascii="Arial" w:hAnsi="Arial" w:cs="Arial"/>
          </w:rPr>
          <w:t>https://www.legislation.gov.uk/ukpga/1983/20/contents</w:t>
        </w:r>
      </w:hyperlink>
      <w:r w:rsidR="0024072A" w:rsidRPr="004119A2">
        <w:rPr>
          <w:rFonts w:ascii="Arial" w:hAnsi="Arial" w:cs="Arial"/>
        </w:rPr>
        <w:t xml:space="preserve"> </w:t>
      </w:r>
      <w:r w:rsidR="004119A2">
        <w:rPr>
          <w:rFonts w:ascii="Arial" w:hAnsi="Arial" w:cs="Arial"/>
        </w:rPr>
        <w:t>(</w:t>
      </w:r>
      <w:r w:rsidRPr="004119A2">
        <w:rPr>
          <w:rFonts w:ascii="Arial" w:hAnsi="Arial" w:cs="Arial"/>
        </w:rPr>
        <w:t>Accessed 2</w:t>
      </w:r>
      <w:r w:rsidR="004119A2">
        <w:rPr>
          <w:rFonts w:ascii="Arial" w:hAnsi="Arial" w:cs="Arial"/>
        </w:rPr>
        <w:t xml:space="preserve">3 </w:t>
      </w:r>
      <w:r w:rsidRPr="004119A2">
        <w:rPr>
          <w:rFonts w:ascii="Arial" w:hAnsi="Arial" w:cs="Arial"/>
        </w:rPr>
        <w:t>July 2026</w:t>
      </w:r>
      <w:r w:rsidR="004119A2">
        <w:rPr>
          <w:rFonts w:ascii="Arial" w:hAnsi="Arial" w:cs="Arial"/>
        </w:rPr>
        <w:t>)</w:t>
      </w:r>
      <w:r w:rsidRPr="004119A2">
        <w:rPr>
          <w:rFonts w:ascii="Arial" w:hAnsi="Arial" w:cs="Arial"/>
        </w:rPr>
        <w:t>.</w:t>
      </w:r>
    </w:p>
    <w:p w14:paraId="7A8A61D8" w14:textId="77777777" w:rsidR="00F737D8" w:rsidRPr="004119A2" w:rsidRDefault="00F737D8" w:rsidP="006D494C">
      <w:pPr>
        <w:spacing w:after="0" w:line="360" w:lineRule="auto"/>
        <w:rPr>
          <w:rFonts w:ascii="Arial" w:hAnsi="Arial" w:cs="Arial"/>
        </w:rPr>
      </w:pPr>
    </w:p>
    <w:p w14:paraId="2AD9AA3A" w14:textId="4FFD5521" w:rsidR="00F737D8" w:rsidRDefault="00241A4B" w:rsidP="006D494C">
      <w:pPr>
        <w:spacing w:after="0" w:line="360" w:lineRule="auto"/>
        <w:rPr>
          <w:rFonts w:ascii="Arial" w:hAnsi="Arial" w:cs="Arial"/>
          <w:color w:val="000000" w:themeColor="text1"/>
        </w:rPr>
      </w:pPr>
      <w:r w:rsidRPr="00F737D8">
        <w:rPr>
          <w:rFonts w:ascii="Arial" w:hAnsi="Arial" w:cs="Arial"/>
          <w:color w:val="000000" w:themeColor="text1"/>
        </w:rPr>
        <w:t xml:space="preserve">Department of Health and Social Care (2019). </w:t>
      </w:r>
      <w:r w:rsidRPr="00F737D8">
        <w:rPr>
          <w:rFonts w:ascii="Arial" w:hAnsi="Arial" w:cs="Arial"/>
          <w:i/>
          <w:iCs/>
          <w:color w:val="000000" w:themeColor="text1"/>
        </w:rPr>
        <w:t>NHS Long Term Plan Launched</w:t>
      </w:r>
      <w:r w:rsidRPr="00F737D8">
        <w:rPr>
          <w:rFonts w:ascii="Arial" w:hAnsi="Arial" w:cs="Arial"/>
          <w:color w:val="000000" w:themeColor="text1"/>
        </w:rPr>
        <w:t xml:space="preserve">. </w:t>
      </w:r>
      <w:r w:rsidRPr="00F737D8">
        <w:rPr>
          <w:rFonts w:ascii="Arial" w:hAnsi="Arial" w:cs="Arial"/>
          <w:i/>
          <w:iCs/>
          <w:color w:val="000000" w:themeColor="text1"/>
        </w:rPr>
        <w:t>GOV.UK</w:t>
      </w:r>
      <w:r w:rsidRPr="00F737D8">
        <w:rPr>
          <w:rFonts w:ascii="Arial" w:hAnsi="Arial" w:cs="Arial"/>
          <w:color w:val="000000" w:themeColor="text1"/>
        </w:rPr>
        <w:t xml:space="preserve">. Available at: </w:t>
      </w:r>
      <w:hyperlink r:id="rId11" w:history="1">
        <w:r w:rsidR="00F737D8" w:rsidRPr="00635176">
          <w:rPr>
            <w:rStyle w:val="Hyperlink"/>
            <w:rFonts w:ascii="Arial" w:hAnsi="Arial" w:cs="Arial"/>
          </w:rPr>
          <w:t>https://www.gov.uk/government/news/nhs-long-term-plan-launched</w:t>
        </w:r>
      </w:hyperlink>
    </w:p>
    <w:p w14:paraId="1003AC05" w14:textId="4C63C717" w:rsidR="00241A4B" w:rsidRDefault="00241A4B" w:rsidP="006D494C">
      <w:pPr>
        <w:spacing w:after="0" w:line="360" w:lineRule="auto"/>
        <w:rPr>
          <w:rFonts w:ascii="Arial" w:hAnsi="Arial" w:cs="Arial"/>
          <w:color w:val="000000" w:themeColor="text1"/>
        </w:rPr>
      </w:pPr>
      <w:r w:rsidRPr="00F737D8">
        <w:rPr>
          <w:rFonts w:ascii="Arial" w:hAnsi="Arial" w:cs="Arial"/>
          <w:color w:val="000000" w:themeColor="text1"/>
        </w:rPr>
        <w:t xml:space="preserve"> </w:t>
      </w:r>
      <w:r w:rsidR="004119A2" w:rsidRPr="00F737D8">
        <w:rPr>
          <w:rFonts w:ascii="Arial" w:hAnsi="Arial" w:cs="Arial"/>
          <w:color w:val="000000" w:themeColor="text1"/>
        </w:rPr>
        <w:t>(</w:t>
      </w:r>
      <w:r w:rsidRPr="00F737D8">
        <w:rPr>
          <w:rFonts w:ascii="Arial" w:hAnsi="Arial" w:cs="Arial"/>
          <w:color w:val="000000" w:themeColor="text1"/>
        </w:rPr>
        <w:t>Accessed 26 July 2026</w:t>
      </w:r>
      <w:r w:rsidR="004119A2" w:rsidRPr="00F737D8">
        <w:rPr>
          <w:rFonts w:ascii="Arial" w:hAnsi="Arial" w:cs="Arial"/>
          <w:color w:val="000000" w:themeColor="text1"/>
        </w:rPr>
        <w:t>)</w:t>
      </w:r>
      <w:r w:rsidRPr="00F737D8">
        <w:rPr>
          <w:rFonts w:ascii="Arial" w:hAnsi="Arial" w:cs="Arial"/>
          <w:color w:val="000000" w:themeColor="text1"/>
        </w:rPr>
        <w:t>.</w:t>
      </w:r>
    </w:p>
    <w:p w14:paraId="44D9C5F2" w14:textId="77777777" w:rsidR="00596DAD" w:rsidRPr="00F737D8" w:rsidRDefault="00596DAD" w:rsidP="006D494C">
      <w:pPr>
        <w:spacing w:after="0" w:line="360" w:lineRule="auto"/>
        <w:rPr>
          <w:rFonts w:ascii="Arial" w:hAnsi="Arial" w:cs="Arial"/>
          <w:color w:val="000000" w:themeColor="text1"/>
        </w:rPr>
      </w:pPr>
    </w:p>
    <w:p w14:paraId="455F6125" w14:textId="5F892320" w:rsidR="00C97CCE" w:rsidRDefault="00C97CCE" w:rsidP="006D494C">
      <w:pPr>
        <w:spacing w:after="0" w:line="360" w:lineRule="auto"/>
        <w:rPr>
          <w:rFonts w:ascii="Arial" w:hAnsi="Arial" w:cs="Arial"/>
        </w:rPr>
      </w:pPr>
      <w:r w:rsidRPr="004119A2">
        <w:rPr>
          <w:rFonts w:ascii="Arial" w:hAnsi="Arial" w:cs="Arial"/>
        </w:rPr>
        <w:t xml:space="preserve">NMC (2018). </w:t>
      </w:r>
      <w:r w:rsidRPr="004119A2">
        <w:rPr>
          <w:rFonts w:ascii="Arial" w:hAnsi="Arial" w:cs="Arial"/>
          <w:i/>
          <w:iCs/>
        </w:rPr>
        <w:t>The Code: Professional Standards of Practice and Behaviour for nurses, Midwives and Nursing Associates</w:t>
      </w:r>
      <w:r w:rsidRPr="004119A2">
        <w:rPr>
          <w:rFonts w:ascii="Arial" w:hAnsi="Arial" w:cs="Arial"/>
        </w:rPr>
        <w:t xml:space="preserve">. </w:t>
      </w:r>
      <w:r w:rsidRPr="004119A2">
        <w:rPr>
          <w:rFonts w:ascii="Arial" w:hAnsi="Arial" w:cs="Arial"/>
          <w:i/>
          <w:iCs/>
        </w:rPr>
        <w:t>Nursing and Midwifery council</w:t>
      </w:r>
      <w:r w:rsidRPr="004119A2">
        <w:rPr>
          <w:rFonts w:ascii="Arial" w:hAnsi="Arial" w:cs="Arial"/>
        </w:rPr>
        <w:t xml:space="preserve">. Available at: </w:t>
      </w:r>
      <w:hyperlink r:id="rId12" w:history="1">
        <w:r w:rsidR="00596DAD" w:rsidRPr="00641D83">
          <w:rPr>
            <w:rStyle w:val="Hyperlink"/>
            <w:rFonts w:ascii="Arial" w:hAnsi="Arial" w:cs="Arial"/>
          </w:rPr>
          <w:t>https://www.nmc.org.uk/standards/code/</w:t>
        </w:r>
      </w:hyperlink>
      <w:r w:rsidR="00596DAD">
        <w:rPr>
          <w:rFonts w:ascii="Arial" w:hAnsi="Arial" w:cs="Arial"/>
        </w:rPr>
        <w:t xml:space="preserve">  </w:t>
      </w:r>
      <w:r w:rsidR="004119A2">
        <w:rPr>
          <w:rFonts w:ascii="Arial" w:hAnsi="Arial" w:cs="Arial"/>
        </w:rPr>
        <w:t>(</w:t>
      </w:r>
      <w:r w:rsidRPr="004119A2">
        <w:rPr>
          <w:rFonts w:ascii="Arial" w:hAnsi="Arial" w:cs="Arial"/>
        </w:rPr>
        <w:t>Accessed 2</w:t>
      </w:r>
      <w:r w:rsidR="004119A2">
        <w:rPr>
          <w:rFonts w:ascii="Arial" w:hAnsi="Arial" w:cs="Arial"/>
        </w:rPr>
        <w:t xml:space="preserve">6 </w:t>
      </w:r>
      <w:r w:rsidRPr="004119A2">
        <w:rPr>
          <w:rFonts w:ascii="Arial" w:hAnsi="Arial" w:cs="Arial"/>
        </w:rPr>
        <w:t>July 2026</w:t>
      </w:r>
      <w:r w:rsidR="004119A2">
        <w:rPr>
          <w:rFonts w:ascii="Arial" w:hAnsi="Arial" w:cs="Arial"/>
        </w:rPr>
        <w:t>)</w:t>
      </w:r>
      <w:r w:rsidRPr="004119A2">
        <w:rPr>
          <w:rFonts w:ascii="Arial" w:hAnsi="Arial" w:cs="Arial"/>
        </w:rPr>
        <w:t>.</w:t>
      </w:r>
    </w:p>
    <w:p w14:paraId="6B75CB68" w14:textId="77777777" w:rsidR="00F737D8" w:rsidRPr="004119A2" w:rsidRDefault="00F737D8" w:rsidP="006D494C">
      <w:pPr>
        <w:spacing w:after="0" w:line="360" w:lineRule="auto"/>
        <w:rPr>
          <w:rFonts w:ascii="Arial" w:hAnsi="Arial" w:cs="Arial"/>
        </w:rPr>
      </w:pPr>
    </w:p>
    <w:p w14:paraId="27B9CB32" w14:textId="422EAF7D" w:rsidR="00151048" w:rsidRDefault="00F22E3E" w:rsidP="006D494C">
      <w:pPr>
        <w:spacing w:after="0" w:line="360" w:lineRule="auto"/>
        <w:rPr>
          <w:rFonts w:ascii="Arial" w:hAnsi="Arial" w:cs="Arial"/>
        </w:rPr>
      </w:pPr>
      <w:proofErr w:type="spellStart"/>
      <w:r w:rsidRPr="004119A2">
        <w:rPr>
          <w:rFonts w:ascii="Arial" w:hAnsi="Arial" w:cs="Arial"/>
        </w:rPr>
        <w:t>Nazroo</w:t>
      </w:r>
      <w:proofErr w:type="spellEnd"/>
      <w:r w:rsidRPr="004119A2">
        <w:rPr>
          <w:rFonts w:ascii="Arial" w:hAnsi="Arial" w:cs="Arial"/>
        </w:rPr>
        <w:t xml:space="preserve">, J.Y., </w:t>
      </w:r>
      <w:proofErr w:type="spellStart"/>
      <w:r w:rsidRPr="004119A2">
        <w:rPr>
          <w:rFonts w:ascii="Arial" w:hAnsi="Arial" w:cs="Arial"/>
        </w:rPr>
        <w:t>Bhui</w:t>
      </w:r>
      <w:proofErr w:type="spellEnd"/>
      <w:r w:rsidRPr="004119A2">
        <w:rPr>
          <w:rFonts w:ascii="Arial" w:hAnsi="Arial" w:cs="Arial"/>
        </w:rPr>
        <w:t>, K.S. and Rhodes, J. (20</w:t>
      </w:r>
      <w:r w:rsidR="00F506C8">
        <w:rPr>
          <w:rFonts w:ascii="Arial" w:hAnsi="Arial" w:cs="Arial"/>
        </w:rPr>
        <w:t>20</w:t>
      </w:r>
      <w:r w:rsidRPr="004119A2">
        <w:rPr>
          <w:rFonts w:ascii="Arial" w:hAnsi="Arial" w:cs="Arial"/>
        </w:rPr>
        <w:t xml:space="preserve">). Where next for understanding race/ethnic inequalities in severe mental illness? Structural, interpersonal and institutional racism. </w:t>
      </w:r>
      <w:r w:rsidRPr="004119A2">
        <w:rPr>
          <w:rFonts w:ascii="Arial" w:hAnsi="Arial" w:cs="Arial"/>
          <w:i/>
          <w:iCs/>
        </w:rPr>
        <w:t>Sociology of Health &amp; illness</w:t>
      </w:r>
      <w:r w:rsidRPr="004119A2">
        <w:rPr>
          <w:rFonts w:ascii="Arial" w:hAnsi="Arial" w:cs="Arial"/>
        </w:rPr>
        <w:t>, 42(2), pp.262–276. doi:10.1111/1467-9566.13001.</w:t>
      </w:r>
    </w:p>
    <w:p w14:paraId="2A558BC8" w14:textId="77777777" w:rsidR="00F737D8" w:rsidRPr="004119A2" w:rsidRDefault="00F737D8" w:rsidP="006D494C">
      <w:pPr>
        <w:spacing w:after="0" w:line="360" w:lineRule="auto"/>
        <w:rPr>
          <w:rFonts w:ascii="Arial" w:hAnsi="Arial" w:cs="Arial"/>
        </w:rPr>
      </w:pPr>
    </w:p>
    <w:p w14:paraId="7FA3C25D" w14:textId="7082CBCD" w:rsidR="00C23EA9" w:rsidRDefault="00C23EA9" w:rsidP="006D494C">
      <w:pPr>
        <w:spacing w:after="0" w:line="360" w:lineRule="auto"/>
        <w:rPr>
          <w:rFonts w:ascii="Arial" w:hAnsi="Arial" w:cs="Arial"/>
        </w:rPr>
      </w:pPr>
      <w:r w:rsidRPr="004119A2">
        <w:rPr>
          <w:rFonts w:ascii="Arial" w:hAnsi="Arial" w:cs="Arial"/>
        </w:rPr>
        <w:t xml:space="preserve">NHS England (2023). </w:t>
      </w:r>
      <w:r w:rsidRPr="004119A2">
        <w:rPr>
          <w:rFonts w:ascii="Arial" w:hAnsi="Arial" w:cs="Arial"/>
          <w:i/>
          <w:iCs/>
        </w:rPr>
        <w:t>NHS England » patient and carer race equality framework</w:t>
      </w:r>
      <w:r w:rsidRPr="004119A2">
        <w:rPr>
          <w:rFonts w:ascii="Arial" w:hAnsi="Arial" w:cs="Arial"/>
        </w:rPr>
        <w:t xml:space="preserve">. </w:t>
      </w:r>
      <w:r w:rsidRPr="004119A2">
        <w:rPr>
          <w:rFonts w:ascii="Arial" w:hAnsi="Arial" w:cs="Arial"/>
          <w:i/>
          <w:iCs/>
        </w:rPr>
        <w:t>www.england.nhs.uk</w:t>
      </w:r>
      <w:r w:rsidRPr="004119A2">
        <w:rPr>
          <w:rFonts w:ascii="Arial" w:hAnsi="Arial" w:cs="Arial"/>
        </w:rPr>
        <w:t xml:space="preserve">. Available at: </w:t>
      </w:r>
      <w:hyperlink r:id="rId13" w:history="1">
        <w:r w:rsidR="00596DAD" w:rsidRPr="00641D83">
          <w:rPr>
            <w:rStyle w:val="Hyperlink"/>
            <w:rFonts w:ascii="Arial" w:hAnsi="Arial" w:cs="Arial"/>
          </w:rPr>
          <w:t>https://www.england.nhs.uk/mental-health/advancing-mental-health-equalities/pcref/</w:t>
        </w:r>
      </w:hyperlink>
      <w:r w:rsidR="00596DAD">
        <w:rPr>
          <w:rFonts w:ascii="Arial" w:hAnsi="Arial" w:cs="Arial"/>
        </w:rPr>
        <w:t xml:space="preserve"> </w:t>
      </w:r>
      <w:r w:rsidRPr="004119A2">
        <w:rPr>
          <w:rFonts w:ascii="Arial" w:hAnsi="Arial" w:cs="Arial"/>
        </w:rPr>
        <w:t>[Accessed 26 July 2026].</w:t>
      </w:r>
    </w:p>
    <w:p w14:paraId="65BFA089" w14:textId="77777777" w:rsidR="00F737D8" w:rsidRPr="004119A2" w:rsidRDefault="00F737D8" w:rsidP="006D494C">
      <w:pPr>
        <w:spacing w:after="0" w:line="360" w:lineRule="auto"/>
        <w:rPr>
          <w:rFonts w:ascii="Arial" w:hAnsi="Arial" w:cs="Arial"/>
        </w:rPr>
      </w:pPr>
    </w:p>
    <w:p w14:paraId="14760C89" w14:textId="1DE9A6B4" w:rsidR="009F2B0D" w:rsidRDefault="009F2B0D" w:rsidP="006D494C">
      <w:pPr>
        <w:spacing w:after="0" w:line="360" w:lineRule="auto"/>
        <w:rPr>
          <w:rFonts w:ascii="Arial" w:hAnsi="Arial" w:cs="Arial"/>
        </w:rPr>
      </w:pPr>
      <w:r w:rsidRPr="004119A2">
        <w:rPr>
          <w:rFonts w:ascii="Arial" w:hAnsi="Arial" w:cs="Arial"/>
        </w:rPr>
        <w:t xml:space="preserve">Page, M.J., McKenzie, J.E., Bossuyt, P.M., </w:t>
      </w:r>
      <w:proofErr w:type="spellStart"/>
      <w:r w:rsidRPr="004119A2">
        <w:rPr>
          <w:rFonts w:ascii="Arial" w:hAnsi="Arial" w:cs="Arial"/>
        </w:rPr>
        <w:t>Boutron</w:t>
      </w:r>
      <w:proofErr w:type="spellEnd"/>
      <w:r w:rsidRPr="004119A2">
        <w:rPr>
          <w:rFonts w:ascii="Arial" w:hAnsi="Arial" w:cs="Arial"/>
        </w:rPr>
        <w:t xml:space="preserve">, I., Hoffmann, T.C., Mulrow, C. D, </w:t>
      </w:r>
      <w:proofErr w:type="spellStart"/>
      <w:r w:rsidRPr="004119A2">
        <w:rPr>
          <w:rFonts w:ascii="Arial" w:hAnsi="Arial" w:cs="Arial"/>
        </w:rPr>
        <w:t>Shamseer</w:t>
      </w:r>
      <w:proofErr w:type="spellEnd"/>
      <w:r w:rsidRPr="004119A2">
        <w:rPr>
          <w:rFonts w:ascii="Arial" w:hAnsi="Arial" w:cs="Arial"/>
        </w:rPr>
        <w:t xml:space="preserve">, L., Tetzlaff, J.M., Akl, E.A., Brennan, S.E., Chou, R., Glanville, J., Grimshaw, J.M., Hróbjartsson, A., Lalu, M.M., Li, T., Loder, E.W., Mayo-Wilson, E., McDonald, S., McGuinness, L.A., Stewart, L.A., Thomas, J., </w:t>
      </w:r>
      <w:proofErr w:type="spellStart"/>
      <w:r w:rsidRPr="004119A2">
        <w:rPr>
          <w:rFonts w:ascii="Arial" w:hAnsi="Arial" w:cs="Arial"/>
        </w:rPr>
        <w:t>Tricco</w:t>
      </w:r>
      <w:proofErr w:type="spellEnd"/>
      <w:r w:rsidRPr="004119A2">
        <w:rPr>
          <w:rFonts w:ascii="Arial" w:hAnsi="Arial" w:cs="Arial"/>
        </w:rPr>
        <w:t xml:space="preserve">, A.C., Welch, V.A., Whiting, P. and Moher, D. (2021). The </w:t>
      </w:r>
      <w:proofErr w:type="spellStart"/>
      <w:r w:rsidRPr="004119A2">
        <w:rPr>
          <w:rFonts w:ascii="Arial" w:hAnsi="Arial" w:cs="Arial"/>
        </w:rPr>
        <w:t>prisma</w:t>
      </w:r>
      <w:proofErr w:type="spellEnd"/>
      <w:r w:rsidRPr="004119A2">
        <w:rPr>
          <w:rFonts w:ascii="Arial" w:hAnsi="Arial" w:cs="Arial"/>
        </w:rPr>
        <w:t xml:space="preserve"> 2020 statement: An updated guideline for reporting systematic reviews. </w:t>
      </w:r>
      <w:r w:rsidRPr="004119A2">
        <w:rPr>
          <w:rFonts w:ascii="Arial" w:hAnsi="Arial" w:cs="Arial"/>
          <w:i/>
          <w:iCs/>
        </w:rPr>
        <w:t>British medical journal</w:t>
      </w:r>
      <w:r w:rsidRPr="004119A2">
        <w:rPr>
          <w:rFonts w:ascii="Arial" w:hAnsi="Arial" w:cs="Arial"/>
        </w:rPr>
        <w:t>, 372(71). doi:10.1136/</w:t>
      </w:r>
      <w:proofErr w:type="gramStart"/>
      <w:r w:rsidRPr="004119A2">
        <w:rPr>
          <w:rFonts w:ascii="Arial" w:hAnsi="Arial" w:cs="Arial"/>
        </w:rPr>
        <w:t>bmj.n</w:t>
      </w:r>
      <w:proofErr w:type="gramEnd"/>
      <w:r w:rsidRPr="004119A2">
        <w:rPr>
          <w:rFonts w:ascii="Arial" w:hAnsi="Arial" w:cs="Arial"/>
        </w:rPr>
        <w:t>71.</w:t>
      </w:r>
    </w:p>
    <w:p w14:paraId="6E73C28B" w14:textId="77777777" w:rsidR="00F737D8" w:rsidRPr="004119A2" w:rsidRDefault="00F737D8" w:rsidP="006D494C">
      <w:pPr>
        <w:spacing w:after="0" w:line="360" w:lineRule="auto"/>
        <w:rPr>
          <w:rFonts w:ascii="Arial" w:hAnsi="Arial" w:cs="Arial"/>
        </w:rPr>
      </w:pPr>
    </w:p>
    <w:p w14:paraId="6D9CFF8B" w14:textId="77777777" w:rsidR="007D2473" w:rsidRDefault="007D2473" w:rsidP="006D494C">
      <w:pPr>
        <w:spacing w:after="0" w:line="360" w:lineRule="auto"/>
        <w:rPr>
          <w:rFonts w:ascii="Arial" w:hAnsi="Arial" w:cs="Arial"/>
        </w:rPr>
      </w:pPr>
      <w:r w:rsidRPr="004119A2">
        <w:rPr>
          <w:rFonts w:ascii="Arial" w:hAnsi="Arial" w:cs="Arial"/>
        </w:rPr>
        <w:t xml:space="preserve">Sancho, T.N. and Larkin, M. (2020) '“We need to slowly break down this barrier”: understanding the barriers and facilitators that Afro-Caribbean undergraduates perceive towards accessing mental health services in the UK', </w:t>
      </w:r>
      <w:r w:rsidRPr="004119A2">
        <w:rPr>
          <w:rFonts w:ascii="Arial" w:hAnsi="Arial" w:cs="Arial"/>
          <w:i/>
          <w:iCs/>
        </w:rPr>
        <w:t>Journal of Public Mental Health</w:t>
      </w:r>
      <w:r w:rsidRPr="004119A2">
        <w:rPr>
          <w:rFonts w:ascii="Arial" w:hAnsi="Arial" w:cs="Arial"/>
        </w:rPr>
        <w:t>, 19(1), pp. 63–81. doi:10.1108/JPMH-12-2019-0099.</w:t>
      </w:r>
    </w:p>
    <w:p w14:paraId="52251F19" w14:textId="77777777" w:rsidR="00F737D8" w:rsidRPr="004119A2" w:rsidRDefault="00F737D8" w:rsidP="006D494C">
      <w:pPr>
        <w:spacing w:after="0" w:line="360" w:lineRule="auto"/>
        <w:rPr>
          <w:rFonts w:ascii="Arial" w:hAnsi="Arial" w:cs="Arial"/>
        </w:rPr>
      </w:pPr>
    </w:p>
    <w:p w14:paraId="3AF78133" w14:textId="0749DFA7" w:rsidR="009F495A" w:rsidRDefault="00383976" w:rsidP="006D494C">
      <w:pPr>
        <w:spacing w:after="0" w:line="360" w:lineRule="auto"/>
        <w:rPr>
          <w:rFonts w:ascii="Arial" w:hAnsi="Arial" w:cs="Arial"/>
        </w:rPr>
      </w:pPr>
      <w:proofErr w:type="spellStart"/>
      <w:r w:rsidRPr="004119A2">
        <w:rPr>
          <w:rFonts w:ascii="Arial" w:hAnsi="Arial" w:cs="Arial"/>
        </w:rPr>
        <w:t>Shubulade</w:t>
      </w:r>
      <w:proofErr w:type="spellEnd"/>
      <w:r w:rsidRPr="004119A2">
        <w:rPr>
          <w:rFonts w:ascii="Arial" w:hAnsi="Arial" w:cs="Arial"/>
        </w:rPr>
        <w:t xml:space="preserve"> Mary Smith, Amna Kheri, Ariyo, K., Gilbert, S., Salla, A., </w:t>
      </w:r>
      <w:proofErr w:type="spellStart"/>
      <w:r w:rsidRPr="004119A2">
        <w:rPr>
          <w:rFonts w:ascii="Arial" w:hAnsi="Arial" w:cs="Arial"/>
        </w:rPr>
        <w:t>Lingiah</w:t>
      </w:r>
      <w:proofErr w:type="spellEnd"/>
      <w:r w:rsidRPr="004119A2">
        <w:rPr>
          <w:rFonts w:ascii="Arial" w:hAnsi="Arial" w:cs="Arial"/>
        </w:rPr>
        <w:t xml:space="preserve">, T., Taylor, C. and Edge, D. (2023). The patient and carer race equality framework: A model to reduce mental health inequity in England and </w:t>
      </w:r>
      <w:proofErr w:type="spellStart"/>
      <w:r w:rsidRPr="004119A2">
        <w:rPr>
          <w:rFonts w:ascii="Arial" w:hAnsi="Arial" w:cs="Arial"/>
        </w:rPr>
        <w:t>wales</w:t>
      </w:r>
      <w:proofErr w:type="spellEnd"/>
      <w:r w:rsidRPr="004119A2">
        <w:rPr>
          <w:rFonts w:ascii="Arial" w:hAnsi="Arial" w:cs="Arial"/>
        </w:rPr>
        <w:t xml:space="preserve">. </w:t>
      </w:r>
      <w:r w:rsidRPr="004119A2">
        <w:rPr>
          <w:rFonts w:ascii="Arial" w:hAnsi="Arial" w:cs="Arial"/>
          <w:i/>
          <w:iCs/>
        </w:rPr>
        <w:t>Frontiers in Psychiatry</w:t>
      </w:r>
      <w:r w:rsidRPr="004119A2">
        <w:rPr>
          <w:rFonts w:ascii="Arial" w:hAnsi="Arial" w:cs="Arial"/>
        </w:rPr>
        <w:t>,</w:t>
      </w:r>
      <w:r w:rsidR="00994FD9" w:rsidRPr="004119A2">
        <w:rPr>
          <w:rFonts w:ascii="Arial" w:hAnsi="Arial" w:cs="Arial"/>
        </w:rPr>
        <w:t xml:space="preserve"> </w:t>
      </w:r>
      <w:r w:rsidRPr="004119A2">
        <w:rPr>
          <w:rFonts w:ascii="Arial" w:hAnsi="Arial" w:cs="Arial"/>
        </w:rPr>
        <w:t>14. doi:10.3389/fpsyt.2023.1053502.</w:t>
      </w:r>
    </w:p>
    <w:p w14:paraId="4AE7A749" w14:textId="77777777" w:rsidR="00F737D8" w:rsidRPr="004119A2" w:rsidRDefault="00F737D8" w:rsidP="006D494C">
      <w:pPr>
        <w:spacing w:after="0" w:line="360" w:lineRule="auto"/>
        <w:rPr>
          <w:rFonts w:ascii="Arial" w:hAnsi="Arial" w:cs="Arial"/>
        </w:rPr>
      </w:pPr>
    </w:p>
    <w:p w14:paraId="2EE82D18" w14:textId="1598264A" w:rsidR="00B15037" w:rsidRDefault="00802DE1" w:rsidP="006D494C">
      <w:pPr>
        <w:spacing w:after="0" w:line="360" w:lineRule="auto"/>
        <w:rPr>
          <w:rFonts w:ascii="Arial" w:hAnsi="Arial" w:cs="Arial"/>
        </w:rPr>
      </w:pPr>
      <w:proofErr w:type="spellStart"/>
      <w:r w:rsidRPr="004119A2">
        <w:rPr>
          <w:rFonts w:ascii="Arial" w:hAnsi="Arial" w:cs="Arial"/>
        </w:rPr>
        <w:t>Tricco</w:t>
      </w:r>
      <w:proofErr w:type="spellEnd"/>
      <w:r w:rsidRPr="004119A2">
        <w:rPr>
          <w:rFonts w:ascii="Arial" w:hAnsi="Arial" w:cs="Arial"/>
        </w:rPr>
        <w:t xml:space="preserve">, A.C., Lillie, E., Zarin, W., O’Brien, K.K., Colquhoun, H., Levac, D., Moher, D., Peters, M.D.J., Horsley, T., Weeks, L., Hempel, S., Akl, E.A., Chang, C., McGowan, J., Stewart, L., Hartling, L., </w:t>
      </w:r>
      <w:proofErr w:type="spellStart"/>
      <w:r w:rsidRPr="004119A2">
        <w:rPr>
          <w:rFonts w:ascii="Arial" w:hAnsi="Arial" w:cs="Arial"/>
        </w:rPr>
        <w:t>Aldcroft</w:t>
      </w:r>
      <w:proofErr w:type="spellEnd"/>
      <w:r w:rsidRPr="004119A2">
        <w:rPr>
          <w:rFonts w:ascii="Arial" w:hAnsi="Arial" w:cs="Arial"/>
        </w:rPr>
        <w:t xml:space="preserve">, A., Wilson, M.G., </w:t>
      </w:r>
      <w:proofErr w:type="spellStart"/>
      <w:r w:rsidRPr="004119A2">
        <w:rPr>
          <w:rFonts w:ascii="Arial" w:hAnsi="Arial" w:cs="Arial"/>
        </w:rPr>
        <w:t>Garritty</w:t>
      </w:r>
      <w:proofErr w:type="spellEnd"/>
      <w:r w:rsidRPr="004119A2">
        <w:rPr>
          <w:rFonts w:ascii="Arial" w:hAnsi="Arial" w:cs="Arial"/>
        </w:rPr>
        <w:t xml:space="preserve">, C., Lewin, S., Godfrey, C.M., Macdonald, M.T., Langlois, E.V., Soares-Weiser, K., Moriarty, J., Clifford, T., </w:t>
      </w:r>
      <w:proofErr w:type="spellStart"/>
      <w:r w:rsidRPr="004119A2">
        <w:rPr>
          <w:rFonts w:ascii="Arial" w:hAnsi="Arial" w:cs="Arial"/>
        </w:rPr>
        <w:t>Tunçalp</w:t>
      </w:r>
      <w:proofErr w:type="spellEnd"/>
      <w:r w:rsidRPr="004119A2">
        <w:rPr>
          <w:rFonts w:ascii="Arial" w:hAnsi="Arial" w:cs="Arial"/>
        </w:rPr>
        <w:t>, Ö. and Straus, S.E. (2018). Prisma extension for Scoping reviews (PRISMA-</w:t>
      </w:r>
      <w:proofErr w:type="spellStart"/>
      <w:r w:rsidRPr="004119A2">
        <w:rPr>
          <w:rFonts w:ascii="Arial" w:hAnsi="Arial" w:cs="Arial"/>
        </w:rPr>
        <w:t>ScR</w:t>
      </w:r>
      <w:proofErr w:type="spellEnd"/>
      <w:r w:rsidRPr="004119A2">
        <w:rPr>
          <w:rFonts w:ascii="Arial" w:hAnsi="Arial" w:cs="Arial"/>
        </w:rPr>
        <w:t xml:space="preserve">): Checklist and explanation. </w:t>
      </w:r>
      <w:r w:rsidRPr="004119A2">
        <w:rPr>
          <w:rFonts w:ascii="Arial" w:hAnsi="Arial" w:cs="Arial"/>
          <w:i/>
          <w:iCs/>
        </w:rPr>
        <w:t>Annals of Internal medicine</w:t>
      </w:r>
      <w:r w:rsidRPr="004119A2">
        <w:rPr>
          <w:rFonts w:ascii="Arial" w:hAnsi="Arial" w:cs="Arial"/>
        </w:rPr>
        <w:t>, 169(7), pp.467–473. doi:10.7326/M18-0850.</w:t>
      </w:r>
    </w:p>
    <w:p w14:paraId="6980A0BF" w14:textId="77777777" w:rsidR="00F737D8" w:rsidRPr="004119A2" w:rsidRDefault="00F737D8" w:rsidP="006D494C">
      <w:pPr>
        <w:spacing w:after="0" w:line="360" w:lineRule="auto"/>
        <w:rPr>
          <w:rFonts w:ascii="Arial" w:hAnsi="Arial" w:cs="Arial"/>
        </w:rPr>
      </w:pPr>
    </w:p>
    <w:p w14:paraId="19A8F366" w14:textId="784BDE68" w:rsidR="00EC7941" w:rsidRPr="004119A2" w:rsidRDefault="00EC7941" w:rsidP="006D494C">
      <w:pPr>
        <w:spacing w:after="0" w:line="360" w:lineRule="auto"/>
        <w:rPr>
          <w:rFonts w:ascii="Arial" w:hAnsi="Arial" w:cs="Arial"/>
        </w:rPr>
      </w:pPr>
      <w:r w:rsidRPr="004119A2">
        <w:rPr>
          <w:rFonts w:ascii="Arial" w:hAnsi="Arial" w:cs="Arial"/>
        </w:rPr>
        <w:lastRenderedPageBreak/>
        <w:t xml:space="preserve">World Health Organization (2022). </w:t>
      </w:r>
      <w:r w:rsidRPr="004119A2">
        <w:rPr>
          <w:rFonts w:ascii="Arial" w:hAnsi="Arial" w:cs="Arial"/>
          <w:i/>
          <w:iCs/>
        </w:rPr>
        <w:t>World mental health report: Transforming mental health for all</w:t>
      </w:r>
      <w:r w:rsidRPr="004119A2">
        <w:rPr>
          <w:rFonts w:ascii="Arial" w:hAnsi="Arial" w:cs="Arial"/>
        </w:rPr>
        <w:t xml:space="preserve">. [online] </w:t>
      </w:r>
      <w:r w:rsidRPr="004119A2">
        <w:rPr>
          <w:rFonts w:ascii="Arial" w:hAnsi="Arial" w:cs="Arial"/>
          <w:i/>
          <w:iCs/>
        </w:rPr>
        <w:t>www.who.int</w:t>
      </w:r>
      <w:r w:rsidRPr="004119A2">
        <w:rPr>
          <w:rFonts w:ascii="Arial" w:hAnsi="Arial" w:cs="Arial"/>
        </w:rPr>
        <w:t xml:space="preserve">. World Health Organization. Available at: </w:t>
      </w:r>
      <w:hyperlink r:id="rId14" w:history="1">
        <w:r w:rsidR="00596DAD" w:rsidRPr="00641D83">
          <w:rPr>
            <w:rStyle w:val="Hyperlink"/>
            <w:rFonts w:ascii="Arial" w:hAnsi="Arial" w:cs="Arial"/>
          </w:rPr>
          <w:t>https://www.who.int/publications/i/item/9789240049338</w:t>
        </w:r>
      </w:hyperlink>
      <w:r w:rsidR="00596DAD">
        <w:rPr>
          <w:rFonts w:ascii="Arial" w:hAnsi="Arial" w:cs="Arial"/>
        </w:rPr>
        <w:t xml:space="preserve"> </w:t>
      </w:r>
      <w:r w:rsidRPr="004119A2">
        <w:rPr>
          <w:rFonts w:ascii="Arial" w:hAnsi="Arial" w:cs="Arial"/>
        </w:rPr>
        <w:t>[Accessed 26 July 2026].</w:t>
      </w:r>
    </w:p>
    <w:p w14:paraId="19E3C89F" w14:textId="77777777" w:rsidR="00A4259F" w:rsidRPr="004119A2" w:rsidRDefault="00A4259F" w:rsidP="006D494C">
      <w:pPr>
        <w:spacing w:after="0" w:line="360" w:lineRule="auto"/>
        <w:rPr>
          <w:rFonts w:ascii="Arial" w:hAnsi="Arial" w:cs="Arial"/>
        </w:rPr>
      </w:pPr>
    </w:p>
    <w:sectPr w:rsidR="00A4259F" w:rsidRPr="004119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07836" w14:textId="77777777" w:rsidR="00DB79A6" w:rsidRDefault="00DB79A6" w:rsidP="005A7B2D">
      <w:pPr>
        <w:spacing w:after="0" w:line="240" w:lineRule="auto"/>
      </w:pPr>
      <w:r>
        <w:separator/>
      </w:r>
    </w:p>
  </w:endnote>
  <w:endnote w:type="continuationSeparator" w:id="0">
    <w:p w14:paraId="225288C4" w14:textId="77777777" w:rsidR="00DB79A6" w:rsidRDefault="00DB79A6" w:rsidP="005A7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7AC60" w14:textId="77777777" w:rsidR="00DB79A6" w:rsidRDefault="00DB79A6" w:rsidP="005A7B2D">
      <w:pPr>
        <w:spacing w:after="0" w:line="240" w:lineRule="auto"/>
      </w:pPr>
      <w:r>
        <w:separator/>
      </w:r>
    </w:p>
  </w:footnote>
  <w:footnote w:type="continuationSeparator" w:id="0">
    <w:p w14:paraId="7E88CD80" w14:textId="77777777" w:rsidR="00DB79A6" w:rsidRDefault="00DB79A6" w:rsidP="005A7B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7033D"/>
    <w:multiLevelType w:val="multilevel"/>
    <w:tmpl w:val="60D8A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581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9F1"/>
    <w:rsid w:val="000025EF"/>
    <w:rsid w:val="000124BD"/>
    <w:rsid w:val="00014FD3"/>
    <w:rsid w:val="00024625"/>
    <w:rsid w:val="00030AC0"/>
    <w:rsid w:val="00033CD0"/>
    <w:rsid w:val="00046C93"/>
    <w:rsid w:val="000A6BE9"/>
    <w:rsid w:val="000B5755"/>
    <w:rsid w:val="000D0B04"/>
    <w:rsid w:val="000D3CCC"/>
    <w:rsid w:val="000F03FE"/>
    <w:rsid w:val="00146B54"/>
    <w:rsid w:val="00151048"/>
    <w:rsid w:val="001634A2"/>
    <w:rsid w:val="00182AFF"/>
    <w:rsid w:val="001B4AAD"/>
    <w:rsid w:val="002103DC"/>
    <w:rsid w:val="0024072A"/>
    <w:rsid w:val="00241A4B"/>
    <w:rsid w:val="002558DF"/>
    <w:rsid w:val="002659CE"/>
    <w:rsid w:val="002940DA"/>
    <w:rsid w:val="002A53A5"/>
    <w:rsid w:val="002B0239"/>
    <w:rsid w:val="002B7F24"/>
    <w:rsid w:val="002E68D9"/>
    <w:rsid w:val="002E74B2"/>
    <w:rsid w:val="003005BD"/>
    <w:rsid w:val="00340EDC"/>
    <w:rsid w:val="00367AB3"/>
    <w:rsid w:val="00370AC5"/>
    <w:rsid w:val="00376E2A"/>
    <w:rsid w:val="00383976"/>
    <w:rsid w:val="003C12E1"/>
    <w:rsid w:val="003E63D3"/>
    <w:rsid w:val="003F50FE"/>
    <w:rsid w:val="004119A2"/>
    <w:rsid w:val="00421D6D"/>
    <w:rsid w:val="00427459"/>
    <w:rsid w:val="00462091"/>
    <w:rsid w:val="00463CAE"/>
    <w:rsid w:val="00486BE9"/>
    <w:rsid w:val="00493A87"/>
    <w:rsid w:val="00495A3F"/>
    <w:rsid w:val="004D0B6E"/>
    <w:rsid w:val="004D4C36"/>
    <w:rsid w:val="004E10F3"/>
    <w:rsid w:val="00524B07"/>
    <w:rsid w:val="00532E3E"/>
    <w:rsid w:val="00535668"/>
    <w:rsid w:val="00561DE4"/>
    <w:rsid w:val="00566191"/>
    <w:rsid w:val="0057710D"/>
    <w:rsid w:val="005826B4"/>
    <w:rsid w:val="00585B4D"/>
    <w:rsid w:val="00592DE8"/>
    <w:rsid w:val="00596DAD"/>
    <w:rsid w:val="005A7B2D"/>
    <w:rsid w:val="005C4EDC"/>
    <w:rsid w:val="005D0957"/>
    <w:rsid w:val="005D11EF"/>
    <w:rsid w:val="005D6CA3"/>
    <w:rsid w:val="005E1CE1"/>
    <w:rsid w:val="00613337"/>
    <w:rsid w:val="00617CAD"/>
    <w:rsid w:val="00625ACD"/>
    <w:rsid w:val="00627A46"/>
    <w:rsid w:val="00633222"/>
    <w:rsid w:val="00646675"/>
    <w:rsid w:val="00687C13"/>
    <w:rsid w:val="00693650"/>
    <w:rsid w:val="006D494C"/>
    <w:rsid w:val="00712531"/>
    <w:rsid w:val="00712A65"/>
    <w:rsid w:val="00725CE5"/>
    <w:rsid w:val="007A1C27"/>
    <w:rsid w:val="007A6D1A"/>
    <w:rsid w:val="007B32B6"/>
    <w:rsid w:val="007C70B6"/>
    <w:rsid w:val="007D2473"/>
    <w:rsid w:val="007D4290"/>
    <w:rsid w:val="007E0ECA"/>
    <w:rsid w:val="007F79BC"/>
    <w:rsid w:val="00802DE1"/>
    <w:rsid w:val="00807485"/>
    <w:rsid w:val="00861360"/>
    <w:rsid w:val="00881E60"/>
    <w:rsid w:val="008A149A"/>
    <w:rsid w:val="008A4371"/>
    <w:rsid w:val="008B7C66"/>
    <w:rsid w:val="008E2056"/>
    <w:rsid w:val="008E3A63"/>
    <w:rsid w:val="008F1F49"/>
    <w:rsid w:val="008F5A89"/>
    <w:rsid w:val="009570EC"/>
    <w:rsid w:val="00994FD9"/>
    <w:rsid w:val="009F020C"/>
    <w:rsid w:val="009F2B0D"/>
    <w:rsid w:val="009F495A"/>
    <w:rsid w:val="00A07A04"/>
    <w:rsid w:val="00A14105"/>
    <w:rsid w:val="00A22FD3"/>
    <w:rsid w:val="00A26CF7"/>
    <w:rsid w:val="00A4259F"/>
    <w:rsid w:val="00A54574"/>
    <w:rsid w:val="00A549F1"/>
    <w:rsid w:val="00A6608A"/>
    <w:rsid w:val="00A71125"/>
    <w:rsid w:val="00AA4826"/>
    <w:rsid w:val="00AA5272"/>
    <w:rsid w:val="00AB276D"/>
    <w:rsid w:val="00AB2801"/>
    <w:rsid w:val="00AC227F"/>
    <w:rsid w:val="00B04A5B"/>
    <w:rsid w:val="00B1025A"/>
    <w:rsid w:val="00B1289F"/>
    <w:rsid w:val="00B12BD9"/>
    <w:rsid w:val="00B15037"/>
    <w:rsid w:val="00B27AD5"/>
    <w:rsid w:val="00B811BB"/>
    <w:rsid w:val="00B92D9F"/>
    <w:rsid w:val="00BA4C79"/>
    <w:rsid w:val="00C211CD"/>
    <w:rsid w:val="00C23EA9"/>
    <w:rsid w:val="00C458DF"/>
    <w:rsid w:val="00C763A8"/>
    <w:rsid w:val="00C77351"/>
    <w:rsid w:val="00C8237E"/>
    <w:rsid w:val="00C84036"/>
    <w:rsid w:val="00C97CCE"/>
    <w:rsid w:val="00CA17D4"/>
    <w:rsid w:val="00CA5279"/>
    <w:rsid w:val="00CB44FB"/>
    <w:rsid w:val="00CD407A"/>
    <w:rsid w:val="00D20452"/>
    <w:rsid w:val="00D567A5"/>
    <w:rsid w:val="00DB79A6"/>
    <w:rsid w:val="00DD6D5D"/>
    <w:rsid w:val="00E30699"/>
    <w:rsid w:val="00E40B8C"/>
    <w:rsid w:val="00E51801"/>
    <w:rsid w:val="00E73647"/>
    <w:rsid w:val="00E74C71"/>
    <w:rsid w:val="00E86A58"/>
    <w:rsid w:val="00EB7A57"/>
    <w:rsid w:val="00EC7941"/>
    <w:rsid w:val="00EE7C5C"/>
    <w:rsid w:val="00F22E3E"/>
    <w:rsid w:val="00F30FE7"/>
    <w:rsid w:val="00F3677D"/>
    <w:rsid w:val="00F506C8"/>
    <w:rsid w:val="00F665EA"/>
    <w:rsid w:val="00F737D8"/>
    <w:rsid w:val="00F97006"/>
    <w:rsid w:val="00FD3426"/>
    <w:rsid w:val="00FD4ADA"/>
    <w:rsid w:val="00FE1535"/>
    <w:rsid w:val="00FE5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9E059"/>
  <w15:chartTrackingRefBased/>
  <w15:docId w15:val="{2F7A9D79-200C-4129-BC44-152922C47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9F1"/>
    <w:rPr>
      <w:rFonts w:eastAsiaTheme="majorEastAsia" w:cstheme="majorBidi"/>
      <w:color w:val="272727" w:themeColor="text1" w:themeTint="D8"/>
    </w:rPr>
  </w:style>
  <w:style w:type="paragraph" w:styleId="Title">
    <w:name w:val="Title"/>
    <w:basedOn w:val="Normal"/>
    <w:next w:val="Normal"/>
    <w:link w:val="TitleChar"/>
    <w:uiPriority w:val="10"/>
    <w:qFormat/>
    <w:rsid w:val="00A54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9F1"/>
    <w:pPr>
      <w:spacing w:before="160"/>
      <w:jc w:val="center"/>
    </w:pPr>
    <w:rPr>
      <w:i/>
      <w:iCs/>
      <w:color w:val="404040" w:themeColor="text1" w:themeTint="BF"/>
    </w:rPr>
  </w:style>
  <w:style w:type="character" w:customStyle="1" w:styleId="QuoteChar">
    <w:name w:val="Quote Char"/>
    <w:basedOn w:val="DefaultParagraphFont"/>
    <w:link w:val="Quote"/>
    <w:uiPriority w:val="29"/>
    <w:rsid w:val="00A549F1"/>
    <w:rPr>
      <w:i/>
      <w:iCs/>
      <w:color w:val="404040" w:themeColor="text1" w:themeTint="BF"/>
    </w:rPr>
  </w:style>
  <w:style w:type="paragraph" w:styleId="ListParagraph">
    <w:name w:val="List Paragraph"/>
    <w:basedOn w:val="Normal"/>
    <w:uiPriority w:val="34"/>
    <w:qFormat/>
    <w:rsid w:val="00A549F1"/>
    <w:pPr>
      <w:ind w:left="720"/>
      <w:contextualSpacing/>
    </w:pPr>
  </w:style>
  <w:style w:type="character" w:styleId="IntenseEmphasis">
    <w:name w:val="Intense Emphasis"/>
    <w:basedOn w:val="DefaultParagraphFont"/>
    <w:uiPriority w:val="21"/>
    <w:qFormat/>
    <w:rsid w:val="00A549F1"/>
    <w:rPr>
      <w:i/>
      <w:iCs/>
      <w:color w:val="0F4761" w:themeColor="accent1" w:themeShade="BF"/>
    </w:rPr>
  </w:style>
  <w:style w:type="paragraph" w:styleId="IntenseQuote">
    <w:name w:val="Intense Quote"/>
    <w:basedOn w:val="Normal"/>
    <w:next w:val="Normal"/>
    <w:link w:val="IntenseQuoteChar"/>
    <w:uiPriority w:val="30"/>
    <w:qFormat/>
    <w:rsid w:val="00A54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9F1"/>
    <w:rPr>
      <w:i/>
      <w:iCs/>
      <w:color w:val="0F4761" w:themeColor="accent1" w:themeShade="BF"/>
    </w:rPr>
  </w:style>
  <w:style w:type="character" w:styleId="IntenseReference">
    <w:name w:val="Intense Reference"/>
    <w:basedOn w:val="DefaultParagraphFont"/>
    <w:uiPriority w:val="32"/>
    <w:qFormat/>
    <w:rsid w:val="00A549F1"/>
    <w:rPr>
      <w:b/>
      <w:bCs/>
      <w:smallCaps/>
      <w:color w:val="0F4761" w:themeColor="accent1" w:themeShade="BF"/>
      <w:spacing w:val="5"/>
    </w:rPr>
  </w:style>
  <w:style w:type="paragraph" w:styleId="Header">
    <w:name w:val="header"/>
    <w:basedOn w:val="Normal"/>
    <w:link w:val="HeaderChar"/>
    <w:uiPriority w:val="99"/>
    <w:unhideWhenUsed/>
    <w:rsid w:val="005A7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B2D"/>
  </w:style>
  <w:style w:type="paragraph" w:styleId="Footer">
    <w:name w:val="footer"/>
    <w:basedOn w:val="Normal"/>
    <w:link w:val="FooterChar"/>
    <w:uiPriority w:val="99"/>
    <w:unhideWhenUsed/>
    <w:rsid w:val="005A7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B2D"/>
  </w:style>
  <w:style w:type="character" w:styleId="Hyperlink">
    <w:name w:val="Hyperlink"/>
    <w:basedOn w:val="DefaultParagraphFont"/>
    <w:uiPriority w:val="99"/>
    <w:unhideWhenUsed/>
    <w:rsid w:val="00BA4C79"/>
    <w:rPr>
      <w:color w:val="467886" w:themeColor="hyperlink"/>
      <w:u w:val="single"/>
    </w:rPr>
  </w:style>
  <w:style w:type="character" w:styleId="UnresolvedMention">
    <w:name w:val="Unresolved Mention"/>
    <w:basedOn w:val="DefaultParagraphFont"/>
    <w:uiPriority w:val="99"/>
    <w:semiHidden/>
    <w:unhideWhenUsed/>
    <w:rsid w:val="00BA4C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5963008">
      <w:bodyDiv w:val="1"/>
      <w:marLeft w:val="0"/>
      <w:marRight w:val="0"/>
      <w:marTop w:val="0"/>
      <w:marBottom w:val="0"/>
      <w:divBdr>
        <w:top w:val="none" w:sz="0" w:space="0" w:color="auto"/>
        <w:left w:val="none" w:sz="0" w:space="0" w:color="auto"/>
        <w:bottom w:val="none" w:sz="0" w:space="0" w:color="auto"/>
        <w:right w:val="none" w:sz="0" w:space="0" w:color="auto"/>
      </w:divBdr>
      <w:divsChild>
        <w:div w:id="7341607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dp-2022-0015/" TargetMode="External"/><Relationship Id="rId13" Type="http://schemas.openxmlformats.org/officeDocument/2006/relationships/hyperlink" Target="https://www.england.nhs.uk/mental-health/advancing-mental-health-equalities/pcref/" TargetMode="External"/><Relationship Id="rId3" Type="http://schemas.openxmlformats.org/officeDocument/2006/relationships/settings" Target="settings.xml"/><Relationship Id="rId7" Type="http://schemas.openxmlformats.org/officeDocument/2006/relationships/hyperlink" Target="https://doi.org/10.1080/1364557032000119616" TargetMode="External"/><Relationship Id="rId12" Type="http://schemas.openxmlformats.org/officeDocument/2006/relationships/hyperlink" Target="https://www.nmc.org.uk/standards/cod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nhs-long-term-plan-launche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1983/20/contents"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who.int/publications/i/item/9789240049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3936</Words>
  <Characters>25462</Characters>
  <Application>Microsoft Office Word</Application>
  <DocSecurity>0</DocSecurity>
  <Lines>517</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leite</dc:creator>
  <cp:keywords/>
  <dc:description/>
  <cp:lastModifiedBy>Saiset Trigueiros</cp:lastModifiedBy>
  <cp:revision>2</cp:revision>
  <dcterms:created xsi:type="dcterms:W3CDTF">2026-07-26T22:26:00Z</dcterms:created>
  <dcterms:modified xsi:type="dcterms:W3CDTF">2026-07-26T22:26:00Z</dcterms:modified>
</cp:coreProperties>
</file>