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003D1" w14:textId="6576E3FF" w:rsidR="00640001" w:rsidRPr="00B74148" w:rsidRDefault="005D63CC" w:rsidP="00B74148">
      <w:pPr>
        <w:jc w:val="center"/>
        <w:rPr>
          <w:b/>
          <w:bCs/>
          <w:sz w:val="24"/>
          <w:szCs w:val="24"/>
        </w:rPr>
      </w:pPr>
      <w:r w:rsidRPr="00B74148">
        <w:rPr>
          <w:b/>
          <w:bCs/>
          <w:sz w:val="24"/>
          <w:szCs w:val="24"/>
        </w:rPr>
        <w:t>Kane Simmonds</w:t>
      </w:r>
    </w:p>
    <w:p w14:paraId="7574B529" w14:textId="297B52C9" w:rsidR="005D63CC" w:rsidRPr="00B74148" w:rsidRDefault="005D63CC" w:rsidP="00B74148">
      <w:pPr>
        <w:jc w:val="center"/>
        <w:rPr>
          <w:b/>
          <w:bCs/>
          <w:sz w:val="24"/>
          <w:szCs w:val="24"/>
        </w:rPr>
      </w:pPr>
      <w:r w:rsidRPr="00B74148">
        <w:rPr>
          <w:b/>
          <w:bCs/>
          <w:sz w:val="24"/>
          <w:szCs w:val="24"/>
        </w:rPr>
        <w:t xml:space="preserve">Student Number: </w:t>
      </w:r>
      <w:hyperlink r:id="rId4" w:history="1">
        <w:r w:rsidRPr="00B74148">
          <w:rPr>
            <w:rStyle w:val="Hyperlink"/>
            <w:b/>
            <w:bCs/>
            <w:sz w:val="24"/>
            <w:szCs w:val="24"/>
          </w:rPr>
          <w:t>2134502@Student.uwtsd.ac.uk</w:t>
        </w:r>
      </w:hyperlink>
    </w:p>
    <w:p w14:paraId="219ED5A5" w14:textId="77777777" w:rsidR="00B74148" w:rsidRPr="00B74148" w:rsidRDefault="00B74148" w:rsidP="005D63CC">
      <w:pPr>
        <w:jc w:val="both"/>
        <w:rPr>
          <w:b/>
          <w:bCs/>
        </w:rPr>
      </w:pPr>
    </w:p>
    <w:p w14:paraId="7631C0C4"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Essay One: </w:t>
      </w:r>
    </w:p>
    <w:p w14:paraId="6DBD2193"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p>
    <w:p w14:paraId="0BBE06B5"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How has the organisational culture in policing changed due to professionalisation, and how can organisational culture affect officers’ well-being and resilience? </w:t>
      </w:r>
    </w:p>
    <w:p w14:paraId="5EDC9A32"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0144CC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In this first Essay, I will discuss organisational culture in a policing background how it has changed due to professionalisation and how organisational culture can affect officers’ wellbeing and resilience. </w:t>
      </w:r>
    </w:p>
    <w:p w14:paraId="4984638B"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6CD353E1"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Organisational culture in the Police</w:t>
      </w:r>
    </w:p>
    <w:p w14:paraId="35D23540"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C51B29D"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organisational culture within the police forces has undergone many changes as the years pass this can be attributed to societal changes, internal reforms, and the recognition of improved accountability, transparency, and community engagement all with a vital change in the police force. The recent changes that the Police have introduced to help with the organisational culture of transparency and accountability within the force. The more that these changes are discussed will help with the building and trust of the public when it comes to policing the communities. The use of technology and the integration it has had on the world and the police to help with improving data analysis, and improved body cameras for officers when serving the communities. </w:t>
      </w:r>
    </w:p>
    <w:p w14:paraId="453E0D1F"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88A412A" w14:textId="3312B0A2"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(Gutshmidt,</w:t>
      </w:r>
      <w:r w:rsidR="00500688">
        <w:rPr>
          <w:rFonts w:ascii="Segoe UI" w:eastAsia="Times New Roman" w:hAnsi="Segoe UI" w:cs="Segoe UI"/>
          <w:color w:val="242424"/>
          <w:kern w:val="0"/>
          <w:sz w:val="23"/>
          <w:szCs w:val="23"/>
          <w:lang w:eastAsia="en-GB"/>
          <w14:ligatures w14:val="none"/>
        </w:rPr>
        <w:t xml:space="preserve"> Organizational Culture, stress and coping strategies in the police,</w:t>
      </w:r>
      <w:r w:rsidRPr="0010272A">
        <w:rPr>
          <w:rFonts w:ascii="Segoe UI" w:eastAsia="Times New Roman" w:hAnsi="Segoe UI" w:cs="Segoe UI"/>
          <w:color w:val="242424"/>
          <w:kern w:val="0"/>
          <w:sz w:val="23"/>
          <w:szCs w:val="23"/>
          <w:lang w:eastAsia="en-GB"/>
          <w14:ligatures w14:val="none"/>
        </w:rPr>
        <w:t xml:space="preserve"> 2021,)</w:t>
      </w:r>
      <w:r>
        <w:rPr>
          <w:rFonts w:ascii="Segoe UI" w:eastAsia="Times New Roman" w:hAnsi="Segoe UI" w:cs="Segoe UI"/>
          <w:color w:val="242424"/>
          <w:kern w:val="0"/>
          <w:sz w:val="23"/>
          <w:szCs w:val="23"/>
          <w:lang w:eastAsia="en-GB"/>
          <w14:ligatures w14:val="none"/>
        </w:rPr>
        <w:t xml:space="preserve"> </w:t>
      </w:r>
      <w:r w:rsidRPr="0010272A">
        <w:rPr>
          <w:rFonts w:ascii="Segoe UI" w:eastAsia="Times New Roman" w:hAnsi="Segoe UI" w:cs="Segoe UI"/>
          <w:color w:val="242424"/>
          <w:kern w:val="0"/>
          <w:sz w:val="23"/>
          <w:szCs w:val="23"/>
          <w:lang w:eastAsia="en-GB"/>
          <w14:ligatures w14:val="none"/>
        </w:rPr>
        <w:t xml:space="preserve">Organisational culture, stress and coping strategies in the police: an empirical investigation) conducted an online survey of 152 German Police officers who were questioned to describe the workplace regarding coping strategies. Conservative male culture is stronger in the workgroups with high operational stress, the study indicates the police culture depends on the stress level of the workgroup which will then influence the officers. </w:t>
      </w:r>
    </w:p>
    <w:p w14:paraId="6AF2DF7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273D823" w14:textId="70EF643C"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Diversity and Inclusion is a huge change that has been introduced to the Police forces, this can help with creating inclusive cultures that can reflect on the communities’ officers serve. It was important to welcome different cultures to the force, those who join can share their knowledge and skills on how they manage organisational culture. Ethical standards are important when being in the police force and outside of the police force. Understanding all ethical backgrounds and the codes of conduct to guide officers’ behaviour whilst on and off shift</w:t>
      </w:r>
      <w:r w:rsidR="00500688">
        <w:rPr>
          <w:rFonts w:ascii="Segoe UI" w:eastAsia="Times New Roman" w:hAnsi="Segoe UI" w:cs="Segoe UI"/>
          <w:color w:val="242424"/>
          <w:kern w:val="0"/>
          <w:sz w:val="23"/>
          <w:szCs w:val="23"/>
          <w:lang w:eastAsia="en-GB"/>
          <w14:ligatures w14:val="none"/>
        </w:rPr>
        <w:t xml:space="preserve"> (Tudor. S, Police Standards and Culture)</w:t>
      </w:r>
    </w:p>
    <w:p w14:paraId="31376C9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64DA75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A massive and noticeable change that has been performed is the transition to community-oriented policing. The Police have focused more on departments that collaborate with community partnerships which allows for partnerships to be created, </w:t>
      </w:r>
      <w:r w:rsidRPr="0010272A">
        <w:rPr>
          <w:rFonts w:ascii="Segoe UI" w:eastAsia="Times New Roman" w:hAnsi="Segoe UI" w:cs="Segoe UI"/>
          <w:color w:val="242424"/>
          <w:kern w:val="0"/>
          <w:sz w:val="23"/>
          <w:szCs w:val="23"/>
          <w:lang w:eastAsia="en-GB"/>
          <w14:ligatures w14:val="none"/>
        </w:rPr>
        <w:lastRenderedPageBreak/>
        <w:t xml:space="preserve">these can be small upcoming organisations, schools, and residents at the address. The police will deliver what changes can be implemented to those and help with forming relationships and partnerships to support those. Such as culture should be widespread in the workplace making sure that officers understand the culture that joins the police forces. </w:t>
      </w:r>
    </w:p>
    <w:p w14:paraId="477AF0B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C196DD9" w14:textId="7A005715"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Organisational Culture Impact on Police Officers Organisational culture affects police officers in various ways, this could be by behaviour, attitudes, interactions with the community and how they have served. (</w:t>
      </w:r>
      <w:r w:rsidR="00500688">
        <w:rPr>
          <w:rFonts w:ascii="Segoe UI" w:eastAsia="Times New Roman" w:hAnsi="Segoe UI" w:cs="Segoe UI"/>
          <w:color w:val="242424"/>
          <w:kern w:val="0"/>
          <w:sz w:val="23"/>
          <w:szCs w:val="23"/>
          <w:lang w:eastAsia="en-GB"/>
          <w14:ligatures w14:val="none"/>
        </w:rPr>
        <w:t xml:space="preserve">Tudor. S, </w:t>
      </w:r>
      <w:r w:rsidRPr="0010272A">
        <w:rPr>
          <w:rFonts w:ascii="Segoe UI" w:eastAsia="Times New Roman" w:hAnsi="Segoe UI" w:cs="Segoe UI"/>
          <w:color w:val="242424"/>
          <w:kern w:val="0"/>
          <w:sz w:val="23"/>
          <w:szCs w:val="23"/>
          <w:lang w:eastAsia="en-GB"/>
          <w14:ligatures w14:val="none"/>
        </w:rPr>
        <w:t>House of Lords Library, 2023) have discussed the police standards ensuring to build police trust. The first principle discussed in ensuing that police are policing by consent meaning that officers should recognise that the power of a police officer is dependent on public respect. Officers should recognise the culture applying the law fairly ensuring that all cultures are treated the same with respect and transparency.</w:t>
      </w:r>
    </w:p>
    <w:p w14:paraId="5698155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3779FF2" w14:textId="52710A6C"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House of lord’s Library surveyed the public confidence with the police, the members of the public were questioned on how the police are doing when dealing with the community. The interviews were conducted over the telephone from March to October 2021. The members of the public stated that the police were doing a great job when it comes to policing the cultures that they face resulting in 67% satisfaction this percentage has decreased by 1% from the previous year for public satisfaction. </w:t>
      </w:r>
    </w:p>
    <w:p w14:paraId="3F3FCBA0"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D73824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organisational culture of the police has shifted towards more community-oriented policing being transparent with the communities and staff and more accountable practices. However, challenges remain in fully realising the changes that have happened and ongoing efforts are needed to understand and ensure policing reflects and values diverse communities while maintaining public safety. </w:t>
      </w:r>
    </w:p>
    <w:p w14:paraId="2358DC3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DAD22BF" w14:textId="77777777" w:rsidR="0050068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The Poli</w:t>
      </w:r>
      <w:r w:rsidR="00500688">
        <w:rPr>
          <w:rFonts w:ascii="Segoe UI" w:eastAsia="Times New Roman" w:hAnsi="Segoe UI" w:cs="Segoe UI"/>
          <w:color w:val="242424"/>
          <w:kern w:val="0"/>
          <w:sz w:val="23"/>
          <w:szCs w:val="23"/>
          <w:lang w:eastAsia="en-GB"/>
          <w14:ligatures w14:val="none"/>
        </w:rPr>
        <w:t>c</w:t>
      </w:r>
      <w:r w:rsidRPr="0010272A">
        <w:rPr>
          <w:rFonts w:ascii="Segoe UI" w:eastAsia="Times New Roman" w:hAnsi="Segoe UI" w:cs="Segoe UI"/>
          <w:color w:val="242424"/>
          <w:kern w:val="0"/>
          <w:sz w:val="23"/>
          <w:szCs w:val="23"/>
          <w:lang w:eastAsia="en-GB"/>
          <w14:ligatures w14:val="none"/>
        </w:rPr>
        <w:t xml:space="preserve">e forces in England and Wales are facing challenges when it comes to Diversity and Inclusion. Sir Robert Peel states “Police are the public and the Public are the Police”. All police officers serve several communities therefore they carry the values due to the wide preferences these could be gender, race, sexual orientation, and identity. </w:t>
      </w:r>
    </w:p>
    <w:p w14:paraId="29B3DCF5" w14:textId="77777777"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3060E31" w14:textId="661AB58D"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lack of awareness of these could result in negative stereotyping of a particular characteristic. As the years pass the knowledge of officers increases this stereotype is slowly decreasing as officers are becoming more aware. The forces are providing training to the officers to reduce reliance on stereotypes, these help with knowledge, and allow officers to create awareness as officers interact with the community daily and serve the public. (Gold, 2022, Improving Community relations in the police through procedural justice – an action learning initiative) </w:t>
      </w:r>
    </w:p>
    <w:p w14:paraId="5B05C7F5" w14:textId="77777777"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8151010" w14:textId="6F9FA83B"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Conclusion </w:t>
      </w:r>
    </w:p>
    <w:p w14:paraId="3B161F8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AC4AFE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To summarise Essay One, I have spoken about how Organisational Culture has changed within the Police force, I have mentioned the changes that have been implemented in </w:t>
      </w:r>
      <w:r w:rsidRPr="0010272A">
        <w:rPr>
          <w:rFonts w:ascii="Segoe UI" w:eastAsia="Times New Roman" w:hAnsi="Segoe UI" w:cs="Segoe UI"/>
          <w:color w:val="242424"/>
          <w:kern w:val="0"/>
          <w:sz w:val="23"/>
          <w:szCs w:val="23"/>
          <w:lang w:eastAsia="en-GB"/>
          <w14:ligatures w14:val="none"/>
        </w:rPr>
        <w:lastRenderedPageBreak/>
        <w:t>the force such as the importance of Transparency and Accountability to help build trust within the communities. I have mentioned the use of technology and how that is used to support organisational culture.</w:t>
      </w:r>
    </w:p>
    <w:p w14:paraId="6A5F5AB3"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FAD6CDA" w14:textId="17174C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 have </w:t>
      </w:r>
      <w:r>
        <w:rPr>
          <w:rFonts w:ascii="Segoe UI" w:eastAsia="Times New Roman" w:hAnsi="Segoe UI" w:cs="Segoe UI"/>
          <w:color w:val="242424"/>
          <w:kern w:val="0"/>
          <w:sz w:val="23"/>
          <w:szCs w:val="23"/>
          <w:lang w:eastAsia="en-GB"/>
          <w14:ligatures w14:val="none"/>
        </w:rPr>
        <w:t>discussed</w:t>
      </w:r>
      <w:r w:rsidRPr="0010272A">
        <w:rPr>
          <w:rFonts w:ascii="Segoe UI" w:eastAsia="Times New Roman" w:hAnsi="Segoe UI" w:cs="Segoe UI"/>
          <w:color w:val="242424"/>
          <w:kern w:val="0"/>
          <w:sz w:val="23"/>
          <w:szCs w:val="23"/>
          <w:lang w:eastAsia="en-GB"/>
          <w14:ligatures w14:val="none"/>
        </w:rPr>
        <w:t xml:space="preserve"> Diversity and how it can help with creating inclusive cultures so that police staff can share their knowledge and skills. I have then discussed the effect organisational culture has on the Police and how the Police need to be able to identify the characteristics that are based within the communities that the police serve.</w:t>
      </w:r>
    </w:p>
    <w:p w14:paraId="2B35A14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3787EC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I have acknowledged the forces in England and Wales provide training to the officers to able to allow officers to understand the importance of. I have spoken about the shift towards Community Oriented Policing how transparent police need to be within the communities and how they can collaborate with different partnerships which will help with building trust.        </w:t>
      </w:r>
    </w:p>
    <w:p w14:paraId="00A4604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D0F32CE"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Essay Two: </w:t>
      </w:r>
    </w:p>
    <w:p w14:paraId="0B1CD199"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p>
    <w:p w14:paraId="6BA18178"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Why are partnership approaches the most effective means of improving community engagement? </w:t>
      </w:r>
    </w:p>
    <w:p w14:paraId="2DF0BCD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789AC2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During this Second Task, I will discuss why partner approaches are effective when it comes to improving community engagement. </w:t>
      </w:r>
    </w:p>
    <w:p w14:paraId="479ED79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3C0CFBC"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Community Engagement </w:t>
      </w:r>
    </w:p>
    <w:p w14:paraId="06EE350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B74AC7F"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What is community engagement, community engagement is a way of developing a working relationship between the members of the communities and public partnerships such as the local council. Good community engagement means that both parties can understand the needs and issues of the community and work to strengthen those issues. </w:t>
      </w:r>
    </w:p>
    <w:p w14:paraId="460A805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32583B8" w14:textId="39974E81"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There are main beneficiaries when it comes to community engagement by the local communities. The communities are there to help strengthen the local social systems within the community and improve on the leading &amp; Decision making that helps with community data. Community engagement should create new dynamics, it’s all about listening to the local communities and working towards new interventions building trust, long-term relationships, and the willingness to participate. </w:t>
      </w:r>
      <w:r w:rsidR="00500688">
        <w:rPr>
          <w:rFonts w:ascii="Segoe UI" w:eastAsia="Times New Roman" w:hAnsi="Segoe UI" w:cs="Segoe UI"/>
          <w:color w:val="242424"/>
          <w:kern w:val="0"/>
          <w:sz w:val="23"/>
          <w:szCs w:val="23"/>
          <w:lang w:eastAsia="en-GB"/>
          <w14:ligatures w14:val="none"/>
        </w:rPr>
        <w:t xml:space="preserve">(Gold. J, Improving community relations in the police through procedural justice, 2022). </w:t>
      </w:r>
    </w:p>
    <w:p w14:paraId="5BD23644" w14:textId="77777777"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13B025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Tandfonline states local communities are in place to help build the trust and relationships needed from those who live inside of the community to improve the engagement when it comes to dealing with the police or other community engagement. </w:t>
      </w:r>
    </w:p>
    <w:p w14:paraId="3850E735" w14:textId="0536E4FD"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(Schiavo, </w:t>
      </w:r>
      <w:r w:rsidR="00B2666A">
        <w:rPr>
          <w:rFonts w:ascii="Segoe UI" w:eastAsia="Times New Roman" w:hAnsi="Segoe UI" w:cs="Segoe UI"/>
          <w:color w:val="242424"/>
          <w:kern w:val="0"/>
          <w:sz w:val="23"/>
          <w:szCs w:val="23"/>
          <w:lang w:eastAsia="en-GB"/>
          <w14:ligatures w14:val="none"/>
        </w:rPr>
        <w:t>what</w:t>
      </w:r>
      <w:r>
        <w:rPr>
          <w:rFonts w:ascii="Segoe UI" w:eastAsia="Times New Roman" w:hAnsi="Segoe UI" w:cs="Segoe UI"/>
          <w:color w:val="242424"/>
          <w:kern w:val="0"/>
          <w:sz w:val="23"/>
          <w:szCs w:val="23"/>
          <w:lang w:eastAsia="en-GB"/>
          <w14:ligatures w14:val="none"/>
        </w:rPr>
        <w:t xml:space="preserve"> is true community engagement and why it matters, 2021)</w:t>
      </w:r>
    </w:p>
    <w:p w14:paraId="4B59A208" w14:textId="77777777"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880323F" w14:textId="29E82ED6"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If the members of the public were not willing to cooperate policing would become essentially unworkable, this is to show that with effective community engagement, the </w:t>
      </w:r>
      <w:r w:rsidRPr="0010272A">
        <w:rPr>
          <w:rFonts w:ascii="Segoe UI" w:eastAsia="Times New Roman" w:hAnsi="Segoe UI" w:cs="Segoe UI"/>
          <w:color w:val="242424"/>
          <w:kern w:val="0"/>
          <w:sz w:val="23"/>
          <w:szCs w:val="23"/>
          <w:lang w:eastAsia="en-GB"/>
          <w14:ligatures w14:val="none"/>
        </w:rPr>
        <w:lastRenderedPageBreak/>
        <w:t xml:space="preserve">police have increased the demand for targeted foot patrols in areas that are high with crime to ensure that the Police are listening to the public to show that presence and engagement. By improving the public perceptions this allows for the communities and partnerships to increase the trust in the police and enhance the service when needed. </w:t>
      </w:r>
    </w:p>
    <w:p w14:paraId="3914625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E0E94ED"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College of Policing have listed several benefits that come with effective engagement, they state that the increase in public perceptions will allow for the police to keep the communities more safe by delivering more police officers walking in the area, the decrease in ASB and disorder as guidance and education is delivered, with engagement this allows the trust of the communities to be increased and allow the members of the public to have that confidence is the Police that positive action will be taken and finally ensuring that officers attitudes when engaging with the community is a positive one and delivering satisfaction to those leaving them with trust and confidence. </w:t>
      </w:r>
    </w:p>
    <w:p w14:paraId="70742DB3"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40A118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Failing to engage with the community with allow for the increase of incidents to occur more often and potentially lead to critical incidents. If this occurs the communities will lose confidence in the Police. College of Policing has outlined several points to ineffective engagement with communities such as the loss of confidence, which is hard to increase, the increased vulnerabilities with those in the community and finally the lack of awareness of the changes that occur within the community, if the Police can see the changes, then this will lead to negative impacts when looking to engage and work with partners. (College of Policing, 2013) </w:t>
      </w:r>
    </w:p>
    <w:p w14:paraId="0150533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DB61275" w14:textId="641F1579" w:rsid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PSCO </w:t>
      </w:r>
      <w:r>
        <w:rPr>
          <w:rFonts w:ascii="Segoe UI" w:eastAsia="Times New Roman" w:hAnsi="Segoe UI" w:cs="Segoe UI"/>
          <w:b/>
          <w:bCs/>
          <w:color w:val="242424"/>
          <w:kern w:val="0"/>
          <w:sz w:val="23"/>
          <w:szCs w:val="23"/>
          <w:lang w:eastAsia="en-GB"/>
          <w14:ligatures w14:val="none"/>
        </w:rPr>
        <w:t xml:space="preserve">Role </w:t>
      </w:r>
    </w:p>
    <w:p w14:paraId="4E28CFA3"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p>
    <w:p w14:paraId="2CEF043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Role The Police community support officers are vital members of the police when it comes to community engagement and showing presence. The PCSOs act as a liaison point between the community and the police, they provide a high presence of visibility, offer reassurance to the public, help with defusing situations that occur regularly, ensure that the trust of the community is being developed and built and maintained and to help gather information and intelligence for local officers. </w:t>
      </w:r>
    </w:p>
    <w:p w14:paraId="68812D7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EBACBC8" w14:textId="299F5CED"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College of Policing has outlined a few key accountabilities that the PSCO are required to ensure that engagement is kept to a standard that is required. They are required to maintain a presence in the community and address the communities’ concerns and improve community confidence, develop relationships with businesses and individuals, this is vitally important and finally, ensures that the needs of those are managed. (College of Policing, </w:t>
      </w:r>
      <w:r w:rsidR="00500688">
        <w:rPr>
          <w:rFonts w:ascii="Segoe UI" w:eastAsia="Times New Roman" w:hAnsi="Segoe UI" w:cs="Segoe UI"/>
          <w:color w:val="242424"/>
          <w:kern w:val="0"/>
          <w:sz w:val="23"/>
          <w:szCs w:val="23"/>
          <w:lang w:eastAsia="en-GB"/>
          <w14:ligatures w14:val="none"/>
        </w:rPr>
        <w:t>2019</w:t>
      </w:r>
      <w:r w:rsidRPr="0010272A">
        <w:rPr>
          <w:rFonts w:ascii="Segoe UI" w:eastAsia="Times New Roman" w:hAnsi="Segoe UI" w:cs="Segoe UI"/>
          <w:color w:val="242424"/>
          <w:kern w:val="0"/>
          <w:sz w:val="23"/>
          <w:szCs w:val="23"/>
          <w:lang w:eastAsia="en-GB"/>
          <w14:ligatures w14:val="none"/>
        </w:rPr>
        <w:t xml:space="preserve">) </w:t>
      </w:r>
    </w:p>
    <w:p w14:paraId="1F289A6A"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3B8976A"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Partnerships Approaches </w:t>
      </w:r>
    </w:p>
    <w:p w14:paraId="0B95C59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BC9933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When organisations engage with the communities the approach, they take partnerships can greatly influence the success and sustainability of their efforts There are several partnerships approaches that originations can consider ensuring community engagement. </w:t>
      </w:r>
    </w:p>
    <w:p w14:paraId="4F214D4B"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B9F057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Collaborative partnerships involve working closely with community members, local originations, and stakeholders. The approach emphasises shared decision-making where all parties can contribute fairly to planning, implementing, and evaluating. By valuing local expertise organisations can create programs that better meet the needs of the community. These needs can be met through open communication channels and regular meetings among other partners. These partnerships are beneficial because they help with the building of trust and confidence and enhance community ownership and long-term success. </w:t>
      </w:r>
    </w:p>
    <w:p w14:paraId="6E52102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B33DD07" w14:textId="77777777" w:rsidR="0050068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Funding partnerships involve collaborating with donor foundations or government agencies to secure financial support for community creativities. These partnerships are crucial for securing resources to implement programs and projects.</w:t>
      </w:r>
    </w:p>
    <w:p w14:paraId="74A13D23" w14:textId="77777777"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EA0C008" w14:textId="5FB317B4"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Organisations can also engage with co-funding partnerships where multiple organisations can resource to help achieve a common goal. This approach will help in diversifying sources, will reduce the financial burden, and increase the scale and impact of involvement. </w:t>
      </w:r>
    </w:p>
    <w:p w14:paraId="67F3AFA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AA73F3E"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Conclusion</w:t>
      </w:r>
    </w:p>
    <w:p w14:paraId="4D31D443"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BA8E4A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Effective community engagement requires thoughtful partnership approaches that prioritise collaboration between partnerships, team building, and funding for the partnerships. By choosing the right mix of partnerships organisations can create sustainable impactful initiatives for the communities and help with driving positive change. </w:t>
      </w:r>
    </w:p>
    <w:p w14:paraId="6958E47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2415E2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To summarise this essay talks about the partnership approaches that are effective when it comes to community engagement. I have outlined what community engagement means and what it outlines, meaning when members of the community and partner agencies work together to form close and trusted relationships to help build confidence in the community.</w:t>
      </w:r>
    </w:p>
    <w:p w14:paraId="70C4FAF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FDCD3E9" w14:textId="5D42AC44"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 have discussed the positives of engagement and its importance and outlined if effective engagement is not met what negatives it could apply to the communities. I have outlined the role of a PCSO how they integrate with community engagement and how they are an effective resource to communities. At the end of the task, I discussed the partnership approaches that could be delivered with community engagement such as collaborative approaches or funding approaches to help gather the community's confidence.         </w:t>
      </w:r>
    </w:p>
    <w:p w14:paraId="65BA66F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5AA44A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4D60CA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661AF47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B4C44EC" w14:textId="77777777" w:rsidR="00065E69" w:rsidRDefault="00065E69"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B0DCD7B" w14:textId="19DAD5E4"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lastRenderedPageBreak/>
        <w:t xml:space="preserve">Essay Three </w:t>
      </w:r>
    </w:p>
    <w:p w14:paraId="1B90ABC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81B68DC"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Examine the positive and negative aspects of media attention when dealing with public protection incidents. </w:t>
      </w:r>
    </w:p>
    <w:p w14:paraId="6E9278CA"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430D86B"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During the third Essay, I will discuss the positives and negatives regarding media attention to public protection incidents that have occurred. I will discuss the positives and negatives that come with social media when delivering media. I have then outlined that the positives out way the negatives. I have then ended the essay with a summary providing an overview of the essay.</w:t>
      </w:r>
    </w:p>
    <w:p w14:paraId="60EB3E3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BBF7AEF"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Media attention </w:t>
      </w:r>
    </w:p>
    <w:p w14:paraId="3BDBF55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05F241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Media attention can have both positive and negative impacts when dealing with public protection incidents such as natural disasters, public health and public health crises or security threats. A positive is the increased awareness, media can quickly spread information about an incident when occurred ensuring that the public is aware and the potential dangers it may cause. This can advise and prompt individuals to take the necessary prosecutions this can be following safety guidance. </w:t>
      </w:r>
    </w:p>
    <w:p w14:paraId="5CF8E710"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3C5470D"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Media attention can be delivered over several various forms of media such as news outlets, social media, and radio. Media attention can have significant effects on public opinion, perceptions and even policies. This can change the perception of how people view certain issues and impact the popularity of individuals and organisations. </w:t>
      </w:r>
    </w:p>
    <w:p w14:paraId="524397B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62000BB" w14:textId="5D4E788D"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Positives</w:t>
      </w:r>
      <w:r>
        <w:rPr>
          <w:rFonts w:ascii="Segoe UI" w:eastAsia="Times New Roman" w:hAnsi="Segoe UI" w:cs="Segoe UI"/>
          <w:b/>
          <w:bCs/>
          <w:color w:val="242424"/>
          <w:kern w:val="0"/>
          <w:sz w:val="23"/>
          <w:szCs w:val="23"/>
          <w:lang w:eastAsia="en-GB"/>
          <w14:ligatures w14:val="none"/>
        </w:rPr>
        <w:t xml:space="preserve"> &amp; Negatives </w:t>
      </w:r>
    </w:p>
    <w:p w14:paraId="14C8B0B8"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23051D1"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A positive can be educational opportunities are another positive that comes with media attention. The media coverage will allow the opportunity to educate the public regarding the incident, and ways in which the incident and be prevented next time. This can lead to increased awareness for the members of the public and communities. </w:t>
      </w:r>
    </w:p>
    <w:p w14:paraId="42BFAA00"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DE98B3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Another positive of media coverage it allows for the promotion of safety measures such as safety campaigns by organisations such as seatbelt use, fire safety, and public health such as the Covid-19 lockdowns. These media coverages are a positive one as they target the audience who are not aware of these guidelines. An example of this would be the campaigns promoting the use of face masks during the COVID-19 outbreak across the World and social distancing.</w:t>
      </w:r>
    </w:p>
    <w:p w14:paraId="138E357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8A54650" w14:textId="569E2B45"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World Health Organisation, 2023) used online media coverage to guide the world during the year COVID-19 when it was at its peak. The organisation offered 1 one-hour course which allowed people to understand the importance of face masks. Videos were created to address the issue, and this helped with understanding the importance this was the address of social media to grab attention. </w:t>
      </w:r>
    </w:p>
    <w:p w14:paraId="478719D1"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4F64DF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lastRenderedPageBreak/>
        <w:t xml:space="preserve">Media attention can bring negative aspects such as Misinformation, media outlets may prioritise dramatic headlines or visuals which can lead to misinformation or panic among the public and create unnecessary fear and confusion among those within the community. </w:t>
      </w:r>
    </w:p>
    <w:p w14:paraId="18195A1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FA2E786" w14:textId="56EDB7E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Negative media attention could lead to impeding investigations premature or excessive media coverage of an ongoing investigation can compromise police work and hinder. This was a concern during the Boston Marathon bombing in 2013. (</w:t>
      </w:r>
      <w:r w:rsidR="00500688">
        <w:rPr>
          <w:rFonts w:ascii="Segoe UI" w:eastAsia="Times New Roman" w:hAnsi="Segoe UI" w:cs="Segoe UI"/>
          <w:color w:val="242424"/>
          <w:kern w:val="0"/>
          <w:sz w:val="23"/>
          <w:szCs w:val="23"/>
          <w:lang w:eastAsia="en-GB"/>
          <w14:ligatures w14:val="none"/>
        </w:rPr>
        <w:t xml:space="preserve">Trotter. J.K </w:t>
      </w:r>
      <w:r w:rsidRPr="0010272A">
        <w:rPr>
          <w:rFonts w:ascii="Segoe UI" w:eastAsia="Times New Roman" w:hAnsi="Segoe UI" w:cs="Segoe UI"/>
          <w:color w:val="242424"/>
          <w:kern w:val="0"/>
          <w:sz w:val="23"/>
          <w:szCs w:val="23"/>
          <w:lang w:eastAsia="en-GB"/>
          <w14:ligatures w14:val="none"/>
        </w:rPr>
        <w:t xml:space="preserve">The </w:t>
      </w:r>
      <w:r w:rsidR="00500688">
        <w:rPr>
          <w:rFonts w:ascii="Segoe UI" w:eastAsia="Times New Roman" w:hAnsi="Segoe UI" w:cs="Segoe UI"/>
          <w:color w:val="242424"/>
          <w:kern w:val="0"/>
          <w:sz w:val="23"/>
          <w:szCs w:val="23"/>
          <w:lang w:eastAsia="en-GB"/>
          <w14:ligatures w14:val="none"/>
        </w:rPr>
        <w:t>five best columns,</w:t>
      </w:r>
      <w:r w:rsidRPr="0010272A">
        <w:rPr>
          <w:rFonts w:ascii="Segoe UI" w:eastAsia="Times New Roman" w:hAnsi="Segoe UI" w:cs="Segoe UI"/>
          <w:color w:val="242424"/>
          <w:kern w:val="0"/>
          <w:sz w:val="23"/>
          <w:szCs w:val="23"/>
          <w:lang w:eastAsia="en-GB"/>
          <w14:ligatures w14:val="none"/>
        </w:rPr>
        <w:t xml:space="preserve"> 20</w:t>
      </w:r>
      <w:r w:rsidR="00500688">
        <w:rPr>
          <w:rFonts w:ascii="Segoe UI" w:eastAsia="Times New Roman" w:hAnsi="Segoe UI" w:cs="Segoe UI"/>
          <w:color w:val="242424"/>
          <w:kern w:val="0"/>
          <w:sz w:val="23"/>
          <w:szCs w:val="23"/>
          <w:lang w:eastAsia="en-GB"/>
          <w14:ligatures w14:val="none"/>
        </w:rPr>
        <w:t>22</w:t>
      </w:r>
      <w:r w:rsidRPr="0010272A">
        <w:rPr>
          <w:rFonts w:ascii="Segoe UI" w:eastAsia="Times New Roman" w:hAnsi="Segoe UI" w:cs="Segoe UI"/>
          <w:color w:val="242424"/>
          <w:kern w:val="0"/>
          <w:sz w:val="23"/>
          <w:szCs w:val="23"/>
          <w:lang w:eastAsia="en-GB"/>
          <w14:ligatures w14:val="none"/>
        </w:rPr>
        <w:t xml:space="preserve">) discuss the media coverage of the incident whereby they state there was a huge spread of misinformation regarding the incident. </w:t>
      </w:r>
    </w:p>
    <w:p w14:paraId="4798C31D"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A821BA8"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Several News outlets produced headlines stating different titles. This then caused the members of the event to be unsure of what had occurred that day which gave them false information to believe. </w:t>
      </w:r>
    </w:p>
    <w:p w14:paraId="7C6BD9FD"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096B69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Media attention can play a crucial role in informing the communities of a Public Protection incident however, it does come with misinformation, resource strain and concerns. Balancing the need for transparency and public awareness with responsible reporting is key to maximising the positive impacts of media attention and coverage to help minimise the negative implications. (Lousie K, Coordination in rapidly evolving disaster response systems, 2004). </w:t>
      </w:r>
    </w:p>
    <w:p w14:paraId="40E6DC0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393BBFA"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positives out way the negatives when it comes to the Media attention for public protection incidents (Agnes Z &amp; Marc R, Pros &amp; Cons: Impacts of social media on mental health, 2023) that’s states that social media is the best technique when it comes to media attention, they state that it allows for rewarding interactions and raises awareness. It can provide a few opportunities it can bring positive discussions regarding events and everyday challenges. </w:t>
      </w:r>
    </w:p>
    <w:p w14:paraId="059F51F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C176896"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Summary </w:t>
      </w:r>
    </w:p>
    <w:p w14:paraId="39141AC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3535D4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To summarise this essay, I have discussed the positives and negatives regarding media attention for public protection incidents I outlined what media attention is what incidents can fall into that bracket and how the media can deliver the coverage. I then discussed the positives of media attention such as educational opportunities that would relate to educating the public regarding the incident which can help prevent it from happening next time and raise awareness. I have then addressed other positives such as safety measures campaigns such as the Covid-19 outbreak and what was done to help address the public.</w:t>
      </w:r>
    </w:p>
    <w:p w14:paraId="402DDCE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A809D01" w14:textId="0CEEDFB8"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 have then discussed the negatives that come with media attention. A negative was impeding investigations such as the Boston Marathon Bombing in 2013 and how the media were misleading the members of the public by stating different articles about the incident. Media attention can play a crucial role in information for the communities of </w:t>
      </w:r>
      <w:r w:rsidRPr="0010272A">
        <w:rPr>
          <w:rFonts w:ascii="Segoe UI" w:eastAsia="Times New Roman" w:hAnsi="Segoe UI" w:cs="Segoe UI"/>
          <w:color w:val="242424"/>
          <w:kern w:val="0"/>
          <w:sz w:val="23"/>
          <w:szCs w:val="23"/>
          <w:lang w:eastAsia="en-GB"/>
          <w14:ligatures w14:val="none"/>
        </w:rPr>
        <w:lastRenderedPageBreak/>
        <w:t>the public protection incident, balancing the needs and being transparent is key to maximising media attention to minimise negative implications.                  </w:t>
      </w:r>
    </w:p>
    <w:p w14:paraId="7313F85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1441960"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Essay Four </w:t>
      </w:r>
    </w:p>
    <w:p w14:paraId="5C8E6BDD"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p>
    <w:p w14:paraId="5ECCDE04"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Evaluate the effectiveness of cognitive interviews as a strategy for obtaining initial accounts from victims and witnesses.</w:t>
      </w:r>
    </w:p>
    <w:p w14:paraId="746E2C6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1AA22F1"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In this essay, I will discuss the effectiveness of cognitive interview strategies when it comes to obtaining initial accounts from victims and witnesses. I will discuss what interview strategies can be used to obtain those accounts, I will state which one is more suitable and the positives and negatives that may come with it. I will talk about the different types of interviews that can be done such as different teams. </w:t>
      </w:r>
    </w:p>
    <w:p w14:paraId="56F558F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6C83E5F6" w14:textId="49768A65"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9C46D8">
        <w:rPr>
          <w:rFonts w:ascii="Segoe UI" w:eastAsia="Times New Roman" w:hAnsi="Segoe UI" w:cs="Segoe UI"/>
          <w:b/>
          <w:bCs/>
          <w:color w:val="242424"/>
          <w:kern w:val="0"/>
          <w:sz w:val="23"/>
          <w:szCs w:val="23"/>
          <w:lang w:eastAsia="en-GB"/>
          <w14:ligatures w14:val="none"/>
        </w:rPr>
        <w:t>Interviews</w:t>
      </w:r>
    </w:p>
    <w:p w14:paraId="370B41F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5EE15A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Interviews are a key stage of any investigation as the information that has been obtained during the interview if the person being interviewed is willing to talk will eventually create new leads and evidence for the investigation (Adlet V, Eliciting reliable information in investigative interviews, 2014) state, not all cooperative victims and witnesses do not report all the information they know and their account may sometimes not add up some tend to withhold information or try and miss lead the interviewer.</w:t>
      </w:r>
    </w:p>
    <w:p w14:paraId="59C112E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EFF68C8"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They discuss a few approaches which can help in trying to obtain that information accurately such as two interviewers' styles encouraging the suspect to speak any information gathering styles seek to gather information and establish guilt. An accusatorial style approach means using closed questions to try to elicit confessions from the person being interviewed. During any interview, the ability to detect the truth is important which comes down to the techniques used. </w:t>
      </w:r>
    </w:p>
    <w:p w14:paraId="0763AF5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649E7DC"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Cognitive Interviews </w:t>
      </w:r>
    </w:p>
    <w:p w14:paraId="2C509B3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B5E907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cognitive interview is a questioning technique that is used by the Police forces to retrieve any information about a crime scene from witlessness or victims. A cognitive interview is an alternative method to a standard interview. (Simply Phycology, 2023). Cognitive interviews are often used in forensic investigations, research, and legal contact to obtain accurate accounts and are designed to recall the information used by closed and open questions, prompts and aid memory. </w:t>
      </w:r>
    </w:p>
    <w:p w14:paraId="65D869F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A65E89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effectiveness of cognitive interviews can be based on several factors such as including the skills of the interviewer, the characteristics of the interviewee and the crime that’s being discussed to be sure to obtain a full account. </w:t>
      </w:r>
    </w:p>
    <w:p w14:paraId="7297F99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B4ED37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There are key points when it comes to the effectiveness of Cognitive interviews such as Reduced information, cognitive interviews are more structured to minimize the </w:t>
      </w:r>
      <w:r w:rsidRPr="0010272A">
        <w:rPr>
          <w:rFonts w:ascii="Segoe UI" w:eastAsia="Times New Roman" w:hAnsi="Segoe UI" w:cs="Segoe UI"/>
          <w:color w:val="242424"/>
          <w:kern w:val="0"/>
          <w:sz w:val="23"/>
          <w:szCs w:val="23"/>
          <w:lang w:eastAsia="en-GB"/>
          <w14:ligatures w14:val="none"/>
        </w:rPr>
        <w:lastRenderedPageBreak/>
        <w:t xml:space="preserve">introduction of misleading information by focusing on the interviewee’s memory process rather than suggestive questions, and there is a reduced risk of contaminating information that is provided. </w:t>
      </w:r>
    </w:p>
    <w:p w14:paraId="2A12A23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7E6F898"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support for Vulnerable witnesses in the cognitive interviews is more comfortable and suitable for those who are more vulnerable, the people who fall into that bracket are children or individuals with cognitive impairments. The techniques used in the interviews can help these individuals communicate more comfortably about their experience more effectively. </w:t>
      </w:r>
    </w:p>
    <w:p w14:paraId="62DBB16A"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1321351"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cognitive interviews can be highly effective in obtaining initial accounts from the witnesses of victims based on the individual events that occurred during the incident. If the interview is managed correctly the cognitive interview can provide valuable information for investigations, research, and legal proceedings. </w:t>
      </w:r>
    </w:p>
    <w:p w14:paraId="191BBBC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8009C36"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p>
    <w:p w14:paraId="2A759D4F"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Stages of Cognitive Interviewing </w:t>
      </w:r>
    </w:p>
    <w:p w14:paraId="7D20A36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682ABAF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Cognitive interviews are broken down into stages to ensure the interview is as effective as possible. The first stage of a cognitive interview is ensuring there is an introduction making sure to build an open environment for the interviewee to be encouraged to provide information, clearly state the objectives of the interview, and make sure the interviewee understands the layout of the interview. </w:t>
      </w:r>
    </w:p>
    <w:p w14:paraId="4A53168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0951F5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second stage of the interview is ensuring there is a warm-up for the interview. Begin the interview with non-threatening questions to help the interviewee feel at ease and get the conversation flowing, ask general questions that will get them talking which does not cause them to feel threatened. </w:t>
      </w:r>
    </w:p>
    <w:p w14:paraId="23E08A6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82A48A3"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third stage will be the main cognitive interview itself. Explain to the interviewee the process of the interview and the outcome that is needed. Be sure to ask open and closed questions to encourage and much detailed response to understand the full story of the incident. </w:t>
      </w:r>
    </w:p>
    <w:p w14:paraId="0931906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D7D643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fourth stage would be summarising with the interviewee, covering the key points that were talked about during the interview to confirm the accuracy and the correct understanding. Being sure to ask for clarification and address any uncertainties, being sure to thank the interviewee for the information. </w:t>
      </w:r>
    </w:p>
    <w:p w14:paraId="5E7A263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F18C11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These stages can help ensure that cognitive interviews stay detailed accurate and valuable to any investigation whereby the evidence can help. (Paul. C, The practice of cognitive interviewing, 2007). </w:t>
      </w:r>
    </w:p>
    <w:p w14:paraId="43B4FA5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0F45A5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lastRenderedPageBreak/>
        <w:t xml:space="preserve">In this essay, I have spoken about the effectiveness of Cognitive Interviews in obtaining initial accounts from witnesses and victims of an incident. I have discussed the outline of an interview what it entails and how it creates new leads for the investigation, </w:t>
      </w:r>
    </w:p>
    <w:p w14:paraId="093A455A"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B83325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 </w:t>
      </w:r>
      <w:r>
        <w:rPr>
          <w:rFonts w:ascii="Segoe UI" w:eastAsia="Times New Roman" w:hAnsi="Segoe UI" w:cs="Segoe UI"/>
          <w:color w:val="242424"/>
          <w:kern w:val="0"/>
          <w:sz w:val="23"/>
          <w:szCs w:val="23"/>
          <w:lang w:eastAsia="en-GB"/>
          <w14:ligatures w14:val="none"/>
        </w:rPr>
        <w:t>have</w:t>
      </w:r>
      <w:r w:rsidRPr="0010272A">
        <w:rPr>
          <w:rFonts w:ascii="Segoe UI" w:eastAsia="Times New Roman" w:hAnsi="Segoe UI" w:cs="Segoe UI"/>
          <w:color w:val="242424"/>
          <w:kern w:val="0"/>
          <w:sz w:val="23"/>
          <w:szCs w:val="23"/>
          <w:lang w:eastAsia="en-GB"/>
          <w14:ligatures w14:val="none"/>
        </w:rPr>
        <w:t xml:space="preserve"> outlined the different types of interviews that can be used when it comes to obtaining accounts. I have then discussed the cognitive interview strategy; I have outlined what a cognitive interview is and how it is used for certain investigations. I have identified the effectiveness of the interviews and what key points help to support an interviewee to provide an account. </w:t>
      </w:r>
    </w:p>
    <w:p w14:paraId="132EE04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85E4E13"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I have then ended the essay by outlining the stages of a cognitive interview and what they entail for the interviewee when gaining account for a witness or victim. They discuss how to make the individual comfortable, what to cover when asking about the incident itself and how valuable they are for an investigation.</w:t>
      </w:r>
    </w:p>
    <w:p w14:paraId="556203A7" w14:textId="77777777" w:rsidR="00A31931" w:rsidRPr="009F6871" w:rsidRDefault="00A31931" w:rsidP="009F6871">
      <w:pPr>
        <w:jc w:val="both"/>
      </w:pPr>
    </w:p>
    <w:p w14:paraId="50C4EC9B" w14:textId="77777777" w:rsidR="0005151D" w:rsidRPr="00DF50DD" w:rsidRDefault="001B704B" w:rsidP="002301B9">
      <w:pPr>
        <w:jc w:val="both"/>
        <w:rPr>
          <w:b/>
          <w:bCs/>
          <w:sz w:val="28"/>
          <w:szCs w:val="28"/>
        </w:rPr>
      </w:pPr>
      <w:r w:rsidRPr="00DF50DD">
        <w:rPr>
          <w:b/>
          <w:bCs/>
          <w:sz w:val="28"/>
          <w:szCs w:val="28"/>
        </w:rPr>
        <w:t>Bibliography:</w:t>
      </w:r>
    </w:p>
    <w:p w14:paraId="083FC426" w14:textId="77777777" w:rsidR="00B2666A" w:rsidRDefault="00B2666A" w:rsidP="00DF50DD">
      <w:pPr>
        <w:pStyle w:val="NormalWeb"/>
        <w:ind w:left="567" w:hanging="567"/>
      </w:pPr>
      <w:r>
        <w:t xml:space="preserve">Beatty, </w:t>
      </w:r>
      <w:r>
        <w:t>P.C.,</w:t>
      </w:r>
      <w:r>
        <w:t xml:space="preserve"> and Willis, G.B. (2007) </w:t>
      </w:r>
      <w:r>
        <w:rPr>
          <w:i/>
          <w:iCs/>
        </w:rPr>
        <w:t>Research synthesis: The practice of cognitive interviewing</w:t>
      </w:r>
      <w:r>
        <w:t xml:space="preserve">, </w:t>
      </w:r>
      <w:r>
        <w:rPr>
          <w:i/>
          <w:iCs/>
        </w:rPr>
        <w:t>OUP Academic</w:t>
      </w:r>
      <w:r>
        <w:t xml:space="preserve">. Available at: https://academic.oup.com/poq/article/71/2/287/1928986 (Accessed: 06 March 2024). </w:t>
      </w:r>
    </w:p>
    <w:p w14:paraId="11549251" w14:textId="77777777" w:rsidR="00B2666A" w:rsidRDefault="00B2666A" w:rsidP="00853A28">
      <w:pPr>
        <w:pStyle w:val="NormalWeb"/>
        <w:ind w:left="567" w:hanging="567"/>
      </w:pPr>
      <w:r>
        <w:t xml:space="preserve">Comfort, L.K., Ko, K. and Zagorecki, A. (2004) ‘Coordination in rapidly evolving Disaster Response Systems’, </w:t>
      </w:r>
      <w:r>
        <w:rPr>
          <w:i/>
          <w:iCs/>
        </w:rPr>
        <w:t xml:space="preserve">American </w:t>
      </w:r>
      <w:r>
        <w:rPr>
          <w:i/>
          <w:iCs/>
        </w:rPr>
        <w:t>Behavioural</w:t>
      </w:r>
      <w:r>
        <w:rPr>
          <w:i/>
          <w:iCs/>
        </w:rPr>
        <w:t xml:space="preserve"> Scientist</w:t>
      </w:r>
      <w:r>
        <w:t xml:space="preserve">, 48(3), pp. 295–313. doi:10.1177/0002764204268987. </w:t>
      </w:r>
    </w:p>
    <w:p w14:paraId="747DDCDA" w14:textId="77777777" w:rsidR="00B2666A" w:rsidRDefault="00B2666A" w:rsidP="007D2D8F">
      <w:pPr>
        <w:pStyle w:val="NormalWeb"/>
        <w:ind w:left="567" w:hanging="567"/>
      </w:pPr>
      <w:r>
        <w:rPr>
          <w:i/>
          <w:iCs/>
        </w:rPr>
        <w:t>Community engagement examples: SCDC - we believe communities matter</w:t>
      </w:r>
      <w:r>
        <w:t xml:space="preserve"> (no date) </w:t>
      </w:r>
      <w:r>
        <w:rPr>
          <w:i/>
          <w:iCs/>
        </w:rPr>
        <w:t>SCDC</w:t>
      </w:r>
      <w:r>
        <w:t xml:space="preserve">. Available at: https://www.scdc.org.uk/community-engagement/examples (Accessed: 06 March 2024). </w:t>
      </w:r>
    </w:p>
    <w:p w14:paraId="1B8E9693" w14:textId="77777777" w:rsidR="00B2666A" w:rsidRDefault="00B2666A" w:rsidP="007D2D8F">
      <w:pPr>
        <w:pStyle w:val="NormalWeb"/>
        <w:ind w:left="567" w:hanging="567"/>
      </w:pPr>
      <w:r>
        <w:rPr>
          <w:i/>
          <w:iCs/>
        </w:rPr>
        <w:t>Engagement</w:t>
      </w:r>
      <w:r>
        <w:t xml:space="preserve"> (2013) </w:t>
      </w:r>
      <w:r>
        <w:rPr>
          <w:i/>
          <w:iCs/>
        </w:rPr>
        <w:t>College of Policing</w:t>
      </w:r>
      <w:r>
        <w:t xml:space="preserve">. Available at: https://www.college.police.uk/app/engagement-and-communication/engagement (Accessed: 06 March 2024). </w:t>
      </w:r>
    </w:p>
    <w:p w14:paraId="48335726" w14:textId="77777777" w:rsidR="00B2666A" w:rsidRDefault="00B2666A" w:rsidP="007D2D8F">
      <w:pPr>
        <w:pStyle w:val="NormalWeb"/>
        <w:ind w:left="567" w:hanging="567"/>
      </w:pPr>
      <w:r>
        <w:t xml:space="preserve">Gold, J. (2022) ‘Improving community relations in the police through procedural justice – an action learning initiative’, </w:t>
      </w:r>
      <w:r>
        <w:rPr>
          <w:i/>
          <w:iCs/>
        </w:rPr>
        <w:t>Action Learning: Research and Practice</w:t>
      </w:r>
      <w:r>
        <w:t xml:space="preserve">, 19(3), pp. 230–247. doi:10.1080/14767333.2022.2129586. </w:t>
      </w:r>
    </w:p>
    <w:p w14:paraId="74A32D29" w14:textId="77777777" w:rsidR="00B2666A" w:rsidRDefault="00B2666A" w:rsidP="007D2D8F">
      <w:pPr>
        <w:pStyle w:val="NormalWeb"/>
        <w:ind w:left="567" w:hanging="567"/>
      </w:pPr>
      <w:r>
        <w:t xml:space="preserve">Gutschmidt, D. and Vera, A. (2021) ‘Organizational culture, stress, and coping strategies in the police: An empirical investigation’, </w:t>
      </w:r>
      <w:r>
        <w:rPr>
          <w:i/>
          <w:iCs/>
        </w:rPr>
        <w:t>Police Practice and Research</w:t>
      </w:r>
      <w:r>
        <w:t xml:space="preserve">, 23(5), pp. 507–522. doi:10.1080/15614263.2021.1958683. </w:t>
      </w:r>
    </w:p>
    <w:p w14:paraId="33086E5D" w14:textId="77777777" w:rsidR="00B2666A" w:rsidRDefault="00B2666A" w:rsidP="00853A28">
      <w:pPr>
        <w:pStyle w:val="NormalWeb"/>
        <w:ind w:left="567" w:hanging="567"/>
      </w:pPr>
      <w:r>
        <w:t>McLeod</w:t>
      </w:r>
      <w:r>
        <w:t xml:space="preserve">, S. (2023) </w:t>
      </w:r>
      <w:r>
        <w:rPr>
          <w:i/>
          <w:iCs/>
        </w:rPr>
        <w:t>Cognitive interview technique</w:t>
      </w:r>
      <w:r>
        <w:t xml:space="preserve">, </w:t>
      </w:r>
      <w:r>
        <w:rPr>
          <w:i/>
          <w:iCs/>
        </w:rPr>
        <w:t>Simply Psychology</w:t>
      </w:r>
      <w:r>
        <w:t xml:space="preserve">. Available at: https://www.simplypsychology.org/cognitive-interview.html (Accessed: 06 March 2024). </w:t>
      </w:r>
    </w:p>
    <w:p w14:paraId="657EB1FC" w14:textId="77777777" w:rsidR="00B2666A" w:rsidRDefault="00B2666A" w:rsidP="007D2D8F">
      <w:pPr>
        <w:pStyle w:val="NormalWeb"/>
        <w:ind w:left="567" w:hanging="567"/>
      </w:pPr>
      <w:r>
        <w:rPr>
          <w:i/>
          <w:iCs/>
        </w:rPr>
        <w:lastRenderedPageBreak/>
        <w:t>Police Community Support Officer (PCSO)</w:t>
      </w:r>
      <w:r>
        <w:t xml:space="preserve"> (2019) </w:t>
      </w:r>
      <w:r>
        <w:rPr>
          <w:i/>
          <w:iCs/>
        </w:rPr>
        <w:t>College of Policing</w:t>
      </w:r>
      <w:r>
        <w:t xml:space="preserve">. Available at: https://profdev.college.police.uk/professional-profile/police-community-support-officer-pcso/#skills (Accessed: 06 March 2024). </w:t>
      </w:r>
    </w:p>
    <w:p w14:paraId="487F0655" w14:textId="77777777" w:rsidR="00B2666A" w:rsidRDefault="00B2666A" w:rsidP="007D2D8F">
      <w:pPr>
        <w:pStyle w:val="NormalWeb"/>
        <w:ind w:left="567" w:hanging="567"/>
      </w:pPr>
      <w:r>
        <w:t xml:space="preserve">Schiavo, R. (2021) ‘What is true community engagement and why it matters (now more than ever)’, </w:t>
      </w:r>
      <w:r>
        <w:rPr>
          <w:i/>
          <w:iCs/>
        </w:rPr>
        <w:t>Journal of Communication in Healthcare</w:t>
      </w:r>
      <w:r>
        <w:t xml:space="preserve">, 14(2), pp. 91–92. doi:10.1080/17538068.2021.1935569. </w:t>
      </w:r>
    </w:p>
    <w:p w14:paraId="4C22D966" w14:textId="77777777" w:rsidR="00B2666A" w:rsidRDefault="00B2666A" w:rsidP="00853A28">
      <w:pPr>
        <w:pStyle w:val="NormalWeb"/>
        <w:ind w:left="567" w:hanging="567"/>
      </w:pPr>
      <w:r>
        <w:t xml:space="preserve">Trotter, J.K. (2022) </w:t>
      </w:r>
      <w:r>
        <w:rPr>
          <w:i/>
          <w:iCs/>
        </w:rPr>
        <w:t>Five best Thursday columns</w:t>
      </w:r>
      <w:r>
        <w:t xml:space="preserve">, </w:t>
      </w:r>
      <w:r>
        <w:rPr>
          <w:i/>
          <w:iCs/>
        </w:rPr>
        <w:t>The Atlantic</w:t>
      </w:r>
      <w:r>
        <w:t xml:space="preserve">. Available at: https://www.theatlantic.com/national/archive/2013/04/five-best-thursday-columns/316149/ (Accessed: 06 March 2024). </w:t>
      </w:r>
    </w:p>
    <w:p w14:paraId="6FFAF4D2" w14:textId="77777777" w:rsidR="00B2666A" w:rsidRDefault="00B2666A" w:rsidP="007D2D8F">
      <w:pPr>
        <w:pStyle w:val="NormalWeb"/>
        <w:ind w:left="567" w:hanging="567"/>
      </w:pPr>
      <w:r>
        <w:t xml:space="preserve">Tudor, S. (no date) </w:t>
      </w:r>
      <w:r>
        <w:rPr>
          <w:i/>
          <w:iCs/>
        </w:rPr>
        <w:t>Police standards and culture: Restoring public trust</w:t>
      </w:r>
      <w:r>
        <w:t xml:space="preserve">. Available at: https://lordslibrary.parliament.uk/police-standards-and-culture-restoring-public-trust (Accessed: 06 March 2024). </w:t>
      </w:r>
    </w:p>
    <w:p w14:paraId="098F032B" w14:textId="77777777" w:rsidR="00B2666A" w:rsidRDefault="00B2666A" w:rsidP="00853A28">
      <w:pPr>
        <w:pStyle w:val="NormalWeb"/>
        <w:ind w:left="567" w:hanging="567"/>
      </w:pPr>
      <w:r>
        <w:t xml:space="preserve">Vrij, A., Hope, L. and Fisher, R.P. (2014) ‘Eliciting reliable information in investigative interviews’, </w:t>
      </w:r>
      <w:r>
        <w:rPr>
          <w:i/>
          <w:iCs/>
        </w:rPr>
        <w:t xml:space="preserve">Policy Insights from the </w:t>
      </w:r>
      <w:r>
        <w:rPr>
          <w:i/>
          <w:iCs/>
        </w:rPr>
        <w:t>Behavioural</w:t>
      </w:r>
      <w:r>
        <w:rPr>
          <w:i/>
          <w:iCs/>
        </w:rPr>
        <w:t xml:space="preserve"> and Brain Sciences</w:t>
      </w:r>
      <w:r>
        <w:t xml:space="preserve">, 1(1), pp. 129–136. doi:10.1177/2372732214548592. </w:t>
      </w:r>
    </w:p>
    <w:p w14:paraId="4E794B3B" w14:textId="77777777" w:rsidR="00B2666A" w:rsidRDefault="00B2666A" w:rsidP="00853A28">
      <w:pPr>
        <w:pStyle w:val="NormalWeb"/>
        <w:ind w:left="567" w:hanging="567"/>
      </w:pPr>
      <w:r>
        <w:rPr>
          <w:i/>
          <w:iCs/>
        </w:rPr>
        <w:t>When and how to use masks</w:t>
      </w:r>
      <w:r>
        <w:t xml:space="preserve"> (2021) </w:t>
      </w:r>
      <w:r>
        <w:rPr>
          <w:i/>
          <w:iCs/>
        </w:rPr>
        <w:t>World Health Organization</w:t>
      </w:r>
      <w:r>
        <w:t xml:space="preserve">. Available at: https://www.who.int/emergencies/diseases/novel-coronavirus-2019/advice-for-public/when-and-how-to-use-masks (Accessed: 06 March 2024). </w:t>
      </w:r>
    </w:p>
    <w:p w14:paraId="1205D7E6" w14:textId="2CC53580" w:rsidR="001C47AF" w:rsidRPr="001B704B" w:rsidRDefault="001C47AF" w:rsidP="00DF50DD">
      <w:pPr>
        <w:jc w:val="both"/>
        <w:rPr>
          <w:b/>
          <w:bCs/>
        </w:rPr>
      </w:pPr>
    </w:p>
    <w:sectPr w:rsidR="001C47AF" w:rsidRPr="001B70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D63CC"/>
    <w:rsid w:val="00000BAE"/>
    <w:rsid w:val="00011441"/>
    <w:rsid w:val="00012A8C"/>
    <w:rsid w:val="0005151D"/>
    <w:rsid w:val="00053463"/>
    <w:rsid w:val="00065E69"/>
    <w:rsid w:val="000C083E"/>
    <w:rsid w:val="000E08FE"/>
    <w:rsid w:val="00117AC2"/>
    <w:rsid w:val="00141BDF"/>
    <w:rsid w:val="00170BB0"/>
    <w:rsid w:val="0017245D"/>
    <w:rsid w:val="001B704B"/>
    <w:rsid w:val="001C47AF"/>
    <w:rsid w:val="001C7242"/>
    <w:rsid w:val="001D5B91"/>
    <w:rsid w:val="001E2678"/>
    <w:rsid w:val="001F30DE"/>
    <w:rsid w:val="002301B9"/>
    <w:rsid w:val="00251987"/>
    <w:rsid w:val="0026777E"/>
    <w:rsid w:val="00280CDB"/>
    <w:rsid w:val="00283C69"/>
    <w:rsid w:val="002A79F3"/>
    <w:rsid w:val="002B420E"/>
    <w:rsid w:val="002C4318"/>
    <w:rsid w:val="002D346F"/>
    <w:rsid w:val="002F2791"/>
    <w:rsid w:val="00326E80"/>
    <w:rsid w:val="00352AFC"/>
    <w:rsid w:val="00405DE3"/>
    <w:rsid w:val="00406D39"/>
    <w:rsid w:val="004749BB"/>
    <w:rsid w:val="00497ADB"/>
    <w:rsid w:val="00500688"/>
    <w:rsid w:val="00544908"/>
    <w:rsid w:val="0056460E"/>
    <w:rsid w:val="005C189B"/>
    <w:rsid w:val="005D63CC"/>
    <w:rsid w:val="00640001"/>
    <w:rsid w:val="00655642"/>
    <w:rsid w:val="006B0D00"/>
    <w:rsid w:val="007D1D30"/>
    <w:rsid w:val="007D2D8F"/>
    <w:rsid w:val="007F44FF"/>
    <w:rsid w:val="00853A28"/>
    <w:rsid w:val="0085796F"/>
    <w:rsid w:val="008928B5"/>
    <w:rsid w:val="00892951"/>
    <w:rsid w:val="008D1461"/>
    <w:rsid w:val="008D63BA"/>
    <w:rsid w:val="00920530"/>
    <w:rsid w:val="00971EC8"/>
    <w:rsid w:val="00973325"/>
    <w:rsid w:val="00974507"/>
    <w:rsid w:val="009C46D8"/>
    <w:rsid w:val="009E324C"/>
    <w:rsid w:val="009F6871"/>
    <w:rsid w:val="00A11FE1"/>
    <w:rsid w:val="00A31931"/>
    <w:rsid w:val="00A71E1D"/>
    <w:rsid w:val="00A804EB"/>
    <w:rsid w:val="00A9069D"/>
    <w:rsid w:val="00AD3896"/>
    <w:rsid w:val="00B104CF"/>
    <w:rsid w:val="00B2666A"/>
    <w:rsid w:val="00B74148"/>
    <w:rsid w:val="00B87ED3"/>
    <w:rsid w:val="00C24CF7"/>
    <w:rsid w:val="00CC795C"/>
    <w:rsid w:val="00CF6276"/>
    <w:rsid w:val="00D137AB"/>
    <w:rsid w:val="00D2453F"/>
    <w:rsid w:val="00DB5F12"/>
    <w:rsid w:val="00DE0854"/>
    <w:rsid w:val="00DF50DD"/>
    <w:rsid w:val="00E47963"/>
    <w:rsid w:val="00E5275D"/>
    <w:rsid w:val="00E5529B"/>
    <w:rsid w:val="00EA4744"/>
    <w:rsid w:val="00EC4996"/>
    <w:rsid w:val="00F57840"/>
    <w:rsid w:val="00F84173"/>
    <w:rsid w:val="00FB0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E25D2"/>
  <w15:docId w15:val="{77AF5227-DFA3-460C-BB49-8842AA0D3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63CC"/>
    <w:rPr>
      <w:color w:val="0563C1" w:themeColor="hyperlink"/>
      <w:u w:val="single"/>
    </w:rPr>
  </w:style>
  <w:style w:type="character" w:styleId="UnresolvedMention">
    <w:name w:val="Unresolved Mention"/>
    <w:basedOn w:val="DefaultParagraphFont"/>
    <w:uiPriority w:val="99"/>
    <w:semiHidden/>
    <w:unhideWhenUsed/>
    <w:rsid w:val="005D63CC"/>
    <w:rPr>
      <w:color w:val="605E5C"/>
      <w:shd w:val="clear" w:color="auto" w:fill="E1DFDD"/>
    </w:rPr>
  </w:style>
  <w:style w:type="character" w:styleId="FollowedHyperlink">
    <w:name w:val="FollowedHyperlink"/>
    <w:basedOn w:val="DefaultParagraphFont"/>
    <w:uiPriority w:val="99"/>
    <w:semiHidden/>
    <w:unhideWhenUsed/>
    <w:rsid w:val="007D2D8F"/>
    <w:rPr>
      <w:color w:val="954F72" w:themeColor="followedHyperlink"/>
      <w:u w:val="single"/>
    </w:rPr>
  </w:style>
  <w:style w:type="paragraph" w:styleId="NormalWeb">
    <w:name w:val="Normal (Web)"/>
    <w:basedOn w:val="Normal"/>
    <w:uiPriority w:val="99"/>
    <w:semiHidden/>
    <w:unhideWhenUsed/>
    <w:rsid w:val="007D2D8F"/>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600752">
      <w:bodyDiv w:val="1"/>
      <w:marLeft w:val="0"/>
      <w:marRight w:val="0"/>
      <w:marTop w:val="0"/>
      <w:marBottom w:val="0"/>
      <w:divBdr>
        <w:top w:val="none" w:sz="0" w:space="0" w:color="auto"/>
        <w:left w:val="none" w:sz="0" w:space="0" w:color="auto"/>
        <w:bottom w:val="none" w:sz="0" w:space="0" w:color="auto"/>
        <w:right w:val="none" w:sz="0" w:space="0" w:color="auto"/>
      </w:divBdr>
    </w:div>
    <w:div w:id="286356836">
      <w:bodyDiv w:val="1"/>
      <w:marLeft w:val="0"/>
      <w:marRight w:val="0"/>
      <w:marTop w:val="0"/>
      <w:marBottom w:val="0"/>
      <w:divBdr>
        <w:top w:val="none" w:sz="0" w:space="0" w:color="auto"/>
        <w:left w:val="none" w:sz="0" w:space="0" w:color="auto"/>
        <w:bottom w:val="none" w:sz="0" w:space="0" w:color="auto"/>
        <w:right w:val="none" w:sz="0" w:space="0" w:color="auto"/>
      </w:divBdr>
    </w:div>
    <w:div w:id="365372665">
      <w:bodyDiv w:val="1"/>
      <w:marLeft w:val="0"/>
      <w:marRight w:val="0"/>
      <w:marTop w:val="0"/>
      <w:marBottom w:val="0"/>
      <w:divBdr>
        <w:top w:val="none" w:sz="0" w:space="0" w:color="auto"/>
        <w:left w:val="none" w:sz="0" w:space="0" w:color="auto"/>
        <w:bottom w:val="none" w:sz="0" w:space="0" w:color="auto"/>
        <w:right w:val="none" w:sz="0" w:space="0" w:color="auto"/>
      </w:divBdr>
    </w:div>
    <w:div w:id="583271191">
      <w:bodyDiv w:val="1"/>
      <w:marLeft w:val="0"/>
      <w:marRight w:val="0"/>
      <w:marTop w:val="0"/>
      <w:marBottom w:val="0"/>
      <w:divBdr>
        <w:top w:val="none" w:sz="0" w:space="0" w:color="auto"/>
        <w:left w:val="none" w:sz="0" w:space="0" w:color="auto"/>
        <w:bottom w:val="none" w:sz="0" w:space="0" w:color="auto"/>
        <w:right w:val="none" w:sz="0" w:space="0" w:color="auto"/>
      </w:divBdr>
    </w:div>
    <w:div w:id="603149585">
      <w:bodyDiv w:val="1"/>
      <w:marLeft w:val="0"/>
      <w:marRight w:val="0"/>
      <w:marTop w:val="0"/>
      <w:marBottom w:val="0"/>
      <w:divBdr>
        <w:top w:val="none" w:sz="0" w:space="0" w:color="auto"/>
        <w:left w:val="none" w:sz="0" w:space="0" w:color="auto"/>
        <w:bottom w:val="none" w:sz="0" w:space="0" w:color="auto"/>
        <w:right w:val="none" w:sz="0" w:space="0" w:color="auto"/>
      </w:divBdr>
    </w:div>
    <w:div w:id="686755195">
      <w:bodyDiv w:val="1"/>
      <w:marLeft w:val="0"/>
      <w:marRight w:val="0"/>
      <w:marTop w:val="0"/>
      <w:marBottom w:val="0"/>
      <w:divBdr>
        <w:top w:val="none" w:sz="0" w:space="0" w:color="auto"/>
        <w:left w:val="none" w:sz="0" w:space="0" w:color="auto"/>
        <w:bottom w:val="none" w:sz="0" w:space="0" w:color="auto"/>
        <w:right w:val="none" w:sz="0" w:space="0" w:color="auto"/>
      </w:divBdr>
    </w:div>
    <w:div w:id="755982144">
      <w:bodyDiv w:val="1"/>
      <w:marLeft w:val="0"/>
      <w:marRight w:val="0"/>
      <w:marTop w:val="0"/>
      <w:marBottom w:val="0"/>
      <w:divBdr>
        <w:top w:val="none" w:sz="0" w:space="0" w:color="auto"/>
        <w:left w:val="none" w:sz="0" w:space="0" w:color="auto"/>
        <w:bottom w:val="none" w:sz="0" w:space="0" w:color="auto"/>
        <w:right w:val="none" w:sz="0" w:space="0" w:color="auto"/>
      </w:divBdr>
    </w:div>
    <w:div w:id="1079255608">
      <w:bodyDiv w:val="1"/>
      <w:marLeft w:val="0"/>
      <w:marRight w:val="0"/>
      <w:marTop w:val="0"/>
      <w:marBottom w:val="0"/>
      <w:divBdr>
        <w:top w:val="none" w:sz="0" w:space="0" w:color="auto"/>
        <w:left w:val="none" w:sz="0" w:space="0" w:color="auto"/>
        <w:bottom w:val="none" w:sz="0" w:space="0" w:color="auto"/>
        <w:right w:val="none" w:sz="0" w:space="0" w:color="auto"/>
      </w:divBdr>
    </w:div>
    <w:div w:id="1370492876">
      <w:bodyDiv w:val="1"/>
      <w:marLeft w:val="0"/>
      <w:marRight w:val="0"/>
      <w:marTop w:val="0"/>
      <w:marBottom w:val="0"/>
      <w:divBdr>
        <w:top w:val="none" w:sz="0" w:space="0" w:color="auto"/>
        <w:left w:val="none" w:sz="0" w:space="0" w:color="auto"/>
        <w:bottom w:val="none" w:sz="0" w:space="0" w:color="auto"/>
        <w:right w:val="none" w:sz="0" w:space="0" w:color="auto"/>
      </w:divBdr>
    </w:div>
    <w:div w:id="1459109099">
      <w:bodyDiv w:val="1"/>
      <w:marLeft w:val="0"/>
      <w:marRight w:val="0"/>
      <w:marTop w:val="0"/>
      <w:marBottom w:val="0"/>
      <w:divBdr>
        <w:top w:val="none" w:sz="0" w:space="0" w:color="auto"/>
        <w:left w:val="none" w:sz="0" w:space="0" w:color="auto"/>
        <w:bottom w:val="none" w:sz="0" w:space="0" w:color="auto"/>
        <w:right w:val="none" w:sz="0" w:space="0" w:color="auto"/>
      </w:divBdr>
    </w:div>
    <w:div w:id="1558124399">
      <w:bodyDiv w:val="1"/>
      <w:marLeft w:val="0"/>
      <w:marRight w:val="0"/>
      <w:marTop w:val="0"/>
      <w:marBottom w:val="0"/>
      <w:divBdr>
        <w:top w:val="none" w:sz="0" w:space="0" w:color="auto"/>
        <w:left w:val="none" w:sz="0" w:space="0" w:color="auto"/>
        <w:bottom w:val="none" w:sz="0" w:space="0" w:color="auto"/>
        <w:right w:val="none" w:sz="0" w:space="0" w:color="auto"/>
      </w:divBdr>
    </w:div>
    <w:div w:id="1778601275">
      <w:bodyDiv w:val="1"/>
      <w:marLeft w:val="0"/>
      <w:marRight w:val="0"/>
      <w:marTop w:val="0"/>
      <w:marBottom w:val="0"/>
      <w:divBdr>
        <w:top w:val="none" w:sz="0" w:space="0" w:color="auto"/>
        <w:left w:val="none" w:sz="0" w:space="0" w:color="auto"/>
        <w:bottom w:val="none" w:sz="0" w:space="0" w:color="auto"/>
        <w:right w:val="none" w:sz="0" w:space="0" w:color="auto"/>
      </w:divBdr>
    </w:div>
    <w:div w:id="20982802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2134502@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7666</TotalTime>
  <Pages>11</Pages>
  <Words>4083</Words>
  <Characters>23276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Simmonds,Kane swp8363</dc:creator>
  <cp:keywords/>
  <dc:description/>
  <cp:lastModifiedBy>Simmonds,Kane swp8363</cp:lastModifiedBy>
  <cp:revision>29</cp:revision>
  <dcterms:created xsi:type="dcterms:W3CDTF">2024-02-23T13:15:00Z</dcterms:created>
  <dcterms:modified xsi:type="dcterms:W3CDTF">2024-03-06T20:23:00Z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2024-02-23T15:52:03Z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e0ffeb47-778f-42c8-ab42-553986660dff</vt:lpwstr>
  </property>
  <property fmtid="{D5CDD505-2E9C-101B-9397-08002B2CF9AE}" pid="8" name="MSIP_Label_66cf8fe5-b7b7-4df7-b38d-1c61ac2f6639_ContentBits">
    <vt:lpwstr>0</vt:lpwstr>
  </property>
</Properties>
</file>