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F8C7F6" w14:textId="3964A078" w:rsidR="00BE0285" w:rsidRPr="00F35F5F" w:rsidRDefault="00BE0285">
      <w:pPr>
        <w:rPr>
          <w:rFonts w:ascii="Times New Roman" w:hAnsi="Times New Roman" w:cs="Times New Roman"/>
          <w:sz w:val="32"/>
          <w:szCs w:val="32"/>
        </w:rPr>
      </w:pPr>
      <w:r w:rsidRPr="00F35F5F">
        <w:rPr>
          <w:rFonts w:ascii="Times New Roman" w:hAnsi="Times New Roman" w:cs="Times New Roman"/>
          <w:noProof/>
          <w:sz w:val="32"/>
          <w:szCs w:val="32"/>
        </w:rPr>
        <w:drawing>
          <wp:inline distT="0" distB="0" distL="0" distR="0" wp14:anchorId="442456E5" wp14:editId="038A2145">
            <wp:extent cx="5274310" cy="2841625"/>
            <wp:effectExtent l="0" t="0" r="2540" b="0"/>
            <wp:docPr id="186427645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74310" cy="2841625"/>
                    </a:xfrm>
                    <a:prstGeom prst="rect">
                      <a:avLst/>
                    </a:prstGeom>
                    <a:noFill/>
                    <a:ln>
                      <a:noFill/>
                    </a:ln>
                  </pic:spPr>
                </pic:pic>
              </a:graphicData>
            </a:graphic>
          </wp:inline>
        </w:drawing>
      </w:r>
    </w:p>
    <w:p w14:paraId="1C9A8C49" w14:textId="15C61AA4" w:rsidR="00BF0093" w:rsidRPr="00FC7B42" w:rsidRDefault="00BF0093" w:rsidP="00BE0285">
      <w:pPr>
        <w:jc w:val="center"/>
        <w:rPr>
          <w:rFonts w:ascii="Times New Roman" w:hAnsi="Times New Roman" w:cs="Times New Roman"/>
          <w:b/>
          <w:bCs/>
          <w:sz w:val="32"/>
          <w:szCs w:val="32"/>
        </w:rPr>
      </w:pPr>
      <w:r w:rsidRPr="00FC7B42">
        <w:rPr>
          <w:rFonts w:ascii="Times New Roman" w:hAnsi="Times New Roman" w:cs="Times New Roman"/>
          <w:b/>
          <w:bCs/>
          <w:sz w:val="32"/>
          <w:szCs w:val="32"/>
        </w:rPr>
        <w:t>Strategic Analysis and Sustainable Development of Coca-Cola in a Changing Global Environment</w:t>
      </w:r>
    </w:p>
    <w:p w14:paraId="11CB6B26" w14:textId="77777777" w:rsidR="00BE0285" w:rsidRPr="00FC7B42" w:rsidRDefault="00BE0285" w:rsidP="00BE0285">
      <w:pPr>
        <w:jc w:val="center"/>
        <w:rPr>
          <w:rFonts w:ascii="Times New Roman" w:hAnsi="Times New Roman" w:cs="Times New Roman"/>
          <w:b/>
          <w:bCs/>
          <w:sz w:val="32"/>
          <w:szCs w:val="32"/>
        </w:rPr>
      </w:pPr>
    </w:p>
    <w:p w14:paraId="27E1CB2D" w14:textId="0C90A174" w:rsidR="00BE0285" w:rsidRPr="00FC7B42" w:rsidRDefault="00BE0285" w:rsidP="00BE0285">
      <w:pPr>
        <w:jc w:val="center"/>
        <w:rPr>
          <w:rFonts w:ascii="Times New Roman" w:hAnsi="Times New Roman" w:cs="Times New Roman"/>
          <w:b/>
          <w:bCs/>
          <w:sz w:val="30"/>
          <w:szCs w:val="30"/>
        </w:rPr>
      </w:pPr>
      <w:r w:rsidRPr="00FC7B42">
        <w:rPr>
          <w:rFonts w:ascii="Times New Roman" w:hAnsi="Times New Roman" w:cs="Times New Roman"/>
          <w:b/>
          <w:bCs/>
          <w:sz w:val="30"/>
          <w:szCs w:val="30"/>
        </w:rPr>
        <w:t>Lecture:</w:t>
      </w:r>
      <w:r w:rsidR="000335D0" w:rsidRPr="00FC7B42">
        <w:rPr>
          <w:rFonts w:ascii="Times New Roman" w:hAnsi="Times New Roman" w:cs="Times New Roman"/>
          <w:b/>
          <w:bCs/>
          <w:sz w:val="30"/>
          <w:szCs w:val="30"/>
        </w:rPr>
        <w:t xml:space="preserve"> Robyn Griffiths</w:t>
      </w:r>
    </w:p>
    <w:p w14:paraId="6444B7E6" w14:textId="12785E24" w:rsidR="00BE0285" w:rsidRPr="00FC7B42" w:rsidRDefault="00BE0285" w:rsidP="00BE0285">
      <w:pPr>
        <w:jc w:val="center"/>
        <w:rPr>
          <w:rFonts w:ascii="Times New Roman" w:hAnsi="Times New Roman" w:cs="Times New Roman"/>
          <w:b/>
          <w:bCs/>
          <w:sz w:val="30"/>
          <w:szCs w:val="30"/>
        </w:rPr>
      </w:pPr>
      <w:r w:rsidRPr="00FC7B42">
        <w:rPr>
          <w:rFonts w:ascii="Times New Roman" w:hAnsi="Times New Roman" w:cs="Times New Roman"/>
          <w:b/>
          <w:bCs/>
          <w:sz w:val="30"/>
          <w:szCs w:val="30"/>
        </w:rPr>
        <w:t>Student’s Name:</w:t>
      </w:r>
      <w:r w:rsidR="000335D0" w:rsidRPr="00FC7B42">
        <w:rPr>
          <w:rFonts w:ascii="Times New Roman" w:hAnsi="Times New Roman" w:cs="Times New Roman"/>
          <w:b/>
          <w:bCs/>
          <w:sz w:val="30"/>
          <w:szCs w:val="30"/>
        </w:rPr>
        <w:t xml:space="preserve"> Mengyang Jiang</w:t>
      </w:r>
    </w:p>
    <w:p w14:paraId="6BA4DE6B" w14:textId="1BA591AE" w:rsidR="00BE0285" w:rsidRPr="00FC7B42" w:rsidRDefault="00BE0285" w:rsidP="00BE0285">
      <w:pPr>
        <w:jc w:val="center"/>
        <w:rPr>
          <w:rFonts w:ascii="Times New Roman" w:hAnsi="Times New Roman" w:cs="Times New Roman"/>
          <w:b/>
          <w:bCs/>
          <w:sz w:val="30"/>
          <w:szCs w:val="30"/>
        </w:rPr>
      </w:pPr>
      <w:r w:rsidRPr="00FC7B42">
        <w:rPr>
          <w:rFonts w:ascii="Times New Roman" w:hAnsi="Times New Roman" w:cs="Times New Roman"/>
          <w:b/>
          <w:bCs/>
          <w:sz w:val="30"/>
          <w:szCs w:val="30"/>
        </w:rPr>
        <w:t>Student’s ID:</w:t>
      </w:r>
      <w:r w:rsidR="000335D0" w:rsidRPr="00FC7B42">
        <w:rPr>
          <w:rFonts w:ascii="Times New Roman" w:hAnsi="Times New Roman" w:cs="Times New Roman"/>
          <w:b/>
          <w:bCs/>
          <w:sz w:val="30"/>
          <w:szCs w:val="30"/>
        </w:rPr>
        <w:t xml:space="preserve"> 2420050</w:t>
      </w:r>
    </w:p>
    <w:p w14:paraId="660FE62F" w14:textId="0A74650B" w:rsidR="00BE0285" w:rsidRPr="00FC7B42" w:rsidRDefault="00BE0285" w:rsidP="00BE0285">
      <w:pPr>
        <w:jc w:val="center"/>
        <w:rPr>
          <w:rFonts w:ascii="Times New Roman" w:hAnsi="Times New Roman" w:cs="Times New Roman"/>
          <w:b/>
          <w:bCs/>
          <w:sz w:val="30"/>
          <w:szCs w:val="30"/>
        </w:rPr>
      </w:pPr>
      <w:r w:rsidRPr="00FC7B42">
        <w:rPr>
          <w:rFonts w:ascii="Times New Roman" w:hAnsi="Times New Roman" w:cs="Times New Roman"/>
          <w:b/>
          <w:bCs/>
          <w:sz w:val="30"/>
          <w:szCs w:val="30"/>
        </w:rPr>
        <w:t>Module Number:</w:t>
      </w:r>
      <w:r w:rsidR="000335D0" w:rsidRPr="00FC7B42">
        <w:rPr>
          <w:rFonts w:ascii="Times New Roman" w:hAnsi="Times New Roman" w:cs="Times New Roman"/>
          <w:b/>
          <w:bCs/>
          <w:sz w:val="30"/>
          <w:szCs w:val="30"/>
        </w:rPr>
        <w:t xml:space="preserve"> BMBM6024</w:t>
      </w:r>
    </w:p>
    <w:p w14:paraId="76BB6FEC" w14:textId="3954BC7E" w:rsidR="00BE0285" w:rsidRPr="00FC7B42" w:rsidRDefault="00BE0285" w:rsidP="00BE0285">
      <w:pPr>
        <w:jc w:val="center"/>
        <w:rPr>
          <w:rFonts w:ascii="Times New Roman" w:hAnsi="Times New Roman" w:cs="Times New Roman"/>
          <w:b/>
          <w:bCs/>
          <w:sz w:val="30"/>
          <w:szCs w:val="30"/>
        </w:rPr>
      </w:pPr>
      <w:r w:rsidRPr="00FC7B42">
        <w:rPr>
          <w:rFonts w:ascii="Times New Roman" w:hAnsi="Times New Roman" w:cs="Times New Roman"/>
          <w:b/>
          <w:bCs/>
          <w:sz w:val="30"/>
          <w:szCs w:val="30"/>
        </w:rPr>
        <w:t>Module Name:</w:t>
      </w:r>
      <w:r w:rsidR="000335D0" w:rsidRPr="00FC7B42">
        <w:rPr>
          <w:rFonts w:ascii="Times New Roman" w:hAnsi="Times New Roman" w:cs="Times New Roman"/>
          <w:b/>
          <w:bCs/>
          <w:sz w:val="30"/>
          <w:szCs w:val="30"/>
        </w:rPr>
        <w:t xml:space="preserve"> Strategic Management and Sustainability</w:t>
      </w:r>
    </w:p>
    <w:p w14:paraId="45131E4F" w14:textId="0B6D47F1" w:rsidR="00BE0285" w:rsidRPr="00FC7B42" w:rsidRDefault="00BE0285" w:rsidP="00BE0285">
      <w:pPr>
        <w:jc w:val="center"/>
        <w:rPr>
          <w:rFonts w:ascii="Times New Roman" w:hAnsi="Times New Roman" w:cs="Times New Roman"/>
          <w:b/>
          <w:bCs/>
          <w:sz w:val="32"/>
          <w:szCs w:val="32"/>
        </w:rPr>
      </w:pPr>
      <w:r w:rsidRPr="00FC7B42">
        <w:rPr>
          <w:rFonts w:ascii="Times New Roman" w:hAnsi="Times New Roman" w:cs="Times New Roman"/>
          <w:b/>
          <w:bCs/>
          <w:sz w:val="30"/>
          <w:szCs w:val="30"/>
        </w:rPr>
        <w:t>Date:</w:t>
      </w:r>
      <w:r w:rsidR="000335D0" w:rsidRPr="00FC7B42">
        <w:rPr>
          <w:rFonts w:ascii="Times New Roman" w:hAnsi="Times New Roman" w:cs="Times New Roman"/>
          <w:b/>
          <w:bCs/>
          <w:sz w:val="30"/>
          <w:szCs w:val="30"/>
        </w:rPr>
        <w:t xml:space="preserve"> 27 March 2026</w:t>
      </w:r>
    </w:p>
    <w:p w14:paraId="35BACDE7" w14:textId="77777777" w:rsidR="00BF0093" w:rsidRPr="00F35F5F" w:rsidRDefault="00BF0093">
      <w:pPr>
        <w:widowControl/>
        <w:jc w:val="left"/>
        <w:rPr>
          <w:rFonts w:ascii="Times New Roman" w:hAnsi="Times New Roman" w:cs="Times New Roman"/>
        </w:rPr>
      </w:pPr>
      <w:r w:rsidRPr="00F35F5F">
        <w:rPr>
          <w:rFonts w:ascii="Times New Roman" w:hAnsi="Times New Roman" w:cs="Times New Roman"/>
        </w:rPr>
        <w:br w:type="page"/>
      </w:r>
    </w:p>
    <w:p w14:paraId="060B065B" w14:textId="37A9081F" w:rsidR="000D43D5" w:rsidRPr="00F35F5F" w:rsidRDefault="007F5C53" w:rsidP="00035A21">
      <w:pPr>
        <w:spacing w:line="360" w:lineRule="auto"/>
        <w:outlineLvl w:val="0"/>
        <w:rPr>
          <w:rFonts w:ascii="Times New Roman" w:hAnsi="Times New Roman" w:cs="Times New Roman"/>
          <w:b/>
          <w:bCs/>
          <w:sz w:val="28"/>
          <w:szCs w:val="28"/>
        </w:rPr>
      </w:pPr>
      <w:bookmarkStart w:id="0" w:name="_Toc225465257"/>
      <w:r w:rsidRPr="00F35F5F">
        <w:rPr>
          <w:rFonts w:ascii="Times New Roman" w:hAnsi="Times New Roman" w:cs="Times New Roman"/>
          <w:b/>
          <w:bCs/>
          <w:sz w:val="28"/>
          <w:szCs w:val="28"/>
        </w:rPr>
        <w:lastRenderedPageBreak/>
        <w:t>Executive Summary</w:t>
      </w:r>
      <w:bookmarkEnd w:id="0"/>
    </w:p>
    <w:p w14:paraId="7CAE35C5" w14:textId="77777777" w:rsidR="007F5C53" w:rsidRPr="00F35F5F" w:rsidRDefault="007F5C53" w:rsidP="00035A21">
      <w:pPr>
        <w:spacing w:line="360" w:lineRule="auto"/>
        <w:rPr>
          <w:rFonts w:ascii="Times New Roman" w:hAnsi="Times New Roman" w:cs="Times New Roman"/>
        </w:rPr>
      </w:pPr>
    </w:p>
    <w:p w14:paraId="6C646968" w14:textId="77777777" w:rsidR="00D07A65" w:rsidRPr="00D07A65" w:rsidRDefault="00D07A65" w:rsidP="00D07A65">
      <w:pPr>
        <w:widowControl/>
        <w:spacing w:line="360" w:lineRule="auto"/>
        <w:jc w:val="left"/>
        <w:rPr>
          <w:rFonts w:ascii="Times New Roman" w:hAnsi="Times New Roman" w:cs="Times New Roman"/>
          <w:sz w:val="24"/>
          <w:szCs w:val="24"/>
        </w:rPr>
      </w:pPr>
      <w:r w:rsidRPr="00D07A65">
        <w:rPr>
          <w:rFonts w:ascii="Times New Roman" w:hAnsi="Times New Roman" w:cs="Times New Roman"/>
          <w:sz w:val="24"/>
          <w:szCs w:val="24"/>
        </w:rPr>
        <w:t>This report examines Coca-Cola's strategic position in the global beverage industry. Focus on the growing pressure posed by changes in consumer preferences, regulatory adjustments and sustainability issues. In recent years, the industry has become increasingly complex, especially due to increased health awareness and policy interventions such as sugar taxes (Pineda et al., 2024).</w:t>
      </w:r>
    </w:p>
    <w:p w14:paraId="632CADF2" w14:textId="77777777" w:rsidR="00D07A65" w:rsidRPr="00D07A65" w:rsidRDefault="00D07A65" w:rsidP="00D07A65">
      <w:pPr>
        <w:widowControl/>
        <w:spacing w:line="360" w:lineRule="auto"/>
        <w:jc w:val="left"/>
        <w:rPr>
          <w:rFonts w:ascii="Times New Roman" w:hAnsi="Times New Roman" w:cs="Times New Roman"/>
          <w:sz w:val="24"/>
          <w:szCs w:val="24"/>
        </w:rPr>
      </w:pPr>
    </w:p>
    <w:p w14:paraId="4419FDCC" w14:textId="1ABC7F9D" w:rsidR="00D07A65" w:rsidRPr="00D07A65" w:rsidRDefault="00D07A65" w:rsidP="00D07A65">
      <w:pPr>
        <w:widowControl/>
        <w:spacing w:line="360" w:lineRule="auto"/>
        <w:jc w:val="left"/>
        <w:rPr>
          <w:rFonts w:ascii="Times New Roman" w:hAnsi="Times New Roman" w:cs="Times New Roman"/>
          <w:sz w:val="24"/>
          <w:szCs w:val="24"/>
        </w:rPr>
      </w:pPr>
      <w:r w:rsidRPr="00D07A65">
        <w:rPr>
          <w:rFonts w:ascii="Times New Roman" w:hAnsi="Times New Roman" w:cs="Times New Roman"/>
          <w:sz w:val="24"/>
          <w:szCs w:val="24"/>
        </w:rPr>
        <w:t xml:space="preserve">For a long time, Coca-Cola has benefitted from its strong brand recognition and extensive global distribution network, </w:t>
      </w:r>
      <w:r>
        <w:rPr>
          <w:rFonts w:ascii="Times New Roman" w:hAnsi="Times New Roman" w:cs="Times New Roman" w:hint="eastAsia"/>
          <w:sz w:val="24"/>
          <w:szCs w:val="24"/>
        </w:rPr>
        <w:t>it</w:t>
      </w:r>
      <w:r w:rsidRPr="00D07A65">
        <w:rPr>
          <w:rFonts w:ascii="Times New Roman" w:hAnsi="Times New Roman" w:cs="Times New Roman"/>
          <w:sz w:val="24"/>
          <w:szCs w:val="24"/>
        </w:rPr>
        <w:t xml:space="preserve"> is the proof of its market leadership. However, it is increasingly clear that the company's traditional depend on sugary products brings long-term strategic risks.</w:t>
      </w:r>
    </w:p>
    <w:p w14:paraId="342A4FA1" w14:textId="77777777" w:rsidR="00D07A65" w:rsidRPr="00D07A65" w:rsidRDefault="00D07A65" w:rsidP="00D07A65">
      <w:pPr>
        <w:widowControl/>
        <w:spacing w:line="360" w:lineRule="auto"/>
        <w:jc w:val="left"/>
        <w:rPr>
          <w:rFonts w:ascii="Times New Roman" w:hAnsi="Times New Roman" w:cs="Times New Roman"/>
          <w:sz w:val="24"/>
          <w:szCs w:val="24"/>
        </w:rPr>
      </w:pPr>
    </w:p>
    <w:p w14:paraId="678BA156" w14:textId="563DA921" w:rsidR="006A0317" w:rsidRPr="00F35F5F" w:rsidRDefault="00D07A65" w:rsidP="00D07A65">
      <w:pPr>
        <w:widowControl/>
        <w:spacing w:line="360" w:lineRule="auto"/>
        <w:jc w:val="left"/>
        <w:rPr>
          <w:rFonts w:ascii="Times New Roman" w:hAnsi="Times New Roman" w:cs="Times New Roman"/>
        </w:rPr>
      </w:pPr>
      <w:r w:rsidRPr="00D07A65">
        <w:rPr>
          <w:rFonts w:ascii="Times New Roman" w:hAnsi="Times New Roman" w:cs="Times New Roman"/>
          <w:sz w:val="24"/>
          <w:szCs w:val="24"/>
        </w:rPr>
        <w:t>Although Coca-Cola has launched a series of low-sugar and sugar-free products and implemented a number of sustainable development initiatives. However, its overall transformation seems to be progressing slowly and has not achieved a fundamental change. Therefore, the report believes that if the company wants to maintain its competitive position in the future, it needs to turn more actively to healthier products and more substantive environmental protection strategies.</w:t>
      </w:r>
      <w:r w:rsidR="006A0317" w:rsidRPr="00F35F5F">
        <w:rPr>
          <w:rFonts w:ascii="Times New Roman" w:hAnsi="Times New Roman" w:cs="Times New Roman"/>
        </w:rPr>
        <w:br w:type="page"/>
      </w:r>
    </w:p>
    <w:sdt>
      <w:sdtPr>
        <w:rPr>
          <w:rFonts w:ascii="Times New Roman" w:eastAsiaTheme="minorEastAsia" w:hAnsi="Times New Roman" w:cs="Times New Roman"/>
          <w:color w:val="auto"/>
          <w:kern w:val="2"/>
          <w:sz w:val="21"/>
          <w:szCs w:val="22"/>
          <w:lang w:val="en-GB"/>
        </w:rPr>
        <w:id w:val="-1211107400"/>
        <w:docPartObj>
          <w:docPartGallery w:val="Table of Contents"/>
          <w:docPartUnique/>
        </w:docPartObj>
      </w:sdtPr>
      <w:sdtEndPr>
        <w:rPr>
          <w:b/>
          <w:bCs/>
          <w:sz w:val="24"/>
          <w:szCs w:val="24"/>
        </w:rPr>
      </w:sdtEndPr>
      <w:sdtContent>
        <w:p w14:paraId="2F8A51E1" w14:textId="5730D03B" w:rsidR="00A178AA" w:rsidRPr="00F35F5F" w:rsidRDefault="00A178AA" w:rsidP="00A178AA">
          <w:pPr>
            <w:pStyle w:val="TOC"/>
            <w:spacing w:line="360" w:lineRule="auto"/>
            <w:rPr>
              <w:rFonts w:ascii="Times New Roman" w:hAnsi="Times New Roman" w:cs="Times New Roman"/>
              <w:b/>
              <w:bCs/>
              <w:sz w:val="28"/>
              <w:szCs w:val="28"/>
              <w:lang w:val="en-GB"/>
            </w:rPr>
          </w:pPr>
          <w:r w:rsidRPr="00F35F5F">
            <w:rPr>
              <w:rFonts w:ascii="Times New Roman" w:hAnsi="Times New Roman" w:cs="Times New Roman"/>
              <w:b/>
              <w:bCs/>
              <w:sz w:val="28"/>
              <w:szCs w:val="28"/>
              <w:lang w:val="en-GB"/>
            </w:rPr>
            <w:t>Content</w:t>
          </w:r>
        </w:p>
        <w:p w14:paraId="5AE257ED" w14:textId="77777777" w:rsidR="00A178AA" w:rsidRPr="00F35F5F" w:rsidRDefault="00A178AA" w:rsidP="00A178AA">
          <w:pPr>
            <w:spacing w:line="360" w:lineRule="auto"/>
            <w:rPr>
              <w:rFonts w:ascii="Times New Roman" w:hAnsi="Times New Roman" w:cs="Times New Roman"/>
              <w:sz w:val="24"/>
              <w:szCs w:val="24"/>
            </w:rPr>
          </w:pPr>
        </w:p>
        <w:p w14:paraId="0B481679" w14:textId="654D23BA" w:rsidR="00F35F5F" w:rsidRPr="00F35F5F" w:rsidRDefault="00A178AA" w:rsidP="00F35F5F">
          <w:pPr>
            <w:pStyle w:val="TOC1"/>
            <w:spacing w:line="360" w:lineRule="auto"/>
            <w:rPr>
              <w:sz w:val="24"/>
              <w:szCs w:val="24"/>
              <w:lang w:val="en-US"/>
              <w14:ligatures w14:val="standardContextual"/>
            </w:rPr>
          </w:pPr>
          <w:r w:rsidRPr="00F35F5F">
            <w:rPr>
              <w:noProof w:val="0"/>
              <w:sz w:val="24"/>
              <w:szCs w:val="24"/>
            </w:rPr>
            <w:fldChar w:fldCharType="begin"/>
          </w:r>
          <w:r w:rsidRPr="00F35F5F">
            <w:rPr>
              <w:noProof w:val="0"/>
              <w:sz w:val="24"/>
              <w:szCs w:val="24"/>
            </w:rPr>
            <w:instrText xml:space="preserve"> TOC \o "1-3" \h \z \u </w:instrText>
          </w:r>
          <w:r w:rsidRPr="00F35F5F">
            <w:rPr>
              <w:noProof w:val="0"/>
              <w:sz w:val="24"/>
              <w:szCs w:val="24"/>
            </w:rPr>
            <w:fldChar w:fldCharType="separate"/>
          </w:r>
          <w:hyperlink w:anchor="_Toc225465257" w:history="1">
            <w:r w:rsidR="00F35F5F" w:rsidRPr="00F35F5F">
              <w:rPr>
                <w:rStyle w:val="af"/>
                <w:sz w:val="24"/>
                <w:szCs w:val="24"/>
              </w:rPr>
              <w:t>Executive Summary</w:t>
            </w:r>
            <w:r w:rsidR="00F35F5F" w:rsidRPr="00F35F5F">
              <w:rPr>
                <w:webHidden/>
                <w:sz w:val="24"/>
                <w:szCs w:val="24"/>
              </w:rPr>
              <w:tab/>
            </w:r>
            <w:r w:rsidR="00F35F5F" w:rsidRPr="00F35F5F">
              <w:rPr>
                <w:webHidden/>
                <w:sz w:val="24"/>
                <w:szCs w:val="24"/>
              </w:rPr>
              <w:fldChar w:fldCharType="begin"/>
            </w:r>
            <w:r w:rsidR="00F35F5F" w:rsidRPr="00F35F5F">
              <w:rPr>
                <w:webHidden/>
                <w:sz w:val="24"/>
                <w:szCs w:val="24"/>
              </w:rPr>
              <w:instrText xml:space="preserve"> PAGEREF _Toc225465257 \h </w:instrText>
            </w:r>
            <w:r w:rsidR="00F35F5F" w:rsidRPr="00F35F5F">
              <w:rPr>
                <w:webHidden/>
                <w:sz w:val="24"/>
                <w:szCs w:val="24"/>
              </w:rPr>
            </w:r>
            <w:r w:rsidR="00F35F5F" w:rsidRPr="00F35F5F">
              <w:rPr>
                <w:webHidden/>
                <w:sz w:val="24"/>
                <w:szCs w:val="24"/>
              </w:rPr>
              <w:fldChar w:fldCharType="separate"/>
            </w:r>
            <w:r w:rsidR="00F35F5F" w:rsidRPr="00F35F5F">
              <w:rPr>
                <w:webHidden/>
                <w:sz w:val="24"/>
                <w:szCs w:val="24"/>
              </w:rPr>
              <w:t>2</w:t>
            </w:r>
            <w:r w:rsidR="00F35F5F" w:rsidRPr="00F35F5F">
              <w:rPr>
                <w:webHidden/>
                <w:sz w:val="24"/>
                <w:szCs w:val="24"/>
              </w:rPr>
              <w:fldChar w:fldCharType="end"/>
            </w:r>
          </w:hyperlink>
        </w:p>
        <w:p w14:paraId="6792E962" w14:textId="22F821F1" w:rsidR="00F35F5F" w:rsidRPr="00F35F5F" w:rsidRDefault="00F35F5F" w:rsidP="00F35F5F">
          <w:pPr>
            <w:pStyle w:val="TOC1"/>
            <w:spacing w:line="360" w:lineRule="auto"/>
            <w:rPr>
              <w:sz w:val="24"/>
              <w:szCs w:val="24"/>
              <w:lang w:val="en-US"/>
              <w14:ligatures w14:val="standardContextual"/>
            </w:rPr>
          </w:pPr>
          <w:hyperlink w:anchor="_Toc225465258" w:history="1">
            <w:r w:rsidRPr="00F35F5F">
              <w:rPr>
                <w:rStyle w:val="af"/>
                <w:sz w:val="24"/>
                <w:szCs w:val="24"/>
              </w:rPr>
              <w:t>1. Introduction</w:t>
            </w:r>
            <w:r w:rsidRPr="00F35F5F">
              <w:rPr>
                <w:webHidden/>
                <w:sz w:val="24"/>
                <w:szCs w:val="24"/>
              </w:rPr>
              <w:tab/>
            </w:r>
            <w:r w:rsidRPr="00F35F5F">
              <w:rPr>
                <w:webHidden/>
                <w:sz w:val="24"/>
                <w:szCs w:val="24"/>
              </w:rPr>
              <w:fldChar w:fldCharType="begin"/>
            </w:r>
            <w:r w:rsidRPr="00F35F5F">
              <w:rPr>
                <w:webHidden/>
                <w:sz w:val="24"/>
                <w:szCs w:val="24"/>
              </w:rPr>
              <w:instrText xml:space="preserve"> PAGEREF _Toc225465258 \h </w:instrText>
            </w:r>
            <w:r w:rsidRPr="00F35F5F">
              <w:rPr>
                <w:webHidden/>
                <w:sz w:val="24"/>
                <w:szCs w:val="24"/>
              </w:rPr>
            </w:r>
            <w:r w:rsidRPr="00F35F5F">
              <w:rPr>
                <w:webHidden/>
                <w:sz w:val="24"/>
                <w:szCs w:val="24"/>
              </w:rPr>
              <w:fldChar w:fldCharType="separate"/>
            </w:r>
            <w:r w:rsidRPr="00F35F5F">
              <w:rPr>
                <w:webHidden/>
                <w:sz w:val="24"/>
                <w:szCs w:val="24"/>
              </w:rPr>
              <w:t>4</w:t>
            </w:r>
            <w:r w:rsidRPr="00F35F5F">
              <w:rPr>
                <w:webHidden/>
                <w:sz w:val="24"/>
                <w:szCs w:val="24"/>
              </w:rPr>
              <w:fldChar w:fldCharType="end"/>
            </w:r>
          </w:hyperlink>
        </w:p>
        <w:p w14:paraId="0A10551B" w14:textId="00718389" w:rsidR="00F35F5F" w:rsidRPr="00F35F5F" w:rsidRDefault="00F35F5F" w:rsidP="00F35F5F">
          <w:pPr>
            <w:pStyle w:val="TOC1"/>
            <w:spacing w:line="360" w:lineRule="auto"/>
            <w:rPr>
              <w:sz w:val="24"/>
              <w:szCs w:val="24"/>
              <w:lang w:val="en-US"/>
              <w14:ligatures w14:val="standardContextual"/>
            </w:rPr>
          </w:pPr>
          <w:hyperlink w:anchor="_Toc225465259" w:history="1">
            <w:r w:rsidRPr="00F35F5F">
              <w:rPr>
                <w:rStyle w:val="af"/>
                <w:sz w:val="24"/>
                <w:szCs w:val="24"/>
              </w:rPr>
              <w:t>2. External Analysis</w:t>
            </w:r>
            <w:r w:rsidRPr="00F35F5F">
              <w:rPr>
                <w:webHidden/>
                <w:sz w:val="24"/>
                <w:szCs w:val="24"/>
              </w:rPr>
              <w:tab/>
            </w:r>
            <w:r w:rsidRPr="00F35F5F">
              <w:rPr>
                <w:webHidden/>
                <w:sz w:val="24"/>
                <w:szCs w:val="24"/>
              </w:rPr>
              <w:fldChar w:fldCharType="begin"/>
            </w:r>
            <w:r w:rsidRPr="00F35F5F">
              <w:rPr>
                <w:webHidden/>
                <w:sz w:val="24"/>
                <w:szCs w:val="24"/>
              </w:rPr>
              <w:instrText xml:space="preserve"> PAGEREF _Toc225465259 \h </w:instrText>
            </w:r>
            <w:r w:rsidRPr="00F35F5F">
              <w:rPr>
                <w:webHidden/>
                <w:sz w:val="24"/>
                <w:szCs w:val="24"/>
              </w:rPr>
            </w:r>
            <w:r w:rsidRPr="00F35F5F">
              <w:rPr>
                <w:webHidden/>
                <w:sz w:val="24"/>
                <w:szCs w:val="24"/>
              </w:rPr>
              <w:fldChar w:fldCharType="separate"/>
            </w:r>
            <w:r w:rsidRPr="00F35F5F">
              <w:rPr>
                <w:webHidden/>
                <w:sz w:val="24"/>
                <w:szCs w:val="24"/>
              </w:rPr>
              <w:t>5</w:t>
            </w:r>
            <w:r w:rsidRPr="00F35F5F">
              <w:rPr>
                <w:webHidden/>
                <w:sz w:val="24"/>
                <w:szCs w:val="24"/>
              </w:rPr>
              <w:fldChar w:fldCharType="end"/>
            </w:r>
          </w:hyperlink>
        </w:p>
        <w:p w14:paraId="2F9DB3FE" w14:textId="498223E5" w:rsidR="00F35F5F" w:rsidRPr="00F35F5F" w:rsidRDefault="00F35F5F" w:rsidP="00F35F5F">
          <w:pPr>
            <w:pStyle w:val="TOC2"/>
            <w:tabs>
              <w:tab w:val="right" w:leader="dot" w:pos="8296"/>
            </w:tabs>
            <w:spacing w:line="360" w:lineRule="auto"/>
            <w:rPr>
              <w:noProof/>
              <w:sz w:val="24"/>
              <w:szCs w:val="24"/>
              <w:lang w:val="en-US"/>
              <w14:ligatures w14:val="standardContextual"/>
            </w:rPr>
          </w:pPr>
          <w:hyperlink w:anchor="_Toc225465260" w:history="1">
            <w:r w:rsidRPr="00F35F5F">
              <w:rPr>
                <w:rStyle w:val="af"/>
                <w:rFonts w:ascii="Times New Roman" w:hAnsi="Times New Roman" w:cs="Times New Roman"/>
                <w:b/>
                <w:bCs/>
                <w:noProof/>
                <w:sz w:val="24"/>
                <w:szCs w:val="24"/>
              </w:rPr>
              <w:t>2.1. PESTEL analysis</w:t>
            </w:r>
            <w:r w:rsidRPr="00F35F5F">
              <w:rPr>
                <w:noProof/>
                <w:webHidden/>
                <w:sz w:val="24"/>
                <w:szCs w:val="24"/>
              </w:rPr>
              <w:tab/>
            </w:r>
            <w:r w:rsidRPr="00F35F5F">
              <w:rPr>
                <w:noProof/>
                <w:webHidden/>
                <w:sz w:val="24"/>
                <w:szCs w:val="24"/>
              </w:rPr>
              <w:fldChar w:fldCharType="begin"/>
            </w:r>
            <w:r w:rsidRPr="00F35F5F">
              <w:rPr>
                <w:noProof/>
                <w:webHidden/>
                <w:sz w:val="24"/>
                <w:szCs w:val="24"/>
              </w:rPr>
              <w:instrText xml:space="preserve"> PAGEREF _Toc225465260 \h </w:instrText>
            </w:r>
            <w:r w:rsidRPr="00F35F5F">
              <w:rPr>
                <w:noProof/>
                <w:webHidden/>
                <w:sz w:val="24"/>
                <w:szCs w:val="24"/>
              </w:rPr>
            </w:r>
            <w:r w:rsidRPr="00F35F5F">
              <w:rPr>
                <w:noProof/>
                <w:webHidden/>
                <w:sz w:val="24"/>
                <w:szCs w:val="24"/>
              </w:rPr>
              <w:fldChar w:fldCharType="separate"/>
            </w:r>
            <w:r w:rsidRPr="00F35F5F">
              <w:rPr>
                <w:noProof/>
                <w:webHidden/>
                <w:sz w:val="24"/>
                <w:szCs w:val="24"/>
              </w:rPr>
              <w:t>5</w:t>
            </w:r>
            <w:r w:rsidRPr="00F35F5F">
              <w:rPr>
                <w:noProof/>
                <w:webHidden/>
                <w:sz w:val="24"/>
                <w:szCs w:val="24"/>
              </w:rPr>
              <w:fldChar w:fldCharType="end"/>
            </w:r>
          </w:hyperlink>
        </w:p>
        <w:p w14:paraId="500EE02E" w14:textId="641CC886" w:rsidR="00F35F5F" w:rsidRPr="00F35F5F" w:rsidRDefault="00F35F5F" w:rsidP="00F35F5F">
          <w:pPr>
            <w:pStyle w:val="TOC2"/>
            <w:tabs>
              <w:tab w:val="right" w:leader="dot" w:pos="8296"/>
            </w:tabs>
            <w:spacing w:line="360" w:lineRule="auto"/>
            <w:rPr>
              <w:noProof/>
              <w:sz w:val="24"/>
              <w:szCs w:val="24"/>
              <w:lang w:val="en-US"/>
              <w14:ligatures w14:val="standardContextual"/>
            </w:rPr>
          </w:pPr>
          <w:hyperlink w:anchor="_Toc225465261" w:history="1">
            <w:r w:rsidRPr="00F35F5F">
              <w:rPr>
                <w:rStyle w:val="af"/>
                <w:rFonts w:ascii="Times New Roman" w:hAnsi="Times New Roman" w:cs="Times New Roman"/>
                <w:b/>
                <w:bCs/>
                <w:noProof/>
                <w:sz w:val="24"/>
                <w:szCs w:val="24"/>
              </w:rPr>
              <w:t>2.2. Porter’s Five Forces Analysis</w:t>
            </w:r>
            <w:r w:rsidRPr="00F35F5F">
              <w:rPr>
                <w:noProof/>
                <w:webHidden/>
                <w:sz w:val="24"/>
                <w:szCs w:val="24"/>
              </w:rPr>
              <w:tab/>
            </w:r>
            <w:r w:rsidRPr="00F35F5F">
              <w:rPr>
                <w:noProof/>
                <w:webHidden/>
                <w:sz w:val="24"/>
                <w:szCs w:val="24"/>
              </w:rPr>
              <w:fldChar w:fldCharType="begin"/>
            </w:r>
            <w:r w:rsidRPr="00F35F5F">
              <w:rPr>
                <w:noProof/>
                <w:webHidden/>
                <w:sz w:val="24"/>
                <w:szCs w:val="24"/>
              </w:rPr>
              <w:instrText xml:space="preserve"> PAGEREF _Toc225465261 \h </w:instrText>
            </w:r>
            <w:r w:rsidRPr="00F35F5F">
              <w:rPr>
                <w:noProof/>
                <w:webHidden/>
                <w:sz w:val="24"/>
                <w:szCs w:val="24"/>
              </w:rPr>
            </w:r>
            <w:r w:rsidRPr="00F35F5F">
              <w:rPr>
                <w:noProof/>
                <w:webHidden/>
                <w:sz w:val="24"/>
                <w:szCs w:val="24"/>
              </w:rPr>
              <w:fldChar w:fldCharType="separate"/>
            </w:r>
            <w:r w:rsidRPr="00F35F5F">
              <w:rPr>
                <w:noProof/>
                <w:webHidden/>
                <w:sz w:val="24"/>
                <w:szCs w:val="24"/>
              </w:rPr>
              <w:t>6</w:t>
            </w:r>
            <w:r w:rsidRPr="00F35F5F">
              <w:rPr>
                <w:noProof/>
                <w:webHidden/>
                <w:sz w:val="24"/>
                <w:szCs w:val="24"/>
              </w:rPr>
              <w:fldChar w:fldCharType="end"/>
            </w:r>
          </w:hyperlink>
        </w:p>
        <w:p w14:paraId="65BB146F" w14:textId="70DC423D" w:rsidR="00F35F5F" w:rsidRPr="00F35F5F" w:rsidRDefault="00F35F5F" w:rsidP="00F35F5F">
          <w:pPr>
            <w:pStyle w:val="TOC1"/>
            <w:spacing w:line="360" w:lineRule="auto"/>
            <w:rPr>
              <w:sz w:val="24"/>
              <w:szCs w:val="24"/>
              <w:lang w:val="en-US"/>
              <w14:ligatures w14:val="standardContextual"/>
            </w:rPr>
          </w:pPr>
          <w:hyperlink w:anchor="_Toc225465262" w:history="1">
            <w:r w:rsidRPr="00F35F5F">
              <w:rPr>
                <w:rStyle w:val="af"/>
                <w:sz w:val="24"/>
                <w:szCs w:val="24"/>
              </w:rPr>
              <w:t>3. Internal Analysis</w:t>
            </w:r>
            <w:r w:rsidRPr="00F35F5F">
              <w:rPr>
                <w:webHidden/>
                <w:sz w:val="24"/>
                <w:szCs w:val="24"/>
              </w:rPr>
              <w:tab/>
            </w:r>
            <w:r w:rsidRPr="00F35F5F">
              <w:rPr>
                <w:webHidden/>
                <w:sz w:val="24"/>
                <w:szCs w:val="24"/>
              </w:rPr>
              <w:fldChar w:fldCharType="begin"/>
            </w:r>
            <w:r w:rsidRPr="00F35F5F">
              <w:rPr>
                <w:webHidden/>
                <w:sz w:val="24"/>
                <w:szCs w:val="24"/>
              </w:rPr>
              <w:instrText xml:space="preserve"> PAGEREF _Toc225465262 \h </w:instrText>
            </w:r>
            <w:r w:rsidRPr="00F35F5F">
              <w:rPr>
                <w:webHidden/>
                <w:sz w:val="24"/>
                <w:szCs w:val="24"/>
              </w:rPr>
            </w:r>
            <w:r w:rsidRPr="00F35F5F">
              <w:rPr>
                <w:webHidden/>
                <w:sz w:val="24"/>
                <w:szCs w:val="24"/>
              </w:rPr>
              <w:fldChar w:fldCharType="separate"/>
            </w:r>
            <w:r w:rsidRPr="00F35F5F">
              <w:rPr>
                <w:webHidden/>
                <w:sz w:val="24"/>
                <w:szCs w:val="24"/>
              </w:rPr>
              <w:t>7</w:t>
            </w:r>
            <w:r w:rsidRPr="00F35F5F">
              <w:rPr>
                <w:webHidden/>
                <w:sz w:val="24"/>
                <w:szCs w:val="24"/>
              </w:rPr>
              <w:fldChar w:fldCharType="end"/>
            </w:r>
          </w:hyperlink>
        </w:p>
        <w:p w14:paraId="550BCA5A" w14:textId="2F78D1F4" w:rsidR="00F35F5F" w:rsidRPr="00F35F5F" w:rsidRDefault="00F35F5F" w:rsidP="00F35F5F">
          <w:pPr>
            <w:pStyle w:val="TOC2"/>
            <w:tabs>
              <w:tab w:val="right" w:leader="dot" w:pos="8296"/>
            </w:tabs>
            <w:spacing w:line="360" w:lineRule="auto"/>
            <w:rPr>
              <w:noProof/>
              <w:sz w:val="24"/>
              <w:szCs w:val="24"/>
              <w:lang w:val="en-US"/>
              <w14:ligatures w14:val="standardContextual"/>
            </w:rPr>
          </w:pPr>
          <w:hyperlink w:anchor="_Toc225465263" w:history="1">
            <w:r w:rsidRPr="00F35F5F">
              <w:rPr>
                <w:rStyle w:val="af"/>
                <w:rFonts w:ascii="Times New Roman" w:hAnsi="Times New Roman" w:cs="Times New Roman"/>
                <w:b/>
                <w:bCs/>
                <w:noProof/>
                <w:sz w:val="24"/>
                <w:szCs w:val="24"/>
              </w:rPr>
              <w:t>3.1. Resource-Based View</w:t>
            </w:r>
            <w:r w:rsidRPr="00F35F5F">
              <w:rPr>
                <w:noProof/>
                <w:webHidden/>
                <w:sz w:val="24"/>
                <w:szCs w:val="24"/>
              </w:rPr>
              <w:tab/>
            </w:r>
            <w:r w:rsidRPr="00F35F5F">
              <w:rPr>
                <w:noProof/>
                <w:webHidden/>
                <w:sz w:val="24"/>
                <w:szCs w:val="24"/>
              </w:rPr>
              <w:fldChar w:fldCharType="begin"/>
            </w:r>
            <w:r w:rsidRPr="00F35F5F">
              <w:rPr>
                <w:noProof/>
                <w:webHidden/>
                <w:sz w:val="24"/>
                <w:szCs w:val="24"/>
              </w:rPr>
              <w:instrText xml:space="preserve"> PAGEREF _Toc225465263 \h </w:instrText>
            </w:r>
            <w:r w:rsidRPr="00F35F5F">
              <w:rPr>
                <w:noProof/>
                <w:webHidden/>
                <w:sz w:val="24"/>
                <w:szCs w:val="24"/>
              </w:rPr>
            </w:r>
            <w:r w:rsidRPr="00F35F5F">
              <w:rPr>
                <w:noProof/>
                <w:webHidden/>
                <w:sz w:val="24"/>
                <w:szCs w:val="24"/>
              </w:rPr>
              <w:fldChar w:fldCharType="separate"/>
            </w:r>
            <w:r w:rsidRPr="00F35F5F">
              <w:rPr>
                <w:noProof/>
                <w:webHidden/>
                <w:sz w:val="24"/>
                <w:szCs w:val="24"/>
              </w:rPr>
              <w:t>7</w:t>
            </w:r>
            <w:r w:rsidRPr="00F35F5F">
              <w:rPr>
                <w:noProof/>
                <w:webHidden/>
                <w:sz w:val="24"/>
                <w:szCs w:val="24"/>
              </w:rPr>
              <w:fldChar w:fldCharType="end"/>
            </w:r>
          </w:hyperlink>
        </w:p>
        <w:p w14:paraId="405ECB57" w14:textId="358B22CD" w:rsidR="00F35F5F" w:rsidRPr="00F35F5F" w:rsidRDefault="00F35F5F" w:rsidP="00F35F5F">
          <w:pPr>
            <w:pStyle w:val="TOC2"/>
            <w:tabs>
              <w:tab w:val="right" w:leader="dot" w:pos="8296"/>
            </w:tabs>
            <w:spacing w:line="360" w:lineRule="auto"/>
            <w:rPr>
              <w:noProof/>
              <w:sz w:val="24"/>
              <w:szCs w:val="24"/>
              <w:lang w:val="en-US"/>
              <w14:ligatures w14:val="standardContextual"/>
            </w:rPr>
          </w:pPr>
          <w:hyperlink w:anchor="_Toc225465264" w:history="1">
            <w:r w:rsidRPr="00F35F5F">
              <w:rPr>
                <w:rStyle w:val="af"/>
                <w:rFonts w:ascii="Times New Roman" w:hAnsi="Times New Roman" w:cs="Times New Roman"/>
                <w:b/>
                <w:bCs/>
                <w:noProof/>
                <w:sz w:val="24"/>
                <w:szCs w:val="24"/>
              </w:rPr>
              <w:t>3.2. Value Chain Analysis</w:t>
            </w:r>
            <w:r w:rsidRPr="00F35F5F">
              <w:rPr>
                <w:noProof/>
                <w:webHidden/>
                <w:sz w:val="24"/>
                <w:szCs w:val="24"/>
              </w:rPr>
              <w:tab/>
            </w:r>
            <w:r w:rsidRPr="00F35F5F">
              <w:rPr>
                <w:noProof/>
                <w:webHidden/>
                <w:sz w:val="24"/>
                <w:szCs w:val="24"/>
              </w:rPr>
              <w:fldChar w:fldCharType="begin"/>
            </w:r>
            <w:r w:rsidRPr="00F35F5F">
              <w:rPr>
                <w:noProof/>
                <w:webHidden/>
                <w:sz w:val="24"/>
                <w:szCs w:val="24"/>
              </w:rPr>
              <w:instrText xml:space="preserve"> PAGEREF _Toc225465264 \h </w:instrText>
            </w:r>
            <w:r w:rsidRPr="00F35F5F">
              <w:rPr>
                <w:noProof/>
                <w:webHidden/>
                <w:sz w:val="24"/>
                <w:szCs w:val="24"/>
              </w:rPr>
            </w:r>
            <w:r w:rsidRPr="00F35F5F">
              <w:rPr>
                <w:noProof/>
                <w:webHidden/>
                <w:sz w:val="24"/>
                <w:szCs w:val="24"/>
              </w:rPr>
              <w:fldChar w:fldCharType="separate"/>
            </w:r>
            <w:r w:rsidRPr="00F35F5F">
              <w:rPr>
                <w:noProof/>
                <w:webHidden/>
                <w:sz w:val="24"/>
                <w:szCs w:val="24"/>
              </w:rPr>
              <w:t>8</w:t>
            </w:r>
            <w:r w:rsidRPr="00F35F5F">
              <w:rPr>
                <w:noProof/>
                <w:webHidden/>
                <w:sz w:val="24"/>
                <w:szCs w:val="24"/>
              </w:rPr>
              <w:fldChar w:fldCharType="end"/>
            </w:r>
          </w:hyperlink>
        </w:p>
        <w:p w14:paraId="0FABB0FC" w14:textId="10837B29" w:rsidR="00F35F5F" w:rsidRPr="00F35F5F" w:rsidRDefault="00F35F5F" w:rsidP="00F35F5F">
          <w:pPr>
            <w:pStyle w:val="TOC2"/>
            <w:tabs>
              <w:tab w:val="right" w:leader="dot" w:pos="8296"/>
            </w:tabs>
            <w:spacing w:line="360" w:lineRule="auto"/>
            <w:rPr>
              <w:noProof/>
              <w:sz w:val="24"/>
              <w:szCs w:val="24"/>
              <w:lang w:val="en-US"/>
              <w14:ligatures w14:val="standardContextual"/>
            </w:rPr>
          </w:pPr>
          <w:hyperlink w:anchor="_Toc225465265" w:history="1">
            <w:r w:rsidRPr="00F35F5F">
              <w:rPr>
                <w:rStyle w:val="af"/>
                <w:rFonts w:ascii="Times New Roman" w:hAnsi="Times New Roman" w:cs="Times New Roman"/>
                <w:b/>
                <w:bCs/>
                <w:noProof/>
                <w:sz w:val="24"/>
                <w:szCs w:val="24"/>
              </w:rPr>
              <w:t>3.3. SWOT Analysis</w:t>
            </w:r>
            <w:r w:rsidRPr="00F35F5F">
              <w:rPr>
                <w:noProof/>
                <w:webHidden/>
                <w:sz w:val="24"/>
                <w:szCs w:val="24"/>
              </w:rPr>
              <w:tab/>
            </w:r>
            <w:r w:rsidRPr="00F35F5F">
              <w:rPr>
                <w:noProof/>
                <w:webHidden/>
                <w:sz w:val="24"/>
                <w:szCs w:val="24"/>
              </w:rPr>
              <w:fldChar w:fldCharType="begin"/>
            </w:r>
            <w:r w:rsidRPr="00F35F5F">
              <w:rPr>
                <w:noProof/>
                <w:webHidden/>
                <w:sz w:val="24"/>
                <w:szCs w:val="24"/>
              </w:rPr>
              <w:instrText xml:space="preserve"> PAGEREF _Toc225465265 \h </w:instrText>
            </w:r>
            <w:r w:rsidRPr="00F35F5F">
              <w:rPr>
                <w:noProof/>
                <w:webHidden/>
                <w:sz w:val="24"/>
                <w:szCs w:val="24"/>
              </w:rPr>
            </w:r>
            <w:r w:rsidRPr="00F35F5F">
              <w:rPr>
                <w:noProof/>
                <w:webHidden/>
                <w:sz w:val="24"/>
                <w:szCs w:val="24"/>
              </w:rPr>
              <w:fldChar w:fldCharType="separate"/>
            </w:r>
            <w:r w:rsidRPr="00F35F5F">
              <w:rPr>
                <w:noProof/>
                <w:webHidden/>
                <w:sz w:val="24"/>
                <w:szCs w:val="24"/>
              </w:rPr>
              <w:t>8</w:t>
            </w:r>
            <w:r w:rsidRPr="00F35F5F">
              <w:rPr>
                <w:noProof/>
                <w:webHidden/>
                <w:sz w:val="24"/>
                <w:szCs w:val="24"/>
              </w:rPr>
              <w:fldChar w:fldCharType="end"/>
            </w:r>
          </w:hyperlink>
        </w:p>
        <w:p w14:paraId="48B167FF" w14:textId="0EAE8F6A" w:rsidR="00F35F5F" w:rsidRPr="00F35F5F" w:rsidRDefault="00F35F5F" w:rsidP="00F35F5F">
          <w:pPr>
            <w:pStyle w:val="TOC1"/>
            <w:spacing w:line="360" w:lineRule="auto"/>
            <w:rPr>
              <w:sz w:val="24"/>
              <w:szCs w:val="24"/>
              <w:lang w:val="en-US"/>
              <w14:ligatures w14:val="standardContextual"/>
            </w:rPr>
          </w:pPr>
          <w:hyperlink w:anchor="_Toc225465266" w:history="1">
            <w:r w:rsidRPr="00F35F5F">
              <w:rPr>
                <w:rStyle w:val="af"/>
                <w:sz w:val="24"/>
                <w:szCs w:val="24"/>
              </w:rPr>
              <w:t>4. Strategy Formulation and Competitive Positioning</w:t>
            </w:r>
            <w:r w:rsidRPr="00F35F5F">
              <w:rPr>
                <w:webHidden/>
                <w:sz w:val="24"/>
                <w:szCs w:val="24"/>
              </w:rPr>
              <w:tab/>
            </w:r>
            <w:r w:rsidRPr="00F35F5F">
              <w:rPr>
                <w:webHidden/>
                <w:sz w:val="24"/>
                <w:szCs w:val="24"/>
              </w:rPr>
              <w:fldChar w:fldCharType="begin"/>
            </w:r>
            <w:r w:rsidRPr="00F35F5F">
              <w:rPr>
                <w:webHidden/>
                <w:sz w:val="24"/>
                <w:szCs w:val="24"/>
              </w:rPr>
              <w:instrText xml:space="preserve"> PAGEREF _Toc225465266 \h </w:instrText>
            </w:r>
            <w:r w:rsidRPr="00F35F5F">
              <w:rPr>
                <w:webHidden/>
                <w:sz w:val="24"/>
                <w:szCs w:val="24"/>
              </w:rPr>
            </w:r>
            <w:r w:rsidRPr="00F35F5F">
              <w:rPr>
                <w:webHidden/>
                <w:sz w:val="24"/>
                <w:szCs w:val="24"/>
              </w:rPr>
              <w:fldChar w:fldCharType="separate"/>
            </w:r>
            <w:r w:rsidRPr="00F35F5F">
              <w:rPr>
                <w:webHidden/>
                <w:sz w:val="24"/>
                <w:szCs w:val="24"/>
              </w:rPr>
              <w:t>9</w:t>
            </w:r>
            <w:r w:rsidRPr="00F35F5F">
              <w:rPr>
                <w:webHidden/>
                <w:sz w:val="24"/>
                <w:szCs w:val="24"/>
              </w:rPr>
              <w:fldChar w:fldCharType="end"/>
            </w:r>
          </w:hyperlink>
        </w:p>
        <w:p w14:paraId="58EF812B" w14:textId="4C0049F3" w:rsidR="00F35F5F" w:rsidRPr="00F35F5F" w:rsidRDefault="00F35F5F" w:rsidP="00F35F5F">
          <w:pPr>
            <w:pStyle w:val="TOC1"/>
            <w:spacing w:line="360" w:lineRule="auto"/>
            <w:rPr>
              <w:sz w:val="24"/>
              <w:szCs w:val="24"/>
              <w:lang w:val="en-US"/>
              <w14:ligatures w14:val="standardContextual"/>
            </w:rPr>
          </w:pPr>
          <w:hyperlink w:anchor="_Toc225465267" w:history="1">
            <w:r w:rsidRPr="00F35F5F">
              <w:rPr>
                <w:rStyle w:val="af"/>
                <w:sz w:val="24"/>
                <w:szCs w:val="24"/>
              </w:rPr>
              <w:t>5. Sustainability and Strategic Recommendations</w:t>
            </w:r>
            <w:r w:rsidRPr="00F35F5F">
              <w:rPr>
                <w:webHidden/>
                <w:sz w:val="24"/>
                <w:szCs w:val="24"/>
              </w:rPr>
              <w:tab/>
            </w:r>
            <w:r w:rsidRPr="00F35F5F">
              <w:rPr>
                <w:webHidden/>
                <w:sz w:val="24"/>
                <w:szCs w:val="24"/>
              </w:rPr>
              <w:fldChar w:fldCharType="begin"/>
            </w:r>
            <w:r w:rsidRPr="00F35F5F">
              <w:rPr>
                <w:webHidden/>
                <w:sz w:val="24"/>
                <w:szCs w:val="24"/>
              </w:rPr>
              <w:instrText xml:space="preserve"> PAGEREF _Toc225465267 \h </w:instrText>
            </w:r>
            <w:r w:rsidRPr="00F35F5F">
              <w:rPr>
                <w:webHidden/>
                <w:sz w:val="24"/>
                <w:szCs w:val="24"/>
              </w:rPr>
            </w:r>
            <w:r w:rsidRPr="00F35F5F">
              <w:rPr>
                <w:webHidden/>
                <w:sz w:val="24"/>
                <w:szCs w:val="24"/>
              </w:rPr>
              <w:fldChar w:fldCharType="separate"/>
            </w:r>
            <w:r w:rsidRPr="00F35F5F">
              <w:rPr>
                <w:webHidden/>
                <w:sz w:val="24"/>
                <w:szCs w:val="24"/>
              </w:rPr>
              <w:t>10</w:t>
            </w:r>
            <w:r w:rsidRPr="00F35F5F">
              <w:rPr>
                <w:webHidden/>
                <w:sz w:val="24"/>
                <w:szCs w:val="24"/>
              </w:rPr>
              <w:fldChar w:fldCharType="end"/>
            </w:r>
          </w:hyperlink>
        </w:p>
        <w:p w14:paraId="773B3F29" w14:textId="251376BC" w:rsidR="00F35F5F" w:rsidRPr="00F35F5F" w:rsidRDefault="00F35F5F" w:rsidP="00F35F5F">
          <w:pPr>
            <w:pStyle w:val="TOC1"/>
            <w:spacing w:line="360" w:lineRule="auto"/>
            <w:rPr>
              <w:sz w:val="24"/>
              <w:szCs w:val="24"/>
              <w:lang w:val="en-US"/>
              <w14:ligatures w14:val="standardContextual"/>
            </w:rPr>
          </w:pPr>
          <w:hyperlink w:anchor="_Toc225465268" w:history="1">
            <w:r w:rsidRPr="00F35F5F">
              <w:rPr>
                <w:rStyle w:val="af"/>
                <w:sz w:val="24"/>
                <w:szCs w:val="24"/>
              </w:rPr>
              <w:t>6.Conclusion</w:t>
            </w:r>
            <w:r w:rsidRPr="00F35F5F">
              <w:rPr>
                <w:webHidden/>
                <w:sz w:val="24"/>
                <w:szCs w:val="24"/>
              </w:rPr>
              <w:tab/>
            </w:r>
            <w:r w:rsidRPr="00F35F5F">
              <w:rPr>
                <w:webHidden/>
                <w:sz w:val="24"/>
                <w:szCs w:val="24"/>
              </w:rPr>
              <w:fldChar w:fldCharType="begin"/>
            </w:r>
            <w:r w:rsidRPr="00F35F5F">
              <w:rPr>
                <w:webHidden/>
                <w:sz w:val="24"/>
                <w:szCs w:val="24"/>
              </w:rPr>
              <w:instrText xml:space="preserve"> PAGEREF _Toc225465268 \h </w:instrText>
            </w:r>
            <w:r w:rsidRPr="00F35F5F">
              <w:rPr>
                <w:webHidden/>
                <w:sz w:val="24"/>
                <w:szCs w:val="24"/>
              </w:rPr>
            </w:r>
            <w:r w:rsidRPr="00F35F5F">
              <w:rPr>
                <w:webHidden/>
                <w:sz w:val="24"/>
                <w:szCs w:val="24"/>
              </w:rPr>
              <w:fldChar w:fldCharType="separate"/>
            </w:r>
            <w:r w:rsidRPr="00F35F5F">
              <w:rPr>
                <w:webHidden/>
                <w:sz w:val="24"/>
                <w:szCs w:val="24"/>
              </w:rPr>
              <w:t>10</w:t>
            </w:r>
            <w:r w:rsidRPr="00F35F5F">
              <w:rPr>
                <w:webHidden/>
                <w:sz w:val="24"/>
                <w:szCs w:val="24"/>
              </w:rPr>
              <w:fldChar w:fldCharType="end"/>
            </w:r>
          </w:hyperlink>
        </w:p>
        <w:p w14:paraId="36F3015B" w14:textId="1400C75D" w:rsidR="00F35F5F" w:rsidRPr="00F35F5F" w:rsidRDefault="00F35F5F" w:rsidP="00F35F5F">
          <w:pPr>
            <w:pStyle w:val="TOC1"/>
            <w:spacing w:line="360" w:lineRule="auto"/>
            <w:rPr>
              <w:sz w:val="24"/>
              <w:szCs w:val="24"/>
              <w:lang w:val="en-US"/>
              <w14:ligatures w14:val="standardContextual"/>
            </w:rPr>
          </w:pPr>
          <w:hyperlink w:anchor="_Toc225465269" w:history="1">
            <w:r w:rsidRPr="00F35F5F">
              <w:rPr>
                <w:rStyle w:val="af"/>
                <w:sz w:val="24"/>
                <w:szCs w:val="24"/>
              </w:rPr>
              <w:t>Reference</w:t>
            </w:r>
            <w:r w:rsidRPr="00F35F5F">
              <w:rPr>
                <w:webHidden/>
                <w:sz w:val="24"/>
                <w:szCs w:val="24"/>
              </w:rPr>
              <w:tab/>
            </w:r>
            <w:r w:rsidRPr="00F35F5F">
              <w:rPr>
                <w:webHidden/>
                <w:sz w:val="24"/>
                <w:szCs w:val="24"/>
              </w:rPr>
              <w:fldChar w:fldCharType="begin"/>
            </w:r>
            <w:r w:rsidRPr="00F35F5F">
              <w:rPr>
                <w:webHidden/>
                <w:sz w:val="24"/>
                <w:szCs w:val="24"/>
              </w:rPr>
              <w:instrText xml:space="preserve"> PAGEREF _Toc225465269 \h </w:instrText>
            </w:r>
            <w:r w:rsidRPr="00F35F5F">
              <w:rPr>
                <w:webHidden/>
                <w:sz w:val="24"/>
                <w:szCs w:val="24"/>
              </w:rPr>
            </w:r>
            <w:r w:rsidRPr="00F35F5F">
              <w:rPr>
                <w:webHidden/>
                <w:sz w:val="24"/>
                <w:szCs w:val="24"/>
              </w:rPr>
              <w:fldChar w:fldCharType="separate"/>
            </w:r>
            <w:r w:rsidRPr="00F35F5F">
              <w:rPr>
                <w:webHidden/>
                <w:sz w:val="24"/>
                <w:szCs w:val="24"/>
              </w:rPr>
              <w:t>11</w:t>
            </w:r>
            <w:r w:rsidRPr="00F35F5F">
              <w:rPr>
                <w:webHidden/>
                <w:sz w:val="24"/>
                <w:szCs w:val="24"/>
              </w:rPr>
              <w:fldChar w:fldCharType="end"/>
            </w:r>
          </w:hyperlink>
        </w:p>
        <w:p w14:paraId="6873FB47" w14:textId="2387C478" w:rsidR="00A178AA" w:rsidRPr="00F35F5F" w:rsidRDefault="00A178AA" w:rsidP="00A178AA">
          <w:pPr>
            <w:spacing w:line="360" w:lineRule="auto"/>
            <w:rPr>
              <w:rFonts w:ascii="Times New Roman" w:hAnsi="Times New Roman" w:cs="Times New Roman"/>
              <w:sz w:val="24"/>
              <w:szCs w:val="24"/>
            </w:rPr>
          </w:pPr>
          <w:r w:rsidRPr="00F35F5F">
            <w:rPr>
              <w:rFonts w:ascii="Times New Roman" w:hAnsi="Times New Roman" w:cs="Times New Roman"/>
              <w:b/>
              <w:bCs/>
              <w:sz w:val="24"/>
              <w:szCs w:val="24"/>
            </w:rPr>
            <w:fldChar w:fldCharType="end"/>
          </w:r>
        </w:p>
      </w:sdtContent>
    </w:sdt>
    <w:p w14:paraId="0DAD8C42" w14:textId="77777777" w:rsidR="006A0317" w:rsidRPr="00F35F5F" w:rsidRDefault="006A0317">
      <w:pPr>
        <w:widowControl/>
        <w:jc w:val="left"/>
        <w:rPr>
          <w:rFonts w:ascii="Times New Roman" w:hAnsi="Times New Roman" w:cs="Times New Roman"/>
        </w:rPr>
      </w:pPr>
      <w:r w:rsidRPr="00F35F5F">
        <w:rPr>
          <w:rFonts w:ascii="Times New Roman" w:hAnsi="Times New Roman" w:cs="Times New Roman"/>
        </w:rPr>
        <w:br w:type="page"/>
      </w:r>
    </w:p>
    <w:p w14:paraId="27016563" w14:textId="11F51618" w:rsidR="007F5C53" w:rsidRPr="00F35F5F" w:rsidRDefault="006A0317" w:rsidP="0078711A">
      <w:pPr>
        <w:spacing w:line="360" w:lineRule="auto"/>
        <w:outlineLvl w:val="0"/>
        <w:rPr>
          <w:rFonts w:ascii="Times New Roman" w:hAnsi="Times New Roman" w:cs="Times New Roman"/>
          <w:b/>
          <w:bCs/>
          <w:sz w:val="28"/>
          <w:szCs w:val="28"/>
        </w:rPr>
      </w:pPr>
      <w:bookmarkStart w:id="1" w:name="_Toc225465258"/>
      <w:r w:rsidRPr="00F35F5F">
        <w:rPr>
          <w:rFonts w:ascii="Times New Roman" w:hAnsi="Times New Roman" w:cs="Times New Roman"/>
          <w:b/>
          <w:bCs/>
          <w:sz w:val="28"/>
          <w:szCs w:val="28"/>
        </w:rPr>
        <w:lastRenderedPageBreak/>
        <w:t>1. Introduction</w:t>
      </w:r>
      <w:bookmarkEnd w:id="1"/>
    </w:p>
    <w:p w14:paraId="4E816285" w14:textId="77777777" w:rsidR="006A0317" w:rsidRPr="00F35F5F" w:rsidRDefault="006A0317" w:rsidP="0078711A">
      <w:pPr>
        <w:spacing w:line="360" w:lineRule="auto"/>
        <w:rPr>
          <w:rFonts w:ascii="Times New Roman" w:hAnsi="Times New Roman" w:cs="Times New Roman"/>
        </w:rPr>
      </w:pPr>
    </w:p>
    <w:p w14:paraId="1A8A6BFC" w14:textId="038F321F" w:rsidR="006A0317" w:rsidRPr="00F35F5F" w:rsidRDefault="002D5FA4" w:rsidP="0078711A">
      <w:pPr>
        <w:spacing w:line="360" w:lineRule="auto"/>
        <w:rPr>
          <w:rFonts w:ascii="Times New Roman" w:hAnsi="Times New Roman" w:cs="Times New Roman"/>
          <w:sz w:val="24"/>
          <w:szCs w:val="24"/>
        </w:rPr>
      </w:pPr>
      <w:r w:rsidRPr="002D5FA4">
        <w:rPr>
          <w:rFonts w:ascii="Times New Roman" w:hAnsi="Times New Roman" w:cs="Times New Roman"/>
          <w:sz w:val="24"/>
          <w:szCs w:val="24"/>
        </w:rPr>
        <w:t>Coca-Cola is one of the most recognisable companies in the global beverage industry.</w:t>
      </w:r>
      <w:r w:rsidR="00782260" w:rsidRPr="00782260">
        <w:rPr>
          <w:rFonts w:ascii="Times New Roman" w:hAnsi="Times New Roman" w:cs="Times New Roman"/>
          <w:sz w:val="24"/>
          <w:szCs w:val="24"/>
        </w:rPr>
        <w:t xml:space="preserve"> It operates in more than 200 countries and has a wide product portfolio, covering soft drinks, bottled water and juices (Simamora, Putra and Pina</w:t>
      </w:r>
      <w:r w:rsidR="00782260">
        <w:rPr>
          <w:rFonts w:ascii="Times New Roman" w:hAnsi="Times New Roman" w:cs="Times New Roman" w:hint="eastAsia"/>
          <w:sz w:val="24"/>
          <w:szCs w:val="24"/>
        </w:rPr>
        <w:t>r</w:t>
      </w:r>
      <w:r w:rsidR="00782260" w:rsidRPr="00782260">
        <w:rPr>
          <w:rFonts w:ascii="Times New Roman" w:hAnsi="Times New Roman" w:cs="Times New Roman"/>
          <w:sz w:val="24"/>
          <w:szCs w:val="24"/>
        </w:rPr>
        <w:t xml:space="preserve">di, 2024; </w:t>
      </w:r>
      <w:r w:rsidR="00782260">
        <w:rPr>
          <w:rFonts w:ascii="Times New Roman" w:hAnsi="Times New Roman" w:cs="Times New Roman" w:hint="eastAsia"/>
          <w:sz w:val="24"/>
          <w:szCs w:val="24"/>
        </w:rPr>
        <w:t xml:space="preserve">The </w:t>
      </w:r>
      <w:r w:rsidR="00782260" w:rsidRPr="00782260">
        <w:rPr>
          <w:rFonts w:ascii="Times New Roman" w:hAnsi="Times New Roman" w:cs="Times New Roman"/>
          <w:sz w:val="24"/>
          <w:szCs w:val="24"/>
        </w:rPr>
        <w:t>Coca-Cola</w:t>
      </w:r>
      <w:r w:rsidR="00782260">
        <w:rPr>
          <w:rFonts w:ascii="Times New Roman" w:hAnsi="Times New Roman" w:cs="Times New Roman" w:hint="eastAsia"/>
          <w:sz w:val="24"/>
          <w:szCs w:val="24"/>
        </w:rPr>
        <w:t xml:space="preserve"> Company</w:t>
      </w:r>
      <w:r w:rsidR="00782260" w:rsidRPr="00782260">
        <w:rPr>
          <w:rFonts w:ascii="Times New Roman" w:hAnsi="Times New Roman" w:cs="Times New Roman"/>
          <w:sz w:val="24"/>
          <w:szCs w:val="24"/>
        </w:rPr>
        <w:t>, 2024)</w:t>
      </w:r>
      <w:r w:rsidR="006A0317" w:rsidRPr="00F35F5F">
        <w:rPr>
          <w:rFonts w:ascii="Times New Roman" w:hAnsi="Times New Roman" w:cs="Times New Roman"/>
          <w:sz w:val="24"/>
          <w:szCs w:val="24"/>
        </w:rPr>
        <w:t xml:space="preserve">. Its success is largely attributed to its strong brand influence and the ability to distribute products globally. </w:t>
      </w:r>
    </w:p>
    <w:p w14:paraId="4B5D5559" w14:textId="77777777" w:rsidR="006A0317" w:rsidRPr="00F35F5F" w:rsidRDefault="006A0317" w:rsidP="0078711A">
      <w:pPr>
        <w:spacing w:line="360" w:lineRule="auto"/>
        <w:rPr>
          <w:rFonts w:ascii="Times New Roman" w:hAnsi="Times New Roman" w:cs="Times New Roman"/>
          <w:sz w:val="24"/>
          <w:szCs w:val="24"/>
        </w:rPr>
      </w:pPr>
    </w:p>
    <w:p w14:paraId="56A01704" w14:textId="1622A353" w:rsidR="006A0317" w:rsidRPr="00F35F5F" w:rsidRDefault="006A0317" w:rsidP="0078711A">
      <w:pPr>
        <w:spacing w:line="360" w:lineRule="auto"/>
        <w:rPr>
          <w:rFonts w:ascii="Times New Roman" w:hAnsi="Times New Roman" w:cs="Times New Roman"/>
          <w:sz w:val="24"/>
          <w:szCs w:val="24"/>
        </w:rPr>
      </w:pPr>
      <w:r w:rsidRPr="00F35F5F">
        <w:rPr>
          <w:rFonts w:ascii="Times New Roman" w:hAnsi="Times New Roman" w:cs="Times New Roman"/>
          <w:sz w:val="24"/>
          <w:szCs w:val="24"/>
        </w:rPr>
        <w:t>However, the business environment in which it operates has undergone significant changes. Public concern over sugar intake and obesity has led to a decline in demand for traditional carbonated beverages</w:t>
      </w:r>
      <w:r w:rsidR="00FD15A9" w:rsidRPr="00F35F5F">
        <w:rPr>
          <w:rFonts w:ascii="Times New Roman" w:hAnsi="Times New Roman" w:cs="Times New Roman"/>
          <w:sz w:val="24"/>
          <w:szCs w:val="24"/>
        </w:rPr>
        <w:t xml:space="preserve"> </w:t>
      </w:r>
      <w:r w:rsidR="0078711A" w:rsidRPr="0078711A">
        <w:rPr>
          <w:rFonts w:ascii="Times New Roman" w:hAnsi="Times New Roman" w:cs="Times New Roman"/>
          <w:sz w:val="24"/>
          <w:szCs w:val="24"/>
        </w:rPr>
        <w:t>(Linda J. Cobiac et al., 2024)</w:t>
      </w:r>
      <w:r w:rsidRPr="00F35F5F">
        <w:rPr>
          <w:rFonts w:ascii="Times New Roman" w:hAnsi="Times New Roman" w:cs="Times New Roman"/>
          <w:sz w:val="24"/>
          <w:szCs w:val="24"/>
        </w:rPr>
        <w:t>. At the same time, environmental issues, particularly plastic waste, have received increasing attention, putting greater pressure on large beverage producers</w:t>
      </w:r>
      <w:r w:rsidR="00FD15A9" w:rsidRPr="00F35F5F">
        <w:rPr>
          <w:rFonts w:ascii="Times New Roman" w:hAnsi="Times New Roman" w:cs="Times New Roman"/>
          <w:sz w:val="24"/>
          <w:szCs w:val="24"/>
        </w:rPr>
        <w:t xml:space="preserve"> </w:t>
      </w:r>
      <w:r w:rsidR="0078711A" w:rsidRPr="0078711A">
        <w:rPr>
          <w:rFonts w:ascii="Times New Roman" w:hAnsi="Times New Roman" w:cs="Times New Roman"/>
          <w:sz w:val="24"/>
          <w:szCs w:val="24"/>
        </w:rPr>
        <w:t>(Arijeniwa et al., 2024)</w:t>
      </w:r>
      <w:r w:rsidRPr="00F35F5F">
        <w:rPr>
          <w:rFonts w:ascii="Times New Roman" w:hAnsi="Times New Roman" w:cs="Times New Roman"/>
          <w:sz w:val="24"/>
          <w:szCs w:val="24"/>
        </w:rPr>
        <w:t xml:space="preserve">. </w:t>
      </w:r>
    </w:p>
    <w:p w14:paraId="569FCC91" w14:textId="77777777" w:rsidR="006A0317" w:rsidRPr="00F35F5F" w:rsidRDefault="006A0317" w:rsidP="0078711A">
      <w:pPr>
        <w:spacing w:line="360" w:lineRule="auto"/>
        <w:rPr>
          <w:rFonts w:ascii="Times New Roman" w:hAnsi="Times New Roman" w:cs="Times New Roman"/>
          <w:sz w:val="24"/>
          <w:szCs w:val="24"/>
        </w:rPr>
      </w:pPr>
    </w:p>
    <w:p w14:paraId="19B86B6D" w14:textId="27AFE14F" w:rsidR="00CF1EDC" w:rsidRPr="00F35F5F" w:rsidRDefault="006A0317" w:rsidP="0078711A">
      <w:pPr>
        <w:spacing w:line="360" w:lineRule="auto"/>
        <w:rPr>
          <w:rFonts w:ascii="Times New Roman" w:hAnsi="Times New Roman" w:cs="Times New Roman"/>
          <w:sz w:val="24"/>
          <w:szCs w:val="24"/>
        </w:rPr>
      </w:pPr>
      <w:r w:rsidRPr="00F35F5F">
        <w:rPr>
          <w:rFonts w:ascii="Times New Roman" w:hAnsi="Times New Roman" w:cs="Times New Roman"/>
          <w:sz w:val="24"/>
          <w:szCs w:val="24"/>
        </w:rPr>
        <w:t>As a result, Coca-Cola now faces a more complex strategic environment than in the past. This report uses key strategic models to assess the company's response to these changes and whether its current development direction is sufficient to achieve long-term success.</w:t>
      </w:r>
    </w:p>
    <w:p w14:paraId="2163623A" w14:textId="77777777" w:rsidR="00CF1EDC" w:rsidRPr="00F35F5F" w:rsidRDefault="00CF1EDC" w:rsidP="0078711A">
      <w:pPr>
        <w:widowControl/>
        <w:spacing w:line="360" w:lineRule="auto"/>
        <w:jc w:val="left"/>
        <w:rPr>
          <w:rFonts w:ascii="Times New Roman" w:hAnsi="Times New Roman" w:cs="Times New Roman"/>
        </w:rPr>
      </w:pPr>
      <w:r w:rsidRPr="00F35F5F">
        <w:rPr>
          <w:rFonts w:ascii="Times New Roman" w:hAnsi="Times New Roman" w:cs="Times New Roman"/>
        </w:rPr>
        <w:br w:type="page"/>
      </w:r>
    </w:p>
    <w:p w14:paraId="090F36A4" w14:textId="1AE2A209" w:rsidR="006A0317" w:rsidRPr="00F35F5F" w:rsidRDefault="00CF1EDC" w:rsidP="00F35F5F">
      <w:pPr>
        <w:spacing w:line="360" w:lineRule="auto"/>
        <w:outlineLvl w:val="0"/>
        <w:rPr>
          <w:rFonts w:ascii="Times New Roman" w:hAnsi="Times New Roman" w:cs="Times New Roman"/>
          <w:b/>
          <w:bCs/>
          <w:sz w:val="28"/>
          <w:szCs w:val="28"/>
        </w:rPr>
      </w:pPr>
      <w:bookmarkStart w:id="2" w:name="_Toc225465259"/>
      <w:r w:rsidRPr="00F35F5F">
        <w:rPr>
          <w:rFonts w:ascii="Times New Roman" w:hAnsi="Times New Roman" w:cs="Times New Roman"/>
          <w:b/>
          <w:bCs/>
          <w:sz w:val="28"/>
          <w:szCs w:val="28"/>
        </w:rPr>
        <w:lastRenderedPageBreak/>
        <w:t>2. External Analysis</w:t>
      </w:r>
      <w:bookmarkEnd w:id="2"/>
    </w:p>
    <w:p w14:paraId="5531FABC" w14:textId="77777777" w:rsidR="00CF1EDC" w:rsidRPr="00F35F5F" w:rsidRDefault="00CF1EDC" w:rsidP="00F35F5F">
      <w:pPr>
        <w:spacing w:line="360" w:lineRule="auto"/>
        <w:rPr>
          <w:rFonts w:ascii="Times New Roman" w:hAnsi="Times New Roman" w:cs="Times New Roman"/>
          <w:sz w:val="24"/>
          <w:szCs w:val="24"/>
        </w:rPr>
      </w:pPr>
    </w:p>
    <w:p w14:paraId="60F9F962" w14:textId="7E8C44E7" w:rsidR="00CF1EDC" w:rsidRPr="00F35F5F" w:rsidRDefault="00CF1EDC" w:rsidP="00F35F5F">
      <w:pPr>
        <w:spacing w:line="360" w:lineRule="auto"/>
        <w:rPr>
          <w:rFonts w:ascii="Times New Roman" w:hAnsi="Times New Roman" w:cs="Times New Roman"/>
          <w:sz w:val="24"/>
          <w:szCs w:val="24"/>
        </w:rPr>
      </w:pPr>
      <w:r w:rsidRPr="00F35F5F">
        <w:rPr>
          <w:rFonts w:ascii="Times New Roman" w:hAnsi="Times New Roman" w:cs="Times New Roman"/>
          <w:sz w:val="24"/>
          <w:szCs w:val="24"/>
        </w:rPr>
        <w:t xml:space="preserve">External analysis focuses on the broader macro and industry-level factors that influence a company's performance. This section uses the PESTEL framework to </w:t>
      </w:r>
      <w:r w:rsidR="0011362A" w:rsidRPr="00F35F5F">
        <w:rPr>
          <w:rFonts w:ascii="Times New Roman" w:hAnsi="Times New Roman" w:cs="Times New Roman"/>
          <w:sz w:val="24"/>
          <w:szCs w:val="24"/>
        </w:rPr>
        <w:t>analyse</w:t>
      </w:r>
      <w:r w:rsidRPr="00F35F5F">
        <w:rPr>
          <w:rFonts w:ascii="Times New Roman" w:hAnsi="Times New Roman" w:cs="Times New Roman"/>
          <w:sz w:val="24"/>
          <w:szCs w:val="24"/>
        </w:rPr>
        <w:t xml:space="preserve"> the external macro environment and the Porter's Five Forces model to assess the competitive landscape of the beverage industry.</w:t>
      </w:r>
    </w:p>
    <w:p w14:paraId="4FD94798" w14:textId="77777777" w:rsidR="00CF1EDC" w:rsidRPr="00F35F5F" w:rsidRDefault="00CF1EDC" w:rsidP="00F35F5F">
      <w:pPr>
        <w:spacing w:line="360" w:lineRule="auto"/>
        <w:rPr>
          <w:rFonts w:ascii="Times New Roman" w:hAnsi="Times New Roman" w:cs="Times New Roman"/>
          <w:sz w:val="24"/>
          <w:szCs w:val="24"/>
        </w:rPr>
      </w:pPr>
    </w:p>
    <w:p w14:paraId="555D47F2" w14:textId="58F75F7F" w:rsidR="00CF1EDC" w:rsidRPr="00F35F5F" w:rsidRDefault="00CF1EDC" w:rsidP="00F35F5F">
      <w:pPr>
        <w:spacing w:line="360" w:lineRule="auto"/>
        <w:outlineLvl w:val="1"/>
        <w:rPr>
          <w:rFonts w:ascii="Times New Roman" w:hAnsi="Times New Roman" w:cs="Times New Roman"/>
          <w:b/>
          <w:bCs/>
          <w:sz w:val="24"/>
          <w:szCs w:val="24"/>
        </w:rPr>
      </w:pPr>
      <w:bookmarkStart w:id="3" w:name="_Toc225465260"/>
      <w:r w:rsidRPr="00F35F5F">
        <w:rPr>
          <w:rFonts w:ascii="Times New Roman" w:hAnsi="Times New Roman" w:cs="Times New Roman"/>
          <w:b/>
          <w:bCs/>
          <w:sz w:val="24"/>
          <w:szCs w:val="24"/>
        </w:rPr>
        <w:t xml:space="preserve">2.1. </w:t>
      </w:r>
      <w:r w:rsidR="0011362A" w:rsidRPr="00F35F5F">
        <w:rPr>
          <w:rFonts w:ascii="Times New Roman" w:hAnsi="Times New Roman" w:cs="Times New Roman"/>
          <w:b/>
          <w:bCs/>
          <w:sz w:val="24"/>
          <w:szCs w:val="24"/>
        </w:rPr>
        <w:t>PESTEL analysis</w:t>
      </w:r>
      <w:bookmarkEnd w:id="3"/>
    </w:p>
    <w:p w14:paraId="0C4B16E8" w14:textId="77777777" w:rsidR="0011362A" w:rsidRPr="00F35F5F" w:rsidRDefault="0011362A" w:rsidP="00F35F5F">
      <w:pPr>
        <w:spacing w:line="360" w:lineRule="auto"/>
        <w:rPr>
          <w:rFonts w:ascii="Times New Roman" w:hAnsi="Times New Roman" w:cs="Times New Roman"/>
          <w:sz w:val="24"/>
          <w:szCs w:val="24"/>
        </w:rPr>
      </w:pPr>
    </w:p>
    <w:p w14:paraId="4FC89384" w14:textId="3A5DF74C" w:rsidR="00AC5AB4" w:rsidRPr="00F35F5F" w:rsidRDefault="00AC5AB4" w:rsidP="00F35F5F">
      <w:pPr>
        <w:spacing w:line="360" w:lineRule="auto"/>
        <w:rPr>
          <w:rFonts w:ascii="Times New Roman" w:hAnsi="Times New Roman" w:cs="Times New Roman"/>
          <w:sz w:val="24"/>
          <w:szCs w:val="24"/>
        </w:rPr>
      </w:pPr>
      <w:r w:rsidRPr="00F35F5F">
        <w:rPr>
          <w:rFonts w:ascii="Times New Roman" w:hAnsi="Times New Roman" w:cs="Times New Roman"/>
          <w:sz w:val="24"/>
          <w:szCs w:val="24"/>
        </w:rPr>
        <w:t>A PESTEL-informed analysis of the external environment suggests that Coca-Cola is not merely adapting to change, but confronting deeper structural contradictions</w:t>
      </w:r>
    </w:p>
    <w:p w14:paraId="07BD49B8" w14:textId="77777777" w:rsidR="00AC5AB4" w:rsidRPr="00F35F5F" w:rsidRDefault="00AC5AB4" w:rsidP="00F35F5F">
      <w:pPr>
        <w:spacing w:line="360" w:lineRule="auto"/>
        <w:rPr>
          <w:rFonts w:ascii="Times New Roman" w:hAnsi="Times New Roman" w:cs="Times New Roman"/>
          <w:sz w:val="24"/>
          <w:szCs w:val="24"/>
        </w:rPr>
      </w:pPr>
    </w:p>
    <w:p w14:paraId="335F8E40" w14:textId="710B6F22" w:rsidR="002C53CF" w:rsidRPr="002C53CF" w:rsidRDefault="00AC5AB4" w:rsidP="002C53CF">
      <w:pPr>
        <w:spacing w:line="360" w:lineRule="auto"/>
        <w:rPr>
          <w:rFonts w:ascii="Times New Roman" w:hAnsi="Times New Roman" w:cs="Times New Roman"/>
          <w:sz w:val="24"/>
          <w:szCs w:val="24"/>
        </w:rPr>
      </w:pPr>
      <w:r w:rsidRPr="00F35F5F">
        <w:rPr>
          <w:rFonts w:ascii="Times New Roman" w:hAnsi="Times New Roman" w:cs="Times New Roman"/>
          <w:sz w:val="24"/>
          <w:szCs w:val="24"/>
        </w:rPr>
        <w:t xml:space="preserve">A more critical evaluation of the external environment suggests that Coca-Cola is not merely adapting to change, but confronting deeper structural contradictions that call into question the sustainability of its core strategic advantages. </w:t>
      </w:r>
      <w:r w:rsidR="002C53CF" w:rsidRPr="002C53CF">
        <w:rPr>
          <w:rFonts w:ascii="Times New Roman" w:hAnsi="Times New Roman" w:cs="Times New Roman"/>
          <w:sz w:val="24"/>
          <w:szCs w:val="24"/>
        </w:rPr>
        <w:t xml:space="preserve">Although the company's strong brand assets and extensive global distribution network have historically been the basis of its competitive advantage, these capabilities are increasingly becoming constraints rather than advantages under changing regulatory, social and environmental pressures (Adiguzer and Ergen, 2025; </w:t>
      </w:r>
      <w:r w:rsidR="002C53CF">
        <w:rPr>
          <w:rFonts w:ascii="Times New Roman" w:hAnsi="Times New Roman" w:cs="Times New Roman" w:hint="eastAsia"/>
          <w:sz w:val="24"/>
          <w:szCs w:val="24"/>
        </w:rPr>
        <w:t>Ch</w:t>
      </w:r>
      <w:r w:rsidR="002C53CF" w:rsidRPr="002C53CF">
        <w:rPr>
          <w:rFonts w:ascii="Times New Roman" w:hAnsi="Times New Roman" w:cs="Times New Roman"/>
          <w:sz w:val="24"/>
          <w:szCs w:val="24"/>
        </w:rPr>
        <w:t>rist</w:t>
      </w:r>
      <w:r w:rsidR="002C53CF">
        <w:rPr>
          <w:rFonts w:ascii="Times New Roman" w:hAnsi="Times New Roman" w:cs="Times New Roman" w:hint="eastAsia"/>
          <w:sz w:val="24"/>
          <w:szCs w:val="24"/>
        </w:rPr>
        <w:t>i</w:t>
      </w:r>
      <w:r w:rsidR="002C53CF" w:rsidRPr="002C53CF">
        <w:rPr>
          <w:rFonts w:ascii="Times New Roman" w:hAnsi="Times New Roman" w:cs="Times New Roman"/>
          <w:sz w:val="24"/>
          <w:szCs w:val="24"/>
        </w:rPr>
        <w:t>n</w:t>
      </w:r>
      <w:r w:rsidR="002C53CF">
        <w:rPr>
          <w:rFonts w:ascii="Times New Roman" w:hAnsi="Times New Roman" w:cs="Times New Roman" w:hint="eastAsia"/>
          <w:sz w:val="24"/>
          <w:szCs w:val="24"/>
        </w:rPr>
        <w:t>e</w:t>
      </w:r>
      <w:r w:rsidR="002C53CF" w:rsidRPr="002C53CF">
        <w:rPr>
          <w:rFonts w:ascii="Times New Roman" w:hAnsi="Times New Roman" w:cs="Times New Roman"/>
          <w:sz w:val="24"/>
          <w:szCs w:val="24"/>
        </w:rPr>
        <w:t xml:space="preserve"> et al., 2025).</w:t>
      </w:r>
    </w:p>
    <w:p w14:paraId="73E0F2EE" w14:textId="77777777" w:rsidR="002C53CF" w:rsidRPr="002C53CF" w:rsidRDefault="002C53CF" w:rsidP="002C53CF">
      <w:pPr>
        <w:spacing w:line="360" w:lineRule="auto"/>
        <w:rPr>
          <w:rFonts w:ascii="Times New Roman" w:hAnsi="Times New Roman" w:cs="Times New Roman"/>
          <w:sz w:val="24"/>
          <w:szCs w:val="24"/>
        </w:rPr>
      </w:pPr>
    </w:p>
    <w:p w14:paraId="17D491D2" w14:textId="5D772060" w:rsidR="002C53CF" w:rsidRPr="002C53CF" w:rsidRDefault="002C53CF" w:rsidP="002C53CF">
      <w:pPr>
        <w:spacing w:line="360" w:lineRule="auto"/>
        <w:rPr>
          <w:rFonts w:ascii="Times New Roman" w:hAnsi="Times New Roman" w:cs="Times New Roman"/>
          <w:sz w:val="24"/>
          <w:szCs w:val="24"/>
        </w:rPr>
      </w:pPr>
      <w:r w:rsidRPr="002C53CF">
        <w:rPr>
          <w:rFonts w:ascii="Times New Roman" w:hAnsi="Times New Roman" w:cs="Times New Roman"/>
          <w:sz w:val="24"/>
          <w:szCs w:val="24"/>
        </w:rPr>
        <w:t xml:space="preserve">For example, the improvement of health awareness and regulatory interventions such as the British soft drink industry tax not only pose a challenge to the performance of Coca-Cola's traditional high-sugar product portfolio, but also shake its core value proposition (Linda J. </w:t>
      </w:r>
      <w:r>
        <w:rPr>
          <w:rFonts w:ascii="Times New Roman" w:hAnsi="Times New Roman" w:cs="Times New Roman" w:hint="eastAsia"/>
          <w:sz w:val="24"/>
          <w:szCs w:val="24"/>
        </w:rPr>
        <w:t>C</w:t>
      </w:r>
      <w:r w:rsidRPr="002C53CF">
        <w:rPr>
          <w:rFonts w:ascii="Times New Roman" w:hAnsi="Times New Roman" w:cs="Times New Roman"/>
          <w:sz w:val="24"/>
          <w:szCs w:val="24"/>
        </w:rPr>
        <w:t>obia</w:t>
      </w:r>
      <w:r>
        <w:rPr>
          <w:rFonts w:ascii="Times New Roman" w:hAnsi="Times New Roman" w:cs="Times New Roman" w:hint="eastAsia"/>
          <w:sz w:val="24"/>
          <w:szCs w:val="24"/>
        </w:rPr>
        <w:t>c</w:t>
      </w:r>
      <w:r w:rsidRPr="002C53CF">
        <w:rPr>
          <w:rFonts w:ascii="Times New Roman" w:hAnsi="Times New Roman" w:cs="Times New Roman"/>
          <w:sz w:val="24"/>
          <w:szCs w:val="24"/>
        </w:rPr>
        <w:t xml:space="preserve"> et al., 2024). Although the company has launched zero-sugar and re-formula products, these initiatives remain largely gradual and are primarily focussed on preserving traditional brands. This reflects a more fundamental strateg</w:t>
      </w:r>
      <w:r>
        <w:rPr>
          <w:rFonts w:ascii="Times New Roman" w:hAnsi="Times New Roman" w:cs="Times New Roman" w:hint="eastAsia"/>
          <w:sz w:val="24"/>
          <w:szCs w:val="24"/>
        </w:rPr>
        <w:t>y corner</w:t>
      </w:r>
      <w:r w:rsidRPr="002C53CF">
        <w:rPr>
          <w:rFonts w:ascii="Times New Roman" w:hAnsi="Times New Roman" w:cs="Times New Roman"/>
          <w:sz w:val="24"/>
          <w:szCs w:val="24"/>
        </w:rPr>
        <w:t>: Coca-Cola's brand assets are deeply rooted in products that are increasingly considered unhealthy</w:t>
      </w:r>
      <w:r>
        <w:rPr>
          <w:rFonts w:ascii="Times New Roman" w:hAnsi="Times New Roman" w:cs="Times New Roman" w:hint="eastAsia"/>
          <w:sz w:val="24"/>
          <w:szCs w:val="24"/>
        </w:rPr>
        <w:t>. It is</w:t>
      </w:r>
      <w:r w:rsidRPr="002C53CF">
        <w:rPr>
          <w:rFonts w:ascii="Times New Roman" w:hAnsi="Times New Roman" w:cs="Times New Roman"/>
          <w:sz w:val="24"/>
          <w:szCs w:val="24"/>
        </w:rPr>
        <w:t xml:space="preserve"> means that repositioning efforts may damage the brand image that supports its market power. Therefore, the company's strategic flexibility is </w:t>
      </w:r>
      <w:r w:rsidRPr="002C53CF">
        <w:rPr>
          <w:rFonts w:ascii="Times New Roman" w:hAnsi="Times New Roman" w:cs="Times New Roman"/>
          <w:sz w:val="24"/>
          <w:szCs w:val="24"/>
        </w:rPr>
        <w:lastRenderedPageBreak/>
        <w:t>structurally limited, making it difficult to match the health-oriented consumption trend. This is consistent with the concept of path dependence</w:t>
      </w:r>
      <w:r>
        <w:rPr>
          <w:rFonts w:ascii="Times New Roman" w:hAnsi="Times New Roman" w:cs="Times New Roman" w:hint="eastAsia"/>
          <w:sz w:val="24"/>
          <w:szCs w:val="24"/>
        </w:rPr>
        <w:t>. Because</w:t>
      </w:r>
      <w:r w:rsidRPr="002C53CF">
        <w:rPr>
          <w:rFonts w:ascii="Times New Roman" w:hAnsi="Times New Roman" w:cs="Times New Roman"/>
          <w:sz w:val="24"/>
          <w:szCs w:val="24"/>
        </w:rPr>
        <w:t xml:space="preserve"> historical strategic choices limit future strategic choices (Ta</w:t>
      </w:r>
      <w:r>
        <w:rPr>
          <w:rFonts w:ascii="Times New Roman" w:hAnsi="Times New Roman" w:cs="Times New Roman" w:hint="eastAsia"/>
          <w:sz w:val="24"/>
          <w:szCs w:val="24"/>
        </w:rPr>
        <w:t>i</w:t>
      </w:r>
      <w:r w:rsidRPr="002C53CF">
        <w:rPr>
          <w:rFonts w:ascii="Times New Roman" w:hAnsi="Times New Roman" w:cs="Times New Roman"/>
          <w:sz w:val="24"/>
          <w:szCs w:val="24"/>
        </w:rPr>
        <w:t xml:space="preserve">bi </w:t>
      </w:r>
      <w:r>
        <w:rPr>
          <w:rFonts w:ascii="Times New Roman" w:hAnsi="Times New Roman" w:cs="Times New Roman" w:hint="eastAsia"/>
          <w:sz w:val="24"/>
          <w:szCs w:val="24"/>
        </w:rPr>
        <w:t>Voigts</w:t>
      </w:r>
      <w:r w:rsidRPr="002C53CF">
        <w:rPr>
          <w:rFonts w:ascii="Times New Roman" w:hAnsi="Times New Roman" w:cs="Times New Roman"/>
          <w:sz w:val="24"/>
          <w:szCs w:val="24"/>
        </w:rPr>
        <w:t>, Og</w:t>
      </w:r>
      <w:r>
        <w:rPr>
          <w:rFonts w:ascii="Times New Roman" w:hAnsi="Times New Roman" w:cs="Times New Roman" w:hint="eastAsia"/>
          <w:sz w:val="24"/>
          <w:szCs w:val="24"/>
        </w:rPr>
        <w:t>u</w:t>
      </w:r>
      <w:r w:rsidRPr="002C53CF">
        <w:rPr>
          <w:rFonts w:ascii="Times New Roman" w:hAnsi="Times New Roman" w:cs="Times New Roman"/>
          <w:sz w:val="24"/>
          <w:szCs w:val="24"/>
        </w:rPr>
        <w:t>nmokun and Egbetokun, 2025).</w:t>
      </w:r>
    </w:p>
    <w:p w14:paraId="50EAD46B" w14:textId="77777777" w:rsidR="002C53CF" w:rsidRPr="002C53CF" w:rsidRDefault="002C53CF" w:rsidP="002C53CF">
      <w:pPr>
        <w:spacing w:line="360" w:lineRule="auto"/>
        <w:rPr>
          <w:rFonts w:ascii="Times New Roman" w:hAnsi="Times New Roman" w:cs="Times New Roman"/>
          <w:sz w:val="24"/>
          <w:szCs w:val="24"/>
        </w:rPr>
      </w:pPr>
    </w:p>
    <w:p w14:paraId="5BE3F060" w14:textId="06A33664" w:rsidR="002C53CF" w:rsidRPr="002C53CF" w:rsidRDefault="002C53CF" w:rsidP="002C53CF">
      <w:pPr>
        <w:spacing w:line="360" w:lineRule="auto"/>
        <w:rPr>
          <w:rFonts w:ascii="Times New Roman" w:hAnsi="Times New Roman" w:cs="Times New Roman"/>
          <w:sz w:val="24"/>
          <w:szCs w:val="24"/>
        </w:rPr>
      </w:pPr>
      <w:r w:rsidRPr="002C53CF">
        <w:rPr>
          <w:rFonts w:ascii="Times New Roman" w:hAnsi="Times New Roman" w:cs="Times New Roman"/>
          <w:sz w:val="24"/>
          <w:szCs w:val="24"/>
        </w:rPr>
        <w:t>Similarly, Coca-Cola's global scale and distribution capacity, which has long been regarded as a key competitive advantage</w:t>
      </w:r>
      <w:r w:rsidR="00760885">
        <w:rPr>
          <w:rFonts w:ascii="Times New Roman" w:hAnsi="Times New Roman" w:cs="Times New Roman" w:hint="eastAsia"/>
          <w:sz w:val="24"/>
          <w:szCs w:val="24"/>
        </w:rPr>
        <w:t xml:space="preserve">. </w:t>
      </w:r>
      <w:proofErr w:type="gramStart"/>
      <w:r w:rsidR="00760885">
        <w:rPr>
          <w:rFonts w:ascii="Times New Roman" w:hAnsi="Times New Roman" w:cs="Times New Roman" w:hint="eastAsia"/>
          <w:sz w:val="24"/>
          <w:szCs w:val="24"/>
        </w:rPr>
        <w:t>So</w:t>
      </w:r>
      <w:proofErr w:type="gramEnd"/>
      <w:r w:rsidR="00760885">
        <w:rPr>
          <w:rFonts w:ascii="Times New Roman" w:hAnsi="Times New Roman" w:cs="Times New Roman" w:hint="eastAsia"/>
          <w:sz w:val="24"/>
          <w:szCs w:val="24"/>
        </w:rPr>
        <w:t xml:space="preserve"> it </w:t>
      </w:r>
      <w:r w:rsidRPr="002C53CF">
        <w:rPr>
          <w:rFonts w:ascii="Times New Roman" w:hAnsi="Times New Roman" w:cs="Times New Roman"/>
          <w:sz w:val="24"/>
          <w:szCs w:val="24"/>
        </w:rPr>
        <w:t>may gradually reduce its strategic value in the context of changing consumer behaviour. With increasing economic pressures and increasing price sensitivity</w:t>
      </w:r>
      <w:r w:rsidR="00DB459D">
        <w:rPr>
          <w:rFonts w:ascii="Times New Roman" w:hAnsi="Times New Roman" w:cs="Times New Roman" w:hint="eastAsia"/>
          <w:sz w:val="24"/>
          <w:szCs w:val="24"/>
        </w:rPr>
        <w:t>.</w:t>
      </w:r>
      <w:r w:rsidRPr="002C53CF">
        <w:rPr>
          <w:rFonts w:ascii="Times New Roman" w:hAnsi="Times New Roman" w:cs="Times New Roman"/>
          <w:sz w:val="24"/>
          <w:szCs w:val="24"/>
        </w:rPr>
        <w:t xml:space="preserve"> </w:t>
      </w:r>
      <w:r w:rsidR="00DB459D">
        <w:rPr>
          <w:rFonts w:ascii="Times New Roman" w:hAnsi="Times New Roman" w:cs="Times New Roman" w:hint="eastAsia"/>
          <w:sz w:val="24"/>
          <w:szCs w:val="24"/>
        </w:rPr>
        <w:t>I</w:t>
      </w:r>
      <w:r w:rsidRPr="002C53CF">
        <w:rPr>
          <w:rFonts w:ascii="Times New Roman" w:hAnsi="Times New Roman" w:cs="Times New Roman"/>
          <w:sz w:val="24"/>
          <w:szCs w:val="24"/>
        </w:rPr>
        <w:t>n emerging markets,</w:t>
      </w:r>
      <w:r w:rsidR="00DB459D">
        <w:rPr>
          <w:rFonts w:ascii="Times New Roman" w:hAnsi="Times New Roman" w:cs="Times New Roman" w:hint="eastAsia"/>
          <w:sz w:val="24"/>
          <w:szCs w:val="24"/>
        </w:rPr>
        <w:t xml:space="preserve"> people</w:t>
      </w:r>
      <w:r w:rsidR="00DB459D">
        <w:rPr>
          <w:rFonts w:ascii="Times New Roman" w:hAnsi="Times New Roman" w:cs="Times New Roman"/>
          <w:sz w:val="24"/>
          <w:szCs w:val="24"/>
        </w:rPr>
        <w:t>’</w:t>
      </w:r>
      <w:r w:rsidR="00DB459D">
        <w:rPr>
          <w:rFonts w:ascii="Times New Roman" w:hAnsi="Times New Roman" w:cs="Times New Roman" w:hint="eastAsia"/>
          <w:sz w:val="24"/>
          <w:szCs w:val="24"/>
        </w:rPr>
        <w:t>s</w:t>
      </w:r>
      <w:r w:rsidRPr="002C53CF">
        <w:rPr>
          <w:rFonts w:ascii="Times New Roman" w:hAnsi="Times New Roman" w:cs="Times New Roman"/>
          <w:sz w:val="24"/>
          <w:szCs w:val="24"/>
        </w:rPr>
        <w:t xml:space="preserve"> demand is increasingly polarised, either choosing low-cost alternatives or choosing high-end, health-oriented products (PwC, 2025). In this environment, Coca-Cola faces the risk of strategically "stuck in the middle". Its scale can no longer ensure cost leadership and its brand is not enough to support high-end positioning (Islami, Mustafa and Top</w:t>
      </w:r>
      <w:r w:rsidR="0090160E">
        <w:rPr>
          <w:rFonts w:ascii="Times New Roman" w:hAnsi="Times New Roman" w:cs="Times New Roman" w:hint="eastAsia"/>
          <w:sz w:val="24"/>
          <w:szCs w:val="24"/>
        </w:rPr>
        <w:t>u</w:t>
      </w:r>
      <w:r w:rsidRPr="002C53CF">
        <w:rPr>
          <w:rFonts w:ascii="Times New Roman" w:hAnsi="Times New Roman" w:cs="Times New Roman"/>
          <w:sz w:val="24"/>
          <w:szCs w:val="24"/>
        </w:rPr>
        <w:t xml:space="preserve">zovska </w:t>
      </w:r>
      <w:r w:rsidR="0090160E">
        <w:rPr>
          <w:rFonts w:ascii="Times New Roman" w:hAnsi="Times New Roman" w:cs="Times New Roman" w:hint="eastAsia"/>
          <w:sz w:val="24"/>
          <w:szCs w:val="24"/>
        </w:rPr>
        <w:t>L</w:t>
      </w:r>
      <w:r w:rsidRPr="002C53CF">
        <w:rPr>
          <w:rFonts w:ascii="Times New Roman" w:hAnsi="Times New Roman" w:cs="Times New Roman"/>
          <w:sz w:val="24"/>
          <w:szCs w:val="24"/>
        </w:rPr>
        <w:t>atkovik</w:t>
      </w:r>
      <w:r w:rsidR="0090160E">
        <w:rPr>
          <w:rFonts w:ascii="Times New Roman" w:hAnsi="Times New Roman" w:cs="Times New Roman" w:hint="eastAsia"/>
          <w:sz w:val="24"/>
          <w:szCs w:val="24"/>
        </w:rPr>
        <w:t>j</w:t>
      </w:r>
      <w:r w:rsidRPr="002C53CF">
        <w:rPr>
          <w:rFonts w:ascii="Times New Roman" w:hAnsi="Times New Roman" w:cs="Times New Roman"/>
          <w:sz w:val="24"/>
          <w:szCs w:val="24"/>
        </w:rPr>
        <w:t>, 2020). Crucially, it shows that scale not only does not enhance competitiveness, but may also reduce strategic flexibility and responsiveness in fragmented markets.</w:t>
      </w:r>
    </w:p>
    <w:p w14:paraId="5289751B" w14:textId="77777777" w:rsidR="002C53CF" w:rsidRPr="002C53CF" w:rsidRDefault="002C53CF" w:rsidP="002C53CF">
      <w:pPr>
        <w:spacing w:line="360" w:lineRule="auto"/>
        <w:rPr>
          <w:rFonts w:ascii="Times New Roman" w:hAnsi="Times New Roman" w:cs="Times New Roman"/>
          <w:sz w:val="24"/>
          <w:szCs w:val="24"/>
        </w:rPr>
      </w:pPr>
    </w:p>
    <w:p w14:paraId="7E5E6BAA" w14:textId="40A1758C" w:rsidR="002C53CF" w:rsidRPr="002C53CF" w:rsidRDefault="002C53CF" w:rsidP="002C53CF">
      <w:pPr>
        <w:spacing w:line="360" w:lineRule="auto"/>
        <w:rPr>
          <w:rFonts w:ascii="Times New Roman" w:hAnsi="Times New Roman" w:cs="Times New Roman"/>
          <w:sz w:val="24"/>
          <w:szCs w:val="24"/>
        </w:rPr>
      </w:pPr>
      <w:r w:rsidRPr="002C53CF">
        <w:rPr>
          <w:rFonts w:ascii="Times New Roman" w:hAnsi="Times New Roman" w:cs="Times New Roman"/>
          <w:sz w:val="24"/>
          <w:szCs w:val="24"/>
        </w:rPr>
        <w:t>Environmental pressure further highlights a key misalignment in Coca-Cola's business model. Despite the company's public commitment to recyclable packaging and sustainable development initiatives</w:t>
      </w:r>
      <w:r w:rsidR="00AD74E6">
        <w:rPr>
          <w:rFonts w:ascii="Times New Roman" w:hAnsi="Times New Roman" w:cs="Times New Roman" w:hint="eastAsia"/>
          <w:sz w:val="24"/>
          <w:szCs w:val="24"/>
        </w:rPr>
        <w:t>. I</w:t>
      </w:r>
      <w:r w:rsidRPr="002C53CF">
        <w:rPr>
          <w:rFonts w:ascii="Times New Roman" w:hAnsi="Times New Roman" w:cs="Times New Roman"/>
          <w:sz w:val="24"/>
          <w:szCs w:val="24"/>
        </w:rPr>
        <w:t>t is still one of the largest manufacturers of plastic waste in the world (Co</w:t>
      </w:r>
      <w:r w:rsidR="0090160E">
        <w:rPr>
          <w:rFonts w:ascii="Times New Roman" w:hAnsi="Times New Roman" w:cs="Times New Roman" w:hint="eastAsia"/>
          <w:sz w:val="24"/>
          <w:szCs w:val="24"/>
        </w:rPr>
        <w:t>w</w:t>
      </w:r>
      <w:r w:rsidRPr="002C53CF">
        <w:rPr>
          <w:rFonts w:ascii="Times New Roman" w:hAnsi="Times New Roman" w:cs="Times New Roman"/>
          <w:sz w:val="24"/>
          <w:szCs w:val="24"/>
        </w:rPr>
        <w:t>ge</w:t>
      </w:r>
      <w:r w:rsidR="0090160E">
        <w:rPr>
          <w:rFonts w:ascii="Times New Roman" w:hAnsi="Times New Roman" w:cs="Times New Roman" w:hint="eastAsia"/>
          <w:sz w:val="24"/>
          <w:szCs w:val="24"/>
        </w:rPr>
        <w:t>r</w:t>
      </w:r>
      <w:r w:rsidRPr="002C53CF">
        <w:rPr>
          <w:rFonts w:ascii="Times New Roman" w:hAnsi="Times New Roman" w:cs="Times New Roman"/>
          <w:sz w:val="24"/>
          <w:szCs w:val="24"/>
        </w:rPr>
        <w:t xml:space="preserve"> et al., 2024). This not only indicates that there is a gap in its implementation, but also reflects a deeper inconsistency between its operational model and the expectations of stakeholders. In fact, the scale that once helped it achieve efficiency and global expansion has now amplified its environmental impact</w:t>
      </w:r>
      <w:r w:rsidR="00AD74E6">
        <w:rPr>
          <w:rFonts w:ascii="Times New Roman" w:hAnsi="Times New Roman" w:cs="Times New Roman" w:hint="eastAsia"/>
          <w:sz w:val="24"/>
          <w:szCs w:val="24"/>
        </w:rPr>
        <w:t xml:space="preserve">. </w:t>
      </w:r>
      <w:r w:rsidR="0016244E">
        <w:rPr>
          <w:rFonts w:ascii="Times New Roman" w:hAnsi="Times New Roman" w:cs="Times New Roman" w:hint="eastAsia"/>
          <w:sz w:val="24"/>
          <w:szCs w:val="24"/>
        </w:rPr>
        <w:t>This</w:t>
      </w:r>
      <w:r w:rsidRPr="002C53CF">
        <w:rPr>
          <w:rFonts w:ascii="Times New Roman" w:hAnsi="Times New Roman" w:cs="Times New Roman"/>
          <w:sz w:val="24"/>
          <w:szCs w:val="24"/>
        </w:rPr>
        <w:t xml:space="preserve"> exacerbated the risk of reputation, and made it more vulnerable to regulatory intervention. This reflects the increasing pressure from stakeholders on enterprises, requiring their business models to be in line with broader social expectations (Sul</w:t>
      </w:r>
      <w:r w:rsidR="0090160E">
        <w:rPr>
          <w:rFonts w:ascii="Times New Roman" w:hAnsi="Times New Roman" w:cs="Times New Roman" w:hint="eastAsia"/>
          <w:sz w:val="24"/>
          <w:szCs w:val="24"/>
        </w:rPr>
        <w:t>e</w:t>
      </w:r>
      <w:r w:rsidRPr="002C53CF">
        <w:rPr>
          <w:rFonts w:ascii="Times New Roman" w:hAnsi="Times New Roman" w:cs="Times New Roman"/>
          <w:sz w:val="24"/>
          <w:szCs w:val="24"/>
        </w:rPr>
        <w:t>mana et al., 2025).</w:t>
      </w:r>
    </w:p>
    <w:p w14:paraId="07555751" w14:textId="77777777" w:rsidR="002C53CF" w:rsidRPr="002C53CF" w:rsidRDefault="002C53CF" w:rsidP="002C53CF">
      <w:pPr>
        <w:spacing w:line="360" w:lineRule="auto"/>
        <w:rPr>
          <w:rFonts w:ascii="Times New Roman" w:hAnsi="Times New Roman" w:cs="Times New Roman"/>
          <w:sz w:val="24"/>
          <w:szCs w:val="24"/>
        </w:rPr>
      </w:pPr>
    </w:p>
    <w:p w14:paraId="224E8929" w14:textId="49C17CEE" w:rsidR="00AC5AB4" w:rsidRDefault="002C53CF" w:rsidP="002C53CF">
      <w:pPr>
        <w:spacing w:line="360" w:lineRule="auto"/>
        <w:rPr>
          <w:rFonts w:ascii="Times New Roman" w:hAnsi="Times New Roman" w:cs="Times New Roman"/>
          <w:sz w:val="24"/>
          <w:szCs w:val="24"/>
        </w:rPr>
      </w:pPr>
      <w:r w:rsidRPr="002C53CF">
        <w:rPr>
          <w:rFonts w:ascii="Times New Roman" w:hAnsi="Times New Roman" w:cs="Times New Roman"/>
          <w:sz w:val="24"/>
          <w:szCs w:val="24"/>
        </w:rPr>
        <w:t>Overall, these dynamics show that Coca-Cola's current strategy, which is characterised by gradual adjustment</w:t>
      </w:r>
      <w:r w:rsidR="00102DBC">
        <w:rPr>
          <w:rFonts w:ascii="Times New Roman" w:hAnsi="Times New Roman" w:cs="Times New Roman" w:hint="eastAsia"/>
          <w:sz w:val="24"/>
          <w:szCs w:val="24"/>
        </w:rPr>
        <w:t xml:space="preserve">. This </w:t>
      </w:r>
      <w:r w:rsidRPr="002C53CF">
        <w:rPr>
          <w:rFonts w:ascii="Times New Roman" w:hAnsi="Times New Roman" w:cs="Times New Roman"/>
          <w:sz w:val="24"/>
          <w:szCs w:val="24"/>
        </w:rPr>
        <w:t>may strengthen path dependence rather than promote meaningful transformation. Although this practice may protect short-term performance</w:t>
      </w:r>
      <w:r w:rsidR="0090160E">
        <w:rPr>
          <w:rFonts w:ascii="Times New Roman" w:hAnsi="Times New Roman" w:cs="Times New Roman" w:hint="eastAsia"/>
          <w:sz w:val="24"/>
          <w:szCs w:val="24"/>
        </w:rPr>
        <w:t>.</w:t>
      </w:r>
      <w:r w:rsidRPr="002C53CF">
        <w:rPr>
          <w:rFonts w:ascii="Times New Roman" w:hAnsi="Times New Roman" w:cs="Times New Roman"/>
          <w:sz w:val="24"/>
          <w:szCs w:val="24"/>
        </w:rPr>
        <w:t xml:space="preserve"> </w:t>
      </w:r>
      <w:r w:rsidR="0090160E">
        <w:rPr>
          <w:rFonts w:ascii="Times New Roman" w:hAnsi="Times New Roman" w:cs="Times New Roman" w:hint="eastAsia"/>
          <w:sz w:val="24"/>
          <w:szCs w:val="24"/>
        </w:rPr>
        <w:lastRenderedPageBreak/>
        <w:t>I</w:t>
      </w:r>
      <w:r w:rsidRPr="002C53CF">
        <w:rPr>
          <w:rFonts w:ascii="Times New Roman" w:hAnsi="Times New Roman" w:cs="Times New Roman"/>
          <w:sz w:val="24"/>
          <w:szCs w:val="24"/>
        </w:rPr>
        <w:t>t has failed to solve the problem of the increasingly disconnection between the company's core business model and the external environment. As emphasised in the strategic management literature, sustainable competitive advantage depends not only on the use of existing capabilities, but also on the continuous relevance of these capabilities under changing conditions (T</w:t>
      </w:r>
      <w:r w:rsidR="0090160E">
        <w:rPr>
          <w:rFonts w:ascii="Times New Roman" w:hAnsi="Times New Roman" w:cs="Times New Roman" w:hint="eastAsia"/>
          <w:sz w:val="24"/>
          <w:szCs w:val="24"/>
        </w:rPr>
        <w:t>eece</w:t>
      </w:r>
      <w:r w:rsidRPr="002C53CF">
        <w:rPr>
          <w:rFonts w:ascii="Times New Roman" w:hAnsi="Times New Roman" w:cs="Times New Roman"/>
          <w:sz w:val="24"/>
          <w:szCs w:val="24"/>
        </w:rPr>
        <w:t>, 2025). In the case of Coca-Cola, this raises a more fundamental concern: its existing advantages may no longer be fully applicable to the emerging market environment, but may become a structural obstacle to long-term competitiveness.</w:t>
      </w:r>
    </w:p>
    <w:p w14:paraId="28D1ADD6" w14:textId="77777777" w:rsidR="002C53CF" w:rsidRPr="00F35F5F" w:rsidRDefault="002C53CF" w:rsidP="002C53CF">
      <w:pPr>
        <w:spacing w:line="360" w:lineRule="auto"/>
        <w:rPr>
          <w:rFonts w:ascii="Times New Roman" w:hAnsi="Times New Roman" w:cs="Times New Roman"/>
          <w:sz w:val="24"/>
          <w:szCs w:val="24"/>
        </w:rPr>
      </w:pPr>
    </w:p>
    <w:p w14:paraId="21BBC872" w14:textId="2319593B" w:rsidR="00D831FF" w:rsidRPr="00F35F5F" w:rsidRDefault="00D831FF" w:rsidP="00F35F5F">
      <w:pPr>
        <w:spacing w:line="360" w:lineRule="auto"/>
        <w:outlineLvl w:val="1"/>
        <w:rPr>
          <w:rFonts w:ascii="Times New Roman" w:hAnsi="Times New Roman" w:cs="Times New Roman"/>
          <w:b/>
          <w:bCs/>
          <w:sz w:val="24"/>
          <w:szCs w:val="24"/>
        </w:rPr>
      </w:pPr>
      <w:bookmarkStart w:id="4" w:name="_Toc225465261"/>
      <w:r w:rsidRPr="00F35F5F">
        <w:rPr>
          <w:rFonts w:ascii="Times New Roman" w:hAnsi="Times New Roman" w:cs="Times New Roman"/>
          <w:b/>
          <w:bCs/>
          <w:sz w:val="24"/>
          <w:szCs w:val="24"/>
        </w:rPr>
        <w:t>2.2. Porter’s Five Forces Analysis</w:t>
      </w:r>
      <w:bookmarkEnd w:id="4"/>
    </w:p>
    <w:p w14:paraId="54C994E6" w14:textId="77777777" w:rsidR="00D831FF" w:rsidRPr="00F35F5F" w:rsidRDefault="00D831FF" w:rsidP="00F35F5F">
      <w:pPr>
        <w:spacing w:line="360" w:lineRule="auto"/>
        <w:rPr>
          <w:rFonts w:ascii="Times New Roman" w:hAnsi="Times New Roman" w:cs="Times New Roman"/>
          <w:sz w:val="24"/>
          <w:szCs w:val="24"/>
        </w:rPr>
      </w:pPr>
    </w:p>
    <w:p w14:paraId="58D02CA4" w14:textId="7E6744CF" w:rsidR="002D5FA4" w:rsidRPr="002D5FA4" w:rsidRDefault="002D5FA4" w:rsidP="002D5FA4">
      <w:pPr>
        <w:spacing w:line="360" w:lineRule="auto"/>
        <w:rPr>
          <w:rFonts w:ascii="Times New Roman" w:hAnsi="Times New Roman" w:cs="Times New Roman"/>
          <w:sz w:val="24"/>
          <w:szCs w:val="24"/>
        </w:rPr>
      </w:pPr>
      <w:r w:rsidRPr="002D5FA4">
        <w:rPr>
          <w:rFonts w:ascii="Times New Roman" w:hAnsi="Times New Roman" w:cs="Times New Roman"/>
          <w:sz w:val="24"/>
          <w:szCs w:val="24"/>
        </w:rPr>
        <w:t>A more comprehensive analysis of industry trends shows that Coca-Cola has always had a stable competitive position. But nowadays, it is increasingly affected by structural pressure. These pressures pose a challenge to the sustainability of its core strengths. Although the company still benefits from the scale advantages of strong brand assets and global distribution networks, it is becoming increasingly difficult to effectively utilise these advantages in a changing market environment (T</w:t>
      </w:r>
      <w:r>
        <w:rPr>
          <w:rFonts w:ascii="Times New Roman" w:hAnsi="Times New Roman" w:cs="Times New Roman" w:hint="eastAsia"/>
          <w:sz w:val="24"/>
          <w:szCs w:val="24"/>
        </w:rPr>
        <w:t>eece</w:t>
      </w:r>
      <w:r w:rsidRPr="002D5FA4">
        <w:rPr>
          <w:rFonts w:ascii="Times New Roman" w:hAnsi="Times New Roman" w:cs="Times New Roman"/>
          <w:sz w:val="24"/>
          <w:szCs w:val="24"/>
        </w:rPr>
        <w:t>, 2025).</w:t>
      </w:r>
    </w:p>
    <w:p w14:paraId="454D62D3" w14:textId="77777777" w:rsidR="002D5FA4" w:rsidRPr="002D5FA4" w:rsidRDefault="002D5FA4" w:rsidP="002D5FA4">
      <w:pPr>
        <w:spacing w:line="360" w:lineRule="auto"/>
        <w:rPr>
          <w:rFonts w:ascii="Times New Roman" w:hAnsi="Times New Roman" w:cs="Times New Roman"/>
          <w:sz w:val="24"/>
          <w:szCs w:val="24"/>
        </w:rPr>
      </w:pPr>
    </w:p>
    <w:p w14:paraId="44D50AEC" w14:textId="24E92727" w:rsidR="002D5FA4" w:rsidRPr="002D5FA4" w:rsidRDefault="002D5FA4" w:rsidP="002D5FA4">
      <w:pPr>
        <w:spacing w:line="360" w:lineRule="auto"/>
        <w:rPr>
          <w:rFonts w:ascii="Times New Roman" w:hAnsi="Times New Roman" w:cs="Times New Roman"/>
          <w:sz w:val="24"/>
          <w:szCs w:val="24"/>
        </w:rPr>
      </w:pPr>
      <w:r w:rsidRPr="002D5FA4">
        <w:rPr>
          <w:rFonts w:ascii="Times New Roman" w:hAnsi="Times New Roman" w:cs="Times New Roman"/>
          <w:sz w:val="24"/>
          <w:szCs w:val="24"/>
        </w:rPr>
        <w:t>The competitive pattern is still fierce, but its nature is changing. Companies like Pepsi are increasingly competing through health-oriented innovation and product portfolio diversification (Pepsi</w:t>
      </w:r>
      <w:r>
        <w:rPr>
          <w:rFonts w:ascii="Times New Roman" w:hAnsi="Times New Roman" w:cs="Times New Roman" w:hint="eastAsia"/>
          <w:sz w:val="24"/>
          <w:szCs w:val="24"/>
        </w:rPr>
        <w:t>Co</w:t>
      </w:r>
      <w:r w:rsidRPr="002D5FA4">
        <w:rPr>
          <w:rFonts w:ascii="Times New Roman" w:hAnsi="Times New Roman" w:cs="Times New Roman"/>
          <w:sz w:val="24"/>
          <w:szCs w:val="24"/>
        </w:rPr>
        <w:t>, 2026; Food Navigator, 2024). The competitive basis has shifted from the traditional brand dominance. In this case, the Coca-Cola brand is closely related to sugary drinks. This may limit rather than support its repositioning, and secondly, its strategic flexibility in responding to health-driven demand changes. This reflects a form of path dependence, that is, existing capacity limits strategic change (T</w:t>
      </w:r>
      <w:r>
        <w:rPr>
          <w:rFonts w:ascii="Times New Roman" w:hAnsi="Times New Roman" w:cs="Times New Roman" w:hint="eastAsia"/>
          <w:sz w:val="24"/>
          <w:szCs w:val="24"/>
        </w:rPr>
        <w:t>eece</w:t>
      </w:r>
      <w:r w:rsidRPr="002D5FA4">
        <w:rPr>
          <w:rFonts w:ascii="Times New Roman" w:hAnsi="Times New Roman" w:cs="Times New Roman"/>
          <w:sz w:val="24"/>
          <w:szCs w:val="24"/>
        </w:rPr>
        <w:t>, 2025).</w:t>
      </w:r>
    </w:p>
    <w:p w14:paraId="3C10EA82" w14:textId="77777777" w:rsidR="002D5FA4" w:rsidRPr="002D5FA4" w:rsidRDefault="002D5FA4" w:rsidP="002D5FA4">
      <w:pPr>
        <w:spacing w:line="360" w:lineRule="auto"/>
        <w:rPr>
          <w:rFonts w:ascii="Times New Roman" w:hAnsi="Times New Roman" w:cs="Times New Roman"/>
          <w:sz w:val="24"/>
          <w:szCs w:val="24"/>
        </w:rPr>
      </w:pPr>
    </w:p>
    <w:p w14:paraId="700150D8" w14:textId="7CF4385D" w:rsidR="002D5FA4" w:rsidRPr="002D5FA4" w:rsidRDefault="002D5FA4" w:rsidP="002D5FA4">
      <w:pPr>
        <w:spacing w:line="360" w:lineRule="auto"/>
        <w:rPr>
          <w:rFonts w:ascii="Times New Roman" w:hAnsi="Times New Roman" w:cs="Times New Roman"/>
          <w:sz w:val="24"/>
          <w:szCs w:val="24"/>
        </w:rPr>
      </w:pPr>
      <w:r w:rsidRPr="002D5FA4">
        <w:rPr>
          <w:rFonts w:ascii="Times New Roman" w:hAnsi="Times New Roman" w:cs="Times New Roman"/>
          <w:sz w:val="24"/>
          <w:szCs w:val="24"/>
        </w:rPr>
        <w:t xml:space="preserve">At the same time, consumers' preference for healthier drinks such as water and tea is increasing. This highlights a deeper challenge: Coca-Cola is not only facing competition for alternatives, but also the demand for core product categories is </w:t>
      </w:r>
      <w:r w:rsidRPr="002D5FA4">
        <w:rPr>
          <w:rFonts w:ascii="Times New Roman" w:hAnsi="Times New Roman" w:cs="Times New Roman"/>
          <w:sz w:val="24"/>
          <w:szCs w:val="24"/>
        </w:rPr>
        <w:lastRenderedPageBreak/>
        <w:t>gradually declining (</w:t>
      </w:r>
      <w:r>
        <w:rPr>
          <w:rFonts w:ascii="Times New Roman" w:hAnsi="Times New Roman" w:cs="Times New Roman" w:hint="eastAsia"/>
          <w:sz w:val="24"/>
          <w:szCs w:val="24"/>
        </w:rPr>
        <w:t>Mintel</w:t>
      </w:r>
      <w:r w:rsidRPr="002D5FA4">
        <w:rPr>
          <w:rFonts w:ascii="Times New Roman" w:hAnsi="Times New Roman" w:cs="Times New Roman"/>
          <w:sz w:val="24"/>
          <w:szCs w:val="24"/>
        </w:rPr>
        <w:t>, 2024; I</w:t>
      </w:r>
      <w:r>
        <w:rPr>
          <w:rFonts w:ascii="Times New Roman" w:hAnsi="Times New Roman" w:cs="Times New Roman" w:hint="eastAsia"/>
          <w:sz w:val="24"/>
          <w:szCs w:val="24"/>
        </w:rPr>
        <w:t>nnova</w:t>
      </w:r>
      <w:r w:rsidRPr="002D5FA4">
        <w:rPr>
          <w:rFonts w:ascii="Times New Roman" w:hAnsi="Times New Roman" w:cs="Times New Roman"/>
          <w:sz w:val="24"/>
          <w:szCs w:val="24"/>
        </w:rPr>
        <w:t xml:space="preserve"> Market Insight</w:t>
      </w:r>
      <w:r>
        <w:rPr>
          <w:rFonts w:ascii="Times New Roman" w:hAnsi="Times New Roman" w:cs="Times New Roman" w:hint="eastAsia"/>
          <w:sz w:val="24"/>
          <w:szCs w:val="24"/>
        </w:rPr>
        <w:t>s</w:t>
      </w:r>
      <w:r w:rsidRPr="002D5FA4">
        <w:rPr>
          <w:rFonts w:ascii="Times New Roman" w:hAnsi="Times New Roman" w:cs="Times New Roman"/>
          <w:sz w:val="24"/>
          <w:szCs w:val="24"/>
        </w:rPr>
        <w:t>, 2023). This is consistent with the transformation of consumer values. Because today's competitive advantage depends on whether it can adapt to changing customer preferences, rather than relying on past strengths (</w:t>
      </w:r>
      <w:r w:rsidR="00EB745A">
        <w:rPr>
          <w:rFonts w:ascii="Times New Roman" w:hAnsi="Times New Roman" w:cs="Times New Roman" w:hint="eastAsia"/>
          <w:sz w:val="24"/>
          <w:szCs w:val="24"/>
        </w:rPr>
        <w:t>Chaudhuri</w:t>
      </w:r>
      <w:r w:rsidRPr="002D5FA4">
        <w:rPr>
          <w:rFonts w:ascii="Times New Roman" w:hAnsi="Times New Roman" w:cs="Times New Roman"/>
          <w:sz w:val="24"/>
          <w:szCs w:val="24"/>
        </w:rPr>
        <w:t>, Gupta and Sharma, 2024; McKinsey, 2025).</w:t>
      </w:r>
    </w:p>
    <w:p w14:paraId="7D876394" w14:textId="77777777" w:rsidR="002D5FA4" w:rsidRPr="002D5FA4" w:rsidRDefault="002D5FA4" w:rsidP="002D5FA4">
      <w:pPr>
        <w:spacing w:line="360" w:lineRule="auto"/>
        <w:rPr>
          <w:rFonts w:ascii="Times New Roman" w:hAnsi="Times New Roman" w:cs="Times New Roman"/>
          <w:sz w:val="24"/>
          <w:szCs w:val="24"/>
        </w:rPr>
      </w:pPr>
    </w:p>
    <w:p w14:paraId="4E04215F" w14:textId="1E4D0AC6" w:rsidR="002D5FA4" w:rsidRPr="002D5FA4" w:rsidRDefault="002D5FA4" w:rsidP="002D5FA4">
      <w:pPr>
        <w:spacing w:line="360" w:lineRule="auto"/>
        <w:rPr>
          <w:rFonts w:ascii="Times New Roman" w:hAnsi="Times New Roman" w:cs="Times New Roman"/>
          <w:sz w:val="24"/>
          <w:szCs w:val="24"/>
        </w:rPr>
      </w:pPr>
      <w:r w:rsidRPr="002D5FA4">
        <w:rPr>
          <w:rFonts w:ascii="Times New Roman" w:hAnsi="Times New Roman" w:cs="Times New Roman"/>
          <w:sz w:val="24"/>
          <w:szCs w:val="24"/>
        </w:rPr>
        <w:t>As consumers become more sensitive to price, brand loyalty declines. The pressure exerted by large retailers on pricing and shelf space has continued to increase the bargaining power of buyers. This further aggravated the situation. Therefore, Coca-Cola's ability to maintain its high-end positioning is increasingly limited, making it difficult for it to differentiate in a fiercely competitive market (Ch</w:t>
      </w:r>
      <w:r w:rsidR="00EB745A">
        <w:rPr>
          <w:rFonts w:ascii="Times New Roman" w:hAnsi="Times New Roman" w:cs="Times New Roman" w:hint="eastAsia"/>
          <w:sz w:val="24"/>
          <w:szCs w:val="24"/>
        </w:rPr>
        <w:t>audhuri</w:t>
      </w:r>
      <w:r w:rsidRPr="002D5FA4">
        <w:rPr>
          <w:rFonts w:ascii="Times New Roman" w:hAnsi="Times New Roman" w:cs="Times New Roman"/>
          <w:sz w:val="24"/>
          <w:szCs w:val="24"/>
        </w:rPr>
        <w:t>, Gupta and Sharma, 2024; Ren et al., 2025).</w:t>
      </w:r>
    </w:p>
    <w:p w14:paraId="0F81160D" w14:textId="77777777" w:rsidR="002D5FA4" w:rsidRPr="002D5FA4" w:rsidRDefault="002D5FA4" w:rsidP="002D5FA4">
      <w:pPr>
        <w:spacing w:line="360" w:lineRule="auto"/>
        <w:rPr>
          <w:rFonts w:ascii="Times New Roman" w:hAnsi="Times New Roman" w:cs="Times New Roman"/>
          <w:sz w:val="24"/>
          <w:szCs w:val="24"/>
        </w:rPr>
      </w:pPr>
    </w:p>
    <w:p w14:paraId="6637B0B6" w14:textId="4E23AD02" w:rsidR="002D5FA4" w:rsidRPr="002D5FA4" w:rsidRDefault="002D5FA4" w:rsidP="002D5FA4">
      <w:pPr>
        <w:spacing w:line="360" w:lineRule="auto"/>
        <w:rPr>
          <w:rFonts w:ascii="Times New Roman" w:hAnsi="Times New Roman" w:cs="Times New Roman"/>
          <w:sz w:val="24"/>
          <w:szCs w:val="24"/>
        </w:rPr>
      </w:pPr>
      <w:r w:rsidRPr="002D5FA4">
        <w:rPr>
          <w:rFonts w:ascii="Times New Roman" w:hAnsi="Times New Roman" w:cs="Times New Roman"/>
          <w:sz w:val="24"/>
          <w:szCs w:val="24"/>
        </w:rPr>
        <w:t>In addition, although economies of scale have traditionally been the support of Coca-Cola's efficiency, they may now weaken its ability to respond to fragmentation and market segmentation trends. Especially when smaller new entrants are targeting the areas of health and sustainability, coupled with environmental pressures and rising packaging costs. This shows that Coca-Cola's scale may amplify rather than mitigate its strategic challenges, reflecting the growing expectations of stakeholders for its sustainability (Ha</w:t>
      </w:r>
      <w:r w:rsidR="00EB745A">
        <w:rPr>
          <w:rFonts w:ascii="Times New Roman" w:hAnsi="Times New Roman" w:cs="Times New Roman" w:hint="eastAsia"/>
          <w:sz w:val="24"/>
          <w:szCs w:val="24"/>
        </w:rPr>
        <w:t>mdi</w:t>
      </w:r>
      <w:r w:rsidRPr="002D5FA4">
        <w:rPr>
          <w:rFonts w:ascii="Times New Roman" w:hAnsi="Times New Roman" w:cs="Times New Roman"/>
          <w:sz w:val="24"/>
          <w:szCs w:val="24"/>
        </w:rPr>
        <w:t xml:space="preserve">, 2024; Liu </w:t>
      </w:r>
      <w:r w:rsidR="00EB745A">
        <w:rPr>
          <w:rFonts w:ascii="Times New Roman" w:hAnsi="Times New Roman" w:cs="Times New Roman" w:hint="eastAsia"/>
          <w:sz w:val="24"/>
          <w:szCs w:val="24"/>
        </w:rPr>
        <w:t>and Wo</w:t>
      </w:r>
      <w:r w:rsidRPr="002D5FA4">
        <w:rPr>
          <w:rFonts w:ascii="Times New Roman" w:hAnsi="Times New Roman" w:cs="Times New Roman"/>
          <w:sz w:val="24"/>
          <w:szCs w:val="24"/>
        </w:rPr>
        <w:t>ng, 2024).</w:t>
      </w:r>
    </w:p>
    <w:p w14:paraId="0183149B" w14:textId="77777777" w:rsidR="002D5FA4" w:rsidRPr="002D5FA4" w:rsidRDefault="002D5FA4" w:rsidP="002D5FA4">
      <w:pPr>
        <w:spacing w:line="360" w:lineRule="auto"/>
        <w:rPr>
          <w:rFonts w:ascii="Times New Roman" w:hAnsi="Times New Roman" w:cs="Times New Roman"/>
          <w:sz w:val="24"/>
          <w:szCs w:val="24"/>
        </w:rPr>
      </w:pPr>
    </w:p>
    <w:p w14:paraId="73FE516C" w14:textId="0F1DE8EE" w:rsidR="00A50192" w:rsidRDefault="002D5FA4" w:rsidP="002D5FA4">
      <w:pPr>
        <w:spacing w:line="360" w:lineRule="auto"/>
        <w:rPr>
          <w:rFonts w:ascii="Times New Roman" w:hAnsi="Times New Roman" w:cs="Times New Roman"/>
          <w:sz w:val="24"/>
          <w:szCs w:val="24"/>
        </w:rPr>
      </w:pPr>
      <w:r w:rsidRPr="002D5FA4">
        <w:rPr>
          <w:rFonts w:ascii="Times New Roman" w:hAnsi="Times New Roman" w:cs="Times New Roman"/>
          <w:sz w:val="24"/>
          <w:szCs w:val="24"/>
        </w:rPr>
        <w:t>Overall, these dynamics show that Coca-Cola's competitive advantage is becoming increasingly difficult to transfer under changing market conditions. These factors not only cannot consolidate its long-term status, but may also cause structural rigidity. People are worried about whether the company can adapt beyond gradual change. As pointed out in the strategic management literature, continuous competitive advantage depends on the continuous coordination of internal capabilities and external conditions (Haji</w:t>
      </w:r>
      <w:r w:rsidR="00EB745A">
        <w:rPr>
          <w:rFonts w:ascii="Times New Roman" w:hAnsi="Times New Roman" w:cs="Times New Roman" w:hint="eastAsia"/>
          <w:sz w:val="24"/>
          <w:szCs w:val="24"/>
        </w:rPr>
        <w:t>hey</w:t>
      </w:r>
      <w:r w:rsidRPr="002D5FA4">
        <w:rPr>
          <w:rFonts w:ascii="Times New Roman" w:hAnsi="Times New Roman" w:cs="Times New Roman"/>
          <w:sz w:val="24"/>
          <w:szCs w:val="24"/>
        </w:rPr>
        <w:t>dari et al., 2023; T</w:t>
      </w:r>
      <w:r w:rsidR="00EB745A">
        <w:rPr>
          <w:rFonts w:ascii="Times New Roman" w:hAnsi="Times New Roman" w:cs="Times New Roman" w:hint="eastAsia"/>
          <w:sz w:val="24"/>
          <w:szCs w:val="24"/>
        </w:rPr>
        <w:t>eece</w:t>
      </w:r>
      <w:r w:rsidRPr="002D5FA4">
        <w:rPr>
          <w:rFonts w:ascii="Times New Roman" w:hAnsi="Times New Roman" w:cs="Times New Roman"/>
          <w:sz w:val="24"/>
          <w:szCs w:val="24"/>
        </w:rPr>
        <w:t>, 2025).</w:t>
      </w:r>
    </w:p>
    <w:p w14:paraId="319E6B76" w14:textId="77777777" w:rsidR="002D5FA4" w:rsidRPr="00F35F5F" w:rsidRDefault="002D5FA4" w:rsidP="002D5FA4">
      <w:pPr>
        <w:spacing w:line="360" w:lineRule="auto"/>
        <w:rPr>
          <w:rFonts w:ascii="Times New Roman" w:hAnsi="Times New Roman" w:cs="Times New Roman"/>
          <w:sz w:val="24"/>
          <w:szCs w:val="24"/>
        </w:rPr>
      </w:pPr>
    </w:p>
    <w:p w14:paraId="6EF5B218" w14:textId="316152EB" w:rsidR="000B28FD" w:rsidRPr="00F35F5F" w:rsidRDefault="000B28FD" w:rsidP="00F35F5F">
      <w:pPr>
        <w:spacing w:line="360" w:lineRule="auto"/>
        <w:outlineLvl w:val="0"/>
        <w:rPr>
          <w:rFonts w:ascii="Times New Roman" w:hAnsi="Times New Roman" w:cs="Times New Roman"/>
          <w:b/>
          <w:bCs/>
          <w:sz w:val="28"/>
          <w:szCs w:val="28"/>
        </w:rPr>
      </w:pPr>
      <w:bookmarkStart w:id="5" w:name="_Toc225465262"/>
      <w:r w:rsidRPr="00F35F5F">
        <w:rPr>
          <w:rFonts w:ascii="Times New Roman" w:hAnsi="Times New Roman" w:cs="Times New Roman"/>
          <w:b/>
          <w:bCs/>
          <w:sz w:val="28"/>
          <w:szCs w:val="28"/>
        </w:rPr>
        <w:t>3. Internal Analysis</w:t>
      </w:r>
      <w:bookmarkEnd w:id="5"/>
    </w:p>
    <w:p w14:paraId="6946EC55" w14:textId="77777777" w:rsidR="000B28FD" w:rsidRPr="00F35F5F" w:rsidRDefault="000B28FD" w:rsidP="00F35F5F">
      <w:pPr>
        <w:spacing w:line="360" w:lineRule="auto"/>
        <w:rPr>
          <w:rFonts w:ascii="Times New Roman" w:hAnsi="Times New Roman" w:cs="Times New Roman"/>
          <w:sz w:val="24"/>
          <w:szCs w:val="24"/>
        </w:rPr>
      </w:pPr>
    </w:p>
    <w:p w14:paraId="7590089A" w14:textId="47D862D5" w:rsidR="00375AE4" w:rsidRDefault="00AF358E" w:rsidP="00F35F5F">
      <w:pPr>
        <w:spacing w:line="360" w:lineRule="auto"/>
        <w:rPr>
          <w:rFonts w:ascii="Times New Roman" w:hAnsi="Times New Roman" w:cs="Times New Roman"/>
          <w:sz w:val="24"/>
          <w:szCs w:val="24"/>
        </w:rPr>
      </w:pPr>
      <w:r w:rsidRPr="00AF358E">
        <w:rPr>
          <w:rFonts w:ascii="Times New Roman" w:hAnsi="Times New Roman" w:cs="Times New Roman"/>
          <w:sz w:val="24"/>
          <w:szCs w:val="24"/>
        </w:rPr>
        <w:t>Internal analysis not only identified Coca-Cola's key resources and capabilities, but also critically evaluated whether it still had strategic relevance under changing market conditions. This analysis does not assume that strong assets will automatically turn into competitive advantages. It highlights the growing mismatch between Coca-Cola's existing capabilities and the evolving competitive landscape (P</w:t>
      </w:r>
      <w:r>
        <w:rPr>
          <w:rFonts w:ascii="Times New Roman" w:hAnsi="Times New Roman" w:cs="Times New Roman" w:hint="eastAsia"/>
          <w:sz w:val="24"/>
          <w:szCs w:val="24"/>
        </w:rPr>
        <w:t>itellis</w:t>
      </w:r>
      <w:r w:rsidRPr="00AF358E">
        <w:rPr>
          <w:rFonts w:ascii="Times New Roman" w:hAnsi="Times New Roman" w:cs="Times New Roman"/>
          <w:sz w:val="24"/>
          <w:szCs w:val="24"/>
        </w:rPr>
        <w:t xml:space="preserve"> et al., 2025; T</w:t>
      </w:r>
      <w:r>
        <w:rPr>
          <w:rFonts w:ascii="Times New Roman" w:hAnsi="Times New Roman" w:cs="Times New Roman" w:hint="eastAsia"/>
          <w:sz w:val="24"/>
          <w:szCs w:val="24"/>
        </w:rPr>
        <w:t>eece</w:t>
      </w:r>
      <w:r w:rsidRPr="00AF358E">
        <w:rPr>
          <w:rFonts w:ascii="Times New Roman" w:hAnsi="Times New Roman" w:cs="Times New Roman"/>
          <w:sz w:val="24"/>
          <w:szCs w:val="24"/>
        </w:rPr>
        <w:t>, 2025). This shows that the company's strategic challenge is not the lack of resources, but the weakening effectiveness of its traditional advantages.</w:t>
      </w:r>
    </w:p>
    <w:p w14:paraId="3A29DBE3" w14:textId="77777777" w:rsidR="00EF024C" w:rsidRPr="00F35F5F" w:rsidRDefault="00EF024C" w:rsidP="00F35F5F">
      <w:pPr>
        <w:spacing w:line="360" w:lineRule="auto"/>
        <w:rPr>
          <w:rFonts w:ascii="Times New Roman" w:hAnsi="Times New Roman" w:cs="Times New Roman"/>
          <w:sz w:val="24"/>
          <w:szCs w:val="24"/>
        </w:rPr>
      </w:pPr>
    </w:p>
    <w:p w14:paraId="6AC2D68D" w14:textId="0968571D" w:rsidR="00375AE4" w:rsidRPr="00F35F5F" w:rsidRDefault="00375AE4" w:rsidP="00F35F5F">
      <w:pPr>
        <w:spacing w:line="360" w:lineRule="auto"/>
        <w:outlineLvl w:val="1"/>
        <w:rPr>
          <w:rFonts w:ascii="Times New Roman" w:hAnsi="Times New Roman" w:cs="Times New Roman"/>
          <w:b/>
          <w:bCs/>
          <w:sz w:val="24"/>
          <w:szCs w:val="24"/>
        </w:rPr>
      </w:pPr>
      <w:bookmarkStart w:id="6" w:name="_Toc225465263"/>
      <w:r w:rsidRPr="00F35F5F">
        <w:rPr>
          <w:rFonts w:ascii="Times New Roman" w:hAnsi="Times New Roman" w:cs="Times New Roman"/>
          <w:b/>
          <w:bCs/>
          <w:sz w:val="24"/>
          <w:szCs w:val="24"/>
        </w:rPr>
        <w:t xml:space="preserve">3.1. </w:t>
      </w:r>
      <w:r w:rsidR="00D410CF" w:rsidRPr="00F35F5F">
        <w:rPr>
          <w:rFonts w:ascii="Times New Roman" w:hAnsi="Times New Roman" w:cs="Times New Roman"/>
          <w:b/>
          <w:bCs/>
          <w:sz w:val="24"/>
          <w:szCs w:val="24"/>
        </w:rPr>
        <w:t>Resource-Based View</w:t>
      </w:r>
      <w:bookmarkEnd w:id="6"/>
    </w:p>
    <w:p w14:paraId="4BEBD2BC" w14:textId="77777777" w:rsidR="00D410CF" w:rsidRPr="00F35F5F" w:rsidRDefault="00D410CF" w:rsidP="00F35F5F">
      <w:pPr>
        <w:spacing w:line="360" w:lineRule="auto"/>
        <w:rPr>
          <w:rFonts w:ascii="Times New Roman" w:hAnsi="Times New Roman" w:cs="Times New Roman"/>
          <w:sz w:val="24"/>
          <w:szCs w:val="24"/>
        </w:rPr>
      </w:pPr>
    </w:p>
    <w:p w14:paraId="12436B57" w14:textId="26B262FD" w:rsidR="00CE3571" w:rsidRPr="00CE3571" w:rsidRDefault="00CE3571" w:rsidP="00CE3571">
      <w:pPr>
        <w:spacing w:line="360" w:lineRule="auto"/>
        <w:rPr>
          <w:rFonts w:ascii="Times New Roman" w:hAnsi="Times New Roman" w:cs="Times New Roman"/>
          <w:sz w:val="24"/>
          <w:szCs w:val="24"/>
        </w:rPr>
      </w:pPr>
      <w:r w:rsidRPr="00CE3571">
        <w:rPr>
          <w:rFonts w:ascii="Times New Roman" w:hAnsi="Times New Roman" w:cs="Times New Roman"/>
          <w:sz w:val="24"/>
          <w:szCs w:val="24"/>
        </w:rPr>
        <w:t>The Resource</w:t>
      </w:r>
      <w:r>
        <w:rPr>
          <w:rFonts w:ascii="Times New Roman" w:hAnsi="Times New Roman" w:cs="Times New Roman" w:hint="eastAsia"/>
          <w:sz w:val="24"/>
          <w:szCs w:val="24"/>
        </w:rPr>
        <w:t>-Based</w:t>
      </w:r>
      <w:r w:rsidRPr="00CE3571">
        <w:rPr>
          <w:rFonts w:ascii="Times New Roman" w:hAnsi="Times New Roman" w:cs="Times New Roman"/>
          <w:sz w:val="24"/>
          <w:szCs w:val="24"/>
        </w:rPr>
        <w:t xml:space="preserve"> </w:t>
      </w:r>
      <w:r>
        <w:rPr>
          <w:rFonts w:ascii="Times New Roman" w:hAnsi="Times New Roman" w:cs="Times New Roman" w:hint="eastAsia"/>
          <w:sz w:val="24"/>
          <w:szCs w:val="24"/>
        </w:rPr>
        <w:t>View</w:t>
      </w:r>
      <w:r w:rsidRPr="00CE3571">
        <w:rPr>
          <w:rFonts w:ascii="Times New Roman" w:hAnsi="Times New Roman" w:cs="Times New Roman"/>
          <w:sz w:val="24"/>
          <w:szCs w:val="24"/>
        </w:rPr>
        <w:t xml:space="preserve"> (RBV) believes that sustainable competitive advantage depends not only on valuable resources, but also on the continuous relevance and effective utilisation of these resources (Monson, 2024; Chen, 2026). The Coca-Cola brand is still its core strategic asset, supporting global popularity and customer loyalty (Joseph, Sivakumaran and Matthew, 2020; Che</w:t>
      </w:r>
      <w:r>
        <w:rPr>
          <w:rFonts w:ascii="Times New Roman" w:hAnsi="Times New Roman" w:cs="Times New Roman" w:hint="eastAsia"/>
          <w:sz w:val="24"/>
          <w:szCs w:val="24"/>
        </w:rPr>
        <w:t>r</w:t>
      </w:r>
      <w:r w:rsidRPr="00CE3571">
        <w:rPr>
          <w:rFonts w:ascii="Times New Roman" w:hAnsi="Times New Roman" w:cs="Times New Roman"/>
          <w:sz w:val="24"/>
          <w:szCs w:val="24"/>
        </w:rPr>
        <w:t>nev, 2025). However, Coca-Cola's extensive distribution network enables it to achieve efficient operations and market coverage in many regions (Ugrino</w:t>
      </w:r>
      <w:r>
        <w:rPr>
          <w:rFonts w:ascii="Times New Roman" w:hAnsi="Times New Roman" w:cs="Times New Roman" w:hint="eastAsia"/>
          <w:sz w:val="24"/>
          <w:szCs w:val="24"/>
        </w:rPr>
        <w:t>v</w:t>
      </w:r>
      <w:r w:rsidRPr="00CE3571">
        <w:rPr>
          <w:rFonts w:ascii="Times New Roman" w:hAnsi="Times New Roman" w:cs="Times New Roman"/>
          <w:sz w:val="24"/>
          <w:szCs w:val="24"/>
        </w:rPr>
        <w:t xml:space="preserve"> et al., 2024; Ugrinov, </w:t>
      </w:r>
      <w:r>
        <w:rPr>
          <w:rFonts w:ascii="Times New Roman" w:hAnsi="Times New Roman" w:cs="Times New Roman" w:hint="eastAsia"/>
          <w:sz w:val="24"/>
          <w:szCs w:val="24"/>
        </w:rPr>
        <w:t>C</w:t>
      </w:r>
      <w:r w:rsidRPr="00CE3571">
        <w:rPr>
          <w:rFonts w:ascii="Times New Roman" w:hAnsi="Times New Roman" w:cs="Times New Roman"/>
          <w:sz w:val="24"/>
          <w:szCs w:val="24"/>
        </w:rPr>
        <w:t>o</w:t>
      </w:r>
      <w:r>
        <w:rPr>
          <w:rFonts w:ascii="Times New Roman" w:hAnsi="Times New Roman" w:cs="Times New Roman" w:hint="eastAsia"/>
          <w:sz w:val="24"/>
          <w:szCs w:val="24"/>
        </w:rPr>
        <w:t>c</w:t>
      </w:r>
      <w:r w:rsidRPr="00CE3571">
        <w:rPr>
          <w:rFonts w:ascii="Times New Roman" w:hAnsi="Times New Roman" w:cs="Times New Roman"/>
          <w:sz w:val="24"/>
          <w:szCs w:val="24"/>
        </w:rPr>
        <w:t>kalo and Bakator, 2024).</w:t>
      </w:r>
    </w:p>
    <w:p w14:paraId="3F79B050" w14:textId="77777777" w:rsidR="00CE3571" w:rsidRPr="00CE3571" w:rsidRDefault="00CE3571" w:rsidP="00CE3571">
      <w:pPr>
        <w:spacing w:line="360" w:lineRule="auto"/>
        <w:rPr>
          <w:rFonts w:ascii="Times New Roman" w:hAnsi="Times New Roman" w:cs="Times New Roman"/>
          <w:sz w:val="24"/>
          <w:szCs w:val="24"/>
        </w:rPr>
      </w:pPr>
    </w:p>
    <w:p w14:paraId="3A6DC062" w14:textId="22DBA694" w:rsidR="00CE3571" w:rsidRPr="00CE3571" w:rsidRDefault="00CE3571" w:rsidP="00CE3571">
      <w:pPr>
        <w:spacing w:line="360" w:lineRule="auto"/>
        <w:rPr>
          <w:rFonts w:ascii="Times New Roman" w:hAnsi="Times New Roman" w:cs="Times New Roman"/>
          <w:sz w:val="24"/>
          <w:szCs w:val="24"/>
        </w:rPr>
      </w:pPr>
      <w:r w:rsidRPr="00CE3571">
        <w:rPr>
          <w:rFonts w:ascii="Times New Roman" w:hAnsi="Times New Roman" w:cs="Times New Roman"/>
          <w:sz w:val="24"/>
          <w:szCs w:val="24"/>
        </w:rPr>
        <w:t>However, these resources are increasing characterised by strategic constraints. Coca-Cola's brand assets are closely linked to its image as a producer of sugary drinks. This limits the credibility of its repositioning in the health-focussed market (Pani</w:t>
      </w:r>
      <w:r w:rsidR="001F3AF2">
        <w:rPr>
          <w:rFonts w:ascii="Times New Roman" w:hAnsi="Times New Roman" w:cs="Times New Roman" w:hint="eastAsia"/>
          <w:sz w:val="24"/>
          <w:szCs w:val="24"/>
        </w:rPr>
        <w:t>d</w:t>
      </w:r>
      <w:r w:rsidRPr="00CE3571">
        <w:rPr>
          <w:rFonts w:ascii="Times New Roman" w:hAnsi="Times New Roman" w:cs="Times New Roman"/>
          <w:sz w:val="24"/>
          <w:szCs w:val="24"/>
        </w:rPr>
        <w:t>i, Grebens</w:t>
      </w:r>
      <w:r w:rsidR="001F3AF2">
        <w:rPr>
          <w:rFonts w:ascii="Times New Roman" w:hAnsi="Times New Roman" w:cs="Times New Roman" w:hint="eastAsia"/>
          <w:sz w:val="24"/>
          <w:szCs w:val="24"/>
        </w:rPr>
        <w:t>c</w:t>
      </w:r>
      <w:r w:rsidRPr="00CE3571">
        <w:rPr>
          <w:rFonts w:ascii="Times New Roman" w:hAnsi="Times New Roman" w:cs="Times New Roman"/>
          <w:sz w:val="24"/>
          <w:szCs w:val="24"/>
        </w:rPr>
        <w:t>hkova and K</w:t>
      </w:r>
      <w:r w:rsidR="001F3AF2">
        <w:rPr>
          <w:rFonts w:ascii="Times New Roman" w:hAnsi="Times New Roman" w:cs="Times New Roman" w:hint="eastAsia"/>
          <w:sz w:val="24"/>
          <w:szCs w:val="24"/>
        </w:rPr>
        <w:t>l</w:t>
      </w:r>
      <w:r w:rsidRPr="00CE3571">
        <w:rPr>
          <w:rFonts w:ascii="Times New Roman" w:hAnsi="Times New Roman" w:cs="Times New Roman"/>
          <w:sz w:val="24"/>
          <w:szCs w:val="24"/>
        </w:rPr>
        <w:t>ucha</w:t>
      </w:r>
      <w:r w:rsidR="001F3AF2">
        <w:rPr>
          <w:rFonts w:ascii="Times New Roman" w:hAnsi="Times New Roman" w:cs="Times New Roman" w:hint="eastAsia"/>
          <w:sz w:val="24"/>
          <w:szCs w:val="24"/>
        </w:rPr>
        <w:t>r</w:t>
      </w:r>
      <w:r w:rsidRPr="00CE3571">
        <w:rPr>
          <w:rFonts w:ascii="Times New Roman" w:hAnsi="Times New Roman" w:cs="Times New Roman"/>
          <w:sz w:val="24"/>
          <w:szCs w:val="24"/>
        </w:rPr>
        <w:t xml:space="preserve">ev, 2023; Remedios et al., 2024). Therefore, the company faces a fundamental dilemma: using its brand will strengthen its existing </w:t>
      </w:r>
      <w:proofErr w:type="gramStart"/>
      <w:r w:rsidRPr="00CE3571">
        <w:rPr>
          <w:rFonts w:ascii="Times New Roman" w:hAnsi="Times New Roman" w:cs="Times New Roman"/>
          <w:sz w:val="24"/>
          <w:szCs w:val="24"/>
        </w:rPr>
        <w:t>positioning,</w:t>
      </w:r>
      <w:proofErr w:type="gramEnd"/>
      <w:r w:rsidRPr="00CE3571">
        <w:rPr>
          <w:rFonts w:ascii="Times New Roman" w:hAnsi="Times New Roman" w:cs="Times New Roman"/>
          <w:sz w:val="24"/>
          <w:szCs w:val="24"/>
        </w:rPr>
        <w:t xml:space="preserve"> while transforming it may weaken the fundamental assets that support its competitive advantage.</w:t>
      </w:r>
    </w:p>
    <w:p w14:paraId="1F7A48D8" w14:textId="77777777" w:rsidR="00CE3571" w:rsidRPr="00CE3571" w:rsidRDefault="00CE3571" w:rsidP="00CE3571">
      <w:pPr>
        <w:spacing w:line="360" w:lineRule="auto"/>
        <w:rPr>
          <w:rFonts w:ascii="Times New Roman" w:hAnsi="Times New Roman" w:cs="Times New Roman"/>
          <w:sz w:val="24"/>
          <w:szCs w:val="24"/>
        </w:rPr>
      </w:pPr>
    </w:p>
    <w:p w14:paraId="20E811A5" w14:textId="314946C2" w:rsidR="000C432E" w:rsidRDefault="00CE3571" w:rsidP="00CE3571">
      <w:pPr>
        <w:spacing w:line="360" w:lineRule="auto"/>
        <w:rPr>
          <w:rFonts w:ascii="Times New Roman" w:hAnsi="Times New Roman" w:cs="Times New Roman"/>
          <w:sz w:val="24"/>
          <w:szCs w:val="24"/>
        </w:rPr>
      </w:pPr>
      <w:r w:rsidRPr="00CE3571">
        <w:rPr>
          <w:rFonts w:ascii="Times New Roman" w:hAnsi="Times New Roman" w:cs="Times New Roman"/>
          <w:sz w:val="24"/>
          <w:szCs w:val="24"/>
        </w:rPr>
        <w:t xml:space="preserve">In addition, despite Coca-Cola's strength, its ability to respond to changes in consumer preferences, especially in healthier products, is limited (Simamora, Putra and Pinaldi, 2024 b; Zhang, 2025). This shows that the problem is not the lack of resources, but the </w:t>
      </w:r>
      <w:r w:rsidRPr="00CE3571">
        <w:rPr>
          <w:rFonts w:ascii="Times New Roman" w:hAnsi="Times New Roman" w:cs="Times New Roman"/>
          <w:sz w:val="24"/>
          <w:szCs w:val="24"/>
        </w:rPr>
        <w:lastRenderedPageBreak/>
        <w:t>company's ability to effectively redistribute resources.</w:t>
      </w:r>
      <w:r w:rsidR="00186677" w:rsidRPr="00186677">
        <w:rPr>
          <w:rFonts w:ascii="Times New Roman" w:hAnsi="Times New Roman" w:cs="Times New Roman"/>
          <w:sz w:val="24"/>
          <w:szCs w:val="24"/>
        </w:rPr>
        <w:t xml:space="preserve"> Without such adaptability, existing capabilities may reinforce path dependence rather than drive strategic renewal, </w:t>
      </w:r>
      <w:r w:rsidR="00186677">
        <w:rPr>
          <w:rFonts w:ascii="Times New Roman" w:hAnsi="Times New Roman" w:cs="Times New Roman" w:hint="eastAsia"/>
          <w:sz w:val="24"/>
          <w:szCs w:val="24"/>
        </w:rPr>
        <w:t>it</w:t>
      </w:r>
      <w:r w:rsidR="00186677" w:rsidRPr="00186677">
        <w:rPr>
          <w:rFonts w:ascii="Times New Roman" w:hAnsi="Times New Roman" w:cs="Times New Roman"/>
          <w:sz w:val="24"/>
          <w:szCs w:val="24"/>
        </w:rPr>
        <w:t xml:space="preserve"> is consistent with the perspective of dynamic capabilities (</w:t>
      </w:r>
      <w:r w:rsidR="00186677">
        <w:rPr>
          <w:rFonts w:ascii="Times New Roman" w:hAnsi="Times New Roman" w:cs="Times New Roman" w:hint="eastAsia"/>
          <w:sz w:val="24"/>
          <w:szCs w:val="24"/>
        </w:rPr>
        <w:t>C</w:t>
      </w:r>
      <w:r w:rsidR="00186677" w:rsidRPr="00186677">
        <w:rPr>
          <w:rFonts w:ascii="Times New Roman" w:hAnsi="Times New Roman" w:cs="Times New Roman"/>
          <w:sz w:val="24"/>
          <w:szCs w:val="24"/>
        </w:rPr>
        <w:t>amu</w:t>
      </w:r>
      <w:r w:rsidR="00186677">
        <w:rPr>
          <w:rFonts w:ascii="Times New Roman" w:hAnsi="Times New Roman" w:cs="Times New Roman" w:hint="eastAsia"/>
          <w:sz w:val="24"/>
          <w:szCs w:val="24"/>
        </w:rPr>
        <w:t>f</w:t>
      </w:r>
      <w:r w:rsidR="00186677" w:rsidRPr="00186677">
        <w:rPr>
          <w:rFonts w:ascii="Times New Roman" w:hAnsi="Times New Roman" w:cs="Times New Roman"/>
          <w:sz w:val="24"/>
          <w:szCs w:val="24"/>
        </w:rPr>
        <w:t>f</w:t>
      </w:r>
      <w:r w:rsidR="00186677">
        <w:rPr>
          <w:rFonts w:ascii="Times New Roman" w:hAnsi="Times New Roman" w:cs="Times New Roman" w:hint="eastAsia"/>
          <w:sz w:val="24"/>
          <w:szCs w:val="24"/>
        </w:rPr>
        <w:t>o</w:t>
      </w:r>
      <w:r w:rsidR="00186677" w:rsidRPr="00186677">
        <w:rPr>
          <w:rFonts w:ascii="Times New Roman" w:hAnsi="Times New Roman" w:cs="Times New Roman"/>
          <w:sz w:val="24"/>
          <w:szCs w:val="24"/>
        </w:rPr>
        <w:t>, Gamba</w:t>
      </w:r>
      <w:r w:rsidR="00186677">
        <w:rPr>
          <w:rFonts w:ascii="Times New Roman" w:hAnsi="Times New Roman" w:cs="Times New Roman" w:hint="eastAsia"/>
          <w:sz w:val="24"/>
          <w:szCs w:val="24"/>
        </w:rPr>
        <w:t>r</w:t>
      </w:r>
      <w:r w:rsidR="00186677" w:rsidRPr="00186677">
        <w:rPr>
          <w:rFonts w:ascii="Times New Roman" w:hAnsi="Times New Roman" w:cs="Times New Roman"/>
          <w:sz w:val="24"/>
          <w:szCs w:val="24"/>
        </w:rPr>
        <w:t>d</w:t>
      </w:r>
      <w:r w:rsidR="00186677">
        <w:rPr>
          <w:rFonts w:ascii="Times New Roman" w:hAnsi="Times New Roman" w:cs="Times New Roman" w:hint="eastAsia"/>
          <w:sz w:val="24"/>
          <w:szCs w:val="24"/>
        </w:rPr>
        <w:t>ella</w:t>
      </w:r>
      <w:r w:rsidR="00186677" w:rsidRPr="00186677">
        <w:rPr>
          <w:rFonts w:ascii="Times New Roman" w:hAnsi="Times New Roman" w:cs="Times New Roman"/>
          <w:sz w:val="24"/>
          <w:szCs w:val="24"/>
        </w:rPr>
        <w:t xml:space="preserve"> and Kazemi, 2025; T</w:t>
      </w:r>
      <w:r w:rsidR="00186677">
        <w:rPr>
          <w:rFonts w:ascii="Times New Roman" w:hAnsi="Times New Roman" w:cs="Times New Roman" w:hint="eastAsia"/>
          <w:sz w:val="24"/>
          <w:szCs w:val="24"/>
        </w:rPr>
        <w:t>eece</w:t>
      </w:r>
      <w:r w:rsidR="00186677" w:rsidRPr="00186677">
        <w:rPr>
          <w:rFonts w:ascii="Times New Roman" w:hAnsi="Times New Roman" w:cs="Times New Roman"/>
          <w:sz w:val="24"/>
          <w:szCs w:val="24"/>
        </w:rPr>
        <w:t>, 2025).</w:t>
      </w:r>
    </w:p>
    <w:p w14:paraId="542F7FEB" w14:textId="77777777" w:rsidR="00186677" w:rsidRPr="00F35F5F" w:rsidRDefault="00186677" w:rsidP="00186677">
      <w:pPr>
        <w:spacing w:line="360" w:lineRule="auto"/>
        <w:rPr>
          <w:rFonts w:ascii="Times New Roman" w:hAnsi="Times New Roman" w:cs="Times New Roman"/>
          <w:sz w:val="24"/>
          <w:szCs w:val="24"/>
        </w:rPr>
      </w:pPr>
    </w:p>
    <w:p w14:paraId="63CD5CB1" w14:textId="4981C6CE" w:rsidR="000C432E" w:rsidRPr="00F35F5F" w:rsidRDefault="000C432E" w:rsidP="00F35F5F">
      <w:pPr>
        <w:spacing w:line="360" w:lineRule="auto"/>
        <w:outlineLvl w:val="1"/>
        <w:rPr>
          <w:rFonts w:ascii="Times New Roman" w:hAnsi="Times New Roman" w:cs="Times New Roman"/>
          <w:b/>
          <w:bCs/>
          <w:sz w:val="24"/>
          <w:szCs w:val="24"/>
        </w:rPr>
      </w:pPr>
      <w:bookmarkStart w:id="7" w:name="_Toc225465264"/>
      <w:r w:rsidRPr="00F35F5F">
        <w:rPr>
          <w:rFonts w:ascii="Times New Roman" w:hAnsi="Times New Roman" w:cs="Times New Roman"/>
          <w:b/>
          <w:bCs/>
          <w:sz w:val="24"/>
          <w:szCs w:val="24"/>
        </w:rPr>
        <w:t>3.2. Value Chain Analysis</w:t>
      </w:r>
      <w:bookmarkEnd w:id="7"/>
    </w:p>
    <w:p w14:paraId="38AFDDE8" w14:textId="77777777" w:rsidR="000C432E" w:rsidRPr="00F35F5F" w:rsidRDefault="000C432E" w:rsidP="00F35F5F">
      <w:pPr>
        <w:spacing w:line="360" w:lineRule="auto"/>
        <w:rPr>
          <w:rFonts w:ascii="Times New Roman" w:hAnsi="Times New Roman" w:cs="Times New Roman"/>
          <w:sz w:val="24"/>
          <w:szCs w:val="24"/>
        </w:rPr>
      </w:pPr>
    </w:p>
    <w:p w14:paraId="284979CE" w14:textId="493BC498" w:rsidR="00E9128D" w:rsidRPr="00E9128D" w:rsidRDefault="00E9128D" w:rsidP="00E9128D">
      <w:pPr>
        <w:spacing w:line="360" w:lineRule="auto"/>
        <w:rPr>
          <w:rFonts w:ascii="Times New Roman" w:hAnsi="Times New Roman" w:cs="Times New Roman"/>
          <w:sz w:val="24"/>
          <w:szCs w:val="24"/>
        </w:rPr>
      </w:pPr>
      <w:r w:rsidRPr="00E9128D">
        <w:rPr>
          <w:rFonts w:ascii="Times New Roman" w:hAnsi="Times New Roman" w:cs="Times New Roman"/>
          <w:sz w:val="24"/>
          <w:szCs w:val="24"/>
        </w:rPr>
        <w:t>Value chain analysis further reveals how Coca-Cola creates and acquires value in its operations (Quint</w:t>
      </w:r>
      <w:r>
        <w:rPr>
          <w:rFonts w:ascii="Times New Roman" w:hAnsi="Times New Roman" w:cs="Times New Roman" w:hint="eastAsia"/>
          <w:sz w:val="24"/>
          <w:szCs w:val="24"/>
        </w:rPr>
        <w:t>er</w:t>
      </w:r>
      <w:r w:rsidRPr="00E9128D">
        <w:rPr>
          <w:rFonts w:ascii="Times New Roman" w:hAnsi="Times New Roman" w:cs="Times New Roman"/>
          <w:sz w:val="24"/>
          <w:szCs w:val="24"/>
        </w:rPr>
        <w:t xml:space="preserve"> and N</w:t>
      </w:r>
      <w:r>
        <w:rPr>
          <w:rFonts w:ascii="Times New Roman" w:hAnsi="Times New Roman" w:cs="Times New Roman" w:hint="eastAsia"/>
          <w:sz w:val="24"/>
          <w:szCs w:val="24"/>
        </w:rPr>
        <w:t>yen</w:t>
      </w:r>
      <w:r w:rsidRPr="00E9128D">
        <w:rPr>
          <w:rFonts w:ascii="Times New Roman" w:hAnsi="Times New Roman" w:cs="Times New Roman"/>
          <w:sz w:val="24"/>
          <w:szCs w:val="24"/>
        </w:rPr>
        <w:t>y</w:t>
      </w:r>
      <w:r>
        <w:rPr>
          <w:rFonts w:ascii="Times New Roman" w:hAnsi="Times New Roman" w:cs="Times New Roman" w:hint="eastAsia"/>
          <w:sz w:val="24"/>
          <w:szCs w:val="24"/>
        </w:rPr>
        <w:t>i</w:t>
      </w:r>
      <w:r w:rsidRPr="00E9128D">
        <w:rPr>
          <w:rFonts w:ascii="Times New Roman" w:hAnsi="Times New Roman" w:cs="Times New Roman"/>
          <w:sz w:val="24"/>
          <w:szCs w:val="24"/>
        </w:rPr>
        <w:t>, 2024; Shao, 2025). The company has shown special advantages in marketing and distribution, and continuous advertising investment has consolidated its global brand influence (</w:t>
      </w:r>
      <w:r>
        <w:rPr>
          <w:rFonts w:ascii="Times New Roman" w:hAnsi="Times New Roman" w:cs="Times New Roman" w:hint="eastAsia"/>
          <w:sz w:val="24"/>
          <w:szCs w:val="24"/>
        </w:rPr>
        <w:t>C</w:t>
      </w:r>
      <w:r w:rsidRPr="00E9128D">
        <w:rPr>
          <w:rFonts w:ascii="Times New Roman" w:hAnsi="Times New Roman" w:cs="Times New Roman"/>
          <w:sz w:val="24"/>
          <w:szCs w:val="24"/>
        </w:rPr>
        <w:t>hu, 2020; Simamora, Putra and Pina</w:t>
      </w:r>
      <w:r>
        <w:rPr>
          <w:rFonts w:ascii="Times New Roman" w:hAnsi="Times New Roman" w:cs="Times New Roman" w:hint="eastAsia"/>
          <w:sz w:val="24"/>
          <w:szCs w:val="24"/>
        </w:rPr>
        <w:t>r</w:t>
      </w:r>
      <w:r w:rsidRPr="00E9128D">
        <w:rPr>
          <w:rFonts w:ascii="Times New Roman" w:hAnsi="Times New Roman" w:cs="Times New Roman"/>
          <w:sz w:val="24"/>
          <w:szCs w:val="24"/>
        </w:rPr>
        <w:t>di, 2024 b). Its distribution system ensures the high availability of products and supports its market dominance (Simamora, Putra and Pina</w:t>
      </w:r>
      <w:r>
        <w:rPr>
          <w:rFonts w:ascii="Times New Roman" w:hAnsi="Times New Roman" w:cs="Times New Roman" w:hint="eastAsia"/>
          <w:sz w:val="24"/>
          <w:szCs w:val="24"/>
        </w:rPr>
        <w:t>r</w:t>
      </w:r>
      <w:r w:rsidRPr="00E9128D">
        <w:rPr>
          <w:rFonts w:ascii="Times New Roman" w:hAnsi="Times New Roman" w:cs="Times New Roman"/>
          <w:sz w:val="24"/>
          <w:szCs w:val="24"/>
        </w:rPr>
        <w:t>di, 2024 b; Coca-Cola, 2024).</w:t>
      </w:r>
    </w:p>
    <w:p w14:paraId="25D2A5CF" w14:textId="77777777" w:rsidR="00E9128D" w:rsidRPr="00E9128D" w:rsidRDefault="00E9128D" w:rsidP="00E9128D">
      <w:pPr>
        <w:spacing w:line="360" w:lineRule="auto"/>
        <w:rPr>
          <w:rFonts w:ascii="Times New Roman" w:hAnsi="Times New Roman" w:cs="Times New Roman"/>
          <w:sz w:val="24"/>
          <w:szCs w:val="24"/>
        </w:rPr>
      </w:pPr>
    </w:p>
    <w:p w14:paraId="1D2FC51A" w14:textId="71159280" w:rsidR="00E9128D" w:rsidRPr="00E9128D" w:rsidRDefault="00E9128D" w:rsidP="00E9128D">
      <w:pPr>
        <w:spacing w:line="360" w:lineRule="auto"/>
        <w:rPr>
          <w:rFonts w:ascii="Times New Roman" w:hAnsi="Times New Roman" w:cs="Times New Roman"/>
          <w:sz w:val="24"/>
          <w:szCs w:val="24"/>
        </w:rPr>
      </w:pPr>
      <w:r w:rsidRPr="00E9128D">
        <w:rPr>
          <w:rFonts w:ascii="Times New Roman" w:hAnsi="Times New Roman" w:cs="Times New Roman"/>
          <w:sz w:val="24"/>
          <w:szCs w:val="24"/>
        </w:rPr>
        <w:t>However, this configuration highlights the structural imbalance in value creation. Coca-Cola's reliance on marketing-driven growth shows that its competitive advantage is maintained through brand strengthening rather than product innovation (Simamora, Putra and Pina</w:t>
      </w:r>
      <w:r w:rsidR="0048565B">
        <w:rPr>
          <w:rFonts w:ascii="Times New Roman" w:hAnsi="Times New Roman" w:cs="Times New Roman" w:hint="eastAsia"/>
          <w:sz w:val="24"/>
          <w:szCs w:val="24"/>
        </w:rPr>
        <w:t>r</w:t>
      </w:r>
      <w:r w:rsidRPr="00E9128D">
        <w:rPr>
          <w:rFonts w:ascii="Times New Roman" w:hAnsi="Times New Roman" w:cs="Times New Roman"/>
          <w:sz w:val="24"/>
          <w:szCs w:val="24"/>
        </w:rPr>
        <w:t>di, 2024 b). Against the backdrop of consumer preferences shifting to health and sustainability</w:t>
      </w:r>
      <w:r w:rsidR="0048565B">
        <w:rPr>
          <w:rFonts w:ascii="Times New Roman" w:hAnsi="Times New Roman" w:cs="Times New Roman" w:hint="eastAsia"/>
          <w:sz w:val="24"/>
          <w:szCs w:val="24"/>
        </w:rPr>
        <w:t>.</w:t>
      </w:r>
      <w:r w:rsidRPr="00E9128D">
        <w:rPr>
          <w:rFonts w:ascii="Times New Roman" w:hAnsi="Times New Roman" w:cs="Times New Roman"/>
          <w:sz w:val="24"/>
          <w:szCs w:val="24"/>
        </w:rPr>
        <w:t xml:space="preserve"> </w:t>
      </w:r>
      <w:r w:rsidR="0048565B">
        <w:rPr>
          <w:rFonts w:ascii="Times New Roman" w:hAnsi="Times New Roman" w:cs="Times New Roman" w:hint="eastAsia"/>
          <w:sz w:val="24"/>
          <w:szCs w:val="24"/>
        </w:rPr>
        <w:t>T</w:t>
      </w:r>
      <w:r w:rsidRPr="00E9128D">
        <w:rPr>
          <w:rFonts w:ascii="Times New Roman" w:hAnsi="Times New Roman" w:cs="Times New Roman"/>
          <w:sz w:val="24"/>
          <w:szCs w:val="24"/>
        </w:rPr>
        <w:t>his imbalance could weaken the company's long-term competitiveness.</w:t>
      </w:r>
    </w:p>
    <w:p w14:paraId="4CA93430" w14:textId="77777777" w:rsidR="00E9128D" w:rsidRPr="00E9128D" w:rsidRDefault="00E9128D" w:rsidP="00E9128D">
      <w:pPr>
        <w:spacing w:line="360" w:lineRule="auto"/>
        <w:rPr>
          <w:rFonts w:ascii="Times New Roman" w:hAnsi="Times New Roman" w:cs="Times New Roman"/>
          <w:sz w:val="24"/>
          <w:szCs w:val="24"/>
        </w:rPr>
      </w:pPr>
    </w:p>
    <w:p w14:paraId="52FA1C72" w14:textId="3ECBE44B" w:rsidR="00A92D72" w:rsidRDefault="00E9128D" w:rsidP="00E9128D">
      <w:pPr>
        <w:spacing w:line="360" w:lineRule="auto"/>
        <w:rPr>
          <w:rFonts w:ascii="Times New Roman" w:hAnsi="Times New Roman" w:cs="Times New Roman"/>
          <w:sz w:val="24"/>
          <w:szCs w:val="24"/>
        </w:rPr>
      </w:pPr>
      <w:r w:rsidRPr="00E9128D">
        <w:rPr>
          <w:rFonts w:ascii="Times New Roman" w:hAnsi="Times New Roman" w:cs="Times New Roman"/>
          <w:sz w:val="24"/>
          <w:szCs w:val="24"/>
        </w:rPr>
        <w:t xml:space="preserve">In addition, although </w:t>
      </w:r>
      <w:r w:rsidR="008A096D" w:rsidRPr="00E9128D">
        <w:rPr>
          <w:rFonts w:ascii="Times New Roman" w:hAnsi="Times New Roman" w:cs="Times New Roman"/>
          <w:sz w:val="24"/>
          <w:szCs w:val="24"/>
        </w:rPr>
        <w:t>rel</w:t>
      </w:r>
      <w:r w:rsidR="008A096D">
        <w:rPr>
          <w:rFonts w:ascii="Times New Roman" w:hAnsi="Times New Roman" w:cs="Times New Roman"/>
          <w:sz w:val="24"/>
          <w:szCs w:val="24"/>
        </w:rPr>
        <w:t>y</w:t>
      </w:r>
      <w:r w:rsidRPr="00E9128D">
        <w:rPr>
          <w:rFonts w:ascii="Times New Roman" w:hAnsi="Times New Roman" w:cs="Times New Roman"/>
          <w:sz w:val="24"/>
          <w:szCs w:val="24"/>
        </w:rPr>
        <w:t xml:space="preserve"> on filling partners for operational efficiency may weaken strategic control. And limit the ability to respond to changing market and regulatory conditions (Ka</w:t>
      </w:r>
      <w:r w:rsidR="008A096D">
        <w:rPr>
          <w:rFonts w:ascii="Times New Roman" w:hAnsi="Times New Roman" w:cs="Times New Roman" w:hint="eastAsia"/>
          <w:sz w:val="24"/>
          <w:szCs w:val="24"/>
        </w:rPr>
        <w:t>yed</w:t>
      </w:r>
      <w:r w:rsidRPr="00E9128D">
        <w:rPr>
          <w:rFonts w:ascii="Times New Roman" w:hAnsi="Times New Roman" w:cs="Times New Roman"/>
          <w:sz w:val="24"/>
          <w:szCs w:val="24"/>
        </w:rPr>
        <w:t xml:space="preserve"> et al., 2025). This shows that some links in Coca-Cola's value chain</w:t>
      </w:r>
      <w:r w:rsidR="008A096D">
        <w:rPr>
          <w:rFonts w:ascii="Times New Roman" w:hAnsi="Times New Roman" w:cs="Times New Roman" w:hint="eastAsia"/>
          <w:sz w:val="24"/>
          <w:szCs w:val="24"/>
        </w:rPr>
        <w:t>. A</w:t>
      </w:r>
      <w:r w:rsidRPr="00E9128D">
        <w:rPr>
          <w:rFonts w:ascii="Times New Roman" w:hAnsi="Times New Roman" w:cs="Times New Roman"/>
          <w:sz w:val="24"/>
          <w:szCs w:val="24"/>
        </w:rPr>
        <w:t>lthough efficient</w:t>
      </w:r>
      <w:r w:rsidR="008A096D">
        <w:rPr>
          <w:rFonts w:ascii="Times New Roman" w:hAnsi="Times New Roman" w:cs="Times New Roman" w:hint="eastAsia"/>
          <w:sz w:val="24"/>
          <w:szCs w:val="24"/>
        </w:rPr>
        <w:t xml:space="preserve"> it</w:t>
      </w:r>
      <w:r w:rsidRPr="00E9128D">
        <w:rPr>
          <w:rFonts w:ascii="Times New Roman" w:hAnsi="Times New Roman" w:cs="Times New Roman"/>
          <w:sz w:val="24"/>
          <w:szCs w:val="24"/>
        </w:rPr>
        <w:t xml:space="preserve"> may lack the flexibility needed to support more fundamental strategic transformations.</w:t>
      </w:r>
    </w:p>
    <w:p w14:paraId="5F9658FD" w14:textId="77777777" w:rsidR="00E9128D" w:rsidRPr="00F35F5F" w:rsidRDefault="00E9128D" w:rsidP="00E9128D">
      <w:pPr>
        <w:spacing w:line="360" w:lineRule="auto"/>
        <w:rPr>
          <w:rFonts w:ascii="Times New Roman" w:hAnsi="Times New Roman" w:cs="Times New Roman"/>
          <w:sz w:val="24"/>
          <w:szCs w:val="24"/>
        </w:rPr>
      </w:pPr>
    </w:p>
    <w:p w14:paraId="68654D80" w14:textId="51049239" w:rsidR="00922985" w:rsidRPr="00F35F5F" w:rsidRDefault="00922985" w:rsidP="00F35F5F">
      <w:pPr>
        <w:spacing w:line="360" w:lineRule="auto"/>
        <w:outlineLvl w:val="1"/>
        <w:rPr>
          <w:rFonts w:ascii="Times New Roman" w:hAnsi="Times New Roman" w:cs="Times New Roman"/>
          <w:b/>
          <w:bCs/>
          <w:sz w:val="24"/>
          <w:szCs w:val="24"/>
        </w:rPr>
      </w:pPr>
      <w:bookmarkStart w:id="8" w:name="_Toc225465265"/>
      <w:r w:rsidRPr="00F35F5F">
        <w:rPr>
          <w:rFonts w:ascii="Times New Roman" w:hAnsi="Times New Roman" w:cs="Times New Roman"/>
          <w:b/>
          <w:bCs/>
          <w:sz w:val="24"/>
          <w:szCs w:val="24"/>
        </w:rPr>
        <w:t>3.3. SWOT Analysis</w:t>
      </w:r>
      <w:bookmarkEnd w:id="8"/>
    </w:p>
    <w:p w14:paraId="08032F57" w14:textId="77777777" w:rsidR="00922985" w:rsidRPr="00F35F5F" w:rsidRDefault="00922985" w:rsidP="00F35F5F">
      <w:pPr>
        <w:spacing w:line="360" w:lineRule="auto"/>
        <w:rPr>
          <w:rFonts w:ascii="Times New Roman" w:hAnsi="Times New Roman" w:cs="Times New Roman"/>
          <w:sz w:val="24"/>
          <w:szCs w:val="24"/>
        </w:rPr>
      </w:pPr>
    </w:p>
    <w:p w14:paraId="67BB8326" w14:textId="5408B8A7" w:rsidR="00A820B7" w:rsidRPr="00A820B7" w:rsidRDefault="00A820B7" w:rsidP="00A820B7">
      <w:pPr>
        <w:spacing w:line="360" w:lineRule="auto"/>
        <w:rPr>
          <w:rFonts w:ascii="Times New Roman" w:hAnsi="Times New Roman" w:cs="Times New Roman"/>
          <w:sz w:val="24"/>
          <w:szCs w:val="24"/>
        </w:rPr>
      </w:pPr>
      <w:r w:rsidRPr="00A820B7">
        <w:rPr>
          <w:rFonts w:ascii="Times New Roman" w:hAnsi="Times New Roman" w:cs="Times New Roman"/>
          <w:sz w:val="24"/>
          <w:szCs w:val="24"/>
        </w:rPr>
        <w:t xml:space="preserve">SWOT analysis highlights the interaction between Coca-Cola's internal capabilities and </w:t>
      </w:r>
      <w:r w:rsidRPr="00A820B7">
        <w:rPr>
          <w:rFonts w:ascii="Times New Roman" w:hAnsi="Times New Roman" w:cs="Times New Roman"/>
          <w:sz w:val="24"/>
          <w:szCs w:val="24"/>
        </w:rPr>
        <w:lastRenderedPageBreak/>
        <w:t>its broader strategic positioning. The company's strong global brand and extensive distribution network remain its key advantages (Simamora, Putra and Pina</w:t>
      </w:r>
      <w:r>
        <w:rPr>
          <w:rFonts w:ascii="Times New Roman" w:hAnsi="Times New Roman" w:cs="Times New Roman" w:hint="eastAsia"/>
          <w:sz w:val="24"/>
          <w:szCs w:val="24"/>
        </w:rPr>
        <w:t>r</w:t>
      </w:r>
      <w:r w:rsidRPr="00A820B7">
        <w:rPr>
          <w:rFonts w:ascii="Times New Roman" w:hAnsi="Times New Roman" w:cs="Times New Roman"/>
          <w:sz w:val="24"/>
          <w:szCs w:val="24"/>
        </w:rPr>
        <w:t>di, 2024 b; Zhong, 2024). However, these advantages are increasingly weakened by the internal weaknesses associated with the change in consumption patterns.</w:t>
      </w:r>
    </w:p>
    <w:p w14:paraId="1FA33FDE" w14:textId="77777777" w:rsidR="00A820B7" w:rsidRPr="00A820B7" w:rsidRDefault="00A820B7" w:rsidP="00A820B7">
      <w:pPr>
        <w:spacing w:line="360" w:lineRule="auto"/>
        <w:rPr>
          <w:rFonts w:ascii="Times New Roman" w:hAnsi="Times New Roman" w:cs="Times New Roman"/>
          <w:sz w:val="24"/>
          <w:szCs w:val="24"/>
        </w:rPr>
      </w:pPr>
    </w:p>
    <w:p w14:paraId="54D5F32D" w14:textId="738D57A8" w:rsidR="00A820B7" w:rsidRPr="00A820B7" w:rsidRDefault="00A820B7" w:rsidP="00A820B7">
      <w:pPr>
        <w:spacing w:line="360" w:lineRule="auto"/>
        <w:rPr>
          <w:rFonts w:ascii="Times New Roman" w:hAnsi="Times New Roman" w:cs="Times New Roman"/>
          <w:sz w:val="24"/>
          <w:szCs w:val="24"/>
        </w:rPr>
      </w:pPr>
      <w:r w:rsidRPr="00A820B7">
        <w:rPr>
          <w:rFonts w:ascii="Times New Roman" w:hAnsi="Times New Roman" w:cs="Times New Roman"/>
          <w:sz w:val="24"/>
          <w:szCs w:val="24"/>
        </w:rPr>
        <w:t>In particular, there is a growing demand for low-sugar and healthier drinks. Some ongoing health-related criticisms have exposed the limitations of Coca-Cola's existing product portfolio (La</w:t>
      </w:r>
      <w:r>
        <w:rPr>
          <w:rFonts w:ascii="Times New Roman" w:hAnsi="Times New Roman" w:cs="Times New Roman" w:hint="eastAsia"/>
          <w:sz w:val="24"/>
          <w:szCs w:val="24"/>
        </w:rPr>
        <w:t>r</w:t>
      </w:r>
      <w:r w:rsidRPr="00A820B7">
        <w:rPr>
          <w:rFonts w:ascii="Times New Roman" w:hAnsi="Times New Roman" w:cs="Times New Roman"/>
          <w:sz w:val="24"/>
          <w:szCs w:val="24"/>
        </w:rPr>
        <w:t>a-Cast</w:t>
      </w:r>
      <w:r>
        <w:rPr>
          <w:rFonts w:ascii="Times New Roman" w:hAnsi="Times New Roman" w:cs="Times New Roman" w:hint="eastAsia"/>
          <w:sz w:val="24"/>
          <w:szCs w:val="24"/>
        </w:rPr>
        <w:t>or</w:t>
      </w:r>
      <w:r w:rsidRPr="00A820B7">
        <w:rPr>
          <w:rFonts w:ascii="Times New Roman" w:hAnsi="Times New Roman" w:cs="Times New Roman"/>
          <w:sz w:val="24"/>
          <w:szCs w:val="24"/>
        </w:rPr>
        <w:t xml:space="preserve"> et al., 2025; Zhang, 2025). Although there are opportunities to expand healthier product categories and emerging markets (Zhang, 2025; Yahoo Finance, 2026), the company's ability to take advantage of these opportunities is limited by its current strategic positioning.</w:t>
      </w:r>
    </w:p>
    <w:p w14:paraId="2EDEE2C9" w14:textId="77777777" w:rsidR="00A820B7" w:rsidRPr="00A820B7" w:rsidRDefault="00A820B7" w:rsidP="00A820B7">
      <w:pPr>
        <w:spacing w:line="360" w:lineRule="auto"/>
        <w:rPr>
          <w:rFonts w:ascii="Times New Roman" w:hAnsi="Times New Roman" w:cs="Times New Roman"/>
          <w:sz w:val="24"/>
          <w:szCs w:val="24"/>
        </w:rPr>
      </w:pPr>
    </w:p>
    <w:p w14:paraId="37AEFFE7" w14:textId="77777777" w:rsidR="00A820B7" w:rsidRPr="00A820B7" w:rsidRDefault="00A820B7" w:rsidP="00A820B7">
      <w:pPr>
        <w:spacing w:line="360" w:lineRule="auto"/>
        <w:rPr>
          <w:rFonts w:ascii="Times New Roman" w:hAnsi="Times New Roman" w:cs="Times New Roman"/>
          <w:sz w:val="24"/>
          <w:szCs w:val="24"/>
        </w:rPr>
      </w:pPr>
      <w:r w:rsidRPr="00A820B7">
        <w:rPr>
          <w:rFonts w:ascii="Times New Roman" w:hAnsi="Times New Roman" w:cs="Times New Roman"/>
          <w:sz w:val="24"/>
          <w:szCs w:val="24"/>
        </w:rPr>
        <w:t xml:space="preserve">The key is that this has caused the inconsistency between Coca-Cola's internal advantages and the direction of market development. These capabilities not only do not strengthen their competitive advantages, but may also prevent companies from effectively responding to changing expectations. </w:t>
      </w:r>
      <w:proofErr w:type="gramStart"/>
      <w:r w:rsidRPr="00A820B7">
        <w:rPr>
          <w:rFonts w:ascii="Times New Roman" w:hAnsi="Times New Roman" w:cs="Times New Roman"/>
          <w:sz w:val="24"/>
          <w:szCs w:val="24"/>
        </w:rPr>
        <w:t>Thus</w:t>
      </w:r>
      <w:proofErr w:type="gramEnd"/>
      <w:r w:rsidRPr="00A820B7">
        <w:rPr>
          <w:rFonts w:ascii="Times New Roman" w:hAnsi="Times New Roman" w:cs="Times New Roman"/>
          <w:sz w:val="24"/>
          <w:szCs w:val="24"/>
        </w:rPr>
        <w:t xml:space="preserve"> increasing the risk of short-term advantages evolving into long-term strategic limitations.</w:t>
      </w:r>
    </w:p>
    <w:p w14:paraId="4F9C1450" w14:textId="77777777" w:rsidR="00A820B7" w:rsidRPr="00A820B7" w:rsidRDefault="00A820B7" w:rsidP="00A820B7">
      <w:pPr>
        <w:spacing w:line="360" w:lineRule="auto"/>
        <w:rPr>
          <w:rFonts w:ascii="Times New Roman" w:hAnsi="Times New Roman" w:cs="Times New Roman"/>
          <w:sz w:val="24"/>
          <w:szCs w:val="24"/>
        </w:rPr>
      </w:pPr>
    </w:p>
    <w:p w14:paraId="31C42146" w14:textId="77777777" w:rsidR="00A820B7" w:rsidRPr="00A820B7" w:rsidRDefault="00A820B7" w:rsidP="00A820B7">
      <w:pPr>
        <w:spacing w:line="360" w:lineRule="auto"/>
        <w:rPr>
          <w:rFonts w:ascii="Times New Roman" w:hAnsi="Times New Roman" w:cs="Times New Roman"/>
          <w:sz w:val="24"/>
          <w:szCs w:val="24"/>
        </w:rPr>
      </w:pPr>
      <w:r w:rsidRPr="00A820B7">
        <w:rPr>
          <w:rFonts w:ascii="Times New Roman" w:hAnsi="Times New Roman" w:cs="Times New Roman"/>
          <w:sz w:val="24"/>
          <w:szCs w:val="24"/>
        </w:rPr>
        <w:t>Overall, Coca-Cola's traditional advantages are brand assets, scale and distribution channels, which are still significant. However, its strategic flexibility is increasingly limited. Although these capabilities contribute to short-term performance, they may restrict the company's ability to adapt to changing market needs.</w:t>
      </w:r>
    </w:p>
    <w:p w14:paraId="4C3D3699" w14:textId="77777777" w:rsidR="00A820B7" w:rsidRPr="00A820B7" w:rsidRDefault="00A820B7" w:rsidP="00A820B7">
      <w:pPr>
        <w:spacing w:line="360" w:lineRule="auto"/>
        <w:rPr>
          <w:rFonts w:ascii="Times New Roman" w:hAnsi="Times New Roman" w:cs="Times New Roman"/>
          <w:sz w:val="24"/>
          <w:szCs w:val="24"/>
        </w:rPr>
      </w:pPr>
    </w:p>
    <w:p w14:paraId="26B352E0" w14:textId="310E128E" w:rsidR="00A92D72" w:rsidRDefault="00A820B7" w:rsidP="00A820B7">
      <w:pPr>
        <w:spacing w:line="360" w:lineRule="auto"/>
        <w:rPr>
          <w:rFonts w:ascii="Times New Roman" w:hAnsi="Times New Roman" w:cs="Times New Roman"/>
          <w:sz w:val="24"/>
          <w:szCs w:val="24"/>
        </w:rPr>
      </w:pPr>
      <w:r w:rsidRPr="00A820B7">
        <w:rPr>
          <w:rFonts w:ascii="Times New Roman" w:hAnsi="Times New Roman" w:cs="Times New Roman"/>
          <w:sz w:val="24"/>
          <w:szCs w:val="24"/>
        </w:rPr>
        <w:t>This shows that Coca-Cola's key strategic challenge is not to acquire new resources, but to redeploy existing resources to maintain long-term competitiveness (T</w:t>
      </w:r>
      <w:r>
        <w:rPr>
          <w:rFonts w:ascii="Times New Roman" w:hAnsi="Times New Roman" w:cs="Times New Roman" w:hint="eastAsia"/>
          <w:sz w:val="24"/>
          <w:szCs w:val="24"/>
        </w:rPr>
        <w:t>eece,</w:t>
      </w:r>
      <w:r w:rsidRPr="00A820B7">
        <w:rPr>
          <w:rFonts w:ascii="Times New Roman" w:hAnsi="Times New Roman" w:cs="Times New Roman"/>
          <w:sz w:val="24"/>
          <w:szCs w:val="24"/>
        </w:rPr>
        <w:t xml:space="preserve"> 2025).</w:t>
      </w:r>
    </w:p>
    <w:p w14:paraId="5966ACCF" w14:textId="77777777" w:rsidR="00A820B7" w:rsidRPr="00A820B7" w:rsidRDefault="00A820B7" w:rsidP="00A820B7">
      <w:pPr>
        <w:spacing w:line="360" w:lineRule="auto"/>
        <w:rPr>
          <w:rFonts w:ascii="Times New Roman" w:hAnsi="Times New Roman" w:cs="Times New Roman"/>
          <w:sz w:val="24"/>
          <w:szCs w:val="24"/>
        </w:rPr>
      </w:pPr>
    </w:p>
    <w:p w14:paraId="7E855B7B" w14:textId="72B76448" w:rsidR="004129F5" w:rsidRPr="00F35F5F" w:rsidRDefault="004129F5" w:rsidP="00F35F5F">
      <w:pPr>
        <w:spacing w:line="360" w:lineRule="auto"/>
        <w:outlineLvl w:val="0"/>
        <w:rPr>
          <w:rFonts w:ascii="Times New Roman" w:hAnsi="Times New Roman" w:cs="Times New Roman"/>
          <w:b/>
          <w:bCs/>
          <w:sz w:val="28"/>
          <w:szCs w:val="28"/>
        </w:rPr>
      </w:pPr>
      <w:bookmarkStart w:id="9" w:name="_Toc225465266"/>
      <w:r w:rsidRPr="00F35F5F">
        <w:rPr>
          <w:rFonts w:ascii="Times New Roman" w:hAnsi="Times New Roman" w:cs="Times New Roman"/>
          <w:b/>
          <w:bCs/>
          <w:sz w:val="28"/>
          <w:szCs w:val="28"/>
        </w:rPr>
        <w:t>4. Strategy Formulation and Competitive Positioning</w:t>
      </w:r>
      <w:bookmarkEnd w:id="9"/>
    </w:p>
    <w:p w14:paraId="04A19E93" w14:textId="77777777" w:rsidR="006F1CAF" w:rsidRPr="00F35F5F" w:rsidRDefault="006F1CAF" w:rsidP="00F35F5F">
      <w:pPr>
        <w:spacing w:line="360" w:lineRule="auto"/>
        <w:rPr>
          <w:rFonts w:ascii="Times New Roman" w:hAnsi="Times New Roman" w:cs="Times New Roman"/>
          <w:sz w:val="24"/>
          <w:szCs w:val="24"/>
        </w:rPr>
      </w:pPr>
    </w:p>
    <w:p w14:paraId="76C7B84E" w14:textId="0C696BB2" w:rsidR="00526DFA" w:rsidRPr="00526DFA" w:rsidRDefault="00A820B7" w:rsidP="00526DFA">
      <w:pPr>
        <w:spacing w:line="360" w:lineRule="auto"/>
        <w:rPr>
          <w:rFonts w:ascii="Times New Roman" w:hAnsi="Times New Roman" w:cs="Times New Roman"/>
          <w:sz w:val="24"/>
          <w:szCs w:val="24"/>
        </w:rPr>
      </w:pPr>
      <w:r w:rsidRPr="00A820B7">
        <w:rPr>
          <w:rFonts w:ascii="Times New Roman" w:hAnsi="Times New Roman" w:cs="Times New Roman"/>
          <w:sz w:val="24"/>
          <w:szCs w:val="24"/>
        </w:rPr>
        <w:t xml:space="preserve">Coca-Cola's strategic positioning is still largely based on differentiation through brand </w:t>
      </w:r>
      <w:r w:rsidRPr="00A820B7">
        <w:rPr>
          <w:rFonts w:ascii="Times New Roman" w:hAnsi="Times New Roman" w:cs="Times New Roman"/>
          <w:sz w:val="24"/>
          <w:szCs w:val="24"/>
        </w:rPr>
        <w:lastRenderedPageBreak/>
        <w:t xml:space="preserve">assets and emotional attraction (Guo </w:t>
      </w:r>
      <w:r w:rsidR="00E73323">
        <w:rPr>
          <w:rFonts w:ascii="Times New Roman" w:hAnsi="Times New Roman" w:cs="Times New Roman" w:hint="eastAsia"/>
          <w:sz w:val="24"/>
          <w:szCs w:val="24"/>
        </w:rPr>
        <w:t xml:space="preserve">and </w:t>
      </w:r>
      <w:r w:rsidRPr="00A820B7">
        <w:rPr>
          <w:rFonts w:ascii="Times New Roman" w:hAnsi="Times New Roman" w:cs="Times New Roman"/>
          <w:sz w:val="24"/>
          <w:szCs w:val="24"/>
        </w:rPr>
        <w:t>wen, 2021). Although this has historically helped to maintain customer loyalty and achieve premium pricing</w:t>
      </w:r>
      <w:r w:rsidR="00E73323">
        <w:rPr>
          <w:rFonts w:ascii="Times New Roman" w:hAnsi="Times New Roman" w:cs="Times New Roman" w:hint="eastAsia"/>
          <w:sz w:val="24"/>
          <w:szCs w:val="24"/>
        </w:rPr>
        <w:t>.</w:t>
      </w:r>
      <w:r w:rsidRPr="00A820B7">
        <w:rPr>
          <w:rFonts w:ascii="Times New Roman" w:hAnsi="Times New Roman" w:cs="Times New Roman"/>
          <w:sz w:val="24"/>
          <w:szCs w:val="24"/>
        </w:rPr>
        <w:t xml:space="preserve"> </w:t>
      </w:r>
      <w:r w:rsidR="00E73323">
        <w:rPr>
          <w:rFonts w:ascii="Times New Roman" w:hAnsi="Times New Roman" w:cs="Times New Roman" w:hint="eastAsia"/>
          <w:sz w:val="24"/>
          <w:szCs w:val="24"/>
        </w:rPr>
        <w:t>I</w:t>
      </w:r>
      <w:r w:rsidRPr="00A820B7">
        <w:rPr>
          <w:rFonts w:ascii="Times New Roman" w:hAnsi="Times New Roman" w:cs="Times New Roman"/>
          <w:sz w:val="24"/>
          <w:szCs w:val="24"/>
        </w:rPr>
        <w:t xml:space="preserve">ts effectiveness is increasingly being challenged by the shift of consumer preferences to functional benefits and value considerations (FMCG Gurus, 2025). </w:t>
      </w:r>
      <w:r w:rsidR="00526DFA" w:rsidRPr="00526DFA">
        <w:rPr>
          <w:rFonts w:ascii="Times New Roman" w:hAnsi="Times New Roman" w:cs="Times New Roman"/>
          <w:sz w:val="24"/>
          <w:szCs w:val="24"/>
        </w:rPr>
        <w:t>Therefore, brand-driven differentiation alone may not be enough to maintain competitive advantages. This reflects the need to strengthen product-based different.</w:t>
      </w:r>
    </w:p>
    <w:p w14:paraId="66F681DE" w14:textId="77777777" w:rsidR="00526DFA" w:rsidRPr="00526DFA" w:rsidRDefault="00526DFA" w:rsidP="00526DFA">
      <w:pPr>
        <w:spacing w:line="360" w:lineRule="auto"/>
        <w:rPr>
          <w:rFonts w:ascii="Times New Roman" w:hAnsi="Times New Roman" w:cs="Times New Roman"/>
          <w:sz w:val="24"/>
          <w:szCs w:val="24"/>
        </w:rPr>
      </w:pPr>
    </w:p>
    <w:p w14:paraId="52003EA8" w14:textId="1F7196EC" w:rsidR="00A820B7" w:rsidRDefault="00526DFA" w:rsidP="00526DFA">
      <w:pPr>
        <w:spacing w:line="360" w:lineRule="auto"/>
        <w:rPr>
          <w:rFonts w:ascii="Times New Roman" w:hAnsi="Times New Roman" w:cs="Times New Roman"/>
          <w:sz w:val="24"/>
          <w:szCs w:val="24"/>
        </w:rPr>
      </w:pPr>
      <w:r w:rsidRPr="00526DFA">
        <w:rPr>
          <w:rFonts w:ascii="Times New Roman" w:hAnsi="Times New Roman" w:cs="Times New Roman"/>
          <w:sz w:val="24"/>
          <w:szCs w:val="24"/>
        </w:rPr>
        <w:t xml:space="preserve">The company's growth strategy also reflects its adaptability, but it is mainly a gradual adjustment. Through product development, market expansion and business diversification </w:t>
      </w:r>
      <w:r w:rsidR="00A314BB">
        <w:rPr>
          <w:rFonts w:ascii="Times New Roman" w:hAnsi="Times New Roman" w:cs="Times New Roman" w:hint="eastAsia"/>
          <w:sz w:val="24"/>
          <w:szCs w:val="24"/>
        </w:rPr>
        <w:t>covering</w:t>
      </w:r>
      <w:r w:rsidRPr="00526DFA">
        <w:rPr>
          <w:rFonts w:ascii="Times New Roman" w:hAnsi="Times New Roman" w:cs="Times New Roman"/>
          <w:sz w:val="24"/>
          <w:szCs w:val="24"/>
        </w:rPr>
        <w:t xml:space="preserve"> the acquisition of companies such as Costa Coffee, Coca-Cola has responded to the changing market environment (Le, 2023; Eichhorn, 2025). However, most of these initiatives are extensions of the existing business, rather than a fundamental remodelling of the business. This indicates that although the company is adjusting, its response may lack the scale and speed required to respond to deeper structural changes in consumer behaviour (Zhang, 2025).</w:t>
      </w:r>
    </w:p>
    <w:p w14:paraId="2C6CA808" w14:textId="77777777" w:rsidR="00526DFA" w:rsidRPr="00A820B7" w:rsidRDefault="00526DFA" w:rsidP="00526DFA">
      <w:pPr>
        <w:spacing w:line="360" w:lineRule="auto"/>
        <w:rPr>
          <w:rFonts w:ascii="Times New Roman" w:hAnsi="Times New Roman" w:cs="Times New Roman"/>
          <w:sz w:val="24"/>
          <w:szCs w:val="24"/>
        </w:rPr>
      </w:pPr>
    </w:p>
    <w:p w14:paraId="675A72B8" w14:textId="6E70A166" w:rsidR="006F1CAF" w:rsidRPr="00F35F5F" w:rsidRDefault="00A820B7" w:rsidP="00A820B7">
      <w:pPr>
        <w:spacing w:line="360" w:lineRule="auto"/>
        <w:rPr>
          <w:rFonts w:ascii="Times New Roman" w:hAnsi="Times New Roman" w:cs="Times New Roman"/>
          <w:sz w:val="24"/>
          <w:szCs w:val="24"/>
        </w:rPr>
      </w:pPr>
      <w:r w:rsidRPr="00A820B7">
        <w:rPr>
          <w:rFonts w:ascii="Times New Roman" w:hAnsi="Times New Roman" w:cs="Times New Roman"/>
          <w:sz w:val="24"/>
          <w:szCs w:val="24"/>
        </w:rPr>
        <w:t>Overall, Coca-Cola's strategy seems to maintain its short-term competitiveness, but may not be enough to ensure its long-term market position. The key question is not whether the company is adapting to the changes. It depends on whether its current strategy is transformative enough to maintain a competitive advantage in a changing market (Omoro and Juma, 2025).</w:t>
      </w:r>
    </w:p>
    <w:p w14:paraId="7EF4750E" w14:textId="77777777" w:rsidR="00267FC7" w:rsidRPr="00F35F5F" w:rsidRDefault="00267FC7" w:rsidP="00F35F5F">
      <w:pPr>
        <w:spacing w:line="360" w:lineRule="auto"/>
        <w:rPr>
          <w:rFonts w:ascii="Times New Roman" w:hAnsi="Times New Roman" w:cs="Times New Roman"/>
          <w:sz w:val="24"/>
          <w:szCs w:val="24"/>
        </w:rPr>
      </w:pPr>
    </w:p>
    <w:p w14:paraId="294DCEB4" w14:textId="77777777" w:rsidR="00267FC7" w:rsidRPr="00F35F5F" w:rsidRDefault="00267FC7" w:rsidP="00F35F5F">
      <w:pPr>
        <w:spacing w:line="360" w:lineRule="auto"/>
        <w:outlineLvl w:val="0"/>
        <w:rPr>
          <w:rFonts w:ascii="Times New Roman" w:hAnsi="Times New Roman" w:cs="Times New Roman"/>
          <w:b/>
          <w:bCs/>
          <w:sz w:val="28"/>
          <w:szCs w:val="28"/>
        </w:rPr>
      </w:pPr>
      <w:bookmarkStart w:id="10" w:name="_Toc225465267"/>
      <w:r w:rsidRPr="00F35F5F">
        <w:rPr>
          <w:rFonts w:ascii="Times New Roman" w:hAnsi="Times New Roman" w:cs="Times New Roman"/>
          <w:b/>
          <w:bCs/>
          <w:sz w:val="28"/>
          <w:szCs w:val="28"/>
        </w:rPr>
        <w:t>5. Sustainability and Strategic Recommendations</w:t>
      </w:r>
      <w:bookmarkEnd w:id="10"/>
    </w:p>
    <w:p w14:paraId="50C71C34" w14:textId="77777777" w:rsidR="000D2479" w:rsidRPr="00F35F5F" w:rsidRDefault="000D2479" w:rsidP="00F35F5F">
      <w:pPr>
        <w:spacing w:line="360" w:lineRule="auto"/>
        <w:rPr>
          <w:rFonts w:ascii="Times New Roman" w:eastAsia="等线" w:hAnsi="Times New Roman" w:cs="Times New Roman"/>
          <w:sz w:val="24"/>
          <w:szCs w:val="24"/>
        </w:rPr>
      </w:pPr>
    </w:p>
    <w:p w14:paraId="29DC1290" w14:textId="77777777" w:rsidR="00E73323" w:rsidRPr="00E73323" w:rsidRDefault="00E73323" w:rsidP="00E73323">
      <w:pPr>
        <w:spacing w:line="360" w:lineRule="auto"/>
        <w:rPr>
          <w:rFonts w:ascii="Times New Roman" w:hAnsi="Times New Roman" w:cs="Times New Roman"/>
          <w:sz w:val="24"/>
          <w:szCs w:val="24"/>
        </w:rPr>
      </w:pPr>
      <w:r w:rsidRPr="00E73323">
        <w:rPr>
          <w:rFonts w:ascii="Times New Roman" w:hAnsi="Times New Roman" w:cs="Times New Roman"/>
          <w:sz w:val="24"/>
          <w:szCs w:val="24"/>
        </w:rPr>
        <w:t>Although Coca-Cola has launched sustainable development initiatives such as recyclable packaging, these initiatives are still largely passive rather than transformative (Lin, 2022). This further confirms previous findings on strategic inconsistencies.</w:t>
      </w:r>
    </w:p>
    <w:p w14:paraId="7AC0E39E" w14:textId="77777777" w:rsidR="00E73323" w:rsidRPr="00E73323" w:rsidRDefault="00E73323" w:rsidP="00E73323">
      <w:pPr>
        <w:spacing w:line="360" w:lineRule="auto"/>
        <w:rPr>
          <w:rFonts w:ascii="Times New Roman" w:hAnsi="Times New Roman" w:cs="Times New Roman"/>
          <w:sz w:val="24"/>
          <w:szCs w:val="24"/>
        </w:rPr>
      </w:pPr>
    </w:p>
    <w:p w14:paraId="54E92546" w14:textId="77777777" w:rsidR="00E73323" w:rsidRPr="00E73323" w:rsidRDefault="00E73323" w:rsidP="00E73323">
      <w:pPr>
        <w:spacing w:line="360" w:lineRule="auto"/>
        <w:rPr>
          <w:rFonts w:ascii="Times New Roman" w:hAnsi="Times New Roman" w:cs="Times New Roman"/>
          <w:sz w:val="24"/>
          <w:szCs w:val="24"/>
        </w:rPr>
      </w:pPr>
      <w:r w:rsidRPr="00E73323">
        <w:rPr>
          <w:rFonts w:ascii="Times New Roman" w:hAnsi="Times New Roman" w:cs="Times New Roman"/>
          <w:sz w:val="24"/>
          <w:szCs w:val="24"/>
        </w:rPr>
        <w:lastRenderedPageBreak/>
        <w:t>In order to solve the limitations of the current brand-led differentiation, Coca-Cola should accelerate investment in low-sugar and sugar-free products to better adapt to health-oriented needs (Ren et al., 2025). At the same time, it should also adopt a more comprehensive circular sustainable development model to narrow the gap between its scale and environmental impact (Zhu et al., 2022).</w:t>
      </w:r>
    </w:p>
    <w:p w14:paraId="0F47D875" w14:textId="77777777" w:rsidR="00E73323" w:rsidRPr="00E73323" w:rsidRDefault="00E73323" w:rsidP="00E73323">
      <w:pPr>
        <w:spacing w:line="360" w:lineRule="auto"/>
        <w:rPr>
          <w:rFonts w:ascii="Times New Roman" w:hAnsi="Times New Roman" w:cs="Times New Roman"/>
          <w:sz w:val="24"/>
          <w:szCs w:val="24"/>
        </w:rPr>
      </w:pPr>
    </w:p>
    <w:p w14:paraId="5247B4CE" w14:textId="77777777" w:rsidR="00E73323" w:rsidRPr="00E73323" w:rsidRDefault="00E73323" w:rsidP="00E73323">
      <w:pPr>
        <w:spacing w:line="360" w:lineRule="auto"/>
        <w:rPr>
          <w:rFonts w:ascii="Times New Roman" w:hAnsi="Times New Roman" w:cs="Times New Roman"/>
          <w:sz w:val="24"/>
          <w:szCs w:val="24"/>
        </w:rPr>
      </w:pPr>
      <w:r w:rsidRPr="00E73323">
        <w:rPr>
          <w:rFonts w:ascii="Times New Roman" w:hAnsi="Times New Roman" w:cs="Times New Roman"/>
          <w:sz w:val="24"/>
          <w:szCs w:val="24"/>
        </w:rPr>
        <w:t>In addition, enhancing innovation helps to rebalance its value chain and reduce over-reliance on marketing. And improve the ability to respond to changing consumer preferences. Finally, expansion in emerging markets should focus on locally relevant, health-oriented products, rather than expanding the existing product portfolio.</w:t>
      </w:r>
    </w:p>
    <w:p w14:paraId="23F0146F" w14:textId="77777777" w:rsidR="00E73323" w:rsidRPr="00E73323" w:rsidRDefault="00E73323" w:rsidP="00E73323">
      <w:pPr>
        <w:spacing w:line="360" w:lineRule="auto"/>
        <w:rPr>
          <w:rFonts w:ascii="Times New Roman" w:hAnsi="Times New Roman" w:cs="Times New Roman"/>
          <w:sz w:val="24"/>
          <w:szCs w:val="24"/>
        </w:rPr>
      </w:pPr>
    </w:p>
    <w:p w14:paraId="62338924" w14:textId="4F3F983E" w:rsidR="00C73CCC" w:rsidRDefault="00E73323" w:rsidP="00E73323">
      <w:pPr>
        <w:spacing w:line="360" w:lineRule="auto"/>
        <w:rPr>
          <w:rFonts w:ascii="Times New Roman" w:hAnsi="Times New Roman" w:cs="Times New Roman"/>
          <w:sz w:val="24"/>
          <w:szCs w:val="24"/>
        </w:rPr>
      </w:pPr>
      <w:r w:rsidRPr="00E73323">
        <w:rPr>
          <w:rFonts w:ascii="Times New Roman" w:hAnsi="Times New Roman" w:cs="Times New Roman"/>
          <w:sz w:val="24"/>
          <w:szCs w:val="24"/>
        </w:rPr>
        <w:t>In general, a more fundamental strategic reorganisation is needed, because gradual adaptation is unlikely to maintain long-term competitiveness (Pa</w:t>
      </w:r>
      <w:r>
        <w:rPr>
          <w:rFonts w:ascii="Times New Roman" w:hAnsi="Times New Roman" w:cs="Times New Roman" w:hint="eastAsia"/>
          <w:sz w:val="24"/>
          <w:szCs w:val="24"/>
        </w:rPr>
        <w:t>a</w:t>
      </w:r>
      <w:r w:rsidRPr="00E73323">
        <w:rPr>
          <w:rFonts w:ascii="Times New Roman" w:hAnsi="Times New Roman" w:cs="Times New Roman"/>
          <w:sz w:val="24"/>
          <w:szCs w:val="24"/>
        </w:rPr>
        <w:t xml:space="preserve">vola and </w:t>
      </w:r>
      <w:r>
        <w:rPr>
          <w:rFonts w:ascii="Times New Roman" w:hAnsi="Times New Roman" w:cs="Times New Roman" w:hint="eastAsia"/>
          <w:sz w:val="24"/>
          <w:szCs w:val="24"/>
        </w:rPr>
        <w:t>Cuth</w:t>
      </w:r>
      <w:r w:rsidRPr="00E73323">
        <w:rPr>
          <w:rFonts w:ascii="Times New Roman" w:hAnsi="Times New Roman" w:cs="Times New Roman"/>
          <w:sz w:val="24"/>
          <w:szCs w:val="24"/>
        </w:rPr>
        <w:t>bertson, 2022).</w:t>
      </w:r>
    </w:p>
    <w:p w14:paraId="74117CAC" w14:textId="77777777" w:rsidR="00E73323" w:rsidRPr="00F35F5F" w:rsidRDefault="00E73323" w:rsidP="00E73323">
      <w:pPr>
        <w:spacing w:line="360" w:lineRule="auto"/>
        <w:rPr>
          <w:rFonts w:ascii="Times New Roman" w:hAnsi="Times New Roman" w:cs="Times New Roman"/>
          <w:sz w:val="24"/>
          <w:szCs w:val="24"/>
        </w:rPr>
      </w:pPr>
    </w:p>
    <w:p w14:paraId="57CBA642" w14:textId="432A6A0A" w:rsidR="00AE0E15" w:rsidRPr="00F35F5F" w:rsidRDefault="00AE0E15" w:rsidP="00F35F5F">
      <w:pPr>
        <w:spacing w:line="360" w:lineRule="auto"/>
        <w:outlineLvl w:val="0"/>
        <w:rPr>
          <w:rFonts w:ascii="Times New Roman" w:hAnsi="Times New Roman" w:cs="Times New Roman"/>
          <w:b/>
          <w:bCs/>
          <w:sz w:val="28"/>
          <w:szCs w:val="28"/>
        </w:rPr>
      </w:pPr>
      <w:bookmarkStart w:id="11" w:name="_Toc225465268"/>
      <w:r w:rsidRPr="00F35F5F">
        <w:rPr>
          <w:rFonts w:ascii="Times New Roman" w:hAnsi="Times New Roman" w:cs="Times New Roman"/>
          <w:b/>
          <w:bCs/>
          <w:sz w:val="28"/>
          <w:szCs w:val="28"/>
        </w:rPr>
        <w:t>6.Conclusion</w:t>
      </w:r>
      <w:bookmarkEnd w:id="11"/>
    </w:p>
    <w:p w14:paraId="30CA5D45" w14:textId="77777777" w:rsidR="00AE0E15" w:rsidRPr="00F35F5F" w:rsidRDefault="00AE0E15" w:rsidP="00F35F5F">
      <w:pPr>
        <w:spacing w:line="360" w:lineRule="auto"/>
        <w:rPr>
          <w:rFonts w:ascii="Times New Roman" w:hAnsi="Times New Roman" w:cs="Times New Roman"/>
          <w:sz w:val="24"/>
          <w:szCs w:val="24"/>
        </w:rPr>
      </w:pPr>
    </w:p>
    <w:p w14:paraId="6373CDD3" w14:textId="77777777" w:rsidR="009344C6" w:rsidRPr="009344C6" w:rsidRDefault="009344C6" w:rsidP="009344C6">
      <w:pPr>
        <w:widowControl/>
        <w:spacing w:line="360" w:lineRule="auto"/>
        <w:jc w:val="left"/>
        <w:rPr>
          <w:rFonts w:ascii="Times New Roman" w:hAnsi="Times New Roman" w:cs="Times New Roman"/>
          <w:sz w:val="24"/>
          <w:szCs w:val="24"/>
        </w:rPr>
      </w:pPr>
      <w:r w:rsidRPr="009344C6">
        <w:rPr>
          <w:rFonts w:ascii="Times New Roman" w:hAnsi="Times New Roman" w:cs="Times New Roman"/>
          <w:sz w:val="24"/>
          <w:szCs w:val="24"/>
        </w:rPr>
        <w:t>Coca-Cola is still one of the most well-known trademarks in the world, and its development is due to its strong distribution ability and marketing expertise. However, the external environment is becoming more and more severe, mainly due to health problems, environmental pressures and fierce competition.</w:t>
      </w:r>
    </w:p>
    <w:p w14:paraId="6CAC111C" w14:textId="77777777" w:rsidR="009344C6" w:rsidRPr="009344C6" w:rsidRDefault="009344C6" w:rsidP="009344C6">
      <w:pPr>
        <w:widowControl/>
        <w:spacing w:line="360" w:lineRule="auto"/>
        <w:jc w:val="left"/>
        <w:rPr>
          <w:rFonts w:ascii="Times New Roman" w:hAnsi="Times New Roman" w:cs="Times New Roman"/>
          <w:sz w:val="24"/>
          <w:szCs w:val="24"/>
        </w:rPr>
      </w:pPr>
    </w:p>
    <w:p w14:paraId="201949DF" w14:textId="77777777" w:rsidR="009344C6" w:rsidRPr="009344C6" w:rsidRDefault="009344C6" w:rsidP="009344C6">
      <w:pPr>
        <w:widowControl/>
        <w:spacing w:line="360" w:lineRule="auto"/>
        <w:jc w:val="left"/>
        <w:rPr>
          <w:rFonts w:ascii="Times New Roman" w:hAnsi="Times New Roman" w:cs="Times New Roman"/>
          <w:sz w:val="24"/>
          <w:szCs w:val="24"/>
        </w:rPr>
      </w:pPr>
      <w:r w:rsidRPr="009344C6">
        <w:rPr>
          <w:rFonts w:ascii="Times New Roman" w:hAnsi="Times New Roman" w:cs="Times New Roman"/>
          <w:sz w:val="24"/>
          <w:szCs w:val="24"/>
        </w:rPr>
        <w:t>This analysis highlights the obvious contradiction between Coca-Cola's traditional advantages and changing market expectations. Although the company has taken some adaptation measures through product innovation and sustainable development initiatives, its current practises seem to be mostly gradual.</w:t>
      </w:r>
    </w:p>
    <w:p w14:paraId="0533BCAB" w14:textId="77777777" w:rsidR="009344C6" w:rsidRPr="009344C6" w:rsidRDefault="009344C6" w:rsidP="009344C6">
      <w:pPr>
        <w:widowControl/>
        <w:spacing w:line="360" w:lineRule="auto"/>
        <w:jc w:val="left"/>
        <w:rPr>
          <w:rFonts w:ascii="Times New Roman" w:hAnsi="Times New Roman" w:cs="Times New Roman"/>
          <w:sz w:val="24"/>
          <w:szCs w:val="24"/>
        </w:rPr>
      </w:pPr>
    </w:p>
    <w:p w14:paraId="3E63E4A2" w14:textId="2CD998A1" w:rsidR="0005549E" w:rsidRPr="00F35F5F" w:rsidRDefault="009344C6" w:rsidP="009344C6">
      <w:pPr>
        <w:widowControl/>
        <w:spacing w:line="360" w:lineRule="auto"/>
        <w:jc w:val="left"/>
        <w:rPr>
          <w:rFonts w:ascii="Times New Roman" w:hAnsi="Times New Roman" w:cs="Times New Roman"/>
          <w:sz w:val="24"/>
          <w:szCs w:val="24"/>
        </w:rPr>
      </w:pPr>
      <w:r w:rsidRPr="009344C6">
        <w:rPr>
          <w:rFonts w:ascii="Times New Roman" w:hAnsi="Times New Roman" w:cs="Times New Roman"/>
          <w:sz w:val="24"/>
          <w:szCs w:val="24"/>
        </w:rPr>
        <w:lastRenderedPageBreak/>
        <w:t>In the long run, Coca-Cola's success will depend on whether it can implement more decisive and transformative strategies to adapt to changing consumer preferences and sustainable development requirements.</w:t>
      </w:r>
      <w:r w:rsidR="0005549E" w:rsidRPr="00F35F5F">
        <w:rPr>
          <w:rFonts w:ascii="Times New Roman" w:hAnsi="Times New Roman" w:cs="Times New Roman"/>
          <w:sz w:val="24"/>
          <w:szCs w:val="24"/>
        </w:rPr>
        <w:br w:type="page"/>
      </w:r>
    </w:p>
    <w:p w14:paraId="30645513" w14:textId="02505A65" w:rsidR="00AE0E15" w:rsidRPr="00065577" w:rsidRDefault="0005549E" w:rsidP="0005549E">
      <w:pPr>
        <w:outlineLvl w:val="0"/>
        <w:rPr>
          <w:rFonts w:ascii="Times New Roman" w:hAnsi="Times New Roman" w:cs="Times New Roman"/>
          <w:b/>
          <w:bCs/>
          <w:sz w:val="28"/>
          <w:szCs w:val="28"/>
        </w:rPr>
      </w:pPr>
      <w:bookmarkStart w:id="12" w:name="_Toc225465269"/>
      <w:r w:rsidRPr="00065577">
        <w:rPr>
          <w:rFonts w:ascii="Times New Roman" w:hAnsi="Times New Roman" w:cs="Times New Roman"/>
          <w:b/>
          <w:bCs/>
          <w:sz w:val="28"/>
          <w:szCs w:val="28"/>
        </w:rPr>
        <w:lastRenderedPageBreak/>
        <w:t>Reference</w:t>
      </w:r>
      <w:bookmarkEnd w:id="12"/>
    </w:p>
    <w:p w14:paraId="47342674" w14:textId="77777777" w:rsidR="00EC50FC" w:rsidRPr="00F35F5F" w:rsidRDefault="00EC50FC" w:rsidP="0005549E">
      <w:pPr>
        <w:outlineLvl w:val="0"/>
        <w:rPr>
          <w:rFonts w:ascii="Times New Roman" w:hAnsi="Times New Roman" w:cs="Times New Roman"/>
          <w:sz w:val="28"/>
          <w:szCs w:val="28"/>
        </w:rPr>
      </w:pPr>
    </w:p>
    <w:p w14:paraId="5C814679" w14:textId="77777777" w:rsidR="00065577" w:rsidRPr="00CD78DF" w:rsidRDefault="0005549E" w:rsidP="00065577">
      <w:pPr>
        <w:pStyle w:val="ae"/>
        <w:rPr>
          <w:rFonts w:ascii="Times New Roman" w:hAnsi="Times New Roman" w:cs="Times New Roman"/>
          <w:sz w:val="24"/>
          <w:szCs w:val="24"/>
        </w:rPr>
      </w:pPr>
      <w:r w:rsidRPr="00CD78DF">
        <w:rPr>
          <w:rFonts w:ascii="Times New Roman" w:hAnsi="Times New Roman" w:cs="Times New Roman"/>
          <w:sz w:val="24"/>
          <w:szCs w:val="24"/>
        </w:rPr>
        <w:fldChar w:fldCharType="begin"/>
      </w:r>
      <w:r w:rsidR="00065577" w:rsidRPr="00CD78DF">
        <w:rPr>
          <w:rFonts w:ascii="Times New Roman" w:hAnsi="Times New Roman" w:cs="Times New Roman"/>
          <w:sz w:val="24"/>
          <w:szCs w:val="24"/>
        </w:rPr>
        <w:instrText xml:space="preserve"> ADDIN ZOTERO_BIBL {"uncited":[],"omitted":[],"custom":[]} CSL_BIBLIOGRAPHY </w:instrText>
      </w:r>
      <w:r w:rsidRPr="00CD78DF">
        <w:rPr>
          <w:rFonts w:ascii="Times New Roman" w:hAnsi="Times New Roman" w:cs="Times New Roman"/>
          <w:sz w:val="24"/>
          <w:szCs w:val="24"/>
        </w:rPr>
        <w:fldChar w:fldCharType="separate"/>
      </w:r>
      <w:r w:rsidR="00065577" w:rsidRPr="00CD78DF">
        <w:rPr>
          <w:rFonts w:ascii="Times New Roman" w:hAnsi="Times New Roman" w:cs="Times New Roman"/>
          <w:sz w:val="24"/>
          <w:szCs w:val="24"/>
        </w:rPr>
        <w:t xml:space="preserve">Adıgüzel, H. and Ergen, A. (2025) ‘Corporate Sustainability Reporting and Its Influence on Brand Value: A Sectoral Analysis of Top Brands in an Emerging Market’, </w:t>
      </w:r>
      <w:r w:rsidR="00065577" w:rsidRPr="00CD78DF">
        <w:rPr>
          <w:rFonts w:ascii="Times New Roman" w:hAnsi="Times New Roman" w:cs="Times New Roman"/>
          <w:i/>
          <w:iCs/>
          <w:sz w:val="24"/>
          <w:szCs w:val="24"/>
        </w:rPr>
        <w:t>Sustainability</w:t>
      </w:r>
      <w:r w:rsidR="00065577" w:rsidRPr="00CD78DF">
        <w:rPr>
          <w:rFonts w:ascii="Times New Roman" w:hAnsi="Times New Roman" w:cs="Times New Roman"/>
          <w:sz w:val="24"/>
          <w:szCs w:val="24"/>
        </w:rPr>
        <w:t>, 17(22), p. 10108.</w:t>
      </w:r>
    </w:p>
    <w:p w14:paraId="66797509"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Arijeniwa, V.F. </w:t>
      </w:r>
      <w:r w:rsidRPr="00CD78DF">
        <w:rPr>
          <w:rFonts w:ascii="Times New Roman" w:hAnsi="Times New Roman" w:cs="Times New Roman"/>
          <w:i/>
          <w:iCs/>
          <w:sz w:val="24"/>
          <w:szCs w:val="24"/>
        </w:rPr>
        <w:t>et al.</w:t>
      </w:r>
      <w:r w:rsidRPr="00CD78DF">
        <w:rPr>
          <w:rFonts w:ascii="Times New Roman" w:hAnsi="Times New Roman" w:cs="Times New Roman"/>
          <w:sz w:val="24"/>
          <w:szCs w:val="24"/>
        </w:rPr>
        <w:t xml:space="preserve"> (2024) ‘Closing the loop: A framework for tackling single-use plastic waste in the food and beverage industry through circular economy- a review’, </w:t>
      </w:r>
      <w:r w:rsidRPr="00CD78DF">
        <w:rPr>
          <w:rFonts w:ascii="Times New Roman" w:hAnsi="Times New Roman" w:cs="Times New Roman"/>
          <w:i/>
          <w:iCs/>
          <w:sz w:val="24"/>
          <w:szCs w:val="24"/>
        </w:rPr>
        <w:t>Journal of Environmental Management</w:t>
      </w:r>
      <w:r w:rsidRPr="00CD78DF">
        <w:rPr>
          <w:rFonts w:ascii="Times New Roman" w:hAnsi="Times New Roman" w:cs="Times New Roman"/>
          <w:sz w:val="24"/>
          <w:szCs w:val="24"/>
        </w:rPr>
        <w:t>, 359, p. 120816. Available at: https://doi.org/10.1016/j.jenvman.2024.120816.</w:t>
      </w:r>
    </w:p>
    <w:p w14:paraId="5C8BB562"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Camuffo, A., Gambardella, A. and Kazemi, S. (2025) ‘Internal initial conditions and path dependence: an experimental and AI-synthetic study of theories and awareness of unknown events’, </w:t>
      </w:r>
      <w:r w:rsidRPr="00CD78DF">
        <w:rPr>
          <w:rFonts w:ascii="Times New Roman" w:hAnsi="Times New Roman" w:cs="Times New Roman"/>
          <w:i/>
          <w:iCs/>
          <w:sz w:val="24"/>
          <w:szCs w:val="24"/>
        </w:rPr>
        <w:t>Industrial and Corporate Change</w:t>
      </w:r>
      <w:r w:rsidRPr="00CD78DF">
        <w:rPr>
          <w:rFonts w:ascii="Times New Roman" w:hAnsi="Times New Roman" w:cs="Times New Roman"/>
          <w:sz w:val="24"/>
          <w:szCs w:val="24"/>
        </w:rPr>
        <w:t>, 34(6), pp. 1280–1308.</w:t>
      </w:r>
    </w:p>
    <w:p w14:paraId="76BA45A4"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Chaudhuri, N., Gupta, G. and Sharma, S.K. (2024) ‘Outpacing choices: Examining dynamic consumer preferences across multi-generational information-intensive digital products’, </w:t>
      </w:r>
      <w:r w:rsidRPr="00CD78DF">
        <w:rPr>
          <w:rFonts w:ascii="Times New Roman" w:hAnsi="Times New Roman" w:cs="Times New Roman"/>
          <w:i/>
          <w:iCs/>
          <w:sz w:val="24"/>
          <w:szCs w:val="24"/>
        </w:rPr>
        <w:t>International Journal of Information Management</w:t>
      </w:r>
      <w:r w:rsidRPr="00CD78DF">
        <w:rPr>
          <w:rFonts w:ascii="Times New Roman" w:hAnsi="Times New Roman" w:cs="Times New Roman"/>
          <w:sz w:val="24"/>
          <w:szCs w:val="24"/>
        </w:rPr>
        <w:t>, 77, p. 102784.</w:t>
      </w:r>
    </w:p>
    <w:p w14:paraId="630EAAFF"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Chen, K. (2026) ‘From VRIN to Velocity: Integrating Resource-Based View and Dynamic Capabilities for Competitive Advantage in AI-Accelerated Markets’, </w:t>
      </w:r>
      <w:r w:rsidRPr="00CD78DF">
        <w:rPr>
          <w:rFonts w:ascii="Times New Roman" w:hAnsi="Times New Roman" w:cs="Times New Roman"/>
          <w:i/>
          <w:iCs/>
          <w:sz w:val="24"/>
          <w:szCs w:val="24"/>
        </w:rPr>
        <w:t>International Theory and Practice in Humanities and Social Sciences</w:t>
      </w:r>
      <w:r w:rsidRPr="00CD78DF">
        <w:rPr>
          <w:rFonts w:ascii="Times New Roman" w:hAnsi="Times New Roman" w:cs="Times New Roman"/>
          <w:sz w:val="24"/>
          <w:szCs w:val="24"/>
        </w:rPr>
        <w:t>, 3(1), pp. 72–89.</w:t>
      </w:r>
    </w:p>
    <w:p w14:paraId="44C2F3BE"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Chernev, A. (2025) </w:t>
      </w:r>
      <w:r w:rsidRPr="00CD78DF">
        <w:rPr>
          <w:rFonts w:ascii="Times New Roman" w:hAnsi="Times New Roman" w:cs="Times New Roman"/>
          <w:i/>
          <w:iCs/>
          <w:sz w:val="24"/>
          <w:szCs w:val="24"/>
        </w:rPr>
        <w:t>Strategic brand management</w:t>
      </w:r>
      <w:r w:rsidRPr="00CD78DF">
        <w:rPr>
          <w:rFonts w:ascii="Times New Roman" w:hAnsi="Times New Roman" w:cs="Times New Roman"/>
          <w:sz w:val="24"/>
          <w:szCs w:val="24"/>
        </w:rPr>
        <w:t>. cerebellum press.</w:t>
      </w:r>
    </w:p>
    <w:p w14:paraId="060DAA93"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Christine, A.F. </w:t>
      </w:r>
      <w:r w:rsidRPr="00CD78DF">
        <w:rPr>
          <w:rFonts w:ascii="Times New Roman" w:hAnsi="Times New Roman" w:cs="Times New Roman"/>
          <w:i/>
          <w:iCs/>
          <w:sz w:val="24"/>
          <w:szCs w:val="24"/>
        </w:rPr>
        <w:t>et al.</w:t>
      </w:r>
      <w:r w:rsidRPr="00CD78DF">
        <w:rPr>
          <w:rFonts w:ascii="Times New Roman" w:hAnsi="Times New Roman" w:cs="Times New Roman"/>
          <w:sz w:val="24"/>
          <w:szCs w:val="24"/>
        </w:rPr>
        <w:t xml:space="preserve"> (2025) ‘Environmental, social, and governance (ESG) impact on corporate financial strategy of energy and utilities companies worldwide’, </w:t>
      </w:r>
      <w:r w:rsidRPr="00CD78DF">
        <w:rPr>
          <w:rFonts w:ascii="Times New Roman" w:hAnsi="Times New Roman" w:cs="Times New Roman"/>
          <w:i/>
          <w:iCs/>
          <w:sz w:val="24"/>
          <w:szCs w:val="24"/>
        </w:rPr>
        <w:t>Energy Strategy Reviews</w:t>
      </w:r>
      <w:r w:rsidRPr="00CD78DF">
        <w:rPr>
          <w:rFonts w:ascii="Times New Roman" w:hAnsi="Times New Roman" w:cs="Times New Roman"/>
          <w:sz w:val="24"/>
          <w:szCs w:val="24"/>
        </w:rPr>
        <w:t>, 62, p. 101916. Available at: https://doi.org/10.1016/j.esr.2025.101916.</w:t>
      </w:r>
    </w:p>
    <w:p w14:paraId="5555881E"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Chu, B. (2020) ‘Analysis on the success of Coca-Cola marketing strategy’. </w:t>
      </w:r>
      <w:r w:rsidRPr="00CD78DF">
        <w:rPr>
          <w:rFonts w:ascii="Times New Roman" w:hAnsi="Times New Roman" w:cs="Times New Roman"/>
          <w:i/>
          <w:iCs/>
          <w:sz w:val="24"/>
          <w:szCs w:val="24"/>
        </w:rPr>
        <w:t>2020 2nd International Conference on Economic Management and Cultural Industry (ICEMCI 2020)</w:t>
      </w:r>
      <w:r w:rsidRPr="00CD78DF">
        <w:rPr>
          <w:rFonts w:ascii="Times New Roman" w:hAnsi="Times New Roman" w:cs="Times New Roman"/>
          <w:sz w:val="24"/>
          <w:szCs w:val="24"/>
        </w:rPr>
        <w:t>, Atlantis Press, pp. 96–100.</w:t>
      </w:r>
    </w:p>
    <w:p w14:paraId="4D53C203"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Cobiac, Linda J. </w:t>
      </w:r>
      <w:r w:rsidRPr="00CD78DF">
        <w:rPr>
          <w:rFonts w:ascii="Times New Roman" w:hAnsi="Times New Roman" w:cs="Times New Roman"/>
          <w:i/>
          <w:iCs/>
          <w:sz w:val="24"/>
          <w:szCs w:val="24"/>
        </w:rPr>
        <w:t>et al.</w:t>
      </w:r>
      <w:r w:rsidRPr="00CD78DF">
        <w:rPr>
          <w:rFonts w:ascii="Times New Roman" w:hAnsi="Times New Roman" w:cs="Times New Roman"/>
          <w:sz w:val="24"/>
          <w:szCs w:val="24"/>
        </w:rPr>
        <w:t xml:space="preserve"> (2024) ‘Impact of the UK soft drinks industry levy on health and health inequalities in children and adolescents in England: An interrupted time series analysis and population health modelling study’, </w:t>
      </w:r>
      <w:r w:rsidRPr="00CD78DF">
        <w:rPr>
          <w:rFonts w:ascii="Times New Roman" w:hAnsi="Times New Roman" w:cs="Times New Roman"/>
          <w:i/>
          <w:iCs/>
          <w:sz w:val="24"/>
          <w:szCs w:val="24"/>
        </w:rPr>
        <w:t>PLOS Medicine</w:t>
      </w:r>
      <w:r w:rsidRPr="00CD78DF">
        <w:rPr>
          <w:rFonts w:ascii="Times New Roman" w:hAnsi="Times New Roman" w:cs="Times New Roman"/>
          <w:sz w:val="24"/>
          <w:szCs w:val="24"/>
        </w:rPr>
        <w:t>, 21(3), p. e1004371. Available at: https://doi.org/10.1371/journal.pmed.1004371.</w:t>
      </w:r>
    </w:p>
    <w:p w14:paraId="2146C223"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Cobiac, Linda J </w:t>
      </w:r>
      <w:r w:rsidRPr="00CD78DF">
        <w:rPr>
          <w:rFonts w:ascii="Times New Roman" w:hAnsi="Times New Roman" w:cs="Times New Roman"/>
          <w:i/>
          <w:iCs/>
          <w:sz w:val="24"/>
          <w:szCs w:val="24"/>
        </w:rPr>
        <w:t>et al.</w:t>
      </w:r>
      <w:r w:rsidRPr="00CD78DF">
        <w:rPr>
          <w:rFonts w:ascii="Times New Roman" w:hAnsi="Times New Roman" w:cs="Times New Roman"/>
          <w:sz w:val="24"/>
          <w:szCs w:val="24"/>
        </w:rPr>
        <w:t xml:space="preserve"> (2024) ‘Impact of the UK soft drinks industry levy on health and health inequalities in children and adolescents in England: An interrupted time series analysis and population health modelling study’, </w:t>
      </w:r>
      <w:r w:rsidRPr="00CD78DF">
        <w:rPr>
          <w:rFonts w:ascii="Times New Roman" w:hAnsi="Times New Roman" w:cs="Times New Roman"/>
          <w:i/>
          <w:iCs/>
          <w:sz w:val="24"/>
          <w:szCs w:val="24"/>
        </w:rPr>
        <w:t>PLoS medicine</w:t>
      </w:r>
      <w:r w:rsidRPr="00CD78DF">
        <w:rPr>
          <w:rFonts w:ascii="Times New Roman" w:hAnsi="Times New Roman" w:cs="Times New Roman"/>
          <w:sz w:val="24"/>
          <w:szCs w:val="24"/>
        </w:rPr>
        <w:t>, 21(3), p. e1004371.</w:t>
      </w:r>
    </w:p>
    <w:p w14:paraId="32927269"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Cowger, W. </w:t>
      </w:r>
      <w:r w:rsidRPr="00CD78DF">
        <w:rPr>
          <w:rFonts w:ascii="Times New Roman" w:hAnsi="Times New Roman" w:cs="Times New Roman"/>
          <w:i/>
          <w:iCs/>
          <w:sz w:val="24"/>
          <w:szCs w:val="24"/>
        </w:rPr>
        <w:t>et al.</w:t>
      </w:r>
      <w:r w:rsidRPr="00CD78DF">
        <w:rPr>
          <w:rFonts w:ascii="Times New Roman" w:hAnsi="Times New Roman" w:cs="Times New Roman"/>
          <w:sz w:val="24"/>
          <w:szCs w:val="24"/>
        </w:rPr>
        <w:t xml:space="preserve"> (2024) ‘Global producer responsibility for plastic pollution’, </w:t>
      </w:r>
      <w:r w:rsidRPr="00CD78DF">
        <w:rPr>
          <w:rFonts w:ascii="Times New Roman" w:hAnsi="Times New Roman" w:cs="Times New Roman"/>
          <w:i/>
          <w:iCs/>
          <w:sz w:val="24"/>
          <w:szCs w:val="24"/>
        </w:rPr>
        <w:t>Science advances</w:t>
      </w:r>
      <w:r w:rsidRPr="00CD78DF">
        <w:rPr>
          <w:rFonts w:ascii="Times New Roman" w:hAnsi="Times New Roman" w:cs="Times New Roman"/>
          <w:sz w:val="24"/>
          <w:szCs w:val="24"/>
        </w:rPr>
        <w:t>, 10(17), p. eadj8275.</w:t>
      </w:r>
    </w:p>
    <w:p w14:paraId="373BFABD"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lastRenderedPageBreak/>
        <w:t>Eichhorn, J. (2025) ‘From soda to coffee: analyzing Coca-Cola’s acquisition of Costa coffee’.</w:t>
      </w:r>
    </w:p>
    <w:p w14:paraId="7346C156" w14:textId="25404549" w:rsidR="00065577" w:rsidRPr="00CD78DF" w:rsidRDefault="00065577" w:rsidP="00065577">
      <w:pPr>
        <w:rPr>
          <w:rFonts w:ascii="Times New Roman" w:hAnsi="Times New Roman" w:cs="Times New Roman"/>
          <w:sz w:val="24"/>
          <w:szCs w:val="24"/>
        </w:rPr>
      </w:pPr>
      <w:r w:rsidRPr="00CD78DF">
        <w:rPr>
          <w:rFonts w:ascii="Times New Roman" w:hAnsi="Times New Roman" w:cs="Times New Roman"/>
          <w:sz w:val="24"/>
          <w:szCs w:val="24"/>
        </w:rPr>
        <w:t>FoodNavigator (2024) PepsiCo expands healthy portfolio and ramps up innovation. Available at: https://www.foodnavigator-asia.com</w:t>
      </w:r>
    </w:p>
    <w:p w14:paraId="27BAAEC0" w14:textId="77777777" w:rsidR="00065577" w:rsidRPr="00CD78DF" w:rsidRDefault="00065577" w:rsidP="00065577">
      <w:pPr>
        <w:rPr>
          <w:rFonts w:ascii="Times New Roman" w:hAnsi="Times New Roman" w:cs="Times New Roman"/>
          <w:sz w:val="24"/>
          <w:szCs w:val="24"/>
        </w:rPr>
      </w:pPr>
    </w:p>
    <w:p w14:paraId="48089EA9" w14:textId="661287D7" w:rsidR="00CD78DF" w:rsidRPr="00CD78DF" w:rsidRDefault="00CD78DF" w:rsidP="00065577">
      <w:pPr>
        <w:rPr>
          <w:rFonts w:ascii="Times New Roman" w:hAnsi="Times New Roman" w:cs="Times New Roman"/>
          <w:sz w:val="24"/>
          <w:szCs w:val="24"/>
        </w:rPr>
      </w:pPr>
      <w:r w:rsidRPr="00CD78DF">
        <w:rPr>
          <w:rFonts w:ascii="Times New Roman" w:hAnsi="Times New Roman" w:cs="Times New Roman"/>
          <w:sz w:val="24"/>
          <w:szCs w:val="24"/>
        </w:rPr>
        <w:t>FMCG Gurus (2025) Beverages: 3 trends to watch in 2025. Available at: Beverages: 3 Trends to Watch in 2025</w:t>
      </w:r>
    </w:p>
    <w:p w14:paraId="394F9EED" w14:textId="77777777" w:rsidR="00CD78DF" w:rsidRPr="00CD78DF" w:rsidRDefault="00CD78DF" w:rsidP="00065577">
      <w:pPr>
        <w:rPr>
          <w:rFonts w:ascii="Times New Roman" w:hAnsi="Times New Roman" w:cs="Times New Roman"/>
          <w:sz w:val="24"/>
          <w:szCs w:val="24"/>
        </w:rPr>
      </w:pPr>
    </w:p>
    <w:p w14:paraId="130F0146"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Guo, X. and Wen, M. (2021) ‘Research on competitive strategy of Coca-Cola company’. </w:t>
      </w:r>
      <w:r w:rsidRPr="00CD78DF">
        <w:rPr>
          <w:rFonts w:ascii="Times New Roman" w:hAnsi="Times New Roman" w:cs="Times New Roman"/>
          <w:i/>
          <w:iCs/>
          <w:sz w:val="24"/>
          <w:szCs w:val="24"/>
        </w:rPr>
        <w:t>2021 3rd International Conference on Economic Management and Cultural Industry (ICEMCI 2021)</w:t>
      </w:r>
      <w:r w:rsidRPr="00CD78DF">
        <w:rPr>
          <w:rFonts w:ascii="Times New Roman" w:hAnsi="Times New Roman" w:cs="Times New Roman"/>
          <w:sz w:val="24"/>
          <w:szCs w:val="24"/>
        </w:rPr>
        <w:t>, Atlantis Press, pp. 2879–2885.</w:t>
      </w:r>
    </w:p>
    <w:p w14:paraId="41B0A163"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Hajiheydari, N. </w:t>
      </w:r>
      <w:r w:rsidRPr="00CD78DF">
        <w:rPr>
          <w:rFonts w:ascii="Times New Roman" w:hAnsi="Times New Roman" w:cs="Times New Roman"/>
          <w:i/>
          <w:iCs/>
          <w:sz w:val="24"/>
          <w:szCs w:val="24"/>
        </w:rPr>
        <w:t>et al.</w:t>
      </w:r>
      <w:r w:rsidRPr="00CD78DF">
        <w:rPr>
          <w:rFonts w:ascii="Times New Roman" w:hAnsi="Times New Roman" w:cs="Times New Roman"/>
          <w:sz w:val="24"/>
          <w:szCs w:val="24"/>
        </w:rPr>
        <w:t xml:space="preserve"> (2023) ‘Digital sustainable business model innovation: Applying dynamic capabilities approach (DSBMI-DC)’, </w:t>
      </w:r>
      <w:r w:rsidRPr="00CD78DF">
        <w:rPr>
          <w:rFonts w:ascii="Times New Roman" w:hAnsi="Times New Roman" w:cs="Times New Roman"/>
          <w:i/>
          <w:iCs/>
          <w:sz w:val="24"/>
          <w:szCs w:val="24"/>
        </w:rPr>
        <w:t>foresight</w:t>
      </w:r>
      <w:r w:rsidRPr="00CD78DF">
        <w:rPr>
          <w:rFonts w:ascii="Times New Roman" w:hAnsi="Times New Roman" w:cs="Times New Roman"/>
          <w:sz w:val="24"/>
          <w:szCs w:val="24"/>
        </w:rPr>
        <w:t>, 25(3), pp. 420–447.</w:t>
      </w:r>
    </w:p>
    <w:p w14:paraId="302C2D54"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Hamdi, M. (2024) ‘Sustainable packaging trends in the consumer packaged goods market’.</w:t>
      </w:r>
    </w:p>
    <w:p w14:paraId="29D3CB9B"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Islami, X., Mustafa, N. and Topuzovska Latkovikj, M. (2020) ‘Linking Porter’s generic strategies to firm performance’, </w:t>
      </w:r>
      <w:r w:rsidRPr="00CD78DF">
        <w:rPr>
          <w:rFonts w:ascii="Times New Roman" w:hAnsi="Times New Roman" w:cs="Times New Roman"/>
          <w:i/>
          <w:iCs/>
          <w:sz w:val="24"/>
          <w:szCs w:val="24"/>
        </w:rPr>
        <w:t>Future Business Journal</w:t>
      </w:r>
      <w:r w:rsidRPr="00CD78DF">
        <w:rPr>
          <w:rFonts w:ascii="Times New Roman" w:hAnsi="Times New Roman" w:cs="Times New Roman"/>
          <w:sz w:val="24"/>
          <w:szCs w:val="24"/>
        </w:rPr>
        <w:t>, 6(1), p. 3.</w:t>
      </w:r>
    </w:p>
    <w:p w14:paraId="7F9D8FCE" w14:textId="11D49065" w:rsidR="00CD78DF" w:rsidRPr="00CD78DF" w:rsidRDefault="00CD78DF" w:rsidP="00CD78DF">
      <w:pPr>
        <w:rPr>
          <w:rFonts w:ascii="Times New Roman" w:hAnsi="Times New Roman" w:cs="Times New Roman"/>
          <w:sz w:val="24"/>
          <w:szCs w:val="24"/>
        </w:rPr>
      </w:pPr>
      <w:r w:rsidRPr="00CD78DF">
        <w:rPr>
          <w:rFonts w:ascii="Times New Roman" w:hAnsi="Times New Roman" w:cs="Times New Roman"/>
          <w:sz w:val="24"/>
          <w:szCs w:val="24"/>
        </w:rPr>
        <w:t>Innova Market Insights (2023) Carbonated soft drinks trends in the US. Available at: https://www.innovamarketinsights.com</w:t>
      </w:r>
    </w:p>
    <w:p w14:paraId="72ECDF84" w14:textId="77777777" w:rsidR="00CD78DF" w:rsidRPr="00CD78DF" w:rsidRDefault="00CD78DF" w:rsidP="00CD78DF">
      <w:pPr>
        <w:rPr>
          <w:rFonts w:ascii="Times New Roman" w:hAnsi="Times New Roman" w:cs="Times New Roman"/>
          <w:sz w:val="24"/>
          <w:szCs w:val="24"/>
        </w:rPr>
      </w:pPr>
    </w:p>
    <w:p w14:paraId="3D36B5DA"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Joseph, J., Sivakumaran, B. and Mathew, S. (2020) ‘Does loyalty matter? Impact of brand loyalty and sales promotion on brand equity’, </w:t>
      </w:r>
      <w:r w:rsidRPr="00CD78DF">
        <w:rPr>
          <w:rFonts w:ascii="Times New Roman" w:hAnsi="Times New Roman" w:cs="Times New Roman"/>
          <w:i/>
          <w:iCs/>
          <w:sz w:val="24"/>
          <w:szCs w:val="24"/>
        </w:rPr>
        <w:t>Journal of Promotion Management</w:t>
      </w:r>
      <w:r w:rsidRPr="00CD78DF">
        <w:rPr>
          <w:rFonts w:ascii="Times New Roman" w:hAnsi="Times New Roman" w:cs="Times New Roman"/>
          <w:sz w:val="24"/>
          <w:szCs w:val="24"/>
        </w:rPr>
        <w:t>, 26(4), pp. 524–543.</w:t>
      </w:r>
    </w:p>
    <w:p w14:paraId="76EB3D0A"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Kayed, M. </w:t>
      </w:r>
      <w:r w:rsidRPr="00CD78DF">
        <w:rPr>
          <w:rFonts w:ascii="Times New Roman" w:hAnsi="Times New Roman" w:cs="Times New Roman"/>
          <w:i/>
          <w:iCs/>
          <w:sz w:val="24"/>
          <w:szCs w:val="24"/>
        </w:rPr>
        <w:t>et al.</w:t>
      </w:r>
      <w:r w:rsidRPr="00CD78DF">
        <w:rPr>
          <w:rFonts w:ascii="Times New Roman" w:hAnsi="Times New Roman" w:cs="Times New Roman"/>
          <w:sz w:val="24"/>
          <w:szCs w:val="24"/>
        </w:rPr>
        <w:t xml:space="preserve"> (2025) ‘The impact of brand equity on vertical integration in franchise systems’, </w:t>
      </w:r>
      <w:r w:rsidRPr="00CD78DF">
        <w:rPr>
          <w:rFonts w:ascii="Times New Roman" w:hAnsi="Times New Roman" w:cs="Times New Roman"/>
          <w:i/>
          <w:iCs/>
          <w:sz w:val="24"/>
          <w:szCs w:val="24"/>
        </w:rPr>
        <w:t>Journal of Retailing</w:t>
      </w:r>
      <w:r w:rsidRPr="00CD78DF">
        <w:rPr>
          <w:rFonts w:ascii="Times New Roman" w:hAnsi="Times New Roman" w:cs="Times New Roman"/>
          <w:sz w:val="24"/>
          <w:szCs w:val="24"/>
        </w:rPr>
        <w:t>, 101(2), pp. 197–216.</w:t>
      </w:r>
    </w:p>
    <w:p w14:paraId="3991A876"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Lara-Castor, L. </w:t>
      </w:r>
      <w:r w:rsidRPr="00CD78DF">
        <w:rPr>
          <w:rFonts w:ascii="Times New Roman" w:hAnsi="Times New Roman" w:cs="Times New Roman"/>
          <w:i/>
          <w:iCs/>
          <w:sz w:val="24"/>
          <w:szCs w:val="24"/>
        </w:rPr>
        <w:t>et al.</w:t>
      </w:r>
      <w:r w:rsidRPr="00CD78DF">
        <w:rPr>
          <w:rFonts w:ascii="Times New Roman" w:hAnsi="Times New Roman" w:cs="Times New Roman"/>
          <w:sz w:val="24"/>
          <w:szCs w:val="24"/>
        </w:rPr>
        <w:t xml:space="preserve"> (2025) ‘Burdens of type 2 diabetes and cardiovascular disease attributable to sugar-sweetened beverages in 184 countries’, </w:t>
      </w:r>
      <w:r w:rsidRPr="00CD78DF">
        <w:rPr>
          <w:rFonts w:ascii="Times New Roman" w:hAnsi="Times New Roman" w:cs="Times New Roman"/>
          <w:i/>
          <w:iCs/>
          <w:sz w:val="24"/>
          <w:szCs w:val="24"/>
        </w:rPr>
        <w:t>Nature medicine</w:t>
      </w:r>
      <w:r w:rsidRPr="00CD78DF">
        <w:rPr>
          <w:rFonts w:ascii="Times New Roman" w:hAnsi="Times New Roman" w:cs="Times New Roman"/>
          <w:sz w:val="24"/>
          <w:szCs w:val="24"/>
        </w:rPr>
        <w:t>, 31(2), pp. 552–564.</w:t>
      </w:r>
    </w:p>
    <w:p w14:paraId="23F88C36"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Lau, C.C. and Wong, C.W. (2024) ‘Achieving sustainable development with sustainable packaging: A natural‐resource‐based view perspective’, </w:t>
      </w:r>
      <w:r w:rsidRPr="00CD78DF">
        <w:rPr>
          <w:rFonts w:ascii="Times New Roman" w:hAnsi="Times New Roman" w:cs="Times New Roman"/>
          <w:i/>
          <w:iCs/>
          <w:sz w:val="24"/>
          <w:szCs w:val="24"/>
        </w:rPr>
        <w:t>Business Strategy and the Environment</w:t>
      </w:r>
      <w:r w:rsidRPr="00CD78DF">
        <w:rPr>
          <w:rFonts w:ascii="Times New Roman" w:hAnsi="Times New Roman" w:cs="Times New Roman"/>
          <w:sz w:val="24"/>
          <w:szCs w:val="24"/>
        </w:rPr>
        <w:t>, 33(5), pp. 4766–4787.</w:t>
      </w:r>
    </w:p>
    <w:p w14:paraId="1127C930"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Le, J. (2023) ‘Analysis of Coca-Cola’s Marketing Strategy’, </w:t>
      </w:r>
      <w:r w:rsidRPr="00CD78DF">
        <w:rPr>
          <w:rFonts w:ascii="Times New Roman" w:hAnsi="Times New Roman" w:cs="Times New Roman"/>
          <w:i/>
          <w:iCs/>
          <w:sz w:val="24"/>
          <w:szCs w:val="24"/>
        </w:rPr>
        <w:t>Advances in Economics, Management and Political Sciences</w:t>
      </w:r>
      <w:r w:rsidRPr="00CD78DF">
        <w:rPr>
          <w:rFonts w:ascii="Times New Roman" w:hAnsi="Times New Roman" w:cs="Times New Roman"/>
          <w:sz w:val="24"/>
          <w:szCs w:val="24"/>
        </w:rPr>
        <w:t>, 21(1), pp. 263–268. Available at: https://doi.org/10.54254/2754-1169/21/20230261.</w:t>
      </w:r>
    </w:p>
    <w:p w14:paraId="3E5DFA8C"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Lin, Z. (2022) ‘Reasons and analysis of Coca-Cola’s greenwashing’, </w:t>
      </w:r>
      <w:r w:rsidRPr="00CD78DF">
        <w:rPr>
          <w:rFonts w:ascii="Times New Roman" w:hAnsi="Times New Roman" w:cs="Times New Roman"/>
          <w:i/>
          <w:iCs/>
          <w:sz w:val="24"/>
          <w:szCs w:val="24"/>
        </w:rPr>
        <w:t>BCP Business &amp; Management</w:t>
      </w:r>
      <w:r w:rsidRPr="00CD78DF">
        <w:rPr>
          <w:rFonts w:ascii="Times New Roman" w:hAnsi="Times New Roman" w:cs="Times New Roman"/>
          <w:sz w:val="24"/>
          <w:szCs w:val="24"/>
        </w:rPr>
        <w:t>, 33, pp. 23–28. Available at: https://doi.org/10.54691/bcpbm.v33i.2714.</w:t>
      </w:r>
    </w:p>
    <w:p w14:paraId="3661AAF8"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lastRenderedPageBreak/>
        <w:t xml:space="preserve">Monson, F.K.S. (2024) ‘Unveiling the strategic resource dimension: a bibliometric and systematic review of the resource-based view and its application to corporate governance’, </w:t>
      </w:r>
      <w:r w:rsidRPr="00CD78DF">
        <w:rPr>
          <w:rFonts w:ascii="Times New Roman" w:hAnsi="Times New Roman" w:cs="Times New Roman"/>
          <w:i/>
          <w:iCs/>
          <w:sz w:val="24"/>
          <w:szCs w:val="24"/>
        </w:rPr>
        <w:t>The Journal of High Technology Management Research</w:t>
      </w:r>
      <w:r w:rsidRPr="00CD78DF">
        <w:rPr>
          <w:rFonts w:ascii="Times New Roman" w:hAnsi="Times New Roman" w:cs="Times New Roman"/>
          <w:sz w:val="24"/>
          <w:szCs w:val="24"/>
        </w:rPr>
        <w:t>, 35(2), p. 100516.</w:t>
      </w:r>
    </w:p>
    <w:p w14:paraId="5DE7EDBB" w14:textId="77777777" w:rsidR="00CD78DF" w:rsidRPr="00CD78DF" w:rsidRDefault="00CD78DF" w:rsidP="00CD78DF">
      <w:pPr>
        <w:rPr>
          <w:rFonts w:ascii="Times New Roman" w:hAnsi="Times New Roman" w:cs="Times New Roman"/>
          <w:sz w:val="24"/>
          <w:szCs w:val="24"/>
        </w:rPr>
      </w:pPr>
    </w:p>
    <w:p w14:paraId="7C101D18" w14:textId="5B615641" w:rsidR="00065577" w:rsidRPr="00CD78DF" w:rsidRDefault="00065577" w:rsidP="00065577">
      <w:pPr>
        <w:rPr>
          <w:rFonts w:ascii="Times New Roman" w:hAnsi="Times New Roman" w:cs="Times New Roman"/>
          <w:sz w:val="24"/>
          <w:szCs w:val="24"/>
        </w:rPr>
      </w:pPr>
      <w:r w:rsidRPr="00CD78DF">
        <w:rPr>
          <w:rFonts w:ascii="Times New Roman" w:hAnsi="Times New Roman" w:cs="Times New Roman"/>
          <w:sz w:val="24"/>
          <w:szCs w:val="24"/>
        </w:rPr>
        <w:t>Mintel (2024) UK carbonated soft drinks market report. Available at: https://store.mintel.com</w:t>
      </w:r>
    </w:p>
    <w:p w14:paraId="502A1C36" w14:textId="77777777" w:rsidR="00CD78DF" w:rsidRPr="00CD78DF" w:rsidRDefault="00CD78DF" w:rsidP="00065577">
      <w:pPr>
        <w:rPr>
          <w:rFonts w:ascii="Times New Roman" w:hAnsi="Times New Roman" w:cs="Times New Roman"/>
          <w:sz w:val="24"/>
          <w:szCs w:val="24"/>
        </w:rPr>
      </w:pPr>
    </w:p>
    <w:p w14:paraId="78BA88FE" w14:textId="013DEB01" w:rsidR="00CD78DF" w:rsidRPr="00CD78DF" w:rsidRDefault="00CD78DF" w:rsidP="00065577">
      <w:pPr>
        <w:rPr>
          <w:rFonts w:ascii="Times New Roman" w:hAnsi="Times New Roman" w:cs="Times New Roman"/>
          <w:sz w:val="24"/>
          <w:szCs w:val="24"/>
        </w:rPr>
      </w:pPr>
      <w:r w:rsidRPr="00CD78DF">
        <w:rPr>
          <w:rFonts w:ascii="Times New Roman" w:hAnsi="Times New Roman" w:cs="Times New Roman"/>
          <w:sz w:val="24"/>
          <w:szCs w:val="24"/>
        </w:rPr>
        <w:t>McKinsey &amp; Company (2025) State of the Consumer 2025. Available at: https://www.mckinsey.com</w:t>
      </w:r>
    </w:p>
    <w:p w14:paraId="16172D3E" w14:textId="77777777" w:rsidR="00065577" w:rsidRPr="00CD78DF" w:rsidRDefault="00065577" w:rsidP="00065577">
      <w:pPr>
        <w:rPr>
          <w:rFonts w:ascii="Times New Roman" w:hAnsi="Times New Roman" w:cs="Times New Roman"/>
          <w:sz w:val="24"/>
          <w:szCs w:val="24"/>
        </w:rPr>
      </w:pPr>
    </w:p>
    <w:p w14:paraId="5BE8CB54"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Omoro, D.C. and Juma, D. (2025) ‘Strategic Responses and Product Performance of Coca Cola Products in Kisii Town, Kenya’, </w:t>
      </w:r>
      <w:r w:rsidRPr="00CD78DF">
        <w:rPr>
          <w:rFonts w:ascii="Times New Roman" w:hAnsi="Times New Roman" w:cs="Times New Roman"/>
          <w:i/>
          <w:iCs/>
          <w:sz w:val="24"/>
          <w:szCs w:val="24"/>
        </w:rPr>
        <w:t>Journal of Business and Strategic Management</w:t>
      </w:r>
      <w:r w:rsidRPr="00CD78DF">
        <w:rPr>
          <w:rFonts w:ascii="Times New Roman" w:hAnsi="Times New Roman" w:cs="Times New Roman"/>
          <w:sz w:val="24"/>
          <w:szCs w:val="24"/>
        </w:rPr>
        <w:t>, 10(6), pp. 35–50.</w:t>
      </w:r>
    </w:p>
    <w:p w14:paraId="0CCD2A30"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Paavola, L. and Cuthbertson, R. (2022) ‘Redefining capabilities as drivers of adaptation, incremental change, and transformation: Recognizing the importance of strategic and operational intent on performance’, </w:t>
      </w:r>
      <w:r w:rsidRPr="00CD78DF">
        <w:rPr>
          <w:rFonts w:ascii="Times New Roman" w:hAnsi="Times New Roman" w:cs="Times New Roman"/>
          <w:i/>
          <w:iCs/>
          <w:sz w:val="24"/>
          <w:szCs w:val="24"/>
        </w:rPr>
        <w:t>Journal of Management &amp; Organization</w:t>
      </w:r>
      <w:r w:rsidRPr="00CD78DF">
        <w:rPr>
          <w:rFonts w:ascii="Times New Roman" w:hAnsi="Times New Roman" w:cs="Times New Roman"/>
          <w:sz w:val="24"/>
          <w:szCs w:val="24"/>
        </w:rPr>
        <w:t>, 28(3), pp. 522–539.</w:t>
      </w:r>
    </w:p>
    <w:p w14:paraId="35D830A8"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Panidi, K., Grebenschikova, Y. and Klucharev, V. (2023) ‘The efficacy of the sugar-free labels is reduced by the health-sweetness tradeoff’, </w:t>
      </w:r>
      <w:r w:rsidRPr="00CD78DF">
        <w:rPr>
          <w:rFonts w:ascii="Times New Roman" w:hAnsi="Times New Roman" w:cs="Times New Roman"/>
          <w:i/>
          <w:iCs/>
          <w:sz w:val="24"/>
          <w:szCs w:val="24"/>
        </w:rPr>
        <w:t>arXiv preprint arXiv:2311.09885</w:t>
      </w:r>
      <w:r w:rsidRPr="00CD78DF">
        <w:rPr>
          <w:rFonts w:ascii="Times New Roman" w:hAnsi="Times New Roman" w:cs="Times New Roman"/>
          <w:sz w:val="24"/>
          <w:szCs w:val="24"/>
        </w:rPr>
        <w:t xml:space="preserve"> [Preprint].</w:t>
      </w:r>
    </w:p>
    <w:p w14:paraId="41CF5FDE"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Pineda, E. </w:t>
      </w:r>
      <w:r w:rsidRPr="00CD78DF">
        <w:rPr>
          <w:rFonts w:ascii="Times New Roman" w:hAnsi="Times New Roman" w:cs="Times New Roman"/>
          <w:i/>
          <w:iCs/>
          <w:sz w:val="24"/>
          <w:szCs w:val="24"/>
        </w:rPr>
        <w:t>et al.</w:t>
      </w:r>
      <w:r w:rsidRPr="00CD78DF">
        <w:rPr>
          <w:rFonts w:ascii="Times New Roman" w:hAnsi="Times New Roman" w:cs="Times New Roman"/>
          <w:sz w:val="24"/>
          <w:szCs w:val="24"/>
        </w:rPr>
        <w:t xml:space="preserve"> (2024) ‘Review: Effectiveness and policy implications of health taxes on foods high in fat, salt, and sugar’, </w:t>
      </w:r>
      <w:r w:rsidRPr="00CD78DF">
        <w:rPr>
          <w:rFonts w:ascii="Times New Roman" w:hAnsi="Times New Roman" w:cs="Times New Roman"/>
          <w:i/>
          <w:iCs/>
          <w:sz w:val="24"/>
          <w:szCs w:val="24"/>
        </w:rPr>
        <w:t>Food Policy</w:t>
      </w:r>
      <w:r w:rsidRPr="00CD78DF">
        <w:rPr>
          <w:rFonts w:ascii="Times New Roman" w:hAnsi="Times New Roman" w:cs="Times New Roman"/>
          <w:sz w:val="24"/>
          <w:szCs w:val="24"/>
        </w:rPr>
        <w:t>, 123, p. 102599. Available at: https://doi.org/10.1016/j.foodpol.2024.102599.</w:t>
      </w:r>
    </w:p>
    <w:p w14:paraId="4B9DA263"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Pitelis, C. </w:t>
      </w:r>
      <w:r w:rsidRPr="00CD78DF">
        <w:rPr>
          <w:rFonts w:ascii="Times New Roman" w:hAnsi="Times New Roman" w:cs="Times New Roman"/>
          <w:i/>
          <w:iCs/>
          <w:sz w:val="24"/>
          <w:szCs w:val="24"/>
        </w:rPr>
        <w:t>et al.</w:t>
      </w:r>
      <w:r w:rsidRPr="00CD78DF">
        <w:rPr>
          <w:rFonts w:ascii="Times New Roman" w:hAnsi="Times New Roman" w:cs="Times New Roman"/>
          <w:sz w:val="24"/>
          <w:szCs w:val="24"/>
        </w:rPr>
        <w:t xml:space="preserve"> (2025) ‘Towards a better understanding of the interrelationship between dynamic capabilities and international Entrepreneurship’, </w:t>
      </w:r>
      <w:r w:rsidRPr="00CD78DF">
        <w:rPr>
          <w:rFonts w:ascii="Times New Roman" w:hAnsi="Times New Roman" w:cs="Times New Roman"/>
          <w:i/>
          <w:iCs/>
          <w:sz w:val="24"/>
          <w:szCs w:val="24"/>
        </w:rPr>
        <w:t>International Business Review</w:t>
      </w:r>
      <w:r w:rsidRPr="00CD78DF">
        <w:rPr>
          <w:rFonts w:ascii="Times New Roman" w:hAnsi="Times New Roman" w:cs="Times New Roman"/>
          <w:sz w:val="24"/>
          <w:szCs w:val="24"/>
        </w:rPr>
        <w:t>, 34(2), p. 102387.</w:t>
      </w:r>
    </w:p>
    <w:p w14:paraId="4DD5CB77" w14:textId="5917FB9E" w:rsidR="00065577" w:rsidRPr="00CD78DF" w:rsidRDefault="00065577" w:rsidP="00065577">
      <w:pPr>
        <w:rPr>
          <w:rFonts w:ascii="Times New Roman" w:hAnsi="Times New Roman" w:cs="Times New Roman"/>
          <w:sz w:val="24"/>
          <w:szCs w:val="24"/>
        </w:rPr>
      </w:pPr>
      <w:r w:rsidRPr="00CD78DF">
        <w:rPr>
          <w:rFonts w:ascii="Times New Roman" w:hAnsi="Times New Roman" w:cs="Times New Roman"/>
          <w:sz w:val="24"/>
          <w:szCs w:val="24"/>
        </w:rPr>
        <w:t>PwC (2025) Voice of the Consumer Survey 2025. Available at: https://www.pwc.com</w:t>
      </w:r>
    </w:p>
    <w:p w14:paraId="54F1C102" w14:textId="77777777" w:rsidR="00065577" w:rsidRPr="00CD78DF" w:rsidRDefault="00065577" w:rsidP="00065577">
      <w:pPr>
        <w:rPr>
          <w:rFonts w:ascii="Times New Roman" w:hAnsi="Times New Roman" w:cs="Times New Roman"/>
          <w:sz w:val="24"/>
          <w:szCs w:val="24"/>
        </w:rPr>
      </w:pPr>
    </w:p>
    <w:p w14:paraId="0D8A927B" w14:textId="750FF46A" w:rsidR="00065577" w:rsidRPr="00CD78DF" w:rsidRDefault="00065577" w:rsidP="00065577">
      <w:pPr>
        <w:rPr>
          <w:rFonts w:ascii="Times New Roman" w:hAnsi="Times New Roman" w:cs="Times New Roman"/>
          <w:sz w:val="24"/>
          <w:szCs w:val="24"/>
        </w:rPr>
      </w:pPr>
      <w:r w:rsidRPr="00CD78DF">
        <w:rPr>
          <w:rFonts w:ascii="Times New Roman" w:hAnsi="Times New Roman" w:cs="Times New Roman"/>
          <w:sz w:val="24"/>
          <w:szCs w:val="24"/>
        </w:rPr>
        <w:t>PepsiCo (2026) Food and nutrition security. Available at: https://www.pepsico.com/esg-topics/food-and-nutrition-security</w:t>
      </w:r>
    </w:p>
    <w:p w14:paraId="78DD1CE1" w14:textId="77777777" w:rsidR="00065577" w:rsidRPr="00CD78DF" w:rsidRDefault="00065577" w:rsidP="00065577">
      <w:pPr>
        <w:rPr>
          <w:rFonts w:ascii="Times New Roman" w:hAnsi="Times New Roman" w:cs="Times New Roman"/>
          <w:sz w:val="24"/>
          <w:szCs w:val="24"/>
        </w:rPr>
      </w:pPr>
    </w:p>
    <w:p w14:paraId="796B8887"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Quinter, A. and Nyenyi, N.D. (2024) ‘Value Chain Analysis and Organizational Performance in Coca-Cola Company in Kenya; A Qualitative Analysis’, </w:t>
      </w:r>
      <w:r w:rsidRPr="00CD78DF">
        <w:rPr>
          <w:rFonts w:ascii="Times New Roman" w:hAnsi="Times New Roman" w:cs="Times New Roman"/>
          <w:i/>
          <w:iCs/>
          <w:sz w:val="24"/>
          <w:szCs w:val="24"/>
        </w:rPr>
        <w:t>International Journal of Research and Innovation in Social Science</w:t>
      </w:r>
      <w:r w:rsidRPr="00CD78DF">
        <w:rPr>
          <w:rFonts w:ascii="Times New Roman" w:hAnsi="Times New Roman" w:cs="Times New Roman"/>
          <w:sz w:val="24"/>
          <w:szCs w:val="24"/>
        </w:rPr>
        <w:t>, VIII(VII), pp. 784–805. Available at: https://doi.org/10.47772/IJRISS.2024.807064.</w:t>
      </w:r>
    </w:p>
    <w:p w14:paraId="2D6197B5"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Remedios, L. </w:t>
      </w:r>
      <w:r w:rsidRPr="00CD78DF">
        <w:rPr>
          <w:rFonts w:ascii="Times New Roman" w:hAnsi="Times New Roman" w:cs="Times New Roman"/>
          <w:i/>
          <w:iCs/>
          <w:sz w:val="24"/>
          <w:szCs w:val="24"/>
        </w:rPr>
        <w:t>et al.</w:t>
      </w:r>
      <w:r w:rsidRPr="00CD78DF">
        <w:rPr>
          <w:rFonts w:ascii="Times New Roman" w:hAnsi="Times New Roman" w:cs="Times New Roman"/>
          <w:sz w:val="24"/>
          <w:szCs w:val="24"/>
        </w:rPr>
        <w:t xml:space="preserve"> (2024) ‘The impact of exposure to sugary drink marketing on youth brand preference and recall: a cross-sectional and multi-country analysis’, </w:t>
      </w:r>
      <w:r w:rsidRPr="00CD78DF">
        <w:rPr>
          <w:rFonts w:ascii="Times New Roman" w:hAnsi="Times New Roman" w:cs="Times New Roman"/>
          <w:i/>
          <w:iCs/>
          <w:sz w:val="24"/>
          <w:szCs w:val="24"/>
        </w:rPr>
        <w:t>BMC Public Health</w:t>
      </w:r>
      <w:r w:rsidRPr="00CD78DF">
        <w:rPr>
          <w:rFonts w:ascii="Times New Roman" w:hAnsi="Times New Roman" w:cs="Times New Roman"/>
          <w:sz w:val="24"/>
          <w:szCs w:val="24"/>
        </w:rPr>
        <w:t>, 24(1), p. 3275.</w:t>
      </w:r>
    </w:p>
    <w:p w14:paraId="1405CD8D"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lastRenderedPageBreak/>
        <w:t xml:space="preserve">Ren, Y. </w:t>
      </w:r>
      <w:r w:rsidRPr="00CD78DF">
        <w:rPr>
          <w:rFonts w:ascii="Times New Roman" w:hAnsi="Times New Roman" w:cs="Times New Roman"/>
          <w:i/>
          <w:iCs/>
          <w:sz w:val="24"/>
          <w:szCs w:val="24"/>
        </w:rPr>
        <w:t>et al.</w:t>
      </w:r>
      <w:r w:rsidRPr="00CD78DF">
        <w:rPr>
          <w:rFonts w:ascii="Times New Roman" w:hAnsi="Times New Roman" w:cs="Times New Roman"/>
          <w:sz w:val="24"/>
          <w:szCs w:val="24"/>
        </w:rPr>
        <w:t xml:space="preserve"> (2025) ‘Consumer preferences for sugar-sweetened beverages: Evidence from online surveys and laboratory eye-tracking choice experiments’, </w:t>
      </w:r>
      <w:r w:rsidRPr="00CD78DF">
        <w:rPr>
          <w:rFonts w:ascii="Times New Roman" w:hAnsi="Times New Roman" w:cs="Times New Roman"/>
          <w:i/>
          <w:iCs/>
          <w:sz w:val="24"/>
          <w:szCs w:val="24"/>
        </w:rPr>
        <w:t>Food Policy</w:t>
      </w:r>
      <w:r w:rsidRPr="00CD78DF">
        <w:rPr>
          <w:rFonts w:ascii="Times New Roman" w:hAnsi="Times New Roman" w:cs="Times New Roman"/>
          <w:sz w:val="24"/>
          <w:szCs w:val="24"/>
        </w:rPr>
        <w:t>, 130, p. 102791.</w:t>
      </w:r>
    </w:p>
    <w:p w14:paraId="3DAB690C"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Shao, Y. (2025) ‘A Value Chain Analysis on Coca-Cola Company’, in M.M. Husin (ed.) </w:t>
      </w:r>
      <w:r w:rsidRPr="00CD78DF">
        <w:rPr>
          <w:rFonts w:ascii="Times New Roman" w:hAnsi="Times New Roman" w:cs="Times New Roman"/>
          <w:i/>
          <w:iCs/>
          <w:sz w:val="24"/>
          <w:szCs w:val="24"/>
        </w:rPr>
        <w:t>Proceedings of the 2025 International Conference on Financial Risk and Investment Management (ICFRIM 2025)</w:t>
      </w:r>
      <w:r w:rsidRPr="00CD78DF">
        <w:rPr>
          <w:rFonts w:ascii="Times New Roman" w:hAnsi="Times New Roman" w:cs="Times New Roman"/>
          <w:sz w:val="24"/>
          <w:szCs w:val="24"/>
        </w:rPr>
        <w:t>. Dordrecht: Atlantis Press International BV (Advances in Economics, Business and Management Research), pp. 879–886. Available at: https://doi.org/10.2991/978-94-6463-748-9_96.</w:t>
      </w:r>
    </w:p>
    <w:p w14:paraId="73E9CE7E"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Simamora, G.M., Putra, A. and Pinardi, R.R. (2024a) ‘Analysis of Coca Cola Company’s Global Marketing Strategy: Literature Review’, </w:t>
      </w:r>
      <w:r w:rsidRPr="00CD78DF">
        <w:rPr>
          <w:rFonts w:ascii="Times New Roman" w:hAnsi="Times New Roman" w:cs="Times New Roman"/>
          <w:i/>
          <w:iCs/>
          <w:sz w:val="24"/>
          <w:szCs w:val="24"/>
        </w:rPr>
        <w:t>International Journal of Research and Review</w:t>
      </w:r>
      <w:r w:rsidRPr="00CD78DF">
        <w:rPr>
          <w:rFonts w:ascii="Times New Roman" w:hAnsi="Times New Roman" w:cs="Times New Roman"/>
          <w:sz w:val="24"/>
          <w:szCs w:val="24"/>
        </w:rPr>
        <w:t>, 11(4), pp. 101–112. Available at: https://doi.org/10.52403/ijrr.20240412.</w:t>
      </w:r>
    </w:p>
    <w:p w14:paraId="6BA3AF82"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Simamora, G.M., Putra, A. and Pinardi, R.R. (2024b) ‘Analysis of Coca Cola Company’s Global Marketing Strategy: Literature Review’, </w:t>
      </w:r>
      <w:r w:rsidRPr="00CD78DF">
        <w:rPr>
          <w:rFonts w:ascii="Times New Roman" w:hAnsi="Times New Roman" w:cs="Times New Roman"/>
          <w:i/>
          <w:iCs/>
          <w:sz w:val="24"/>
          <w:szCs w:val="24"/>
        </w:rPr>
        <w:t>International Journal of Research and Review</w:t>
      </w:r>
      <w:r w:rsidRPr="00CD78DF">
        <w:rPr>
          <w:rFonts w:ascii="Times New Roman" w:hAnsi="Times New Roman" w:cs="Times New Roman"/>
          <w:sz w:val="24"/>
          <w:szCs w:val="24"/>
        </w:rPr>
        <w:t>, 11(4), pp. 101–112. Available at: https://doi.org/10.52403/ijrr.20240412.</w:t>
      </w:r>
    </w:p>
    <w:p w14:paraId="0190F243"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Sulemana, I. </w:t>
      </w:r>
      <w:r w:rsidRPr="00CD78DF">
        <w:rPr>
          <w:rFonts w:ascii="Times New Roman" w:hAnsi="Times New Roman" w:cs="Times New Roman"/>
          <w:i/>
          <w:iCs/>
          <w:sz w:val="24"/>
          <w:szCs w:val="24"/>
        </w:rPr>
        <w:t>et al.</w:t>
      </w:r>
      <w:r w:rsidRPr="00CD78DF">
        <w:rPr>
          <w:rFonts w:ascii="Times New Roman" w:hAnsi="Times New Roman" w:cs="Times New Roman"/>
          <w:sz w:val="24"/>
          <w:szCs w:val="24"/>
        </w:rPr>
        <w:t xml:space="preserve"> (2025) ‘Stakeholders and sustainability disclosure: Evidence from an emerging market’, </w:t>
      </w:r>
      <w:r w:rsidRPr="00CD78DF">
        <w:rPr>
          <w:rFonts w:ascii="Times New Roman" w:hAnsi="Times New Roman" w:cs="Times New Roman"/>
          <w:i/>
          <w:iCs/>
          <w:sz w:val="24"/>
          <w:szCs w:val="24"/>
        </w:rPr>
        <w:t>Sustainable Futures</w:t>
      </w:r>
      <w:r w:rsidRPr="00CD78DF">
        <w:rPr>
          <w:rFonts w:ascii="Times New Roman" w:hAnsi="Times New Roman" w:cs="Times New Roman"/>
          <w:sz w:val="24"/>
          <w:szCs w:val="24"/>
        </w:rPr>
        <w:t>, 9, p. 100445.</w:t>
      </w:r>
    </w:p>
    <w:p w14:paraId="30AA9456"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Taibi-Voigts, J., Ogunmokun, O.C. and Egbetokun, A. (2025) ‘A path dependency view of innovation ecosystems: a systematic literature review’, </w:t>
      </w:r>
      <w:r w:rsidRPr="00CD78DF">
        <w:rPr>
          <w:rFonts w:ascii="Times New Roman" w:hAnsi="Times New Roman" w:cs="Times New Roman"/>
          <w:i/>
          <w:iCs/>
          <w:sz w:val="24"/>
          <w:szCs w:val="24"/>
        </w:rPr>
        <w:t>Technology Analysis &amp; Strategic Management</w:t>
      </w:r>
      <w:r w:rsidRPr="00CD78DF">
        <w:rPr>
          <w:rFonts w:ascii="Times New Roman" w:hAnsi="Times New Roman" w:cs="Times New Roman"/>
          <w:sz w:val="24"/>
          <w:szCs w:val="24"/>
        </w:rPr>
        <w:t>, pp. 1–15.</w:t>
      </w:r>
    </w:p>
    <w:p w14:paraId="1B09703A"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Teece, D.J. (2025) </w:t>
      </w:r>
      <w:r w:rsidRPr="00CD78DF">
        <w:rPr>
          <w:rFonts w:ascii="Times New Roman" w:hAnsi="Times New Roman" w:cs="Times New Roman"/>
          <w:i/>
          <w:iCs/>
          <w:sz w:val="24"/>
          <w:szCs w:val="24"/>
        </w:rPr>
        <w:t>Dynamic Capabilities: Foundational Concepts</w:t>
      </w:r>
      <w:r w:rsidRPr="00CD78DF">
        <w:rPr>
          <w:rFonts w:ascii="Times New Roman" w:hAnsi="Times New Roman" w:cs="Times New Roman"/>
          <w:sz w:val="24"/>
          <w:szCs w:val="24"/>
        </w:rPr>
        <w:t>. Cambridge University Press.</w:t>
      </w:r>
    </w:p>
    <w:p w14:paraId="55D8AB71" w14:textId="33766DB6" w:rsidR="00CD78DF" w:rsidRPr="00CD78DF" w:rsidRDefault="00CD78DF" w:rsidP="00CD78DF">
      <w:pPr>
        <w:rPr>
          <w:rFonts w:ascii="Times New Roman" w:hAnsi="Times New Roman" w:cs="Times New Roman"/>
          <w:sz w:val="24"/>
          <w:szCs w:val="24"/>
        </w:rPr>
      </w:pPr>
      <w:r w:rsidRPr="00CD78DF">
        <w:rPr>
          <w:rFonts w:ascii="Times New Roman" w:hAnsi="Times New Roman" w:cs="Times New Roman"/>
          <w:sz w:val="24"/>
          <w:szCs w:val="24"/>
        </w:rPr>
        <w:t>The Coca-Cola Company (2024) Annual report / Full year results. Available at: https://www.coca-colacompany.com</w:t>
      </w:r>
    </w:p>
    <w:p w14:paraId="53E49269" w14:textId="77777777" w:rsidR="00CD78DF" w:rsidRPr="00CD78DF" w:rsidRDefault="00CD78DF" w:rsidP="00CD78DF">
      <w:pPr>
        <w:rPr>
          <w:rFonts w:ascii="Times New Roman" w:hAnsi="Times New Roman" w:cs="Times New Roman"/>
          <w:sz w:val="24"/>
          <w:szCs w:val="24"/>
        </w:rPr>
      </w:pPr>
    </w:p>
    <w:p w14:paraId="3DE52460" w14:textId="0445473C" w:rsidR="00CD78DF" w:rsidRPr="00CD78DF" w:rsidRDefault="00CD78DF" w:rsidP="00CD78DF">
      <w:pPr>
        <w:rPr>
          <w:rFonts w:ascii="Times New Roman" w:hAnsi="Times New Roman" w:cs="Times New Roman"/>
          <w:sz w:val="24"/>
          <w:szCs w:val="24"/>
        </w:rPr>
      </w:pPr>
      <w:r w:rsidRPr="00CD78DF">
        <w:rPr>
          <w:rFonts w:ascii="Times New Roman" w:hAnsi="Times New Roman" w:cs="Times New Roman"/>
          <w:sz w:val="24"/>
          <w:szCs w:val="24"/>
        </w:rPr>
        <w:t>The Coca-Cola Company (2024) About. Available at: Coca-Cola Investor About Page</w:t>
      </w:r>
    </w:p>
    <w:p w14:paraId="1407A0E2" w14:textId="77777777" w:rsidR="00CD78DF" w:rsidRPr="00CD78DF" w:rsidRDefault="00CD78DF" w:rsidP="00CD78DF">
      <w:pPr>
        <w:rPr>
          <w:rFonts w:ascii="Times New Roman" w:hAnsi="Times New Roman" w:cs="Times New Roman"/>
          <w:sz w:val="24"/>
          <w:szCs w:val="24"/>
        </w:rPr>
      </w:pPr>
    </w:p>
    <w:p w14:paraId="54231CE6"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Ugrinov, S. </w:t>
      </w:r>
      <w:r w:rsidRPr="00CD78DF">
        <w:rPr>
          <w:rFonts w:ascii="Times New Roman" w:hAnsi="Times New Roman" w:cs="Times New Roman"/>
          <w:i/>
          <w:iCs/>
          <w:sz w:val="24"/>
          <w:szCs w:val="24"/>
        </w:rPr>
        <w:t>et al.</w:t>
      </w:r>
      <w:r w:rsidRPr="00CD78DF">
        <w:rPr>
          <w:rFonts w:ascii="Times New Roman" w:hAnsi="Times New Roman" w:cs="Times New Roman"/>
          <w:sz w:val="24"/>
          <w:szCs w:val="24"/>
        </w:rPr>
        <w:t xml:space="preserve"> (2024) ‘Enhancing efficiency in food and beverage supply chains’, </w:t>
      </w:r>
      <w:r w:rsidRPr="00CD78DF">
        <w:rPr>
          <w:rFonts w:ascii="Times New Roman" w:hAnsi="Times New Roman" w:cs="Times New Roman"/>
          <w:i/>
          <w:iCs/>
          <w:sz w:val="24"/>
          <w:szCs w:val="24"/>
        </w:rPr>
        <w:t>Engineering Proceedings</w:t>
      </w:r>
      <w:r w:rsidRPr="00CD78DF">
        <w:rPr>
          <w:rFonts w:ascii="Times New Roman" w:hAnsi="Times New Roman" w:cs="Times New Roman"/>
          <w:sz w:val="24"/>
          <w:szCs w:val="24"/>
        </w:rPr>
        <w:t>, 79(1), p. 2.</w:t>
      </w:r>
    </w:p>
    <w:p w14:paraId="6218921C"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Ugrinov, S., Ćoćkalo, D. and Bakator, M. (2024) </w:t>
      </w:r>
      <w:r w:rsidRPr="00CD78DF">
        <w:rPr>
          <w:rFonts w:ascii="Times New Roman" w:eastAsia="等线" w:hAnsi="Times New Roman" w:cs="Times New Roman"/>
          <w:sz w:val="24"/>
          <w:szCs w:val="24"/>
        </w:rPr>
        <w:t>‘</w:t>
      </w:r>
      <w:r w:rsidRPr="00CD78DF">
        <w:rPr>
          <w:rFonts w:ascii="Times New Roman" w:hAnsi="Times New Roman" w:cs="Times New Roman"/>
          <w:sz w:val="24"/>
          <w:szCs w:val="24"/>
        </w:rPr>
        <w:t>OPTIMIZATION AND SUSTAINABILITY OF SUPPLY CHAINS IN THE FOOD AND BEVERAGE INDUSTRY.</w:t>
      </w:r>
      <w:r w:rsidRPr="00CD78DF">
        <w:rPr>
          <w:rFonts w:ascii="Times New Roman" w:eastAsia="等线" w:hAnsi="Times New Roman" w:cs="Times New Roman"/>
          <w:sz w:val="24"/>
          <w:szCs w:val="24"/>
        </w:rPr>
        <w:t>’</w:t>
      </w:r>
      <w:r w:rsidRPr="00CD78DF">
        <w:rPr>
          <w:rFonts w:ascii="Times New Roman" w:hAnsi="Times New Roman" w:cs="Times New Roman"/>
          <w:sz w:val="24"/>
          <w:szCs w:val="24"/>
        </w:rPr>
        <w:t xml:space="preserve">, </w:t>
      </w:r>
      <w:r w:rsidRPr="00CD78DF">
        <w:rPr>
          <w:rFonts w:ascii="Times New Roman" w:hAnsi="Times New Roman" w:cs="Times New Roman"/>
          <w:i/>
          <w:iCs/>
          <w:sz w:val="24"/>
          <w:szCs w:val="24"/>
        </w:rPr>
        <w:t>Ekonomika</w:t>
      </w:r>
      <w:r w:rsidRPr="00CD78DF">
        <w:rPr>
          <w:rFonts w:ascii="Times New Roman" w:hAnsi="Times New Roman" w:cs="Times New Roman"/>
          <w:sz w:val="24"/>
          <w:szCs w:val="24"/>
        </w:rPr>
        <w:t>, 70(4).</w:t>
      </w:r>
    </w:p>
    <w:p w14:paraId="1E2C3DE6" w14:textId="2F5923CC" w:rsidR="00CD78DF" w:rsidRPr="00CD78DF" w:rsidRDefault="00CD78DF" w:rsidP="00CD78DF">
      <w:pPr>
        <w:rPr>
          <w:rFonts w:ascii="Times New Roman" w:hAnsi="Times New Roman" w:cs="Times New Roman"/>
          <w:sz w:val="24"/>
          <w:szCs w:val="24"/>
        </w:rPr>
      </w:pPr>
      <w:r w:rsidRPr="00CD78DF">
        <w:rPr>
          <w:rFonts w:ascii="Times New Roman" w:hAnsi="Times New Roman" w:cs="Times New Roman"/>
          <w:sz w:val="24"/>
          <w:szCs w:val="24"/>
        </w:rPr>
        <w:t>Yahoo Finance (2026) Are emerging markets key to Coca-Cola’s long-term revenue growth? Available at: https://finance.yahoo.com/news/emerging-markets-key-coca-colas-144100670.html</w:t>
      </w:r>
    </w:p>
    <w:p w14:paraId="02B2ACB7" w14:textId="77777777" w:rsidR="00CD78DF" w:rsidRPr="00CD78DF" w:rsidRDefault="00CD78DF" w:rsidP="00CD78DF">
      <w:pPr>
        <w:rPr>
          <w:rFonts w:ascii="Times New Roman" w:hAnsi="Times New Roman" w:cs="Times New Roman"/>
          <w:sz w:val="24"/>
          <w:szCs w:val="24"/>
        </w:rPr>
      </w:pPr>
    </w:p>
    <w:p w14:paraId="63AA2991"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lastRenderedPageBreak/>
        <w:t>Zhang, Y. (2025) ‘The Influence of Healthy Consumption Trend on Coca-Cola Marketing Strategy’.</w:t>
      </w:r>
    </w:p>
    <w:p w14:paraId="12098103"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Zhong, Z. (2024) ‘Analysis of Coca-Cola Company’s Marketing Strategies and Business Model’, </w:t>
      </w:r>
      <w:r w:rsidRPr="00CD78DF">
        <w:rPr>
          <w:rFonts w:ascii="Times New Roman" w:hAnsi="Times New Roman" w:cs="Times New Roman"/>
          <w:i/>
          <w:iCs/>
          <w:sz w:val="24"/>
          <w:szCs w:val="24"/>
        </w:rPr>
        <w:t>Journal of Education, Humanities and Social Sciences</w:t>
      </w:r>
      <w:r w:rsidRPr="00CD78DF">
        <w:rPr>
          <w:rFonts w:ascii="Times New Roman" w:hAnsi="Times New Roman" w:cs="Times New Roman"/>
          <w:sz w:val="24"/>
          <w:szCs w:val="24"/>
        </w:rPr>
        <w:t>, 42, pp. 1035–1040. Available at: https://doi.org/10.54097/xc8t2061.</w:t>
      </w:r>
    </w:p>
    <w:p w14:paraId="11A701B2" w14:textId="77777777" w:rsidR="00065577" w:rsidRPr="00CD78DF" w:rsidRDefault="00065577" w:rsidP="00065577">
      <w:pPr>
        <w:pStyle w:val="ae"/>
        <w:rPr>
          <w:rFonts w:ascii="Times New Roman" w:hAnsi="Times New Roman" w:cs="Times New Roman"/>
          <w:sz w:val="24"/>
          <w:szCs w:val="24"/>
        </w:rPr>
      </w:pPr>
      <w:r w:rsidRPr="00CD78DF">
        <w:rPr>
          <w:rFonts w:ascii="Times New Roman" w:hAnsi="Times New Roman" w:cs="Times New Roman"/>
          <w:sz w:val="24"/>
          <w:szCs w:val="24"/>
        </w:rPr>
        <w:t xml:space="preserve">Zhu, Z. </w:t>
      </w:r>
      <w:r w:rsidRPr="00CD78DF">
        <w:rPr>
          <w:rFonts w:ascii="Times New Roman" w:hAnsi="Times New Roman" w:cs="Times New Roman"/>
          <w:i/>
          <w:iCs/>
          <w:sz w:val="24"/>
          <w:szCs w:val="24"/>
        </w:rPr>
        <w:t>et al.</w:t>
      </w:r>
      <w:r w:rsidRPr="00CD78DF">
        <w:rPr>
          <w:rFonts w:ascii="Times New Roman" w:hAnsi="Times New Roman" w:cs="Times New Roman"/>
          <w:sz w:val="24"/>
          <w:szCs w:val="24"/>
        </w:rPr>
        <w:t xml:space="preserve"> (2022) ‘Packaging design for the circular economy: A systematic review’, </w:t>
      </w:r>
      <w:r w:rsidRPr="00CD78DF">
        <w:rPr>
          <w:rFonts w:ascii="Times New Roman" w:hAnsi="Times New Roman" w:cs="Times New Roman"/>
          <w:i/>
          <w:iCs/>
          <w:sz w:val="24"/>
          <w:szCs w:val="24"/>
        </w:rPr>
        <w:t>Sustainable Production and Consumption</w:t>
      </w:r>
      <w:r w:rsidRPr="00CD78DF">
        <w:rPr>
          <w:rFonts w:ascii="Times New Roman" w:hAnsi="Times New Roman" w:cs="Times New Roman"/>
          <w:sz w:val="24"/>
          <w:szCs w:val="24"/>
        </w:rPr>
        <w:t>, 32, pp. 817–832. Available at: https://doi.org/https://doi.org/10.1016/j.spc.2022.06.005.</w:t>
      </w:r>
    </w:p>
    <w:p w14:paraId="5F7CAB4B" w14:textId="38E70F75" w:rsidR="0005549E" w:rsidRPr="00F35F5F" w:rsidRDefault="0005549E" w:rsidP="00AE0E15">
      <w:pPr>
        <w:rPr>
          <w:rFonts w:ascii="Times New Roman" w:hAnsi="Times New Roman" w:cs="Times New Roman"/>
          <w:sz w:val="24"/>
          <w:szCs w:val="24"/>
          <w:lang w:val="en-US"/>
        </w:rPr>
      </w:pPr>
      <w:r w:rsidRPr="00CD78DF">
        <w:rPr>
          <w:rFonts w:ascii="Times New Roman" w:hAnsi="Times New Roman" w:cs="Times New Roman"/>
          <w:sz w:val="24"/>
          <w:szCs w:val="24"/>
        </w:rPr>
        <w:fldChar w:fldCharType="end"/>
      </w:r>
    </w:p>
    <w:sectPr w:rsidR="0005549E" w:rsidRPr="00F35F5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FF912D" w14:textId="77777777" w:rsidR="001E10EE" w:rsidRPr="00A92D72" w:rsidRDefault="001E10EE" w:rsidP="00EE2D8F">
      <w:r w:rsidRPr="00A92D72">
        <w:separator/>
      </w:r>
    </w:p>
  </w:endnote>
  <w:endnote w:type="continuationSeparator" w:id="0">
    <w:p w14:paraId="4DF0A32B" w14:textId="77777777" w:rsidR="001E10EE" w:rsidRPr="00A92D72" w:rsidRDefault="001E10EE" w:rsidP="00EE2D8F">
      <w:r w:rsidRPr="00A92D7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DE5F76" w14:textId="77777777" w:rsidR="001E10EE" w:rsidRPr="00A92D72" w:rsidRDefault="001E10EE" w:rsidP="00EE2D8F">
      <w:r w:rsidRPr="00A92D72">
        <w:separator/>
      </w:r>
    </w:p>
  </w:footnote>
  <w:footnote w:type="continuationSeparator" w:id="0">
    <w:p w14:paraId="56560E7C" w14:textId="77777777" w:rsidR="001E10EE" w:rsidRPr="00A92D72" w:rsidRDefault="001E10EE" w:rsidP="00EE2D8F">
      <w:r w:rsidRPr="00A92D72">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9DE"/>
    <w:rsid w:val="000335D0"/>
    <w:rsid w:val="00035A21"/>
    <w:rsid w:val="000379DE"/>
    <w:rsid w:val="00041E76"/>
    <w:rsid w:val="0005549E"/>
    <w:rsid w:val="00065577"/>
    <w:rsid w:val="00076396"/>
    <w:rsid w:val="00085E73"/>
    <w:rsid w:val="000B28FD"/>
    <w:rsid w:val="000C432E"/>
    <w:rsid w:val="000D2479"/>
    <w:rsid w:val="000D43D5"/>
    <w:rsid w:val="000D4A49"/>
    <w:rsid w:val="00102CAD"/>
    <w:rsid w:val="00102DBC"/>
    <w:rsid w:val="0011362A"/>
    <w:rsid w:val="0016244E"/>
    <w:rsid w:val="001835B9"/>
    <w:rsid w:val="00186677"/>
    <w:rsid w:val="001C6A21"/>
    <w:rsid w:val="001D15A7"/>
    <w:rsid w:val="001E10EE"/>
    <w:rsid w:val="001E234B"/>
    <w:rsid w:val="001F0C0B"/>
    <w:rsid w:val="001F3AF2"/>
    <w:rsid w:val="001F4F75"/>
    <w:rsid w:val="00267FC7"/>
    <w:rsid w:val="002756CF"/>
    <w:rsid w:val="002C53CF"/>
    <w:rsid w:val="002D5FA4"/>
    <w:rsid w:val="003413E8"/>
    <w:rsid w:val="00366F7B"/>
    <w:rsid w:val="00375AE4"/>
    <w:rsid w:val="003C01FA"/>
    <w:rsid w:val="003E4581"/>
    <w:rsid w:val="004129F5"/>
    <w:rsid w:val="00472F72"/>
    <w:rsid w:val="0048565B"/>
    <w:rsid w:val="004C2714"/>
    <w:rsid w:val="00503BFF"/>
    <w:rsid w:val="00526DFA"/>
    <w:rsid w:val="0056651A"/>
    <w:rsid w:val="00575587"/>
    <w:rsid w:val="00587F4C"/>
    <w:rsid w:val="005F1D58"/>
    <w:rsid w:val="00693FA6"/>
    <w:rsid w:val="006A0317"/>
    <w:rsid w:val="006F1CAF"/>
    <w:rsid w:val="007005DC"/>
    <w:rsid w:val="007068FA"/>
    <w:rsid w:val="00712D2A"/>
    <w:rsid w:val="0072757B"/>
    <w:rsid w:val="00734792"/>
    <w:rsid w:val="0074112E"/>
    <w:rsid w:val="00760885"/>
    <w:rsid w:val="00782260"/>
    <w:rsid w:val="0078711A"/>
    <w:rsid w:val="00790194"/>
    <w:rsid w:val="00797375"/>
    <w:rsid w:val="007A12A6"/>
    <w:rsid w:val="007F5C53"/>
    <w:rsid w:val="00874D00"/>
    <w:rsid w:val="008962E9"/>
    <w:rsid w:val="008A096D"/>
    <w:rsid w:val="008F168D"/>
    <w:rsid w:val="0090160E"/>
    <w:rsid w:val="00922985"/>
    <w:rsid w:val="009344C6"/>
    <w:rsid w:val="00957DB2"/>
    <w:rsid w:val="0097343B"/>
    <w:rsid w:val="009A5D6A"/>
    <w:rsid w:val="009B394D"/>
    <w:rsid w:val="009C0FE1"/>
    <w:rsid w:val="009C38FE"/>
    <w:rsid w:val="00A178AA"/>
    <w:rsid w:val="00A314BB"/>
    <w:rsid w:val="00A411B5"/>
    <w:rsid w:val="00A50192"/>
    <w:rsid w:val="00A52A47"/>
    <w:rsid w:val="00A820B7"/>
    <w:rsid w:val="00A92D72"/>
    <w:rsid w:val="00AB5F4B"/>
    <w:rsid w:val="00AC5AB4"/>
    <w:rsid w:val="00AD74E6"/>
    <w:rsid w:val="00AE0E15"/>
    <w:rsid w:val="00AF358E"/>
    <w:rsid w:val="00B11A99"/>
    <w:rsid w:val="00B350C2"/>
    <w:rsid w:val="00B44AD8"/>
    <w:rsid w:val="00B5066C"/>
    <w:rsid w:val="00B61F59"/>
    <w:rsid w:val="00B642A5"/>
    <w:rsid w:val="00B674A3"/>
    <w:rsid w:val="00B80271"/>
    <w:rsid w:val="00BB13B3"/>
    <w:rsid w:val="00BC065D"/>
    <w:rsid w:val="00BE0285"/>
    <w:rsid w:val="00BF0093"/>
    <w:rsid w:val="00BF7493"/>
    <w:rsid w:val="00C145C1"/>
    <w:rsid w:val="00C73CCC"/>
    <w:rsid w:val="00C86E75"/>
    <w:rsid w:val="00CD78DF"/>
    <w:rsid w:val="00CE3571"/>
    <w:rsid w:val="00CF1EDC"/>
    <w:rsid w:val="00D037FB"/>
    <w:rsid w:val="00D07A65"/>
    <w:rsid w:val="00D160F1"/>
    <w:rsid w:val="00D410CF"/>
    <w:rsid w:val="00D703BC"/>
    <w:rsid w:val="00D831FF"/>
    <w:rsid w:val="00D97297"/>
    <w:rsid w:val="00D97A06"/>
    <w:rsid w:val="00DB459D"/>
    <w:rsid w:val="00DB717B"/>
    <w:rsid w:val="00DC5F1E"/>
    <w:rsid w:val="00E73323"/>
    <w:rsid w:val="00E9128D"/>
    <w:rsid w:val="00E925E4"/>
    <w:rsid w:val="00EB745A"/>
    <w:rsid w:val="00EC50FC"/>
    <w:rsid w:val="00EC7089"/>
    <w:rsid w:val="00EE2D8F"/>
    <w:rsid w:val="00EF024C"/>
    <w:rsid w:val="00F2059E"/>
    <w:rsid w:val="00F35F5F"/>
    <w:rsid w:val="00F41506"/>
    <w:rsid w:val="00FC7B42"/>
    <w:rsid w:val="00FD15A9"/>
    <w:rsid w:val="00FE47DB"/>
    <w:rsid w:val="00FF307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A968D2"/>
  <w15:chartTrackingRefBased/>
  <w15:docId w15:val="{9A43BEA4-13E3-49AC-8667-5DD86DECF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0379DE"/>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0379DE"/>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0379DE"/>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0379DE"/>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0379DE"/>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0379DE"/>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0379DE"/>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379DE"/>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0379DE"/>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379DE"/>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0379DE"/>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0379DE"/>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0379DE"/>
    <w:rPr>
      <w:rFonts w:cstheme="majorBidi"/>
      <w:color w:val="2F5496" w:themeColor="accent1" w:themeShade="BF"/>
      <w:sz w:val="28"/>
      <w:szCs w:val="28"/>
    </w:rPr>
  </w:style>
  <w:style w:type="character" w:customStyle="1" w:styleId="50">
    <w:name w:val="标题 5 字符"/>
    <w:basedOn w:val="a0"/>
    <w:link w:val="5"/>
    <w:uiPriority w:val="9"/>
    <w:semiHidden/>
    <w:rsid w:val="000379DE"/>
    <w:rPr>
      <w:rFonts w:cstheme="majorBidi"/>
      <w:color w:val="2F5496" w:themeColor="accent1" w:themeShade="BF"/>
      <w:sz w:val="24"/>
      <w:szCs w:val="24"/>
    </w:rPr>
  </w:style>
  <w:style w:type="character" w:customStyle="1" w:styleId="60">
    <w:name w:val="标题 6 字符"/>
    <w:basedOn w:val="a0"/>
    <w:link w:val="6"/>
    <w:uiPriority w:val="9"/>
    <w:semiHidden/>
    <w:rsid w:val="000379DE"/>
    <w:rPr>
      <w:rFonts w:cstheme="majorBidi"/>
      <w:b/>
      <w:bCs/>
      <w:color w:val="2F5496" w:themeColor="accent1" w:themeShade="BF"/>
    </w:rPr>
  </w:style>
  <w:style w:type="character" w:customStyle="1" w:styleId="70">
    <w:name w:val="标题 7 字符"/>
    <w:basedOn w:val="a0"/>
    <w:link w:val="7"/>
    <w:uiPriority w:val="9"/>
    <w:semiHidden/>
    <w:rsid w:val="000379DE"/>
    <w:rPr>
      <w:rFonts w:cstheme="majorBidi"/>
      <w:b/>
      <w:bCs/>
      <w:color w:val="595959" w:themeColor="text1" w:themeTint="A6"/>
    </w:rPr>
  </w:style>
  <w:style w:type="character" w:customStyle="1" w:styleId="80">
    <w:name w:val="标题 8 字符"/>
    <w:basedOn w:val="a0"/>
    <w:link w:val="8"/>
    <w:uiPriority w:val="9"/>
    <w:semiHidden/>
    <w:rsid w:val="000379DE"/>
    <w:rPr>
      <w:rFonts w:cstheme="majorBidi"/>
      <w:color w:val="595959" w:themeColor="text1" w:themeTint="A6"/>
    </w:rPr>
  </w:style>
  <w:style w:type="character" w:customStyle="1" w:styleId="90">
    <w:name w:val="标题 9 字符"/>
    <w:basedOn w:val="a0"/>
    <w:link w:val="9"/>
    <w:uiPriority w:val="9"/>
    <w:semiHidden/>
    <w:rsid w:val="000379DE"/>
    <w:rPr>
      <w:rFonts w:eastAsiaTheme="majorEastAsia" w:cstheme="majorBidi"/>
      <w:color w:val="595959" w:themeColor="text1" w:themeTint="A6"/>
    </w:rPr>
  </w:style>
  <w:style w:type="paragraph" w:styleId="a3">
    <w:name w:val="Title"/>
    <w:basedOn w:val="a"/>
    <w:next w:val="a"/>
    <w:link w:val="a4"/>
    <w:uiPriority w:val="10"/>
    <w:qFormat/>
    <w:rsid w:val="000379DE"/>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379DE"/>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379DE"/>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379DE"/>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0379DE"/>
    <w:pPr>
      <w:spacing w:before="160" w:after="160"/>
      <w:jc w:val="center"/>
    </w:pPr>
    <w:rPr>
      <w:i/>
      <w:iCs/>
      <w:color w:val="404040" w:themeColor="text1" w:themeTint="BF"/>
    </w:rPr>
  </w:style>
  <w:style w:type="character" w:customStyle="1" w:styleId="a8">
    <w:name w:val="引用 字符"/>
    <w:basedOn w:val="a0"/>
    <w:link w:val="a7"/>
    <w:uiPriority w:val="29"/>
    <w:rsid w:val="000379DE"/>
    <w:rPr>
      <w:i/>
      <w:iCs/>
      <w:color w:val="404040" w:themeColor="text1" w:themeTint="BF"/>
    </w:rPr>
  </w:style>
  <w:style w:type="paragraph" w:styleId="a9">
    <w:name w:val="List Paragraph"/>
    <w:basedOn w:val="a"/>
    <w:uiPriority w:val="34"/>
    <w:qFormat/>
    <w:rsid w:val="000379DE"/>
    <w:pPr>
      <w:ind w:left="720"/>
      <w:contextualSpacing/>
    </w:pPr>
  </w:style>
  <w:style w:type="character" w:styleId="aa">
    <w:name w:val="Intense Emphasis"/>
    <w:basedOn w:val="a0"/>
    <w:uiPriority w:val="21"/>
    <w:qFormat/>
    <w:rsid w:val="000379DE"/>
    <w:rPr>
      <w:i/>
      <w:iCs/>
      <w:color w:val="2F5496" w:themeColor="accent1" w:themeShade="BF"/>
    </w:rPr>
  </w:style>
  <w:style w:type="paragraph" w:styleId="ab">
    <w:name w:val="Intense Quote"/>
    <w:basedOn w:val="a"/>
    <w:next w:val="a"/>
    <w:link w:val="ac"/>
    <w:uiPriority w:val="30"/>
    <w:qFormat/>
    <w:rsid w:val="000379D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0379DE"/>
    <w:rPr>
      <w:i/>
      <w:iCs/>
      <w:color w:val="2F5496" w:themeColor="accent1" w:themeShade="BF"/>
    </w:rPr>
  </w:style>
  <w:style w:type="character" w:styleId="ad">
    <w:name w:val="Intense Reference"/>
    <w:basedOn w:val="a0"/>
    <w:uiPriority w:val="32"/>
    <w:qFormat/>
    <w:rsid w:val="000379DE"/>
    <w:rPr>
      <w:b/>
      <w:bCs/>
      <w:smallCaps/>
      <w:color w:val="2F5496" w:themeColor="accent1" w:themeShade="BF"/>
      <w:spacing w:val="5"/>
    </w:rPr>
  </w:style>
  <w:style w:type="paragraph" w:styleId="ae">
    <w:name w:val="Bibliography"/>
    <w:basedOn w:val="a"/>
    <w:next w:val="a"/>
    <w:uiPriority w:val="37"/>
    <w:unhideWhenUsed/>
    <w:rsid w:val="0005549E"/>
    <w:pPr>
      <w:spacing w:after="240"/>
    </w:pPr>
  </w:style>
  <w:style w:type="paragraph" w:styleId="TOC">
    <w:name w:val="TOC Heading"/>
    <w:basedOn w:val="1"/>
    <w:next w:val="a"/>
    <w:uiPriority w:val="39"/>
    <w:unhideWhenUsed/>
    <w:qFormat/>
    <w:rsid w:val="00A178AA"/>
    <w:pPr>
      <w:widowControl/>
      <w:spacing w:before="240" w:after="0" w:line="259" w:lineRule="auto"/>
      <w:jc w:val="left"/>
      <w:outlineLvl w:val="9"/>
    </w:pPr>
    <w:rPr>
      <w:kern w:val="0"/>
      <w:sz w:val="32"/>
      <w:szCs w:val="32"/>
      <w:lang w:val="en-US"/>
    </w:rPr>
  </w:style>
  <w:style w:type="paragraph" w:styleId="TOC1">
    <w:name w:val="toc 1"/>
    <w:basedOn w:val="a"/>
    <w:next w:val="a"/>
    <w:autoRedefine/>
    <w:uiPriority w:val="39"/>
    <w:unhideWhenUsed/>
    <w:rsid w:val="00F35F5F"/>
    <w:pPr>
      <w:tabs>
        <w:tab w:val="right" w:leader="dot" w:pos="8296"/>
      </w:tabs>
    </w:pPr>
    <w:rPr>
      <w:rFonts w:ascii="Times New Roman" w:hAnsi="Times New Roman" w:cs="Times New Roman"/>
      <w:b/>
      <w:bCs/>
      <w:noProof/>
    </w:rPr>
  </w:style>
  <w:style w:type="paragraph" w:styleId="TOC2">
    <w:name w:val="toc 2"/>
    <w:basedOn w:val="a"/>
    <w:next w:val="a"/>
    <w:autoRedefine/>
    <w:uiPriority w:val="39"/>
    <w:unhideWhenUsed/>
    <w:rsid w:val="00A178AA"/>
    <w:pPr>
      <w:ind w:leftChars="200" w:left="420"/>
    </w:pPr>
  </w:style>
  <w:style w:type="character" w:styleId="af">
    <w:name w:val="Hyperlink"/>
    <w:basedOn w:val="a0"/>
    <w:uiPriority w:val="99"/>
    <w:unhideWhenUsed/>
    <w:rsid w:val="00A178AA"/>
    <w:rPr>
      <w:color w:val="0563C1" w:themeColor="hyperlink"/>
      <w:u w:val="single"/>
    </w:rPr>
  </w:style>
  <w:style w:type="paragraph" w:styleId="af0">
    <w:name w:val="header"/>
    <w:basedOn w:val="a"/>
    <w:link w:val="af1"/>
    <w:uiPriority w:val="99"/>
    <w:unhideWhenUsed/>
    <w:rsid w:val="00EE2D8F"/>
    <w:pPr>
      <w:tabs>
        <w:tab w:val="center" w:pos="4153"/>
        <w:tab w:val="right" w:pos="8306"/>
      </w:tabs>
      <w:snapToGrid w:val="0"/>
      <w:jc w:val="center"/>
    </w:pPr>
    <w:rPr>
      <w:sz w:val="18"/>
      <w:szCs w:val="18"/>
    </w:rPr>
  </w:style>
  <w:style w:type="character" w:customStyle="1" w:styleId="af1">
    <w:name w:val="页眉 字符"/>
    <w:basedOn w:val="a0"/>
    <w:link w:val="af0"/>
    <w:uiPriority w:val="99"/>
    <w:rsid w:val="00EE2D8F"/>
    <w:rPr>
      <w:sz w:val="18"/>
      <w:szCs w:val="18"/>
      <w:lang w:val="en-GB"/>
    </w:rPr>
  </w:style>
  <w:style w:type="paragraph" w:styleId="af2">
    <w:name w:val="footer"/>
    <w:basedOn w:val="a"/>
    <w:link w:val="af3"/>
    <w:uiPriority w:val="99"/>
    <w:unhideWhenUsed/>
    <w:rsid w:val="00EE2D8F"/>
    <w:pPr>
      <w:tabs>
        <w:tab w:val="center" w:pos="4153"/>
        <w:tab w:val="right" w:pos="8306"/>
      </w:tabs>
      <w:snapToGrid w:val="0"/>
      <w:jc w:val="left"/>
    </w:pPr>
    <w:rPr>
      <w:sz w:val="18"/>
      <w:szCs w:val="18"/>
    </w:rPr>
  </w:style>
  <w:style w:type="character" w:customStyle="1" w:styleId="af3">
    <w:name w:val="页脚 字符"/>
    <w:basedOn w:val="a0"/>
    <w:link w:val="af2"/>
    <w:uiPriority w:val="99"/>
    <w:rsid w:val="00EE2D8F"/>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C410BF-69CC-40B7-B205-4D2C4D135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328</TotalTime>
  <Pages>19</Pages>
  <Words>4516</Words>
  <Characters>25746</Characters>
  <Application>Microsoft Office Word</Application>
  <DocSecurity>0</DocSecurity>
  <Lines>214</Lines>
  <Paragraphs>60</Paragraphs>
  <ScaleCrop>false</ScaleCrop>
  <Company/>
  <LinksUpToDate>false</LinksUpToDate>
  <CharactersWithSpaces>30202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孟洋 蒋</dc:creator>
  <cp:keywords/>
  <dc:description/>
  <cp:lastModifiedBy>孟洋 蒋</cp:lastModifiedBy>
  <cp:revision>53</cp:revision>
  <dcterms:created xsi:type="dcterms:W3CDTF">2026-03-26T21:32:00Z</dcterms:created>
  <dcterms:modified xsi:type="dcterms:W3CDTF">2026-03-27T02:59:00Z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zotero-version="8.0.4"&gt;&lt;session id="xkp6IQvp"/&gt;&lt;style id="http://www.zotero.org/styles/harvard-cite-them-right" locale="en-GB" hasBibliography="1" bibliographyStyleHasBeenSet="1"/&gt;&lt;prefs&gt;&lt;pref name="fieldType" value="Field"/&gt;&lt;pref n</vt:lpwstr>
  </property>
  <property fmtid="{D5CDD505-2E9C-101B-9397-08002B2CF9AE}" pid="3" name="ZOTERO_PREF_2">
    <vt:lpwstr>ame="automaticJournalAbbreviations" value="true"/&gt;&lt;/prefs&gt;&lt;/data&gt;</vt:lpwstr>
  </property>
</Properties>
</file>