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BB5C1C" w14:textId="77777777" w:rsidR="00C46B20" w:rsidRDefault="00C46B20" w:rsidP="00C46B20">
      <w:pPr>
        <w:jc w:val="center"/>
        <w:rPr>
          <w:b/>
          <w:bCs/>
          <w:sz w:val="52"/>
          <w:szCs w:val="52"/>
        </w:rPr>
      </w:pPr>
      <w:r>
        <w:rPr>
          <w:b/>
          <w:bCs/>
          <w:sz w:val="52"/>
          <w:szCs w:val="52"/>
        </w:rPr>
        <w:t>UNIVERSITY OF WALES</w:t>
      </w:r>
    </w:p>
    <w:p w14:paraId="68C94535" w14:textId="77777777" w:rsidR="00C46B20" w:rsidRDefault="00C46B20" w:rsidP="00C46B20">
      <w:pPr>
        <w:jc w:val="center"/>
        <w:rPr>
          <w:sz w:val="40"/>
          <w:szCs w:val="40"/>
        </w:rPr>
      </w:pPr>
      <w:r>
        <w:rPr>
          <w:sz w:val="40"/>
          <w:szCs w:val="40"/>
        </w:rPr>
        <w:t>TRINITY SAINT DAVID</w:t>
      </w:r>
    </w:p>
    <w:p w14:paraId="0C70F473" w14:textId="77777777" w:rsidR="00C46B20" w:rsidRDefault="00C46B20" w:rsidP="00C46B20">
      <w:pPr>
        <w:jc w:val="center"/>
        <w:rPr>
          <w:sz w:val="40"/>
          <w:szCs w:val="40"/>
        </w:rPr>
      </w:pPr>
    </w:p>
    <w:p w14:paraId="645EA35C" w14:textId="77777777" w:rsidR="00C46B20" w:rsidRDefault="00C46B20" w:rsidP="00C46B20">
      <w:pPr>
        <w:rPr>
          <w:sz w:val="40"/>
          <w:szCs w:val="40"/>
        </w:rPr>
      </w:pPr>
    </w:p>
    <w:p w14:paraId="1DADFA7C" w14:textId="77777777" w:rsidR="00C46B20" w:rsidRDefault="00C46B20" w:rsidP="00C46B20">
      <w:pPr>
        <w:jc w:val="center"/>
        <w:rPr>
          <w:sz w:val="40"/>
          <w:szCs w:val="40"/>
        </w:rPr>
      </w:pPr>
    </w:p>
    <w:p w14:paraId="366F1667" w14:textId="77777777" w:rsidR="00C46B20" w:rsidRDefault="00C46B20" w:rsidP="00C46B20">
      <w:pPr>
        <w:jc w:val="center"/>
        <w:rPr>
          <w:b/>
          <w:bCs/>
          <w:sz w:val="40"/>
          <w:szCs w:val="40"/>
        </w:rPr>
      </w:pPr>
      <w:r>
        <w:rPr>
          <w:b/>
          <w:bCs/>
          <w:sz w:val="40"/>
          <w:szCs w:val="40"/>
          <w:u w:val="single"/>
        </w:rPr>
        <w:t>MODULE: PERSONAL RESOURCING AND DEVELOPMENT BMIH5005</w:t>
      </w:r>
    </w:p>
    <w:p w14:paraId="507E8E19" w14:textId="18F430A6" w:rsidR="00C46B20" w:rsidRDefault="00C46B20" w:rsidP="00C46B20">
      <w:pPr>
        <w:jc w:val="center"/>
      </w:pPr>
      <w:r w:rsidRPr="00996F7C">
        <w:rPr>
          <w:b/>
          <w:bCs/>
        </w:rPr>
        <w:t>ASSIGNMENT</w:t>
      </w:r>
      <w:r>
        <w:rPr>
          <w:b/>
          <w:bCs/>
        </w:rPr>
        <w:t xml:space="preserve"> 1: Essay: Discuss how the evolution of HRM facilitates the strategic development of an international hotel brand through workforce planning recruitment and selection. </w:t>
      </w:r>
    </w:p>
    <w:p w14:paraId="221E3511" w14:textId="77777777" w:rsidR="00C46B20" w:rsidRDefault="00C46B20" w:rsidP="00C46B20"/>
    <w:p w14:paraId="7BE69ACC" w14:textId="77777777" w:rsidR="00C46B20" w:rsidRDefault="00C46B20" w:rsidP="00C46B20"/>
    <w:p w14:paraId="58CD8B34" w14:textId="77777777" w:rsidR="00C46B20" w:rsidRDefault="00C46B20" w:rsidP="00C46B20">
      <w:pPr>
        <w:jc w:val="center"/>
      </w:pPr>
    </w:p>
    <w:p w14:paraId="606236E9" w14:textId="77777777" w:rsidR="00C46B20" w:rsidRDefault="00C46B20" w:rsidP="00C46B20">
      <w:pPr>
        <w:jc w:val="center"/>
      </w:pPr>
    </w:p>
    <w:p w14:paraId="32E16D80" w14:textId="77777777" w:rsidR="00C46B20" w:rsidRDefault="00C46B20" w:rsidP="00C46B20">
      <w:pPr>
        <w:jc w:val="center"/>
      </w:pPr>
    </w:p>
    <w:p w14:paraId="0D328DB6" w14:textId="77777777" w:rsidR="00C46B20" w:rsidRDefault="00C46B20" w:rsidP="00C46B20">
      <w:pPr>
        <w:jc w:val="center"/>
      </w:pPr>
    </w:p>
    <w:p w14:paraId="3E70376D" w14:textId="77777777" w:rsidR="00C46B20" w:rsidRDefault="00C46B20" w:rsidP="00C46B20">
      <w:pPr>
        <w:jc w:val="center"/>
      </w:pPr>
    </w:p>
    <w:p w14:paraId="67733A29" w14:textId="77777777" w:rsidR="00C46B20" w:rsidRDefault="00C46B20" w:rsidP="00C46B20"/>
    <w:p w14:paraId="4A8B15D4" w14:textId="77777777" w:rsidR="00C46B20" w:rsidRPr="0055610B" w:rsidRDefault="00C46B20" w:rsidP="00C46B20">
      <w:pPr>
        <w:rPr>
          <w:b/>
          <w:bCs/>
        </w:rPr>
      </w:pPr>
      <w:r w:rsidRPr="0055610B">
        <w:rPr>
          <w:b/>
          <w:bCs/>
        </w:rPr>
        <w:t xml:space="preserve"> </w:t>
      </w:r>
      <w:r w:rsidRPr="00A15EF4">
        <w:rPr>
          <w:b/>
          <w:bCs/>
        </w:rPr>
        <w:t>MODULE LEAD:</w:t>
      </w:r>
      <w:r>
        <w:rPr>
          <w:b/>
          <w:bCs/>
        </w:rPr>
        <w:t xml:space="preserve"> HELEN LEE</w:t>
      </w:r>
      <w:r w:rsidRPr="0055610B">
        <w:rPr>
          <w:b/>
          <w:bCs/>
        </w:rPr>
        <w:t xml:space="preserve">    </w:t>
      </w:r>
      <w:r>
        <w:rPr>
          <w:b/>
          <w:bCs/>
        </w:rPr>
        <w:t xml:space="preserve">                                                                </w:t>
      </w:r>
      <w:r w:rsidRPr="0055610B">
        <w:rPr>
          <w:b/>
          <w:bCs/>
        </w:rPr>
        <w:t>Student name: KALLE Clement DITO</w:t>
      </w:r>
      <w:r>
        <w:rPr>
          <w:b/>
          <w:bCs/>
        </w:rPr>
        <w:t>U</w:t>
      </w:r>
    </w:p>
    <w:p w14:paraId="54D1452C" w14:textId="77777777" w:rsidR="00C46B20" w:rsidRDefault="00C46B20" w:rsidP="00C46B20">
      <w:pPr>
        <w:spacing w:line="360" w:lineRule="auto"/>
        <w:jc w:val="both"/>
        <w:rPr>
          <w:rFonts w:ascii="Arial" w:hAnsi="Arial" w:cs="Arial"/>
          <w:b/>
          <w:sz w:val="24"/>
          <w:szCs w:val="24"/>
        </w:rPr>
      </w:pPr>
      <w:r>
        <w:rPr>
          <w:b/>
          <w:bCs/>
        </w:rPr>
        <w:t xml:space="preserve">                                                                                                                                 </w:t>
      </w:r>
      <w:r w:rsidRPr="0055610B">
        <w:rPr>
          <w:b/>
          <w:bCs/>
        </w:rPr>
        <w:t xml:space="preserve">Student Number: </w:t>
      </w:r>
      <w:hyperlink r:id="rId4" w:history="1">
        <w:r w:rsidRPr="0055610B">
          <w:rPr>
            <w:rStyle w:val="Hyperlink"/>
            <w:b/>
            <w:bCs/>
          </w:rPr>
          <w:t>2029083</w:t>
        </w:r>
      </w:hyperlink>
    </w:p>
    <w:p w14:paraId="7B579D0C" w14:textId="77777777" w:rsidR="00C46B20" w:rsidRDefault="00C46B20" w:rsidP="00C46B20">
      <w:pPr>
        <w:spacing w:line="360" w:lineRule="auto"/>
        <w:jc w:val="both"/>
        <w:rPr>
          <w:rFonts w:ascii="Arial" w:hAnsi="Arial" w:cs="Arial"/>
          <w:b/>
          <w:sz w:val="24"/>
          <w:szCs w:val="24"/>
        </w:rPr>
      </w:pPr>
    </w:p>
    <w:p w14:paraId="591F28D7" w14:textId="77777777" w:rsidR="00C46B20" w:rsidRDefault="00C46B20" w:rsidP="00FE30FA">
      <w:pPr>
        <w:spacing w:line="360" w:lineRule="auto"/>
        <w:jc w:val="center"/>
        <w:rPr>
          <w:rFonts w:ascii="Arial" w:hAnsi="Arial" w:cs="Arial"/>
          <w:b/>
          <w:sz w:val="24"/>
          <w:szCs w:val="24"/>
        </w:rPr>
      </w:pPr>
    </w:p>
    <w:p w14:paraId="327BCFF2" w14:textId="77777777" w:rsidR="00C46B20" w:rsidRDefault="00C46B20" w:rsidP="00FE30FA">
      <w:pPr>
        <w:spacing w:line="360" w:lineRule="auto"/>
        <w:jc w:val="center"/>
        <w:rPr>
          <w:rFonts w:ascii="Arial" w:hAnsi="Arial" w:cs="Arial"/>
          <w:b/>
          <w:sz w:val="24"/>
          <w:szCs w:val="24"/>
        </w:rPr>
      </w:pPr>
    </w:p>
    <w:p w14:paraId="2D3ED1C1" w14:textId="276E9A38" w:rsidR="00FE30FA" w:rsidRPr="0081372D" w:rsidRDefault="00FE30FA" w:rsidP="00FE30FA">
      <w:pPr>
        <w:spacing w:line="360" w:lineRule="auto"/>
        <w:jc w:val="center"/>
        <w:rPr>
          <w:rFonts w:ascii="Arial" w:hAnsi="Arial" w:cs="Arial"/>
          <w:b/>
          <w:sz w:val="24"/>
          <w:szCs w:val="24"/>
        </w:rPr>
      </w:pPr>
      <w:r>
        <w:rPr>
          <w:rFonts w:ascii="Arial" w:hAnsi="Arial" w:cs="Arial"/>
          <w:b/>
          <w:sz w:val="24"/>
          <w:szCs w:val="24"/>
        </w:rPr>
        <w:lastRenderedPageBreak/>
        <w:t>DISCUSS HOEW THE EVOLUTION OF HMR FACILITATES THE STRATEGIC DEVELOPMENT OF AN INTERNATIONAL HOTEL BRAND THROUGH WORKFORCE PLANNING, RECRUITMENT AND SELECTION</w:t>
      </w:r>
    </w:p>
    <w:p w14:paraId="190C7566" w14:textId="28E02F78" w:rsidR="00817E1A" w:rsidRPr="00FE30FA" w:rsidRDefault="00F769DB" w:rsidP="00FE30FA">
      <w:pPr>
        <w:spacing w:after="0" w:line="360" w:lineRule="auto"/>
        <w:jc w:val="both"/>
        <w:rPr>
          <w:rFonts w:ascii="Arial" w:eastAsia="Times New Roman" w:hAnsi="Arial" w:cs="Arial"/>
          <w:sz w:val="24"/>
          <w:szCs w:val="24"/>
          <w:lang w:eastAsia="en-US"/>
        </w:rPr>
      </w:pPr>
      <w:r w:rsidRPr="0081372D">
        <w:rPr>
          <w:rFonts w:ascii="Arial" w:eastAsia="Times New Roman" w:hAnsi="Arial" w:cs="Arial"/>
          <w:sz w:val="24"/>
          <w:szCs w:val="24"/>
          <w:lang w:eastAsia="en-US"/>
        </w:rPr>
        <w:t>This article will go over how Six Senses Hotel Resorts and Spa's strategic development is facilitated by the advancement of human resources management. International hotel chain Six Senses is renowned for its dedication to sustainability, wellness initiatives, and leadership position among high-end hotel companies globally. The paper will examine Six sense Human resource management, including recruiting, selection, and workforce planning. We must first define human resources in order to comprehend human resources management. Human resources encompass not just the workforce of a company like Six Sense but also the division in charge of overseeing each employee's tenure i</w:t>
      </w:r>
      <w:r w:rsidR="00E16CB2">
        <w:rPr>
          <w:rFonts w:ascii="Arial" w:eastAsia="Times New Roman" w:hAnsi="Arial" w:cs="Arial"/>
          <w:sz w:val="24"/>
          <w:szCs w:val="24"/>
          <w:lang w:eastAsia="en-US"/>
        </w:rPr>
        <w:t>nside the company</w:t>
      </w:r>
      <w:r w:rsidRPr="0081372D">
        <w:rPr>
          <w:rFonts w:ascii="Arial" w:eastAsia="Times New Roman" w:hAnsi="Arial" w:cs="Arial"/>
          <w:sz w:val="24"/>
          <w:szCs w:val="24"/>
          <w:lang w:eastAsia="en-US"/>
        </w:rPr>
        <w:t xml:space="preserve">. </w:t>
      </w:r>
      <w:r w:rsidR="00296BDE" w:rsidRPr="00296BDE">
        <w:rPr>
          <w:rFonts w:ascii="Arial" w:eastAsia="Times New Roman" w:hAnsi="Arial" w:cs="Arial"/>
          <w:sz w:val="24"/>
          <w:szCs w:val="24"/>
          <w:lang w:eastAsia="en-US"/>
        </w:rPr>
        <w:t>Conversely, human resource management entails coordinating between individuals and organizations to guarantee that shared goals are met (Armstrong and Taylor, 2020). It includes a section of management devoted to the company's human resources with the goal of obtaining the full cooperation of staff members in order to extract maximum performance from them (</w:t>
      </w:r>
      <w:proofErr w:type="spellStart"/>
      <w:r w:rsidR="00296BDE" w:rsidRPr="00296BDE">
        <w:rPr>
          <w:rFonts w:ascii="Arial" w:eastAsia="Times New Roman" w:hAnsi="Arial" w:cs="Arial"/>
          <w:sz w:val="24"/>
          <w:szCs w:val="24"/>
          <w:lang w:eastAsia="en-US"/>
        </w:rPr>
        <w:t>Mahapatro</w:t>
      </w:r>
      <w:proofErr w:type="spellEnd"/>
      <w:r w:rsidR="00296BDE" w:rsidRPr="00296BDE">
        <w:rPr>
          <w:rFonts w:ascii="Arial" w:eastAsia="Times New Roman" w:hAnsi="Arial" w:cs="Arial"/>
          <w:sz w:val="24"/>
          <w:szCs w:val="24"/>
          <w:lang w:eastAsia="en-US"/>
        </w:rPr>
        <w:t>., 2021; Nuraini, 2023). Additionally, the easy will examine the selection procedure and the role of human resources. The several tasks that a company performs to oversee its employees are included in the Human Resources Functions.</w:t>
      </w:r>
      <w:r w:rsidR="0081372D">
        <w:rPr>
          <w:rFonts w:ascii="Arial" w:eastAsia="Times New Roman" w:hAnsi="Arial" w:cs="Arial"/>
          <w:sz w:val="24"/>
          <w:szCs w:val="24"/>
          <w:lang w:eastAsia="en-US"/>
        </w:rPr>
        <w:t xml:space="preserve"> </w:t>
      </w:r>
      <w:r w:rsidR="00296BDE" w:rsidRPr="0081372D">
        <w:rPr>
          <w:rFonts w:ascii="Arial" w:eastAsia="Times New Roman" w:hAnsi="Arial" w:cs="Arial"/>
          <w:sz w:val="24"/>
          <w:szCs w:val="24"/>
          <w:lang w:eastAsia="en-US"/>
        </w:rPr>
        <w:t>Recruitment, selection, training, development, pay, and perks are some of these duties. To accomplish its aims and objectives, each business must successfully carry out these tasks. Organizations must guarantee that their staff is handled successfully and efficiently by putting in place a well-defined Human Resources plan (Shakir, 2024).</w:t>
      </w:r>
    </w:p>
    <w:p w14:paraId="0E008733" w14:textId="77777777" w:rsidR="00296BDE" w:rsidRPr="0081372D" w:rsidRDefault="00296BDE" w:rsidP="0081372D">
      <w:pPr>
        <w:spacing w:after="0" w:line="360" w:lineRule="auto"/>
        <w:jc w:val="both"/>
        <w:rPr>
          <w:rFonts w:ascii="Arial" w:hAnsi="Arial" w:cs="Arial"/>
          <w:sz w:val="24"/>
          <w:szCs w:val="24"/>
          <w:lang w:eastAsia="en-US"/>
        </w:rPr>
      </w:pPr>
      <w:r w:rsidRPr="0081372D">
        <w:rPr>
          <w:rFonts w:ascii="Arial" w:hAnsi="Arial" w:cs="Arial"/>
          <w:sz w:val="24"/>
          <w:szCs w:val="24"/>
        </w:rPr>
        <w:t>As the name suggests, human resource management, or HRM, is "focused on all facets of employee employment and management within organizations." (Armstrong and Taylor, 2020).  Learning and development, performance and reward management, employee relations, employee well-being, and the provision of employee services are all included. Resourcing (workforce planning, recruitment and selection, and talent management) and human capital management, knowledge management, corporate social responsibility, and organizatio</w:t>
      </w:r>
      <w:r w:rsidR="0081372D">
        <w:rPr>
          <w:rFonts w:ascii="Arial" w:hAnsi="Arial" w:cs="Arial"/>
          <w:sz w:val="24"/>
          <w:szCs w:val="24"/>
        </w:rPr>
        <w:t>n development are also covered</w:t>
      </w:r>
      <w:r w:rsidRPr="0081372D">
        <w:rPr>
          <w:rFonts w:ascii="Arial" w:hAnsi="Arial" w:cs="Arial"/>
          <w:sz w:val="24"/>
          <w:szCs w:val="24"/>
        </w:rPr>
        <w:t xml:space="preserve"> </w:t>
      </w:r>
      <w:r w:rsidR="00F769DB" w:rsidRPr="0081372D">
        <w:rPr>
          <w:rFonts w:ascii="Arial" w:hAnsi="Arial" w:cs="Arial"/>
          <w:sz w:val="24"/>
          <w:szCs w:val="24"/>
        </w:rPr>
        <w:t xml:space="preserve">(Armstrong and Taylor, 2020). </w:t>
      </w:r>
      <w:r w:rsidRPr="0081372D">
        <w:rPr>
          <w:rFonts w:ascii="Arial" w:eastAsia="Times New Roman" w:hAnsi="Arial" w:cs="Arial"/>
          <w:sz w:val="24"/>
          <w:szCs w:val="24"/>
          <w:lang w:eastAsia="en-US"/>
        </w:rPr>
        <w:t xml:space="preserve">It is impossible to overstate the importance of human resource management to the growth </w:t>
      </w:r>
      <w:r w:rsidRPr="0081372D">
        <w:rPr>
          <w:rFonts w:ascii="Arial" w:eastAsia="Times New Roman" w:hAnsi="Arial" w:cs="Arial"/>
          <w:sz w:val="24"/>
          <w:szCs w:val="24"/>
          <w:lang w:eastAsia="en-US"/>
        </w:rPr>
        <w:lastRenderedPageBreak/>
        <w:t xml:space="preserve">and success of a business as it is essential to these processes (Torrington </w:t>
      </w:r>
      <w:r w:rsidRPr="009A3C02">
        <w:rPr>
          <w:rFonts w:ascii="Arial" w:eastAsia="Times New Roman" w:hAnsi="Arial" w:cs="Arial"/>
          <w:i/>
          <w:sz w:val="24"/>
          <w:szCs w:val="24"/>
          <w:lang w:eastAsia="en-US"/>
        </w:rPr>
        <w:t>et al.,</w:t>
      </w:r>
      <w:r w:rsidRPr="0081372D">
        <w:rPr>
          <w:rFonts w:ascii="Arial" w:eastAsia="Times New Roman" w:hAnsi="Arial" w:cs="Arial"/>
          <w:sz w:val="24"/>
          <w:szCs w:val="24"/>
          <w:lang w:eastAsia="en-US"/>
        </w:rPr>
        <w:t xml:space="preserve"> 2020). Six Senses Hotel Resorts and Spa is aware of this and knows that effective management of human resources is critical to the organization's growth and development into a successful standard setter among its rivals. </w:t>
      </w:r>
      <w:proofErr w:type="spellStart"/>
      <w:r w:rsidRPr="0081372D">
        <w:rPr>
          <w:rFonts w:ascii="Arial" w:eastAsia="Times New Roman" w:hAnsi="Arial" w:cs="Arial"/>
          <w:sz w:val="24"/>
          <w:szCs w:val="24"/>
          <w:lang w:eastAsia="en-US"/>
        </w:rPr>
        <w:t>Carlbäck</w:t>
      </w:r>
      <w:proofErr w:type="spellEnd"/>
      <w:r w:rsidRPr="0081372D">
        <w:rPr>
          <w:rFonts w:ascii="Arial" w:eastAsia="Times New Roman" w:hAnsi="Arial" w:cs="Arial"/>
          <w:sz w:val="24"/>
          <w:szCs w:val="24"/>
          <w:lang w:eastAsia="en-US"/>
        </w:rPr>
        <w:t xml:space="preserve"> </w:t>
      </w:r>
      <w:r w:rsidRPr="0081372D">
        <w:rPr>
          <w:rFonts w:ascii="Arial" w:eastAsia="Times New Roman" w:hAnsi="Arial" w:cs="Arial"/>
          <w:i/>
          <w:sz w:val="24"/>
          <w:szCs w:val="24"/>
          <w:lang w:eastAsia="en-US"/>
        </w:rPr>
        <w:t>et al.</w:t>
      </w:r>
      <w:r w:rsidRPr="0081372D">
        <w:rPr>
          <w:rFonts w:ascii="Arial" w:eastAsia="Times New Roman" w:hAnsi="Arial" w:cs="Arial"/>
          <w:sz w:val="24"/>
          <w:szCs w:val="24"/>
          <w:lang w:eastAsia="en-US"/>
        </w:rPr>
        <w:t xml:space="preserve"> (2024) state that in order to succeed in the hospitality sector, it is essential to take into account a number of critical variables, such as knowing the fundamentals of human resource management and how information may be utilized to better understand what needs to be done.</w:t>
      </w:r>
    </w:p>
    <w:p w14:paraId="454F6B65" w14:textId="77777777" w:rsidR="00296BDE" w:rsidRPr="00296BDE" w:rsidRDefault="00296BDE" w:rsidP="0081372D">
      <w:pPr>
        <w:spacing w:after="0" w:line="360" w:lineRule="auto"/>
        <w:jc w:val="both"/>
        <w:rPr>
          <w:rFonts w:ascii="Arial" w:eastAsia="Times New Roman" w:hAnsi="Arial" w:cs="Arial"/>
          <w:sz w:val="24"/>
          <w:szCs w:val="24"/>
          <w:lang w:eastAsia="en-US"/>
        </w:rPr>
      </w:pPr>
      <w:r w:rsidRPr="00296BDE">
        <w:rPr>
          <w:rFonts w:ascii="Arial" w:eastAsia="Times New Roman" w:hAnsi="Arial" w:cs="Arial"/>
          <w:sz w:val="24"/>
          <w:szCs w:val="24"/>
          <w:lang w:eastAsia="en-US"/>
        </w:rPr>
        <w:t>Over the years, there has been an impressive and discernible development in the field of human resources management. Personnel departments, for example, had more of an administrative function in the late 1990s, handling payroll processing, distributing insurance registration forms to employees, and accepting applications. But during the ensuing decades, people administration started to have a greater say in the organization's overarching commercial objectives. Businesses started hiring HR directors with strategic management experience. Human resources managers are now in charge of creating strategic answers to employment-related issues that have an impact on the organization's capacity to achieve its performance and productivity targets. Personnel administration gave way to human resources management (</w:t>
      </w:r>
      <w:proofErr w:type="spellStart"/>
      <w:r w:rsidRPr="00296BDE">
        <w:rPr>
          <w:rFonts w:ascii="Arial" w:eastAsia="Times New Roman" w:hAnsi="Arial" w:cs="Arial"/>
          <w:sz w:val="24"/>
          <w:szCs w:val="24"/>
          <w:lang w:eastAsia="en-US"/>
        </w:rPr>
        <w:t>Paramansyah</w:t>
      </w:r>
      <w:proofErr w:type="spellEnd"/>
      <w:r w:rsidRPr="00296BDE">
        <w:rPr>
          <w:rFonts w:ascii="Arial" w:eastAsia="Times New Roman" w:hAnsi="Arial" w:cs="Arial"/>
          <w:sz w:val="24"/>
          <w:szCs w:val="24"/>
          <w:lang w:eastAsia="en-US"/>
        </w:rPr>
        <w:t xml:space="preserve"> 2021).</w:t>
      </w:r>
    </w:p>
    <w:p w14:paraId="12D7E08E" w14:textId="77777777" w:rsidR="00296BDE" w:rsidRPr="00296BDE" w:rsidRDefault="00296BDE" w:rsidP="0081372D">
      <w:pPr>
        <w:spacing w:after="0" w:line="360" w:lineRule="auto"/>
        <w:jc w:val="both"/>
        <w:rPr>
          <w:rFonts w:ascii="Arial" w:eastAsia="Times New Roman" w:hAnsi="Arial" w:cs="Arial"/>
          <w:sz w:val="24"/>
          <w:szCs w:val="24"/>
          <w:lang w:eastAsia="en-US"/>
        </w:rPr>
      </w:pPr>
      <w:r w:rsidRPr="0081372D">
        <w:rPr>
          <w:rFonts w:ascii="Arial" w:eastAsia="Times New Roman" w:hAnsi="Arial" w:cs="Arial"/>
          <w:sz w:val="24"/>
          <w:szCs w:val="24"/>
          <w:lang w:eastAsia="en-US"/>
        </w:rPr>
        <w:t>This did not mark the end of the evolution of human resources, as there has been a significant revolution in the role of human resource management (HRM) in recent years. HRM plays a strategic role in the day-to-day operations of businesses, ensuring that goals are met. The primary objectives of HRM have shifted to creating a positive corporate culture, and HR practitioners are now expected to take on the role of strategic partners, contributing to decision-making and handling personnel management concerns. Fundamental changes in the company environment are the reason behind the growing significance of HRM participation (</w:t>
      </w:r>
      <w:proofErr w:type="spellStart"/>
      <w:r w:rsidRPr="0081372D">
        <w:rPr>
          <w:rFonts w:ascii="Arial" w:eastAsia="Times New Roman" w:hAnsi="Arial" w:cs="Arial"/>
          <w:sz w:val="24"/>
          <w:szCs w:val="24"/>
          <w:lang w:eastAsia="en-US"/>
        </w:rPr>
        <w:t>Aljarrah</w:t>
      </w:r>
      <w:proofErr w:type="spellEnd"/>
      <w:r w:rsidRPr="0081372D">
        <w:rPr>
          <w:rFonts w:ascii="Arial" w:eastAsia="Times New Roman" w:hAnsi="Arial" w:cs="Arial"/>
          <w:sz w:val="24"/>
          <w:szCs w:val="24"/>
          <w:lang w:eastAsia="en-US"/>
        </w:rPr>
        <w:t xml:space="preserve">, 2021; Lackie and Tomblin, 2020). </w:t>
      </w:r>
      <w:r w:rsidRPr="00296BDE">
        <w:rPr>
          <w:rFonts w:ascii="Arial" w:eastAsia="Times New Roman" w:hAnsi="Arial" w:cs="Arial"/>
          <w:sz w:val="24"/>
          <w:szCs w:val="24"/>
          <w:lang w:eastAsia="en-US"/>
        </w:rPr>
        <w:t xml:space="preserve">These changes include the quickening pace of business transformation with high levels of uncertainty, growing expenses and growing competitive pressure on profit margins, quickening technological change resulting in a rise in the need for new skills through education, retraining, and empowerment, and increased complexity of the organization. Human resources managers also took on the responsibility of leveraging data analytics and technology to improve HR practices and increase organizational performance. The </w:t>
      </w:r>
      <w:r w:rsidRPr="00296BDE">
        <w:rPr>
          <w:rFonts w:ascii="Arial" w:eastAsia="Times New Roman" w:hAnsi="Arial" w:cs="Arial"/>
          <w:sz w:val="24"/>
          <w:szCs w:val="24"/>
          <w:lang w:eastAsia="en-US"/>
        </w:rPr>
        <w:lastRenderedPageBreak/>
        <w:t>dynamic nature of human resource management underscores the need of attaining organizational triumph via effective approaches to personnel sourcing, development, and retention.</w:t>
      </w:r>
    </w:p>
    <w:p w14:paraId="7ECE5969" w14:textId="77777777" w:rsidR="00296BDE" w:rsidRPr="00296BDE" w:rsidRDefault="00296BDE" w:rsidP="0081372D">
      <w:pPr>
        <w:spacing w:after="0" w:line="360" w:lineRule="auto"/>
        <w:jc w:val="both"/>
        <w:rPr>
          <w:rFonts w:ascii="Arial" w:eastAsia="Times New Roman" w:hAnsi="Arial" w:cs="Arial"/>
          <w:sz w:val="24"/>
          <w:szCs w:val="24"/>
          <w:lang w:eastAsia="en-US"/>
        </w:rPr>
      </w:pPr>
      <w:r w:rsidRPr="00296BDE">
        <w:rPr>
          <w:rFonts w:ascii="Arial" w:eastAsia="Times New Roman" w:hAnsi="Arial" w:cs="Arial"/>
          <w:sz w:val="24"/>
          <w:szCs w:val="24"/>
          <w:lang w:eastAsia="en-US"/>
        </w:rPr>
        <w:t>Six Senses' HR division has developed further as the organization's need for HR has grown, moving from merely responding to events to forecasting labor supply and demand, goal-setting, strategic planning, and the execution and assessment of programs. They have become a worldwide leader in the hotel sector by using six sense to not only respond to technical, social, and economic changes but also to anticipate them and positi</w:t>
      </w:r>
      <w:r w:rsidR="00F30A7E">
        <w:rPr>
          <w:rFonts w:ascii="Arial" w:eastAsia="Times New Roman" w:hAnsi="Arial" w:cs="Arial"/>
          <w:sz w:val="24"/>
          <w:szCs w:val="24"/>
          <w:lang w:eastAsia="en-US"/>
        </w:rPr>
        <w:t xml:space="preserve">on the company to compete (Sari, </w:t>
      </w:r>
      <w:r w:rsidRPr="00296BDE">
        <w:rPr>
          <w:rFonts w:ascii="Arial" w:eastAsia="Times New Roman" w:hAnsi="Arial" w:cs="Arial"/>
          <w:sz w:val="24"/>
          <w:szCs w:val="24"/>
          <w:lang w:eastAsia="en-US"/>
        </w:rPr>
        <w:t xml:space="preserve">2022). The HR department of Six Senses is crucial to ensuring worker happiness and raising output and performance. Having the appropriate person in the right role is the first objective for every firm when they are starting to envision their business. This involves hiring competent workers. </w:t>
      </w:r>
    </w:p>
    <w:p w14:paraId="4D490954" w14:textId="77777777" w:rsidR="00296BDE" w:rsidRPr="00296BDE" w:rsidRDefault="00296BDE" w:rsidP="0081372D">
      <w:pPr>
        <w:spacing w:after="0" w:line="360" w:lineRule="auto"/>
        <w:jc w:val="both"/>
        <w:rPr>
          <w:rFonts w:ascii="Arial" w:eastAsia="Times New Roman" w:hAnsi="Arial" w:cs="Arial"/>
          <w:sz w:val="24"/>
          <w:szCs w:val="24"/>
          <w:lang w:eastAsia="en-US"/>
        </w:rPr>
      </w:pPr>
      <w:r w:rsidRPr="00296BDE">
        <w:rPr>
          <w:rFonts w:ascii="Arial" w:eastAsia="Times New Roman" w:hAnsi="Arial" w:cs="Arial"/>
          <w:sz w:val="24"/>
          <w:szCs w:val="24"/>
          <w:lang w:eastAsia="en-US"/>
        </w:rPr>
        <w:t>This is true for Six Senses Hotel Resorts and Spa because, as a hospitality brand, they also understand how to blend the realities of the new generation of talent with the current uncertain, complex, and ambiguous working environment. They make sure that the talent acquisition process guarantees that the organization has the necessary personnel, in the right numbers and quality (Sabrina, 2021). Facilitating the maximum degree of staff productivity is Six Senses Human Resource Management's team's top focus. This is comparable to Suryani's (2020) study, which states that increased employee productivity is the main goal of HRM. HRM functions have taken on a more strategic role in order to guarantee the accomplishment of organizational objectives.</w:t>
      </w:r>
    </w:p>
    <w:p w14:paraId="05F7C2D8" w14:textId="77777777" w:rsidR="00296BDE" w:rsidRPr="00296BDE" w:rsidRDefault="00296BDE" w:rsidP="0081372D">
      <w:pPr>
        <w:spacing w:after="0" w:line="360" w:lineRule="auto"/>
        <w:jc w:val="both"/>
        <w:rPr>
          <w:rFonts w:ascii="Arial" w:eastAsia="Times New Roman" w:hAnsi="Arial" w:cs="Arial"/>
          <w:sz w:val="24"/>
          <w:szCs w:val="24"/>
          <w:lang w:eastAsia="en-US"/>
        </w:rPr>
      </w:pPr>
      <w:r w:rsidRPr="00296BDE">
        <w:rPr>
          <w:rFonts w:ascii="Arial" w:eastAsia="Times New Roman" w:hAnsi="Arial" w:cs="Arial"/>
          <w:sz w:val="24"/>
          <w:szCs w:val="24"/>
          <w:lang w:eastAsia="en-US"/>
        </w:rPr>
        <w:t xml:space="preserve">While there isn't a single, universally applicable model for strategic HRM, Six Senses Hotel has implemented three primary types of strategies that, depending on the situation, can serve as useful supplements to the HRM framework. These three strategies are invention, reinforcement, and change. The change strategy aims to take a current HR policy in a new direction without starting from scratch. Six Senses Hotel has used change methods to support their worldwide company development by strengthening their weak areas and increasing productivity. </w:t>
      </w:r>
    </w:p>
    <w:p w14:paraId="0CFA9E75" w14:textId="77777777" w:rsidR="00296BDE" w:rsidRPr="00296BDE" w:rsidRDefault="00296BDE" w:rsidP="0081372D">
      <w:pPr>
        <w:spacing w:after="0" w:line="360" w:lineRule="auto"/>
        <w:jc w:val="both"/>
        <w:rPr>
          <w:rFonts w:ascii="Arial" w:eastAsia="Times New Roman" w:hAnsi="Arial" w:cs="Arial"/>
          <w:sz w:val="24"/>
          <w:szCs w:val="24"/>
          <w:lang w:eastAsia="en-US"/>
        </w:rPr>
      </w:pPr>
      <w:r w:rsidRPr="00296BDE">
        <w:rPr>
          <w:rFonts w:ascii="Arial" w:eastAsia="Times New Roman" w:hAnsi="Arial" w:cs="Arial"/>
          <w:sz w:val="24"/>
          <w:szCs w:val="24"/>
          <w:lang w:eastAsia="en-US"/>
        </w:rPr>
        <w:t xml:space="preserve">Instead of merely employing employees and dispatching them to different places, the company stressed and enhanced the requirement that employees be location-specific. In this manner, the majority of employees employed for each hotel will be familiar with the </w:t>
      </w:r>
      <w:r w:rsidRPr="00296BDE">
        <w:rPr>
          <w:rFonts w:ascii="Arial" w:eastAsia="Times New Roman" w:hAnsi="Arial" w:cs="Arial"/>
          <w:sz w:val="24"/>
          <w:szCs w:val="24"/>
          <w:lang w:eastAsia="en-US"/>
        </w:rPr>
        <w:lastRenderedPageBreak/>
        <w:t>area. This developed into a cost advantage over employing and deploying employees to these kinds of places. On the other hand, an enforcement strategy aims to fortify current procedures and guidelines that have been found to be effective. For example, it may help the business attract and retain remote talent by forming a partnership with a multinational payroll provider to guarantee that your remote employees are compensated effectively and fairly. Last but not least, the innovation plan calls for the adoption of wholly unique concepts and procedures. Six Senses has effectively implemented these techniques because they recognize that in order to accomplish corporate goals, human resources management must be strategic and involve an effective planning process.</w:t>
      </w:r>
    </w:p>
    <w:p w14:paraId="059D94A5" w14:textId="77777777" w:rsidR="002D19E9" w:rsidRPr="002D19E9" w:rsidRDefault="002D19E9" w:rsidP="0081372D">
      <w:pPr>
        <w:spacing w:after="0" w:line="360" w:lineRule="auto"/>
        <w:jc w:val="both"/>
        <w:rPr>
          <w:rFonts w:ascii="Arial" w:eastAsia="Times New Roman" w:hAnsi="Arial" w:cs="Arial"/>
          <w:sz w:val="24"/>
          <w:szCs w:val="24"/>
          <w:lang w:eastAsia="en-US"/>
        </w:rPr>
      </w:pPr>
      <w:r w:rsidRPr="002D19E9">
        <w:rPr>
          <w:rFonts w:ascii="Arial" w:eastAsia="Times New Roman" w:hAnsi="Arial" w:cs="Arial"/>
          <w:sz w:val="24"/>
          <w:szCs w:val="24"/>
          <w:lang w:eastAsia="en-US"/>
        </w:rPr>
        <w:t>Planning for strategic human resources is crucial to ensuring that businesses can adjust to the ever-changing environment and use the modern era to drive innovation and growth (</w:t>
      </w:r>
      <w:proofErr w:type="spellStart"/>
      <w:r w:rsidRPr="002D19E9">
        <w:rPr>
          <w:rFonts w:ascii="Arial" w:eastAsia="Times New Roman" w:hAnsi="Arial" w:cs="Arial"/>
          <w:sz w:val="24"/>
          <w:szCs w:val="24"/>
          <w:lang w:eastAsia="en-US"/>
        </w:rPr>
        <w:t>Vardarlier</w:t>
      </w:r>
      <w:proofErr w:type="spellEnd"/>
      <w:r w:rsidRPr="002D19E9">
        <w:rPr>
          <w:rFonts w:ascii="Arial" w:eastAsia="Times New Roman" w:hAnsi="Arial" w:cs="Arial"/>
          <w:sz w:val="24"/>
          <w:szCs w:val="24"/>
          <w:lang w:eastAsia="en-US"/>
        </w:rPr>
        <w:t>, 2020). Strategic human resource management is essential to enabling Six Sensations to adapt quickly to the digital transformation through well-considered processes. Human resource planning is not only the president of the HR department's responsibility at Six Senses Hotel; the entire department management team plans needs and tasks based on personnel availability in accordance with the organization's advancement and previously established process (Jawaad., 2019; Tambe., 2019). Six Sense has adopted a procedure that is comparable to what is found in literature as managers attempt to make sure they have chosen the appropriate number of workers and that they meet specific requirements based on the demands of the work that needs to be done at a given time in order to complete the stages of implementing organizational plans (</w:t>
      </w:r>
      <w:proofErr w:type="spellStart"/>
      <w:r w:rsidR="00E16CB2" w:rsidRPr="00535E04">
        <w:rPr>
          <w:rFonts w:ascii="Arial" w:hAnsi="Arial" w:cs="Arial"/>
          <w:sz w:val="24"/>
          <w:szCs w:val="24"/>
        </w:rPr>
        <w:t>Idrus</w:t>
      </w:r>
      <w:proofErr w:type="spellEnd"/>
      <w:r w:rsidR="00E16CB2">
        <w:rPr>
          <w:rFonts w:ascii="Arial" w:eastAsia="Times New Roman" w:hAnsi="Arial" w:cs="Arial"/>
          <w:sz w:val="24"/>
          <w:szCs w:val="24"/>
          <w:lang w:eastAsia="en-US"/>
        </w:rPr>
        <w:t xml:space="preserve"> 2023</w:t>
      </w:r>
      <w:r w:rsidRPr="002D19E9">
        <w:rPr>
          <w:rFonts w:ascii="Arial" w:eastAsia="Times New Roman" w:hAnsi="Arial" w:cs="Arial"/>
          <w:sz w:val="24"/>
          <w:szCs w:val="24"/>
          <w:lang w:eastAsia="en-US"/>
        </w:rPr>
        <w:t xml:space="preserve">). </w:t>
      </w:r>
    </w:p>
    <w:p w14:paraId="095C42E1" w14:textId="77777777" w:rsidR="002D19E9" w:rsidRPr="002D19E9" w:rsidRDefault="002D19E9" w:rsidP="0081372D">
      <w:pPr>
        <w:spacing w:after="0" w:line="360" w:lineRule="auto"/>
        <w:jc w:val="both"/>
        <w:rPr>
          <w:rFonts w:ascii="Arial" w:eastAsia="Times New Roman" w:hAnsi="Arial" w:cs="Arial"/>
          <w:sz w:val="24"/>
          <w:szCs w:val="24"/>
          <w:lang w:eastAsia="en-US"/>
        </w:rPr>
      </w:pPr>
      <w:r w:rsidRPr="002D19E9">
        <w:rPr>
          <w:rFonts w:ascii="Arial" w:eastAsia="Times New Roman" w:hAnsi="Arial" w:cs="Arial"/>
          <w:sz w:val="24"/>
          <w:szCs w:val="24"/>
          <w:lang w:eastAsia="en-US"/>
        </w:rPr>
        <w:t>According to Carnevale and Hatak (2020) and Toumi and Su (2023), human resource management (HRM) is the most crucial activity that must be performed in an organization to guarantee that the correct workforce is available for the proper roles, activities, and occupations at the right time, in order to achieve established goals and objectives. Six Senses is aware that an incompatible staff will burden the company and provide a challenge down the road (Pelletier and Sonenberg, 2019; Waples and Brachle, 2020). In addition, the outcomes of the job analysis must serve as the foundation for personnel planning (Lopes and Oliveira, 2020).</w:t>
      </w:r>
      <w:r w:rsidRPr="0081372D">
        <w:rPr>
          <w:rFonts w:ascii="Arial" w:eastAsia="Times New Roman" w:hAnsi="Arial" w:cs="Arial"/>
          <w:sz w:val="24"/>
          <w:szCs w:val="24"/>
          <w:lang w:eastAsia="en-US"/>
        </w:rPr>
        <w:t xml:space="preserve"> </w:t>
      </w:r>
      <w:r w:rsidRPr="002D19E9">
        <w:rPr>
          <w:rFonts w:ascii="Arial" w:eastAsia="Times New Roman" w:hAnsi="Arial" w:cs="Arial"/>
          <w:sz w:val="24"/>
          <w:szCs w:val="24"/>
          <w:lang w:eastAsia="en-US"/>
        </w:rPr>
        <w:t xml:space="preserve">In order for the company to function successfully and efficiently, requirements that are both qualitative and quantitative may be identified </w:t>
      </w:r>
      <w:r w:rsidRPr="002D19E9">
        <w:rPr>
          <w:rFonts w:ascii="Arial" w:eastAsia="Times New Roman" w:hAnsi="Arial" w:cs="Arial"/>
          <w:sz w:val="24"/>
          <w:szCs w:val="24"/>
          <w:lang w:eastAsia="en-US"/>
        </w:rPr>
        <w:lastRenderedPageBreak/>
        <w:t>and stimulated based on the information found in job descriptions. (</w:t>
      </w:r>
      <w:proofErr w:type="spellStart"/>
      <w:r w:rsidRPr="002D19E9">
        <w:rPr>
          <w:rFonts w:ascii="Arial" w:eastAsia="Times New Roman" w:hAnsi="Arial" w:cs="Arial"/>
          <w:sz w:val="24"/>
          <w:szCs w:val="24"/>
          <w:lang w:eastAsia="en-US"/>
        </w:rPr>
        <w:t>Oliveiras</w:t>
      </w:r>
      <w:proofErr w:type="spellEnd"/>
      <w:r w:rsidRPr="002D19E9">
        <w:rPr>
          <w:rFonts w:ascii="Arial" w:eastAsia="Times New Roman" w:hAnsi="Arial" w:cs="Arial"/>
          <w:sz w:val="24"/>
          <w:szCs w:val="24"/>
          <w:lang w:eastAsia="en-US"/>
        </w:rPr>
        <w:t xml:space="preserve"> and Lopes, 2020)</w:t>
      </w:r>
      <w:r w:rsidR="00570912">
        <w:rPr>
          <w:rFonts w:ascii="Arial" w:eastAsia="Times New Roman" w:hAnsi="Arial" w:cs="Arial"/>
          <w:sz w:val="24"/>
          <w:szCs w:val="24"/>
          <w:lang w:eastAsia="en-US"/>
        </w:rPr>
        <w:t>.</w:t>
      </w:r>
    </w:p>
    <w:p w14:paraId="337E6969" w14:textId="77777777" w:rsidR="002D19E9" w:rsidRPr="002D19E9" w:rsidRDefault="002D19E9" w:rsidP="0081372D">
      <w:pPr>
        <w:spacing w:after="0" w:line="360" w:lineRule="auto"/>
        <w:jc w:val="both"/>
        <w:rPr>
          <w:rFonts w:ascii="Arial" w:eastAsia="Times New Roman" w:hAnsi="Arial" w:cs="Arial"/>
          <w:sz w:val="24"/>
          <w:szCs w:val="24"/>
          <w:lang w:eastAsia="en-US"/>
        </w:rPr>
      </w:pPr>
      <w:r w:rsidRPr="002D19E9">
        <w:rPr>
          <w:rFonts w:ascii="Arial" w:eastAsia="Times New Roman" w:hAnsi="Arial" w:cs="Arial"/>
          <w:sz w:val="24"/>
          <w:szCs w:val="24"/>
          <w:lang w:eastAsia="en-US"/>
        </w:rPr>
        <w:t>Six Senses involve many planning processes to guarantee that the appropriate workforce is engaged. These processes include gathering, analyzing, and assessing data for personnel assessments, Establish objectives and enduring policies that pave the way for the creation and execution of action plans and initiatives in a range of fields, including hi</w:t>
      </w:r>
      <w:r w:rsidR="009A3C02">
        <w:rPr>
          <w:rFonts w:ascii="Arial" w:eastAsia="Times New Roman" w:hAnsi="Arial" w:cs="Arial"/>
          <w:sz w:val="24"/>
          <w:szCs w:val="24"/>
          <w:lang w:eastAsia="en-US"/>
        </w:rPr>
        <w:t>ring, training, and promoting. (</w:t>
      </w:r>
      <w:proofErr w:type="spellStart"/>
      <w:r w:rsidRPr="002D19E9">
        <w:rPr>
          <w:rFonts w:ascii="Arial" w:eastAsia="Times New Roman" w:hAnsi="Arial" w:cs="Arial"/>
          <w:sz w:val="24"/>
          <w:szCs w:val="24"/>
          <w:lang w:eastAsia="en-US"/>
        </w:rPr>
        <w:t>Arfaee</w:t>
      </w:r>
      <w:proofErr w:type="spellEnd"/>
      <w:r w:rsidRPr="002D19E9">
        <w:rPr>
          <w:rFonts w:ascii="Arial" w:eastAsia="Times New Roman" w:hAnsi="Arial" w:cs="Arial"/>
          <w:sz w:val="24"/>
          <w:szCs w:val="24"/>
          <w:lang w:eastAsia="en-US"/>
        </w:rPr>
        <w:t xml:space="preserve"> and others, 2022). </w:t>
      </w:r>
      <w:r w:rsidR="00E16CB2">
        <w:rPr>
          <w:rFonts w:ascii="Arial" w:eastAsia="Times New Roman" w:hAnsi="Arial" w:cs="Arial"/>
          <w:sz w:val="24"/>
          <w:szCs w:val="24"/>
          <w:lang w:eastAsia="en-US"/>
        </w:rPr>
        <w:t>S</w:t>
      </w:r>
      <w:r w:rsidRPr="002D19E9">
        <w:rPr>
          <w:rFonts w:ascii="Arial" w:eastAsia="Times New Roman" w:hAnsi="Arial" w:cs="Arial"/>
          <w:sz w:val="24"/>
          <w:szCs w:val="24"/>
          <w:lang w:eastAsia="en-US"/>
        </w:rPr>
        <w:t>election is the process by which an organization chooses people who best meet the eligibility requirements for the advertised post from a list of potential participants recruited by the recruiting activity, whereas recruitment is what management does to develop a pool of competent candidates for available jobs.</w:t>
      </w:r>
      <w:r w:rsidR="00F769DB" w:rsidRPr="0081372D">
        <w:rPr>
          <w:rFonts w:ascii="Arial" w:hAnsi="Arial" w:cs="Arial"/>
          <w:sz w:val="24"/>
          <w:szCs w:val="24"/>
        </w:rPr>
        <w:t xml:space="preserve"> </w:t>
      </w:r>
      <w:r w:rsidRPr="0081372D">
        <w:rPr>
          <w:rFonts w:ascii="Arial" w:eastAsia="Times New Roman" w:hAnsi="Arial" w:cs="Arial"/>
          <w:sz w:val="24"/>
          <w:szCs w:val="24"/>
          <w:lang w:eastAsia="en-US"/>
        </w:rPr>
        <w:t xml:space="preserve">To put it simply, recruitment is the process of finding and luring qualified candidates from within the business to assess them for potential future employment. When a qualified individual is found, the selection process starts. (Navdeep 2021). </w:t>
      </w:r>
      <w:r w:rsidRPr="002D19E9">
        <w:rPr>
          <w:rFonts w:ascii="Arial" w:eastAsia="Times New Roman" w:hAnsi="Arial" w:cs="Arial"/>
          <w:sz w:val="24"/>
          <w:szCs w:val="24"/>
          <w:lang w:eastAsia="en-US"/>
        </w:rPr>
        <w:t>Any organization's success is largely dependent on its recruitment and selection processes, which Six Senses guarantees are fair and effective. Reaching new heights has been made possible by Six Senses' effective planning, hiring, and selecting processes. For example, while creating job advertisements, they want to focus on a certain place. They will include the roles that are available along with the location where they are accessible. This will make the recruiting and selection process more efficient and targeted.</w:t>
      </w:r>
    </w:p>
    <w:p w14:paraId="139EB96A" w14:textId="2B23BF55" w:rsidR="002D19E9" w:rsidRPr="0081372D" w:rsidRDefault="00D81D33" w:rsidP="0081372D">
      <w:pPr>
        <w:spacing w:after="0" w:line="360" w:lineRule="auto"/>
        <w:jc w:val="both"/>
        <w:rPr>
          <w:rFonts w:ascii="Arial" w:eastAsia="Times New Roman" w:hAnsi="Arial" w:cs="Arial"/>
          <w:sz w:val="24"/>
          <w:szCs w:val="24"/>
          <w:lang w:eastAsia="en-US"/>
        </w:rPr>
      </w:pPr>
      <w:r>
        <w:rPr>
          <w:rFonts w:ascii="Arial" w:hAnsi="Arial" w:cs="Arial"/>
          <w:sz w:val="24"/>
          <w:szCs w:val="24"/>
        </w:rPr>
        <w:t>Therefore,</w:t>
      </w:r>
      <w:r w:rsidR="00F769DB" w:rsidRPr="0081372D">
        <w:rPr>
          <w:rFonts w:ascii="Arial" w:hAnsi="Arial" w:cs="Arial"/>
          <w:sz w:val="24"/>
          <w:szCs w:val="24"/>
        </w:rPr>
        <w:t xml:space="preserve"> this essay </w:t>
      </w:r>
      <w:r w:rsidR="002D19E9" w:rsidRPr="0081372D">
        <w:rPr>
          <w:rFonts w:ascii="Arial" w:eastAsia="Times New Roman" w:hAnsi="Arial" w:cs="Arial"/>
          <w:sz w:val="24"/>
          <w:szCs w:val="24"/>
          <w:lang w:eastAsia="en-US"/>
        </w:rPr>
        <w:t xml:space="preserve">examined the development of human resources management and how workforce planning, recruiting, and selection contribute to the development of the six senses. From the administrative role that people managers played in organizations back then to the HRM team's complete participation in important business and organizational decisions, human resources management has undergone a variety of changes. Six Senses is aware of how crucial having the appropriate personnel is to achieving the aims and objectives of the company. In order to do this, they make sure they have a faultless team that participates in recruiting, selection, and planning. This has allowed them to maintain their position as a leader in the hospitality sector. </w:t>
      </w:r>
    </w:p>
    <w:p w14:paraId="4B3BC9EF" w14:textId="77777777" w:rsidR="002D19E9" w:rsidRPr="0081372D" w:rsidRDefault="002D19E9" w:rsidP="0081372D">
      <w:pPr>
        <w:spacing w:after="0" w:line="360" w:lineRule="auto"/>
        <w:jc w:val="both"/>
        <w:rPr>
          <w:rFonts w:ascii="Arial" w:eastAsia="Times New Roman" w:hAnsi="Arial" w:cs="Arial"/>
          <w:sz w:val="24"/>
          <w:szCs w:val="24"/>
          <w:lang w:eastAsia="en-US"/>
        </w:rPr>
      </w:pPr>
      <w:r w:rsidRPr="0081372D">
        <w:rPr>
          <w:rFonts w:ascii="Arial" w:eastAsia="Times New Roman" w:hAnsi="Arial" w:cs="Arial"/>
          <w:sz w:val="24"/>
          <w:szCs w:val="24"/>
          <w:lang w:eastAsia="en-US"/>
        </w:rPr>
        <w:t xml:space="preserve">The HR department of Six Senses is thought to be crucial in fostering employee happiness and raising output and performance. Their accomplishments may be attributed </w:t>
      </w:r>
      <w:r w:rsidRPr="0081372D">
        <w:rPr>
          <w:rFonts w:ascii="Arial" w:eastAsia="Times New Roman" w:hAnsi="Arial" w:cs="Arial"/>
          <w:sz w:val="24"/>
          <w:szCs w:val="24"/>
          <w:lang w:eastAsia="en-US"/>
        </w:rPr>
        <w:lastRenderedPageBreak/>
        <w:t>to their use of three primary strategies: change, reinforcement, and invention. Additionally, Six Senses recognized the value of having a suitable staff, thus in order to guarantee that the appropriate workforce is involved, Six Senses undertook several planning processes, such as gathering, examining, and assessing data needed to create personnel assessments, Establish objectives and enduring policies that also lead to creating and carrying out strategies and action plans in a variety of areas of activity, including hiring, training, and promoting</w:t>
      </w:r>
    </w:p>
    <w:p w14:paraId="4FBEB907" w14:textId="77777777" w:rsidR="00817E1A" w:rsidRPr="0081372D" w:rsidRDefault="00817E1A" w:rsidP="0081372D">
      <w:pPr>
        <w:spacing w:line="360" w:lineRule="auto"/>
        <w:jc w:val="both"/>
        <w:rPr>
          <w:rFonts w:ascii="Arial" w:hAnsi="Arial" w:cs="Arial"/>
          <w:sz w:val="24"/>
          <w:szCs w:val="24"/>
        </w:rPr>
      </w:pPr>
    </w:p>
    <w:p w14:paraId="62CD2E43" w14:textId="77777777" w:rsidR="00817E1A" w:rsidRPr="0081372D" w:rsidRDefault="00817E1A" w:rsidP="0081372D">
      <w:pPr>
        <w:spacing w:line="360" w:lineRule="auto"/>
        <w:jc w:val="both"/>
        <w:rPr>
          <w:rFonts w:ascii="Arial" w:hAnsi="Arial" w:cs="Arial"/>
          <w:sz w:val="24"/>
          <w:szCs w:val="24"/>
        </w:rPr>
      </w:pPr>
    </w:p>
    <w:p w14:paraId="7474AFAE" w14:textId="77777777" w:rsidR="00817E1A" w:rsidRPr="009A3C02" w:rsidRDefault="009A3C02" w:rsidP="0081372D">
      <w:pPr>
        <w:spacing w:line="360" w:lineRule="auto"/>
        <w:jc w:val="both"/>
        <w:rPr>
          <w:rFonts w:ascii="Arial" w:hAnsi="Arial" w:cs="Arial"/>
          <w:b/>
          <w:sz w:val="24"/>
          <w:szCs w:val="24"/>
        </w:rPr>
      </w:pPr>
      <w:r>
        <w:rPr>
          <w:rFonts w:ascii="Arial" w:hAnsi="Arial" w:cs="Arial"/>
          <w:sz w:val="24"/>
          <w:szCs w:val="24"/>
        </w:rPr>
        <w:br w:type="page"/>
      </w:r>
      <w:r w:rsidR="00F769DB" w:rsidRPr="009A3C02">
        <w:rPr>
          <w:rFonts w:ascii="Arial" w:hAnsi="Arial" w:cs="Arial"/>
          <w:b/>
          <w:sz w:val="24"/>
          <w:szCs w:val="24"/>
        </w:rPr>
        <w:lastRenderedPageBreak/>
        <w:t>References</w:t>
      </w:r>
    </w:p>
    <w:p w14:paraId="3B84A344" w14:textId="77777777" w:rsidR="00E16CB2" w:rsidRPr="0081372D" w:rsidRDefault="00E16CB2" w:rsidP="00D63E97">
      <w:pPr>
        <w:spacing w:line="360" w:lineRule="auto"/>
        <w:jc w:val="both"/>
        <w:rPr>
          <w:rFonts w:ascii="Arial" w:hAnsi="Arial" w:cs="Arial"/>
          <w:sz w:val="24"/>
          <w:szCs w:val="24"/>
        </w:rPr>
      </w:pPr>
      <w:proofErr w:type="spellStart"/>
      <w:r w:rsidRPr="0081372D">
        <w:rPr>
          <w:rFonts w:ascii="Arial" w:hAnsi="Arial" w:cs="Arial"/>
          <w:sz w:val="24"/>
          <w:szCs w:val="24"/>
        </w:rPr>
        <w:t>Aljarrah</w:t>
      </w:r>
      <w:proofErr w:type="spellEnd"/>
      <w:r w:rsidRPr="0081372D">
        <w:rPr>
          <w:rFonts w:ascii="Arial" w:hAnsi="Arial" w:cs="Arial"/>
          <w:sz w:val="24"/>
          <w:szCs w:val="24"/>
        </w:rPr>
        <w:t xml:space="preserve">, M. (2021) ‘The Impact of Enterprise Resource Planning System of Human Resources on the Employees’ Performance Appraisal in Jordan’. </w:t>
      </w:r>
      <w:proofErr w:type="spellStart"/>
      <w:r w:rsidRPr="0081372D">
        <w:rPr>
          <w:rFonts w:ascii="Arial" w:hAnsi="Arial" w:cs="Arial"/>
          <w:i/>
          <w:sz w:val="24"/>
          <w:szCs w:val="24"/>
        </w:rPr>
        <w:t>Wseas</w:t>
      </w:r>
      <w:proofErr w:type="spellEnd"/>
      <w:r w:rsidRPr="0081372D">
        <w:rPr>
          <w:rFonts w:ascii="Arial" w:hAnsi="Arial" w:cs="Arial"/>
          <w:i/>
          <w:sz w:val="24"/>
          <w:szCs w:val="24"/>
        </w:rPr>
        <w:t xml:space="preserve"> Transactions </w:t>
      </w:r>
      <w:proofErr w:type="gramStart"/>
      <w:r w:rsidRPr="0081372D">
        <w:rPr>
          <w:rFonts w:ascii="Arial" w:hAnsi="Arial" w:cs="Arial"/>
          <w:i/>
          <w:sz w:val="24"/>
          <w:szCs w:val="24"/>
        </w:rPr>
        <w:t>On</w:t>
      </w:r>
      <w:proofErr w:type="gramEnd"/>
      <w:r w:rsidRPr="0081372D">
        <w:rPr>
          <w:rFonts w:ascii="Arial" w:hAnsi="Arial" w:cs="Arial"/>
          <w:i/>
          <w:sz w:val="24"/>
          <w:szCs w:val="24"/>
        </w:rPr>
        <w:t xml:space="preserve"> Environment And Development,</w:t>
      </w:r>
      <w:r w:rsidRPr="0081372D">
        <w:rPr>
          <w:rFonts w:ascii="Arial" w:hAnsi="Arial" w:cs="Arial"/>
          <w:sz w:val="24"/>
          <w:szCs w:val="24"/>
        </w:rPr>
        <w:t xml:space="preserve"> 17, pp. 351–359. </w:t>
      </w:r>
      <w:hyperlink r:id="rId5" w:history="1">
        <w:r w:rsidRPr="0081372D">
          <w:rPr>
            <w:rStyle w:val="Hyperlink"/>
            <w:rFonts w:ascii="Arial" w:hAnsi="Arial" w:cs="Arial"/>
            <w:sz w:val="24"/>
            <w:szCs w:val="24"/>
          </w:rPr>
          <w:t>https://doi.org/10.37394/232015.2021.17.35</w:t>
        </w:r>
      </w:hyperlink>
    </w:p>
    <w:p w14:paraId="6A7847AF" w14:textId="77777777" w:rsidR="00E16CB2" w:rsidRPr="0081372D" w:rsidRDefault="00E16CB2" w:rsidP="00D63E97">
      <w:pPr>
        <w:spacing w:line="360" w:lineRule="auto"/>
        <w:jc w:val="both"/>
        <w:rPr>
          <w:rFonts w:ascii="Arial" w:hAnsi="Arial" w:cs="Arial"/>
          <w:sz w:val="24"/>
          <w:szCs w:val="24"/>
        </w:rPr>
      </w:pPr>
      <w:proofErr w:type="spellStart"/>
      <w:r w:rsidRPr="0081372D">
        <w:rPr>
          <w:rFonts w:ascii="Arial" w:hAnsi="Arial" w:cs="Arial"/>
          <w:sz w:val="24"/>
          <w:szCs w:val="24"/>
        </w:rPr>
        <w:t>Arfaee</w:t>
      </w:r>
      <w:proofErr w:type="spellEnd"/>
      <w:r w:rsidRPr="0081372D">
        <w:rPr>
          <w:rFonts w:ascii="Arial" w:hAnsi="Arial" w:cs="Arial"/>
          <w:sz w:val="24"/>
          <w:szCs w:val="24"/>
        </w:rPr>
        <w:t xml:space="preserve">, M., Bahari, A. and Khalilzadeh, M. (2022) ‘A novel prediction model for educational planning of human resources with data mining approach: A national tax administration case study’. </w:t>
      </w:r>
      <w:r w:rsidRPr="0081372D">
        <w:rPr>
          <w:rFonts w:ascii="Arial" w:hAnsi="Arial" w:cs="Arial"/>
          <w:i/>
          <w:sz w:val="24"/>
          <w:szCs w:val="24"/>
        </w:rPr>
        <w:t>Education and Information Technologies</w:t>
      </w:r>
      <w:r w:rsidRPr="0081372D">
        <w:rPr>
          <w:rFonts w:ascii="Arial" w:hAnsi="Arial" w:cs="Arial"/>
          <w:sz w:val="24"/>
          <w:szCs w:val="24"/>
        </w:rPr>
        <w:t xml:space="preserve">, 27(2), pp. 2209–2239. </w:t>
      </w:r>
      <w:hyperlink r:id="rId6" w:history="1">
        <w:r w:rsidRPr="0081372D">
          <w:rPr>
            <w:rStyle w:val="Hyperlink"/>
            <w:rFonts w:ascii="Arial" w:hAnsi="Arial" w:cs="Arial"/>
            <w:sz w:val="24"/>
            <w:szCs w:val="24"/>
          </w:rPr>
          <w:t>https://doi.org/10.1007/s10639-021-10699-6</w:t>
        </w:r>
      </w:hyperlink>
    </w:p>
    <w:p w14:paraId="2362F891"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Armstrong, M. and Taylor, S. (2020) </w:t>
      </w:r>
      <w:r w:rsidRPr="0081372D">
        <w:rPr>
          <w:rFonts w:ascii="Arial" w:hAnsi="Arial" w:cs="Arial"/>
          <w:i/>
          <w:sz w:val="24"/>
          <w:szCs w:val="24"/>
        </w:rPr>
        <w:t>Armstrong's handbook of human resource management practice. 15th edition.</w:t>
      </w:r>
      <w:r w:rsidRPr="0081372D">
        <w:rPr>
          <w:rFonts w:ascii="Arial" w:hAnsi="Arial" w:cs="Arial"/>
          <w:sz w:val="24"/>
          <w:szCs w:val="24"/>
        </w:rPr>
        <w:t xml:space="preserve"> London, United Kingdom: </w:t>
      </w:r>
      <w:proofErr w:type="spellStart"/>
      <w:r w:rsidRPr="0081372D">
        <w:rPr>
          <w:rFonts w:ascii="Arial" w:hAnsi="Arial" w:cs="Arial"/>
          <w:sz w:val="24"/>
          <w:szCs w:val="24"/>
        </w:rPr>
        <w:t>KoganPage</w:t>
      </w:r>
      <w:proofErr w:type="spellEnd"/>
    </w:p>
    <w:p w14:paraId="26E68D0C" w14:textId="77777777" w:rsidR="00E16CB2" w:rsidRPr="0081372D" w:rsidRDefault="00E16CB2" w:rsidP="00D63E97">
      <w:pPr>
        <w:spacing w:line="360" w:lineRule="auto"/>
        <w:jc w:val="both"/>
        <w:rPr>
          <w:rFonts w:ascii="Arial" w:hAnsi="Arial" w:cs="Arial"/>
          <w:sz w:val="24"/>
          <w:szCs w:val="24"/>
        </w:rPr>
      </w:pPr>
      <w:proofErr w:type="spellStart"/>
      <w:r w:rsidRPr="0081372D">
        <w:rPr>
          <w:rFonts w:ascii="Arial" w:hAnsi="Arial" w:cs="Arial"/>
          <w:sz w:val="24"/>
          <w:szCs w:val="24"/>
        </w:rPr>
        <w:t>Carlbäck</w:t>
      </w:r>
      <w:proofErr w:type="spellEnd"/>
      <w:r w:rsidRPr="0081372D">
        <w:rPr>
          <w:rFonts w:ascii="Arial" w:hAnsi="Arial" w:cs="Arial"/>
          <w:sz w:val="24"/>
          <w:szCs w:val="24"/>
        </w:rPr>
        <w:t xml:space="preserve">, M., Nygren, T. and Hägglund, P. (2024) ‘Human Resource Development in Restaurants in Western Sweden – A Human Capital Theory Perspective’. </w:t>
      </w:r>
      <w:r w:rsidRPr="0081372D">
        <w:rPr>
          <w:rFonts w:ascii="Arial" w:hAnsi="Arial" w:cs="Arial"/>
          <w:i/>
          <w:sz w:val="24"/>
          <w:szCs w:val="24"/>
        </w:rPr>
        <w:t>Journal of Human Resources in Hospitality &amp; Tourism</w:t>
      </w:r>
      <w:r w:rsidRPr="0081372D">
        <w:rPr>
          <w:rFonts w:ascii="Arial" w:hAnsi="Arial" w:cs="Arial"/>
          <w:sz w:val="24"/>
          <w:szCs w:val="24"/>
        </w:rPr>
        <w:t xml:space="preserve">, 23(2), pp. 289–314. </w:t>
      </w:r>
      <w:hyperlink r:id="rId7" w:history="1">
        <w:r w:rsidRPr="0081372D">
          <w:rPr>
            <w:rStyle w:val="Hyperlink"/>
            <w:rFonts w:ascii="Arial" w:hAnsi="Arial" w:cs="Arial"/>
            <w:sz w:val="24"/>
            <w:szCs w:val="24"/>
          </w:rPr>
          <w:t>https://doi.org/10.1080/15332845.2024.2282215</w:t>
        </w:r>
      </w:hyperlink>
    </w:p>
    <w:p w14:paraId="75BDCBF0"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Carnevale, J. B. and Hatak, I. (2020) ‘Employee adjustment and well-being in the era of COVID-19: Implications for human resource management’. </w:t>
      </w:r>
      <w:r w:rsidRPr="0081372D">
        <w:rPr>
          <w:rFonts w:ascii="Arial" w:hAnsi="Arial" w:cs="Arial"/>
          <w:i/>
          <w:sz w:val="24"/>
          <w:szCs w:val="24"/>
        </w:rPr>
        <w:t>Journal of Business Research</w:t>
      </w:r>
      <w:r w:rsidRPr="0081372D">
        <w:rPr>
          <w:rFonts w:ascii="Arial" w:hAnsi="Arial" w:cs="Arial"/>
          <w:sz w:val="24"/>
          <w:szCs w:val="24"/>
        </w:rPr>
        <w:t xml:space="preserve">, 116, pp. 183–187. </w:t>
      </w:r>
      <w:hyperlink r:id="rId8" w:history="1">
        <w:r w:rsidRPr="0081372D">
          <w:rPr>
            <w:rStyle w:val="Hyperlink"/>
            <w:rFonts w:ascii="Arial" w:hAnsi="Arial" w:cs="Arial"/>
            <w:sz w:val="24"/>
            <w:szCs w:val="24"/>
          </w:rPr>
          <w:t>https://doi.org/10.1016/j.jbusres.2020.05.037</w:t>
        </w:r>
      </w:hyperlink>
    </w:p>
    <w:p w14:paraId="0D45BA70" w14:textId="77777777" w:rsidR="00E16CB2" w:rsidRPr="00E16CB2" w:rsidRDefault="00EC74AF" w:rsidP="00D63E97">
      <w:pPr>
        <w:spacing w:line="360" w:lineRule="auto"/>
        <w:jc w:val="both"/>
        <w:rPr>
          <w:rFonts w:ascii="Arial" w:hAnsi="Arial" w:cs="Arial"/>
          <w:sz w:val="24"/>
          <w:szCs w:val="24"/>
        </w:rPr>
      </w:pPr>
      <w:proofErr w:type="spellStart"/>
      <w:r>
        <w:rPr>
          <w:rFonts w:ascii="Arial" w:hAnsi="Arial" w:cs="Arial"/>
          <w:sz w:val="24"/>
          <w:szCs w:val="24"/>
        </w:rPr>
        <w:t>Idrus</w:t>
      </w:r>
      <w:proofErr w:type="spellEnd"/>
      <w:r>
        <w:rPr>
          <w:rFonts w:ascii="Arial" w:hAnsi="Arial" w:cs="Arial"/>
          <w:sz w:val="24"/>
          <w:szCs w:val="24"/>
        </w:rPr>
        <w:t>, S., Jihan, J., Rahman, A.,</w:t>
      </w:r>
      <w:r w:rsidRPr="00535E04">
        <w:rPr>
          <w:rFonts w:ascii="Arial" w:hAnsi="Arial" w:cs="Arial"/>
          <w:sz w:val="24"/>
          <w:szCs w:val="24"/>
        </w:rPr>
        <w:t xml:space="preserve"> Arta, </w:t>
      </w:r>
      <w:r>
        <w:rPr>
          <w:rFonts w:ascii="Arial" w:hAnsi="Arial" w:cs="Arial"/>
          <w:sz w:val="24"/>
          <w:szCs w:val="24"/>
        </w:rPr>
        <w:t xml:space="preserve">D. and </w:t>
      </w:r>
      <w:proofErr w:type="spellStart"/>
      <w:r>
        <w:rPr>
          <w:rFonts w:ascii="Arial" w:hAnsi="Arial" w:cs="Arial"/>
          <w:sz w:val="24"/>
          <w:szCs w:val="24"/>
        </w:rPr>
        <w:t>Kespandiar</w:t>
      </w:r>
      <w:proofErr w:type="spellEnd"/>
      <w:r>
        <w:rPr>
          <w:rFonts w:ascii="Arial" w:hAnsi="Arial" w:cs="Arial"/>
          <w:sz w:val="24"/>
          <w:szCs w:val="24"/>
        </w:rPr>
        <w:t>, T</w:t>
      </w:r>
      <w:r w:rsidR="00E16CB2" w:rsidRPr="00E16CB2">
        <w:rPr>
          <w:rFonts w:ascii="Arial" w:hAnsi="Arial" w:cs="Arial"/>
          <w:i/>
          <w:sz w:val="24"/>
          <w:szCs w:val="24"/>
        </w:rPr>
        <w:t xml:space="preserve">. </w:t>
      </w:r>
      <w:r w:rsidR="00E16CB2" w:rsidRPr="00E16CB2">
        <w:rPr>
          <w:rFonts w:ascii="Arial" w:hAnsi="Arial" w:cs="Arial"/>
          <w:sz w:val="24"/>
          <w:szCs w:val="24"/>
        </w:rPr>
        <w:t xml:space="preserve">(2023) ‘The Evolution of Human Resource Management: The Necessity Of Facing The Industrial Revolution 4.0. </w:t>
      </w:r>
      <w:proofErr w:type="spellStart"/>
      <w:r w:rsidR="00E16CB2" w:rsidRPr="00E16CB2">
        <w:rPr>
          <w:rFonts w:ascii="Arial" w:hAnsi="Arial" w:cs="Arial"/>
          <w:sz w:val="24"/>
          <w:szCs w:val="24"/>
        </w:rPr>
        <w:t>Komitmen</w:t>
      </w:r>
      <w:proofErr w:type="spellEnd"/>
      <w:r w:rsidR="00E16CB2" w:rsidRPr="00E16CB2">
        <w:rPr>
          <w:rFonts w:ascii="Arial" w:hAnsi="Arial" w:cs="Arial"/>
          <w:sz w:val="24"/>
          <w:szCs w:val="24"/>
        </w:rPr>
        <w:t xml:space="preserve">’: </w:t>
      </w:r>
      <w:proofErr w:type="spellStart"/>
      <w:r w:rsidR="00E16CB2" w:rsidRPr="00E16CB2">
        <w:rPr>
          <w:rFonts w:ascii="Arial" w:hAnsi="Arial" w:cs="Arial"/>
          <w:i/>
          <w:sz w:val="24"/>
          <w:szCs w:val="24"/>
        </w:rPr>
        <w:t>Jurnal</w:t>
      </w:r>
      <w:proofErr w:type="spellEnd"/>
      <w:r w:rsidR="00E16CB2" w:rsidRPr="00E16CB2">
        <w:rPr>
          <w:rFonts w:ascii="Arial" w:hAnsi="Arial" w:cs="Arial"/>
          <w:i/>
          <w:sz w:val="24"/>
          <w:szCs w:val="24"/>
        </w:rPr>
        <w:t xml:space="preserve"> </w:t>
      </w:r>
      <w:proofErr w:type="spellStart"/>
      <w:r w:rsidR="00E16CB2" w:rsidRPr="00E16CB2">
        <w:rPr>
          <w:rFonts w:ascii="Arial" w:hAnsi="Arial" w:cs="Arial"/>
          <w:i/>
          <w:sz w:val="24"/>
          <w:szCs w:val="24"/>
        </w:rPr>
        <w:t>Ilmiah</w:t>
      </w:r>
      <w:proofErr w:type="spellEnd"/>
      <w:r w:rsidR="00E16CB2" w:rsidRPr="00E16CB2">
        <w:rPr>
          <w:rFonts w:ascii="Arial" w:hAnsi="Arial" w:cs="Arial"/>
          <w:i/>
          <w:sz w:val="24"/>
          <w:szCs w:val="24"/>
        </w:rPr>
        <w:t xml:space="preserve"> </w:t>
      </w:r>
      <w:proofErr w:type="spellStart"/>
      <w:r w:rsidR="00E16CB2" w:rsidRPr="00E16CB2">
        <w:rPr>
          <w:rFonts w:ascii="Arial" w:hAnsi="Arial" w:cs="Arial"/>
          <w:i/>
          <w:sz w:val="24"/>
          <w:szCs w:val="24"/>
        </w:rPr>
        <w:t>Manajemen</w:t>
      </w:r>
      <w:proofErr w:type="spellEnd"/>
      <w:r w:rsidR="00E16CB2" w:rsidRPr="00E16CB2">
        <w:rPr>
          <w:rFonts w:ascii="Arial" w:hAnsi="Arial" w:cs="Arial"/>
          <w:i/>
          <w:sz w:val="24"/>
          <w:szCs w:val="24"/>
        </w:rPr>
        <w:t>.</w:t>
      </w:r>
      <w:r w:rsidR="00E16CB2" w:rsidRPr="00E16CB2">
        <w:rPr>
          <w:rFonts w:ascii="Arial" w:hAnsi="Arial" w:cs="Arial"/>
          <w:sz w:val="24"/>
          <w:szCs w:val="24"/>
        </w:rPr>
        <w:t xml:space="preserve"> 4. Pp. 91-97. 10.15575/jim.v4i1.23726.</w:t>
      </w:r>
    </w:p>
    <w:p w14:paraId="470E2517" w14:textId="77777777" w:rsidR="00E16CB2" w:rsidRPr="0081372D" w:rsidRDefault="00EC74AF" w:rsidP="00D63E97">
      <w:pPr>
        <w:spacing w:line="360" w:lineRule="auto"/>
        <w:jc w:val="both"/>
        <w:rPr>
          <w:rFonts w:ascii="Arial" w:hAnsi="Arial" w:cs="Arial"/>
          <w:sz w:val="24"/>
          <w:szCs w:val="24"/>
        </w:rPr>
      </w:pPr>
      <w:r w:rsidRPr="00EC74AF">
        <w:rPr>
          <w:rFonts w:ascii="Arial" w:hAnsi="Arial" w:cs="Arial"/>
          <w:color w:val="333333"/>
          <w:sz w:val="24"/>
          <w:szCs w:val="24"/>
        </w:rPr>
        <w:t>Jawaad, M., Amir, A., Bashir, A., Hasan, T., and Del Giudice, M.</w:t>
      </w:r>
      <w:r w:rsidRPr="00EC74AF">
        <w:rPr>
          <w:rFonts w:ascii="Arial" w:hAnsi="Arial" w:cs="Arial"/>
          <w:sz w:val="24"/>
          <w:szCs w:val="24"/>
        </w:rPr>
        <w:t xml:space="preserve"> </w:t>
      </w:r>
      <w:r w:rsidR="00E16CB2" w:rsidRPr="00EC74AF">
        <w:rPr>
          <w:rFonts w:ascii="Arial" w:hAnsi="Arial" w:cs="Arial"/>
          <w:sz w:val="24"/>
          <w:szCs w:val="24"/>
        </w:rPr>
        <w:t>(</w:t>
      </w:r>
      <w:r w:rsidR="00E16CB2" w:rsidRPr="0081372D">
        <w:rPr>
          <w:rFonts w:ascii="Arial" w:hAnsi="Arial" w:cs="Arial"/>
          <w:sz w:val="24"/>
          <w:szCs w:val="24"/>
        </w:rPr>
        <w:t xml:space="preserve">2019) ‘Human resource practices and organizational commitment: The mediating role of job satisfaction in emerging economy.’ </w:t>
      </w:r>
      <w:r w:rsidR="00E16CB2" w:rsidRPr="0081372D">
        <w:rPr>
          <w:rFonts w:ascii="Arial" w:hAnsi="Arial" w:cs="Arial"/>
          <w:i/>
          <w:sz w:val="24"/>
          <w:szCs w:val="24"/>
        </w:rPr>
        <w:t>Cogent Business &amp; Management,</w:t>
      </w:r>
      <w:r w:rsidR="00E16CB2" w:rsidRPr="0081372D">
        <w:rPr>
          <w:rFonts w:ascii="Arial" w:hAnsi="Arial" w:cs="Arial"/>
          <w:sz w:val="24"/>
          <w:szCs w:val="24"/>
        </w:rPr>
        <w:t xml:space="preserve"> 6(1), pp. 1608668. </w:t>
      </w:r>
      <w:hyperlink r:id="rId9" w:history="1">
        <w:r w:rsidR="00E16CB2" w:rsidRPr="0081372D">
          <w:rPr>
            <w:rStyle w:val="Hyperlink"/>
            <w:rFonts w:ascii="Arial" w:hAnsi="Arial" w:cs="Arial"/>
            <w:sz w:val="24"/>
            <w:szCs w:val="24"/>
          </w:rPr>
          <w:t>https://doi.org/10.1080/23311975.2019.1608668</w:t>
        </w:r>
      </w:hyperlink>
    </w:p>
    <w:p w14:paraId="04B1CB5C"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Lackie, K. and Tomblin M. G. (2020) ‘The impact of interprofessional collaboration on productivity: Important considerations in health human resources planning’. </w:t>
      </w:r>
      <w:r w:rsidRPr="0081372D">
        <w:rPr>
          <w:rFonts w:ascii="Arial" w:hAnsi="Arial" w:cs="Arial"/>
          <w:i/>
          <w:sz w:val="24"/>
          <w:szCs w:val="24"/>
        </w:rPr>
        <w:t xml:space="preserve">Journal of </w:t>
      </w:r>
      <w:r w:rsidRPr="0081372D">
        <w:rPr>
          <w:rFonts w:ascii="Arial" w:hAnsi="Arial" w:cs="Arial"/>
          <w:i/>
          <w:sz w:val="24"/>
          <w:szCs w:val="24"/>
        </w:rPr>
        <w:lastRenderedPageBreak/>
        <w:t>Interprofessional Education &amp; Practice</w:t>
      </w:r>
      <w:r w:rsidRPr="0081372D">
        <w:rPr>
          <w:rFonts w:ascii="Arial" w:hAnsi="Arial" w:cs="Arial"/>
          <w:sz w:val="24"/>
          <w:szCs w:val="24"/>
        </w:rPr>
        <w:t xml:space="preserve">, 21, pp. 100375. </w:t>
      </w:r>
      <w:hyperlink r:id="rId10" w:history="1">
        <w:r w:rsidRPr="0081372D">
          <w:rPr>
            <w:rStyle w:val="Hyperlink"/>
            <w:rFonts w:ascii="Arial" w:hAnsi="Arial" w:cs="Arial"/>
            <w:sz w:val="24"/>
            <w:szCs w:val="24"/>
          </w:rPr>
          <w:t>https://doi.org/10.1016/j.xjep.2020.100375</w:t>
        </w:r>
      </w:hyperlink>
    </w:p>
    <w:p w14:paraId="33D34065"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Lopes, J. and Oliveira, C. (2020) ‘Teacher and school determinants of teacher job satisfaction: A multilevel analysis’. </w:t>
      </w:r>
      <w:r w:rsidRPr="0081372D">
        <w:rPr>
          <w:rFonts w:ascii="Arial" w:hAnsi="Arial" w:cs="Arial"/>
          <w:i/>
          <w:sz w:val="24"/>
          <w:szCs w:val="24"/>
        </w:rPr>
        <w:t>School Effectiveness and School Improvement,</w:t>
      </w:r>
      <w:r w:rsidRPr="0081372D">
        <w:rPr>
          <w:rFonts w:ascii="Arial" w:hAnsi="Arial" w:cs="Arial"/>
          <w:sz w:val="24"/>
          <w:szCs w:val="24"/>
        </w:rPr>
        <w:t xml:space="preserve"> 31(4), pp. 641–659. </w:t>
      </w:r>
      <w:hyperlink r:id="rId11" w:history="1">
        <w:r w:rsidRPr="0081372D">
          <w:rPr>
            <w:rStyle w:val="Hyperlink"/>
            <w:rFonts w:ascii="Arial" w:hAnsi="Arial" w:cs="Arial"/>
            <w:sz w:val="24"/>
            <w:szCs w:val="24"/>
          </w:rPr>
          <w:t>https://doi.org/10.1080/09243453.2020.1764593</w:t>
        </w:r>
      </w:hyperlink>
    </w:p>
    <w:p w14:paraId="4A5A3077" w14:textId="77777777" w:rsidR="00E16CB2" w:rsidRPr="0081372D" w:rsidRDefault="00E16CB2" w:rsidP="00D63E97">
      <w:pPr>
        <w:spacing w:line="360" w:lineRule="auto"/>
        <w:jc w:val="both"/>
        <w:rPr>
          <w:rFonts w:ascii="Arial" w:hAnsi="Arial" w:cs="Arial"/>
          <w:sz w:val="24"/>
          <w:szCs w:val="24"/>
        </w:rPr>
      </w:pPr>
      <w:proofErr w:type="spellStart"/>
      <w:r w:rsidRPr="0081372D">
        <w:rPr>
          <w:rFonts w:ascii="Arial" w:hAnsi="Arial" w:cs="Arial"/>
          <w:sz w:val="24"/>
          <w:szCs w:val="24"/>
        </w:rPr>
        <w:t>Mahapatro</w:t>
      </w:r>
      <w:proofErr w:type="spellEnd"/>
      <w:r w:rsidRPr="0081372D">
        <w:rPr>
          <w:rFonts w:ascii="Arial" w:hAnsi="Arial" w:cs="Arial"/>
          <w:sz w:val="24"/>
          <w:szCs w:val="24"/>
        </w:rPr>
        <w:t>, B. (2021) </w:t>
      </w:r>
      <w:r w:rsidRPr="0081372D">
        <w:rPr>
          <w:rFonts w:ascii="Arial" w:hAnsi="Arial" w:cs="Arial"/>
          <w:i/>
          <w:sz w:val="24"/>
          <w:szCs w:val="24"/>
        </w:rPr>
        <w:t>Human resource management</w:t>
      </w:r>
      <w:r w:rsidRPr="0081372D">
        <w:rPr>
          <w:rFonts w:ascii="Arial" w:hAnsi="Arial" w:cs="Arial"/>
          <w:sz w:val="24"/>
          <w:szCs w:val="24"/>
        </w:rPr>
        <w:t>. New Delhi: New Age International (P) ltd.</w:t>
      </w:r>
    </w:p>
    <w:p w14:paraId="010233E7"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Navdeep S. G. (2021) ‘Recruitment and Selection Procedures in Human Resource Management’</w:t>
      </w:r>
      <w:r w:rsidRPr="0081372D">
        <w:rPr>
          <w:rFonts w:ascii="Tahoma" w:hAnsi="Tahoma" w:cs="Tahoma"/>
          <w:sz w:val="24"/>
          <w:szCs w:val="24"/>
        </w:rPr>
        <w:t>﻿</w:t>
      </w:r>
      <w:r w:rsidRPr="0081372D">
        <w:rPr>
          <w:rFonts w:ascii="Arial" w:hAnsi="Arial" w:cs="Arial"/>
          <w:sz w:val="24"/>
          <w:szCs w:val="24"/>
        </w:rPr>
        <w:t xml:space="preserve">. </w:t>
      </w:r>
      <w:r w:rsidRPr="0081372D">
        <w:rPr>
          <w:rFonts w:ascii="Arial" w:hAnsi="Arial" w:cs="Arial"/>
          <w:i/>
          <w:sz w:val="24"/>
          <w:szCs w:val="24"/>
        </w:rPr>
        <w:t>IJCSMC,</w:t>
      </w:r>
      <w:r w:rsidRPr="0081372D">
        <w:rPr>
          <w:rFonts w:ascii="Arial" w:hAnsi="Arial" w:cs="Arial"/>
          <w:sz w:val="24"/>
          <w:szCs w:val="24"/>
        </w:rPr>
        <w:t xml:space="preserve"> 10(2), pp. 45–49. </w:t>
      </w:r>
      <w:hyperlink r:id="rId12" w:history="1">
        <w:r w:rsidRPr="0081372D">
          <w:rPr>
            <w:rStyle w:val="Hyperlink"/>
            <w:rFonts w:ascii="Arial" w:hAnsi="Arial" w:cs="Arial"/>
            <w:sz w:val="24"/>
            <w:szCs w:val="24"/>
          </w:rPr>
          <w:t>https://doi.org/10.47760/ijcsmc.2021.v10i02.006</w:t>
        </w:r>
      </w:hyperlink>
    </w:p>
    <w:p w14:paraId="4C8DE342"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Nuraini, B. (2023) </w:t>
      </w:r>
      <w:r w:rsidRPr="0081372D">
        <w:rPr>
          <w:rFonts w:ascii="Arial" w:hAnsi="Arial" w:cs="Arial"/>
          <w:i/>
          <w:sz w:val="24"/>
          <w:szCs w:val="24"/>
        </w:rPr>
        <w:t>Employee Performance Optimization: The Synergy of Leadership and Compensation.</w:t>
      </w:r>
      <w:r w:rsidRPr="0081372D">
        <w:rPr>
          <w:rFonts w:ascii="Arial" w:hAnsi="Arial" w:cs="Arial"/>
          <w:sz w:val="24"/>
          <w:szCs w:val="24"/>
        </w:rPr>
        <w:t xml:space="preserve"> New Delhi: Asadel Publisher.</w:t>
      </w:r>
    </w:p>
    <w:p w14:paraId="7A54399C" w14:textId="77777777" w:rsidR="00E16CB2" w:rsidRDefault="00EC74AF" w:rsidP="00D63E97">
      <w:pPr>
        <w:spacing w:line="360" w:lineRule="auto"/>
        <w:jc w:val="both"/>
        <w:rPr>
          <w:rFonts w:ascii="Arial" w:hAnsi="Arial" w:cs="Arial"/>
          <w:sz w:val="24"/>
          <w:szCs w:val="24"/>
        </w:rPr>
      </w:pPr>
      <w:proofErr w:type="spellStart"/>
      <w:r>
        <w:rPr>
          <w:rFonts w:ascii="Arial" w:hAnsi="Arial" w:cs="Arial"/>
          <w:sz w:val="24"/>
          <w:szCs w:val="24"/>
        </w:rPr>
        <w:t>Paramansyah</w:t>
      </w:r>
      <w:proofErr w:type="spellEnd"/>
      <w:r>
        <w:rPr>
          <w:rFonts w:ascii="Arial" w:hAnsi="Arial" w:cs="Arial"/>
          <w:sz w:val="24"/>
          <w:szCs w:val="24"/>
        </w:rPr>
        <w:t xml:space="preserve">, H. A. </w:t>
      </w:r>
      <w:r w:rsidR="00E16CB2" w:rsidRPr="00E16CB2">
        <w:rPr>
          <w:rFonts w:ascii="Arial" w:hAnsi="Arial" w:cs="Arial"/>
          <w:sz w:val="24"/>
          <w:szCs w:val="24"/>
        </w:rPr>
        <w:t>(2021). ‘</w:t>
      </w:r>
      <w:proofErr w:type="spellStart"/>
      <w:r w:rsidR="00E16CB2" w:rsidRPr="00E16CB2">
        <w:rPr>
          <w:rFonts w:ascii="Arial" w:hAnsi="Arial" w:cs="Arial"/>
          <w:i/>
          <w:sz w:val="24"/>
          <w:szCs w:val="24"/>
        </w:rPr>
        <w:t>Manajemen</w:t>
      </w:r>
      <w:proofErr w:type="spellEnd"/>
      <w:r w:rsidR="00E16CB2" w:rsidRPr="00E16CB2">
        <w:rPr>
          <w:rFonts w:ascii="Arial" w:hAnsi="Arial" w:cs="Arial"/>
          <w:i/>
          <w:sz w:val="24"/>
          <w:szCs w:val="24"/>
        </w:rPr>
        <w:t xml:space="preserve"> </w:t>
      </w:r>
      <w:proofErr w:type="spellStart"/>
      <w:r w:rsidR="00E16CB2" w:rsidRPr="00E16CB2">
        <w:rPr>
          <w:rFonts w:ascii="Arial" w:hAnsi="Arial" w:cs="Arial"/>
          <w:i/>
          <w:sz w:val="24"/>
          <w:szCs w:val="24"/>
        </w:rPr>
        <w:t>Sumber</w:t>
      </w:r>
      <w:proofErr w:type="spellEnd"/>
      <w:r w:rsidR="00E16CB2" w:rsidRPr="00E16CB2">
        <w:rPr>
          <w:rFonts w:ascii="Arial" w:hAnsi="Arial" w:cs="Arial"/>
          <w:i/>
          <w:sz w:val="24"/>
          <w:szCs w:val="24"/>
        </w:rPr>
        <w:t xml:space="preserve"> Daya </w:t>
      </w:r>
      <w:proofErr w:type="spellStart"/>
      <w:r w:rsidR="00E16CB2" w:rsidRPr="00E16CB2">
        <w:rPr>
          <w:rFonts w:ascii="Arial" w:hAnsi="Arial" w:cs="Arial"/>
          <w:i/>
          <w:sz w:val="24"/>
          <w:szCs w:val="24"/>
        </w:rPr>
        <w:t>Manusia</w:t>
      </w:r>
      <w:proofErr w:type="spellEnd"/>
      <w:r w:rsidR="00E16CB2" w:rsidRPr="00E16CB2">
        <w:rPr>
          <w:rFonts w:ascii="Arial" w:hAnsi="Arial" w:cs="Arial"/>
          <w:i/>
          <w:sz w:val="24"/>
          <w:szCs w:val="24"/>
        </w:rPr>
        <w:t xml:space="preserve"> Dalam </w:t>
      </w:r>
      <w:proofErr w:type="spellStart"/>
      <w:r w:rsidR="00E16CB2" w:rsidRPr="00E16CB2">
        <w:rPr>
          <w:rFonts w:ascii="Arial" w:hAnsi="Arial" w:cs="Arial"/>
          <w:i/>
          <w:sz w:val="24"/>
          <w:szCs w:val="24"/>
        </w:rPr>
        <w:t>Perspektif</w:t>
      </w:r>
      <w:proofErr w:type="spellEnd"/>
      <w:r w:rsidR="00E16CB2" w:rsidRPr="00E16CB2">
        <w:rPr>
          <w:rFonts w:ascii="Arial" w:hAnsi="Arial" w:cs="Arial"/>
          <w:i/>
          <w:sz w:val="24"/>
          <w:szCs w:val="24"/>
        </w:rPr>
        <w:t xml:space="preserve"> Islam</w:t>
      </w:r>
      <w:r w:rsidR="00E16CB2" w:rsidRPr="00E16CB2">
        <w:rPr>
          <w:rFonts w:ascii="Arial" w:hAnsi="Arial" w:cs="Arial"/>
          <w:sz w:val="24"/>
          <w:szCs w:val="24"/>
        </w:rPr>
        <w:t xml:space="preserve">. </w:t>
      </w:r>
      <w:proofErr w:type="spellStart"/>
      <w:r w:rsidR="00E16CB2" w:rsidRPr="00E16CB2">
        <w:rPr>
          <w:rFonts w:ascii="Arial" w:hAnsi="Arial" w:cs="Arial"/>
          <w:sz w:val="24"/>
          <w:szCs w:val="24"/>
        </w:rPr>
        <w:t>Almuqsith</w:t>
      </w:r>
      <w:proofErr w:type="spellEnd"/>
      <w:r w:rsidR="00E16CB2" w:rsidRPr="00E16CB2">
        <w:rPr>
          <w:rFonts w:ascii="Arial" w:hAnsi="Arial" w:cs="Arial"/>
          <w:sz w:val="24"/>
          <w:szCs w:val="24"/>
        </w:rPr>
        <w:t xml:space="preserve"> Library. </w:t>
      </w:r>
    </w:p>
    <w:p w14:paraId="0C330ACA"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Pelletier, J. and Sonenberg, N. (2019) ‘The Organizing Principles of Eukaryotic 2Ribosome Recruitment’. </w:t>
      </w:r>
      <w:r w:rsidRPr="0081372D">
        <w:rPr>
          <w:rFonts w:ascii="Arial" w:hAnsi="Arial" w:cs="Arial"/>
          <w:i/>
          <w:sz w:val="24"/>
          <w:szCs w:val="24"/>
        </w:rPr>
        <w:t>Annual Review of Biochemistry</w:t>
      </w:r>
      <w:r w:rsidRPr="0081372D">
        <w:rPr>
          <w:rFonts w:ascii="Arial" w:hAnsi="Arial" w:cs="Arial"/>
          <w:sz w:val="24"/>
          <w:szCs w:val="24"/>
        </w:rPr>
        <w:t xml:space="preserve">, 88(1), pp. 307–335. </w:t>
      </w:r>
      <w:hyperlink r:id="rId13" w:history="1">
        <w:r w:rsidRPr="0081372D">
          <w:rPr>
            <w:rStyle w:val="Hyperlink"/>
            <w:rFonts w:ascii="Arial" w:hAnsi="Arial" w:cs="Arial"/>
            <w:sz w:val="24"/>
            <w:szCs w:val="24"/>
          </w:rPr>
          <w:t>https://doi.org/10.1146/annurev-biochem-013118-111042</w:t>
        </w:r>
      </w:hyperlink>
    </w:p>
    <w:p w14:paraId="1D319744" w14:textId="77777777" w:rsidR="00E16CB2" w:rsidRDefault="00E16CB2" w:rsidP="00D63E97">
      <w:pPr>
        <w:spacing w:line="360" w:lineRule="auto"/>
        <w:jc w:val="both"/>
        <w:rPr>
          <w:rFonts w:ascii="Arial" w:hAnsi="Arial" w:cs="Arial"/>
          <w:sz w:val="24"/>
          <w:szCs w:val="24"/>
        </w:rPr>
      </w:pPr>
      <w:r w:rsidRPr="00E16CB2">
        <w:rPr>
          <w:rFonts w:ascii="Arial" w:hAnsi="Arial" w:cs="Arial"/>
          <w:sz w:val="24"/>
          <w:szCs w:val="24"/>
        </w:rPr>
        <w:t xml:space="preserve">Sabrina, R. (2021). Human Resource management (Vol. 1). </w:t>
      </w:r>
      <w:proofErr w:type="spellStart"/>
      <w:r w:rsidRPr="00E16CB2">
        <w:rPr>
          <w:rFonts w:ascii="Arial" w:hAnsi="Arial" w:cs="Arial"/>
          <w:sz w:val="24"/>
          <w:szCs w:val="24"/>
        </w:rPr>
        <w:t>umsu</w:t>
      </w:r>
      <w:proofErr w:type="spellEnd"/>
      <w:r w:rsidRPr="00E16CB2">
        <w:rPr>
          <w:rFonts w:ascii="Arial" w:hAnsi="Arial" w:cs="Arial"/>
          <w:sz w:val="24"/>
          <w:szCs w:val="24"/>
        </w:rPr>
        <w:t xml:space="preserve"> press. </w:t>
      </w:r>
    </w:p>
    <w:p w14:paraId="1284C1CE" w14:textId="77777777" w:rsidR="00E16CB2" w:rsidRDefault="00F30A7E" w:rsidP="00D63E97">
      <w:pPr>
        <w:spacing w:line="360" w:lineRule="auto"/>
        <w:jc w:val="both"/>
        <w:rPr>
          <w:rFonts w:ascii="Arial" w:hAnsi="Arial" w:cs="Arial"/>
          <w:sz w:val="24"/>
          <w:szCs w:val="24"/>
        </w:rPr>
      </w:pPr>
      <w:r>
        <w:rPr>
          <w:rFonts w:ascii="Arial" w:hAnsi="Arial" w:cs="Arial"/>
          <w:sz w:val="24"/>
          <w:szCs w:val="24"/>
        </w:rPr>
        <w:t xml:space="preserve">Sari, O. H. </w:t>
      </w:r>
      <w:r w:rsidR="00E16CB2" w:rsidRPr="00E16CB2">
        <w:rPr>
          <w:rFonts w:ascii="Arial" w:hAnsi="Arial" w:cs="Arial"/>
          <w:sz w:val="24"/>
          <w:szCs w:val="24"/>
        </w:rPr>
        <w:t xml:space="preserve">(2022). </w:t>
      </w:r>
      <w:r w:rsidR="00E16CB2" w:rsidRPr="00E16CB2">
        <w:rPr>
          <w:rFonts w:ascii="Arial" w:hAnsi="Arial" w:cs="Arial"/>
          <w:i/>
          <w:sz w:val="24"/>
          <w:szCs w:val="24"/>
        </w:rPr>
        <w:t>Human Resource management.</w:t>
      </w:r>
      <w:r w:rsidR="00E16CB2" w:rsidRPr="00E16CB2">
        <w:rPr>
          <w:rFonts w:ascii="Arial" w:hAnsi="Arial" w:cs="Arial"/>
          <w:sz w:val="24"/>
          <w:szCs w:val="24"/>
        </w:rPr>
        <w:t xml:space="preserve"> We Write Foundation</w:t>
      </w:r>
    </w:p>
    <w:p w14:paraId="0A0BB4DC"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Shakir, S. M. S. (2024) </w:t>
      </w:r>
      <w:r w:rsidRPr="0081372D">
        <w:rPr>
          <w:rFonts w:ascii="Arial" w:hAnsi="Arial" w:cs="Arial"/>
          <w:i/>
          <w:sz w:val="24"/>
          <w:szCs w:val="24"/>
        </w:rPr>
        <w:t xml:space="preserve">The Impact </w:t>
      </w:r>
      <w:proofErr w:type="gramStart"/>
      <w:r w:rsidRPr="0081372D">
        <w:rPr>
          <w:rFonts w:ascii="Arial" w:hAnsi="Arial" w:cs="Arial"/>
          <w:i/>
          <w:sz w:val="24"/>
          <w:szCs w:val="24"/>
        </w:rPr>
        <w:t>Of</w:t>
      </w:r>
      <w:proofErr w:type="gramEnd"/>
      <w:r w:rsidRPr="0081372D">
        <w:rPr>
          <w:rFonts w:ascii="Arial" w:hAnsi="Arial" w:cs="Arial"/>
          <w:i/>
          <w:sz w:val="24"/>
          <w:szCs w:val="24"/>
        </w:rPr>
        <w:t xml:space="preserve"> Strategic Human Resource Management Practices And Innovation On Sustainability Competitive Advantage: Through The Mediating Role Of Human Capital Development</w:t>
      </w:r>
      <w:r w:rsidRPr="0081372D">
        <w:rPr>
          <w:rFonts w:ascii="Arial" w:hAnsi="Arial" w:cs="Arial"/>
          <w:sz w:val="24"/>
          <w:szCs w:val="24"/>
        </w:rPr>
        <w:t xml:space="preserve"> (Afield Study In The University Of Fallujah) (Doctoral dissertation).</w:t>
      </w:r>
    </w:p>
    <w:p w14:paraId="7E261829" w14:textId="77777777" w:rsidR="00E16CB2" w:rsidRDefault="00E16CB2" w:rsidP="00D63E97">
      <w:pPr>
        <w:spacing w:line="360" w:lineRule="auto"/>
        <w:jc w:val="both"/>
        <w:rPr>
          <w:rFonts w:ascii="Arial" w:hAnsi="Arial" w:cs="Arial"/>
          <w:sz w:val="24"/>
          <w:szCs w:val="24"/>
        </w:rPr>
      </w:pPr>
      <w:r w:rsidRPr="00E16CB2">
        <w:rPr>
          <w:rFonts w:ascii="Arial" w:hAnsi="Arial" w:cs="Arial"/>
          <w:sz w:val="24"/>
          <w:szCs w:val="24"/>
        </w:rPr>
        <w:t xml:space="preserve">Suryani, N. L. (2020). </w:t>
      </w:r>
      <w:r w:rsidRPr="00E16CB2">
        <w:rPr>
          <w:rFonts w:ascii="Arial" w:hAnsi="Arial" w:cs="Arial"/>
          <w:i/>
          <w:sz w:val="24"/>
          <w:szCs w:val="24"/>
        </w:rPr>
        <w:t>Human Resource management Concept and Practice</w:t>
      </w:r>
      <w:r w:rsidRPr="00E16CB2">
        <w:rPr>
          <w:rFonts w:ascii="Arial" w:hAnsi="Arial" w:cs="Arial"/>
          <w:sz w:val="24"/>
          <w:szCs w:val="24"/>
        </w:rPr>
        <w:t xml:space="preserve">. Indonesia: </w:t>
      </w:r>
      <w:proofErr w:type="spellStart"/>
      <w:r w:rsidRPr="00E16CB2">
        <w:rPr>
          <w:rFonts w:ascii="Arial" w:hAnsi="Arial" w:cs="Arial"/>
          <w:sz w:val="24"/>
          <w:szCs w:val="24"/>
        </w:rPr>
        <w:t>Desanta</w:t>
      </w:r>
      <w:proofErr w:type="spellEnd"/>
      <w:r w:rsidRPr="00E16CB2">
        <w:rPr>
          <w:rFonts w:ascii="Arial" w:hAnsi="Arial" w:cs="Arial"/>
          <w:sz w:val="24"/>
          <w:szCs w:val="24"/>
        </w:rPr>
        <w:t xml:space="preserve"> Publisher.</w:t>
      </w:r>
    </w:p>
    <w:p w14:paraId="1679DE99"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lastRenderedPageBreak/>
        <w:t xml:space="preserve">Tambe, P., Cappelli, P. and Yakubovich, V. (2019) ‘Artificial Intelligence in Human Resources Management: Challenges and a Path Forward’. </w:t>
      </w:r>
      <w:r w:rsidRPr="0081372D">
        <w:rPr>
          <w:rFonts w:ascii="Arial" w:hAnsi="Arial" w:cs="Arial"/>
          <w:i/>
          <w:sz w:val="24"/>
          <w:szCs w:val="24"/>
        </w:rPr>
        <w:t>California Management Review,</w:t>
      </w:r>
      <w:r w:rsidRPr="0081372D">
        <w:rPr>
          <w:rFonts w:ascii="Arial" w:hAnsi="Arial" w:cs="Arial"/>
          <w:sz w:val="24"/>
          <w:szCs w:val="24"/>
        </w:rPr>
        <w:t xml:space="preserve"> 61(4), pp. 15–42. </w:t>
      </w:r>
      <w:hyperlink r:id="rId14" w:history="1">
        <w:r w:rsidRPr="0081372D">
          <w:rPr>
            <w:rStyle w:val="Hyperlink"/>
            <w:rFonts w:ascii="Arial" w:hAnsi="Arial" w:cs="Arial"/>
            <w:sz w:val="24"/>
            <w:szCs w:val="24"/>
          </w:rPr>
          <w:t>https://doi.org/10.1177/0008125619867910</w:t>
        </w:r>
      </w:hyperlink>
    </w:p>
    <w:p w14:paraId="5C5D573E" w14:textId="77777777" w:rsidR="00E16CB2" w:rsidRDefault="00EC74AF" w:rsidP="00D63E97">
      <w:pPr>
        <w:spacing w:line="360" w:lineRule="auto"/>
        <w:jc w:val="both"/>
        <w:rPr>
          <w:rFonts w:ascii="Arial" w:hAnsi="Arial" w:cs="Arial"/>
          <w:sz w:val="24"/>
          <w:szCs w:val="24"/>
        </w:rPr>
      </w:pPr>
      <w:r>
        <w:rPr>
          <w:rFonts w:ascii="Arial" w:hAnsi="Arial" w:cs="Arial"/>
          <w:sz w:val="24"/>
          <w:szCs w:val="24"/>
        </w:rPr>
        <w:t>Torrington, D., Hall, L., Atkinson, C. and Taylor, S.</w:t>
      </w:r>
      <w:r w:rsidR="00E16CB2" w:rsidRPr="0081372D">
        <w:rPr>
          <w:rFonts w:ascii="Arial" w:hAnsi="Arial" w:cs="Arial"/>
          <w:i/>
          <w:sz w:val="24"/>
          <w:szCs w:val="24"/>
        </w:rPr>
        <w:t xml:space="preserve"> </w:t>
      </w:r>
      <w:r w:rsidR="00E16CB2" w:rsidRPr="0081372D">
        <w:rPr>
          <w:rFonts w:ascii="Arial" w:hAnsi="Arial" w:cs="Arial"/>
          <w:sz w:val="24"/>
          <w:szCs w:val="24"/>
        </w:rPr>
        <w:t xml:space="preserve">(2020), </w:t>
      </w:r>
      <w:r w:rsidR="00E16CB2" w:rsidRPr="0081372D">
        <w:rPr>
          <w:rFonts w:ascii="Arial" w:hAnsi="Arial" w:cs="Arial"/>
          <w:i/>
          <w:sz w:val="24"/>
          <w:szCs w:val="24"/>
        </w:rPr>
        <w:t xml:space="preserve">Human Resources management PDF </w:t>
      </w:r>
      <w:proofErr w:type="spellStart"/>
      <w:r w:rsidR="00E16CB2" w:rsidRPr="0081372D">
        <w:rPr>
          <w:rFonts w:ascii="Arial" w:hAnsi="Arial" w:cs="Arial"/>
          <w:i/>
          <w:sz w:val="24"/>
          <w:szCs w:val="24"/>
        </w:rPr>
        <w:t>Ebook</w:t>
      </w:r>
      <w:proofErr w:type="spellEnd"/>
      <w:r w:rsidR="00E16CB2" w:rsidRPr="0081372D">
        <w:rPr>
          <w:rFonts w:ascii="Arial" w:hAnsi="Arial" w:cs="Arial"/>
          <w:sz w:val="24"/>
          <w:szCs w:val="24"/>
        </w:rPr>
        <w:t xml:space="preserve">. Harlow: Pearson Education, Limited, Harlow. </w:t>
      </w:r>
    </w:p>
    <w:p w14:paraId="03E8C031" w14:textId="77777777" w:rsidR="00E16CB2" w:rsidRPr="0081372D"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Toumi, S. and Su, Z. (2023) ‘Islamic values and human resources management: A qualitative study of grocery stores in the Quebec province’. </w:t>
      </w:r>
      <w:r w:rsidRPr="0081372D">
        <w:rPr>
          <w:rFonts w:ascii="Arial" w:hAnsi="Arial" w:cs="Arial"/>
          <w:i/>
          <w:sz w:val="24"/>
          <w:szCs w:val="24"/>
        </w:rPr>
        <w:t>International Journal of Cross Cultural Management</w:t>
      </w:r>
      <w:r w:rsidRPr="0081372D">
        <w:rPr>
          <w:rFonts w:ascii="Arial" w:hAnsi="Arial" w:cs="Arial"/>
          <w:sz w:val="24"/>
          <w:szCs w:val="24"/>
        </w:rPr>
        <w:t xml:space="preserve">, 23(1), pp. 79–112. </w:t>
      </w:r>
      <w:hyperlink r:id="rId15" w:history="1">
        <w:r w:rsidRPr="0081372D">
          <w:rPr>
            <w:rStyle w:val="Hyperlink"/>
            <w:rFonts w:ascii="Arial" w:hAnsi="Arial" w:cs="Arial"/>
            <w:sz w:val="24"/>
            <w:szCs w:val="24"/>
          </w:rPr>
          <w:t>https://doi.org/10.1177/14705958221136691</w:t>
        </w:r>
      </w:hyperlink>
    </w:p>
    <w:p w14:paraId="1321C30A" w14:textId="77777777" w:rsidR="00E16CB2" w:rsidRPr="0081372D" w:rsidRDefault="00E16CB2" w:rsidP="00D63E97">
      <w:pPr>
        <w:spacing w:line="360" w:lineRule="auto"/>
        <w:jc w:val="both"/>
        <w:rPr>
          <w:rFonts w:ascii="Arial" w:hAnsi="Arial" w:cs="Arial"/>
          <w:sz w:val="24"/>
          <w:szCs w:val="24"/>
        </w:rPr>
      </w:pPr>
      <w:proofErr w:type="spellStart"/>
      <w:r w:rsidRPr="0081372D">
        <w:rPr>
          <w:rFonts w:ascii="Arial" w:hAnsi="Arial" w:cs="Arial"/>
          <w:sz w:val="24"/>
          <w:szCs w:val="24"/>
        </w:rPr>
        <w:t>Vardarlier</w:t>
      </w:r>
      <w:proofErr w:type="spellEnd"/>
      <w:r w:rsidRPr="0081372D">
        <w:rPr>
          <w:rFonts w:ascii="Arial" w:hAnsi="Arial" w:cs="Arial"/>
          <w:sz w:val="24"/>
          <w:szCs w:val="24"/>
        </w:rPr>
        <w:t xml:space="preserve">, P. (2020) ‘Digital transformation of human resource management: Digital applications and strategic tools in HRM. Digital business strategies in blockchain ecosystems’ </w:t>
      </w:r>
      <w:r w:rsidRPr="0081372D">
        <w:rPr>
          <w:rFonts w:ascii="Arial" w:hAnsi="Arial" w:cs="Arial"/>
          <w:i/>
          <w:sz w:val="24"/>
          <w:szCs w:val="24"/>
        </w:rPr>
        <w:t>Transformational design and future of global business,</w:t>
      </w:r>
      <w:r w:rsidRPr="0081372D">
        <w:rPr>
          <w:rFonts w:ascii="Arial" w:hAnsi="Arial" w:cs="Arial"/>
          <w:sz w:val="24"/>
          <w:szCs w:val="24"/>
        </w:rPr>
        <w:t xml:space="preserve"> pp. 239-264.</w:t>
      </w:r>
    </w:p>
    <w:p w14:paraId="114402B2" w14:textId="77777777" w:rsidR="00E16CB2" w:rsidRDefault="00E16CB2" w:rsidP="00D63E97">
      <w:pPr>
        <w:spacing w:line="360" w:lineRule="auto"/>
        <w:jc w:val="both"/>
        <w:rPr>
          <w:rFonts w:ascii="Arial" w:hAnsi="Arial" w:cs="Arial"/>
          <w:sz w:val="24"/>
          <w:szCs w:val="24"/>
        </w:rPr>
      </w:pPr>
      <w:r w:rsidRPr="0081372D">
        <w:rPr>
          <w:rFonts w:ascii="Arial" w:hAnsi="Arial" w:cs="Arial"/>
          <w:sz w:val="24"/>
          <w:szCs w:val="24"/>
        </w:rPr>
        <w:t xml:space="preserve">Waples, C. J. and Brachle, B. J. (2020) ‘Recruiting millennials: Exploring the impact of CSR involvement and pay signaling on organizational attractiveness’. </w:t>
      </w:r>
      <w:r w:rsidRPr="0081372D">
        <w:rPr>
          <w:rFonts w:ascii="Arial" w:hAnsi="Arial" w:cs="Arial"/>
          <w:i/>
          <w:sz w:val="24"/>
          <w:szCs w:val="24"/>
        </w:rPr>
        <w:t>Corporate Social Responsibility and Environmental Management</w:t>
      </w:r>
      <w:r w:rsidRPr="0081372D">
        <w:rPr>
          <w:rFonts w:ascii="Arial" w:hAnsi="Arial" w:cs="Arial"/>
          <w:sz w:val="24"/>
          <w:szCs w:val="24"/>
        </w:rPr>
        <w:t xml:space="preserve">, 27(2), pp. 870–880. </w:t>
      </w:r>
      <w:hyperlink r:id="rId16" w:history="1">
        <w:r w:rsidRPr="0081372D">
          <w:rPr>
            <w:rStyle w:val="Hyperlink"/>
            <w:rFonts w:ascii="Arial" w:hAnsi="Arial" w:cs="Arial"/>
            <w:sz w:val="24"/>
            <w:szCs w:val="24"/>
          </w:rPr>
          <w:t>https://doi.org/10.1002/csr.1851</w:t>
        </w:r>
      </w:hyperlink>
    </w:p>
    <w:p w14:paraId="792812A5" w14:textId="77777777" w:rsidR="00817E1A" w:rsidRPr="0081372D" w:rsidRDefault="00F769DB" w:rsidP="00D63E97">
      <w:pPr>
        <w:spacing w:line="360" w:lineRule="auto"/>
        <w:jc w:val="both"/>
        <w:rPr>
          <w:rFonts w:ascii="Arial" w:hAnsi="Arial" w:cs="Arial"/>
          <w:sz w:val="24"/>
          <w:szCs w:val="24"/>
        </w:rPr>
      </w:pPr>
      <w:r w:rsidRPr="0081372D">
        <w:rPr>
          <w:rFonts w:ascii="Arial" w:hAnsi="Arial" w:cs="Arial"/>
          <w:sz w:val="24"/>
          <w:szCs w:val="24"/>
        </w:rPr>
        <w:cr/>
      </w:r>
    </w:p>
    <w:sectPr w:rsidR="00817E1A" w:rsidRPr="008137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E1A"/>
    <w:rsid w:val="001673FC"/>
    <w:rsid w:val="00296BDE"/>
    <w:rsid w:val="002D19E9"/>
    <w:rsid w:val="002F40FC"/>
    <w:rsid w:val="00500698"/>
    <w:rsid w:val="00535E04"/>
    <w:rsid w:val="00570912"/>
    <w:rsid w:val="0081372D"/>
    <w:rsid w:val="00817E1A"/>
    <w:rsid w:val="009542A6"/>
    <w:rsid w:val="009A3C02"/>
    <w:rsid w:val="009C7AC6"/>
    <w:rsid w:val="00C46B20"/>
    <w:rsid w:val="00D63E97"/>
    <w:rsid w:val="00D81D33"/>
    <w:rsid w:val="00E16CB2"/>
    <w:rsid w:val="00EC74AF"/>
    <w:rsid w:val="00F30A7E"/>
    <w:rsid w:val="00F769DB"/>
    <w:rsid w:val="00F80CA2"/>
    <w:rsid w:val="00FE3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449C4"/>
  <w15:docId w15:val="{3B9B6324-1F48-4636-83C9-9FF627A5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3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43679">
      <w:bodyDiv w:val="1"/>
      <w:marLeft w:val="0"/>
      <w:marRight w:val="0"/>
      <w:marTop w:val="0"/>
      <w:marBottom w:val="0"/>
      <w:divBdr>
        <w:top w:val="none" w:sz="0" w:space="0" w:color="auto"/>
        <w:left w:val="none" w:sz="0" w:space="0" w:color="auto"/>
        <w:bottom w:val="none" w:sz="0" w:space="0" w:color="auto"/>
        <w:right w:val="none" w:sz="0" w:space="0" w:color="auto"/>
      </w:divBdr>
    </w:div>
    <w:div w:id="120149796">
      <w:bodyDiv w:val="1"/>
      <w:marLeft w:val="0"/>
      <w:marRight w:val="0"/>
      <w:marTop w:val="0"/>
      <w:marBottom w:val="0"/>
      <w:divBdr>
        <w:top w:val="none" w:sz="0" w:space="0" w:color="auto"/>
        <w:left w:val="none" w:sz="0" w:space="0" w:color="auto"/>
        <w:bottom w:val="none" w:sz="0" w:space="0" w:color="auto"/>
        <w:right w:val="none" w:sz="0" w:space="0" w:color="auto"/>
      </w:divBdr>
    </w:div>
    <w:div w:id="369502642">
      <w:bodyDiv w:val="1"/>
      <w:marLeft w:val="0"/>
      <w:marRight w:val="0"/>
      <w:marTop w:val="0"/>
      <w:marBottom w:val="0"/>
      <w:divBdr>
        <w:top w:val="none" w:sz="0" w:space="0" w:color="auto"/>
        <w:left w:val="none" w:sz="0" w:space="0" w:color="auto"/>
        <w:bottom w:val="none" w:sz="0" w:space="0" w:color="auto"/>
        <w:right w:val="none" w:sz="0" w:space="0" w:color="auto"/>
      </w:divBdr>
    </w:div>
    <w:div w:id="390352453">
      <w:bodyDiv w:val="1"/>
      <w:marLeft w:val="0"/>
      <w:marRight w:val="0"/>
      <w:marTop w:val="0"/>
      <w:marBottom w:val="0"/>
      <w:divBdr>
        <w:top w:val="none" w:sz="0" w:space="0" w:color="auto"/>
        <w:left w:val="none" w:sz="0" w:space="0" w:color="auto"/>
        <w:bottom w:val="none" w:sz="0" w:space="0" w:color="auto"/>
        <w:right w:val="none" w:sz="0" w:space="0" w:color="auto"/>
      </w:divBdr>
    </w:div>
    <w:div w:id="621883619">
      <w:bodyDiv w:val="1"/>
      <w:marLeft w:val="0"/>
      <w:marRight w:val="0"/>
      <w:marTop w:val="0"/>
      <w:marBottom w:val="0"/>
      <w:divBdr>
        <w:top w:val="none" w:sz="0" w:space="0" w:color="auto"/>
        <w:left w:val="none" w:sz="0" w:space="0" w:color="auto"/>
        <w:bottom w:val="none" w:sz="0" w:space="0" w:color="auto"/>
        <w:right w:val="none" w:sz="0" w:space="0" w:color="auto"/>
      </w:divBdr>
    </w:div>
    <w:div w:id="713115606">
      <w:bodyDiv w:val="1"/>
      <w:marLeft w:val="0"/>
      <w:marRight w:val="0"/>
      <w:marTop w:val="0"/>
      <w:marBottom w:val="0"/>
      <w:divBdr>
        <w:top w:val="none" w:sz="0" w:space="0" w:color="auto"/>
        <w:left w:val="none" w:sz="0" w:space="0" w:color="auto"/>
        <w:bottom w:val="none" w:sz="0" w:space="0" w:color="auto"/>
        <w:right w:val="none" w:sz="0" w:space="0" w:color="auto"/>
      </w:divBdr>
    </w:div>
    <w:div w:id="744183581">
      <w:bodyDiv w:val="1"/>
      <w:marLeft w:val="0"/>
      <w:marRight w:val="0"/>
      <w:marTop w:val="0"/>
      <w:marBottom w:val="0"/>
      <w:divBdr>
        <w:top w:val="none" w:sz="0" w:space="0" w:color="auto"/>
        <w:left w:val="none" w:sz="0" w:space="0" w:color="auto"/>
        <w:bottom w:val="none" w:sz="0" w:space="0" w:color="auto"/>
        <w:right w:val="none" w:sz="0" w:space="0" w:color="auto"/>
      </w:divBdr>
    </w:div>
    <w:div w:id="897858151">
      <w:bodyDiv w:val="1"/>
      <w:marLeft w:val="0"/>
      <w:marRight w:val="0"/>
      <w:marTop w:val="0"/>
      <w:marBottom w:val="0"/>
      <w:divBdr>
        <w:top w:val="none" w:sz="0" w:space="0" w:color="auto"/>
        <w:left w:val="none" w:sz="0" w:space="0" w:color="auto"/>
        <w:bottom w:val="none" w:sz="0" w:space="0" w:color="auto"/>
        <w:right w:val="none" w:sz="0" w:space="0" w:color="auto"/>
      </w:divBdr>
    </w:div>
    <w:div w:id="917860315">
      <w:bodyDiv w:val="1"/>
      <w:marLeft w:val="0"/>
      <w:marRight w:val="0"/>
      <w:marTop w:val="0"/>
      <w:marBottom w:val="0"/>
      <w:divBdr>
        <w:top w:val="none" w:sz="0" w:space="0" w:color="auto"/>
        <w:left w:val="none" w:sz="0" w:space="0" w:color="auto"/>
        <w:bottom w:val="none" w:sz="0" w:space="0" w:color="auto"/>
        <w:right w:val="none" w:sz="0" w:space="0" w:color="auto"/>
      </w:divBdr>
    </w:div>
    <w:div w:id="993725630">
      <w:bodyDiv w:val="1"/>
      <w:marLeft w:val="0"/>
      <w:marRight w:val="0"/>
      <w:marTop w:val="0"/>
      <w:marBottom w:val="0"/>
      <w:divBdr>
        <w:top w:val="none" w:sz="0" w:space="0" w:color="auto"/>
        <w:left w:val="none" w:sz="0" w:space="0" w:color="auto"/>
        <w:bottom w:val="none" w:sz="0" w:space="0" w:color="auto"/>
        <w:right w:val="none" w:sz="0" w:space="0" w:color="auto"/>
      </w:divBdr>
    </w:div>
    <w:div w:id="1119764254">
      <w:bodyDiv w:val="1"/>
      <w:marLeft w:val="0"/>
      <w:marRight w:val="0"/>
      <w:marTop w:val="0"/>
      <w:marBottom w:val="0"/>
      <w:divBdr>
        <w:top w:val="none" w:sz="0" w:space="0" w:color="auto"/>
        <w:left w:val="none" w:sz="0" w:space="0" w:color="auto"/>
        <w:bottom w:val="none" w:sz="0" w:space="0" w:color="auto"/>
        <w:right w:val="none" w:sz="0" w:space="0" w:color="auto"/>
      </w:divBdr>
    </w:div>
    <w:div w:id="1173645267">
      <w:bodyDiv w:val="1"/>
      <w:marLeft w:val="0"/>
      <w:marRight w:val="0"/>
      <w:marTop w:val="0"/>
      <w:marBottom w:val="0"/>
      <w:divBdr>
        <w:top w:val="none" w:sz="0" w:space="0" w:color="auto"/>
        <w:left w:val="none" w:sz="0" w:space="0" w:color="auto"/>
        <w:bottom w:val="none" w:sz="0" w:space="0" w:color="auto"/>
        <w:right w:val="none" w:sz="0" w:space="0" w:color="auto"/>
      </w:divBdr>
    </w:div>
    <w:div w:id="1306549918">
      <w:bodyDiv w:val="1"/>
      <w:marLeft w:val="0"/>
      <w:marRight w:val="0"/>
      <w:marTop w:val="0"/>
      <w:marBottom w:val="0"/>
      <w:divBdr>
        <w:top w:val="none" w:sz="0" w:space="0" w:color="auto"/>
        <w:left w:val="none" w:sz="0" w:space="0" w:color="auto"/>
        <w:bottom w:val="none" w:sz="0" w:space="0" w:color="auto"/>
        <w:right w:val="none" w:sz="0" w:space="0" w:color="auto"/>
      </w:divBdr>
    </w:div>
    <w:div w:id="1420518499">
      <w:bodyDiv w:val="1"/>
      <w:marLeft w:val="0"/>
      <w:marRight w:val="0"/>
      <w:marTop w:val="0"/>
      <w:marBottom w:val="0"/>
      <w:divBdr>
        <w:top w:val="none" w:sz="0" w:space="0" w:color="auto"/>
        <w:left w:val="none" w:sz="0" w:space="0" w:color="auto"/>
        <w:bottom w:val="none" w:sz="0" w:space="0" w:color="auto"/>
        <w:right w:val="none" w:sz="0" w:space="0" w:color="auto"/>
      </w:divBdr>
    </w:div>
    <w:div w:id="1521427514">
      <w:bodyDiv w:val="1"/>
      <w:marLeft w:val="0"/>
      <w:marRight w:val="0"/>
      <w:marTop w:val="0"/>
      <w:marBottom w:val="0"/>
      <w:divBdr>
        <w:top w:val="none" w:sz="0" w:space="0" w:color="auto"/>
        <w:left w:val="none" w:sz="0" w:space="0" w:color="auto"/>
        <w:bottom w:val="none" w:sz="0" w:space="0" w:color="auto"/>
        <w:right w:val="none" w:sz="0" w:space="0" w:color="auto"/>
      </w:divBdr>
    </w:div>
    <w:div w:id="1710034170">
      <w:bodyDiv w:val="1"/>
      <w:marLeft w:val="0"/>
      <w:marRight w:val="0"/>
      <w:marTop w:val="0"/>
      <w:marBottom w:val="0"/>
      <w:divBdr>
        <w:top w:val="none" w:sz="0" w:space="0" w:color="auto"/>
        <w:left w:val="none" w:sz="0" w:space="0" w:color="auto"/>
        <w:bottom w:val="none" w:sz="0" w:space="0" w:color="auto"/>
        <w:right w:val="none" w:sz="0" w:space="0" w:color="auto"/>
      </w:divBdr>
    </w:div>
    <w:div w:id="1750497873">
      <w:bodyDiv w:val="1"/>
      <w:marLeft w:val="0"/>
      <w:marRight w:val="0"/>
      <w:marTop w:val="0"/>
      <w:marBottom w:val="0"/>
      <w:divBdr>
        <w:top w:val="none" w:sz="0" w:space="0" w:color="auto"/>
        <w:left w:val="none" w:sz="0" w:space="0" w:color="auto"/>
        <w:bottom w:val="none" w:sz="0" w:space="0" w:color="auto"/>
        <w:right w:val="none" w:sz="0" w:space="0" w:color="auto"/>
      </w:divBdr>
    </w:div>
    <w:div w:id="1774547021">
      <w:bodyDiv w:val="1"/>
      <w:marLeft w:val="0"/>
      <w:marRight w:val="0"/>
      <w:marTop w:val="0"/>
      <w:marBottom w:val="0"/>
      <w:divBdr>
        <w:top w:val="none" w:sz="0" w:space="0" w:color="auto"/>
        <w:left w:val="none" w:sz="0" w:space="0" w:color="auto"/>
        <w:bottom w:val="none" w:sz="0" w:space="0" w:color="auto"/>
        <w:right w:val="none" w:sz="0" w:space="0" w:color="auto"/>
      </w:divBdr>
    </w:div>
    <w:div w:id="1804809113">
      <w:bodyDiv w:val="1"/>
      <w:marLeft w:val="0"/>
      <w:marRight w:val="0"/>
      <w:marTop w:val="0"/>
      <w:marBottom w:val="0"/>
      <w:divBdr>
        <w:top w:val="none" w:sz="0" w:space="0" w:color="auto"/>
        <w:left w:val="none" w:sz="0" w:space="0" w:color="auto"/>
        <w:bottom w:val="none" w:sz="0" w:space="0" w:color="auto"/>
        <w:right w:val="none" w:sz="0" w:space="0" w:color="auto"/>
      </w:divBdr>
    </w:div>
    <w:div w:id="1805926318">
      <w:bodyDiv w:val="1"/>
      <w:marLeft w:val="0"/>
      <w:marRight w:val="0"/>
      <w:marTop w:val="0"/>
      <w:marBottom w:val="0"/>
      <w:divBdr>
        <w:top w:val="none" w:sz="0" w:space="0" w:color="auto"/>
        <w:left w:val="none" w:sz="0" w:space="0" w:color="auto"/>
        <w:bottom w:val="none" w:sz="0" w:space="0" w:color="auto"/>
        <w:right w:val="none" w:sz="0" w:space="0" w:color="auto"/>
      </w:divBdr>
    </w:div>
    <w:div w:id="1944067817">
      <w:bodyDiv w:val="1"/>
      <w:marLeft w:val="0"/>
      <w:marRight w:val="0"/>
      <w:marTop w:val="0"/>
      <w:marBottom w:val="0"/>
      <w:divBdr>
        <w:top w:val="none" w:sz="0" w:space="0" w:color="auto"/>
        <w:left w:val="none" w:sz="0" w:space="0" w:color="auto"/>
        <w:bottom w:val="none" w:sz="0" w:space="0" w:color="auto"/>
        <w:right w:val="none" w:sz="0" w:space="0" w:color="auto"/>
      </w:divBdr>
    </w:div>
    <w:div w:id="2014068201">
      <w:bodyDiv w:val="1"/>
      <w:marLeft w:val="0"/>
      <w:marRight w:val="0"/>
      <w:marTop w:val="0"/>
      <w:marBottom w:val="0"/>
      <w:divBdr>
        <w:top w:val="none" w:sz="0" w:space="0" w:color="auto"/>
        <w:left w:val="none" w:sz="0" w:space="0" w:color="auto"/>
        <w:bottom w:val="none" w:sz="0" w:space="0" w:color="auto"/>
        <w:right w:val="none" w:sz="0" w:space="0" w:color="auto"/>
      </w:divBdr>
    </w:div>
    <w:div w:id="2099599811">
      <w:bodyDiv w:val="1"/>
      <w:marLeft w:val="0"/>
      <w:marRight w:val="0"/>
      <w:marTop w:val="0"/>
      <w:marBottom w:val="0"/>
      <w:divBdr>
        <w:top w:val="none" w:sz="0" w:space="0" w:color="auto"/>
        <w:left w:val="none" w:sz="0" w:space="0" w:color="auto"/>
        <w:bottom w:val="none" w:sz="0" w:space="0" w:color="auto"/>
        <w:right w:val="none" w:sz="0" w:space="0" w:color="auto"/>
      </w:divBdr>
    </w:div>
    <w:div w:id="2138135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0.05.037" TargetMode="External"/><Relationship Id="rId13" Type="http://schemas.openxmlformats.org/officeDocument/2006/relationships/hyperlink" Target="https://doi.org/10.1146/annurev-biochem-013118-111042"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15332845.2024.2282215" TargetMode="External"/><Relationship Id="rId12" Type="http://schemas.openxmlformats.org/officeDocument/2006/relationships/hyperlink" Target="https://doi.org/10.47760/ijcsmc.2021.v10i02.006"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02/csr.1851" TargetMode="External"/><Relationship Id="rId1" Type="http://schemas.openxmlformats.org/officeDocument/2006/relationships/styles" Target="styles.xml"/><Relationship Id="rId6" Type="http://schemas.openxmlformats.org/officeDocument/2006/relationships/hyperlink" Target="https://doi.org/10.1007/s10639-021-10699-6" TargetMode="External"/><Relationship Id="rId11" Type="http://schemas.openxmlformats.org/officeDocument/2006/relationships/hyperlink" Target="https://doi.org/10.1080/09243453.2020.1764593" TargetMode="External"/><Relationship Id="rId5" Type="http://schemas.openxmlformats.org/officeDocument/2006/relationships/hyperlink" Target="https://doi.org/10.37394/232015.2021.17.35" TargetMode="External"/><Relationship Id="rId15" Type="http://schemas.openxmlformats.org/officeDocument/2006/relationships/hyperlink" Target="https://doi.org/10.1177/14705958221136691" TargetMode="External"/><Relationship Id="rId10" Type="http://schemas.openxmlformats.org/officeDocument/2006/relationships/hyperlink" Target="https://doi.org/10.1016/j.xjep.2020.100375" TargetMode="External"/><Relationship Id="rId4" Type="http://schemas.openxmlformats.org/officeDocument/2006/relationships/hyperlink" Target="mailto:20293083@student.uwtsd.ac.uk" TargetMode="External"/><Relationship Id="rId9" Type="http://schemas.openxmlformats.org/officeDocument/2006/relationships/hyperlink" Target="https://doi.org/10.1080/23311975.2019.1608668" TargetMode="External"/><Relationship Id="rId14" Type="http://schemas.openxmlformats.org/officeDocument/2006/relationships/hyperlink" Target="https://doi.org/10.1177/00081256198679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2853</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TK-E101GC</dc:creator>
  <cp:lastModifiedBy>Kalle Ditou</cp:lastModifiedBy>
  <cp:revision>6</cp:revision>
  <dcterms:created xsi:type="dcterms:W3CDTF">2024-05-16T06:15:00Z</dcterms:created>
  <dcterms:modified xsi:type="dcterms:W3CDTF">2024-05-19T16:59:00Z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d6f87f07fc76429fbc716c373c11a4f1</vt:lpwstr>
  </property>
</Properties>
</file>