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F7E674" w14:textId="77777777" w:rsidR="00174728" w:rsidRDefault="00174728" w:rsidP="00ED3B2D">
      <w:pPr>
        <w:spacing w:line="480" w:lineRule="auto"/>
        <w:jc w:val="center"/>
        <w:rPr>
          <w:rFonts w:ascii="Arial" w:hAnsi="Arial" w:cs="Arial"/>
          <w:b/>
          <w:bCs/>
        </w:rPr>
      </w:pPr>
    </w:p>
    <w:p w14:paraId="21D46EAF" w14:textId="77777777" w:rsidR="00174728" w:rsidRDefault="00174728" w:rsidP="00ED3B2D">
      <w:pPr>
        <w:spacing w:line="480" w:lineRule="auto"/>
        <w:jc w:val="center"/>
        <w:rPr>
          <w:rFonts w:ascii="Arial" w:hAnsi="Arial" w:cs="Arial"/>
          <w:b/>
          <w:bCs/>
        </w:rPr>
      </w:pPr>
    </w:p>
    <w:p w14:paraId="3A5ACD9D" w14:textId="77777777" w:rsidR="00174728" w:rsidRDefault="00174728" w:rsidP="00ED3B2D">
      <w:pPr>
        <w:spacing w:line="480" w:lineRule="auto"/>
        <w:jc w:val="center"/>
        <w:rPr>
          <w:rFonts w:ascii="Arial" w:hAnsi="Arial" w:cs="Arial"/>
          <w:b/>
          <w:bCs/>
        </w:rPr>
      </w:pPr>
    </w:p>
    <w:p w14:paraId="2B0FBAA3" w14:textId="77777777" w:rsidR="00174728" w:rsidRDefault="00174728" w:rsidP="00ED3B2D">
      <w:pPr>
        <w:spacing w:line="480" w:lineRule="auto"/>
        <w:jc w:val="center"/>
        <w:rPr>
          <w:rFonts w:ascii="Arial" w:hAnsi="Arial" w:cs="Arial"/>
          <w:b/>
          <w:bCs/>
        </w:rPr>
      </w:pPr>
    </w:p>
    <w:p w14:paraId="35EB1C32" w14:textId="77777777" w:rsidR="00174728" w:rsidRDefault="00174728" w:rsidP="00ED3B2D">
      <w:pPr>
        <w:spacing w:line="480" w:lineRule="auto"/>
        <w:jc w:val="center"/>
        <w:rPr>
          <w:rFonts w:ascii="Arial" w:hAnsi="Arial" w:cs="Arial"/>
          <w:b/>
          <w:bCs/>
        </w:rPr>
      </w:pPr>
    </w:p>
    <w:p w14:paraId="40A6CFFD" w14:textId="77777777" w:rsidR="00174728" w:rsidRDefault="00174728" w:rsidP="00ED3B2D">
      <w:pPr>
        <w:spacing w:line="480" w:lineRule="auto"/>
        <w:jc w:val="center"/>
        <w:rPr>
          <w:rFonts w:ascii="Arial" w:hAnsi="Arial" w:cs="Arial"/>
          <w:b/>
          <w:bCs/>
        </w:rPr>
      </w:pPr>
    </w:p>
    <w:p w14:paraId="5F7D7F40" w14:textId="77777777" w:rsidR="00174728" w:rsidRDefault="00174728" w:rsidP="00ED3B2D">
      <w:pPr>
        <w:spacing w:line="480" w:lineRule="auto"/>
        <w:jc w:val="center"/>
        <w:rPr>
          <w:rFonts w:ascii="Arial" w:hAnsi="Arial" w:cs="Arial"/>
          <w:b/>
          <w:bCs/>
        </w:rPr>
      </w:pPr>
    </w:p>
    <w:p w14:paraId="469395C5" w14:textId="77777777" w:rsidR="00A12631" w:rsidRDefault="00A12631" w:rsidP="00ED3B2D">
      <w:pPr>
        <w:spacing w:line="480" w:lineRule="auto"/>
        <w:jc w:val="center"/>
        <w:rPr>
          <w:rFonts w:ascii="Arial" w:hAnsi="Arial" w:cs="Arial"/>
          <w:b/>
          <w:bCs/>
        </w:rPr>
      </w:pPr>
    </w:p>
    <w:p w14:paraId="6417260C" w14:textId="691E32E6" w:rsidR="00D6249F" w:rsidRDefault="00D6249F" w:rsidP="00ED3B2D">
      <w:pPr>
        <w:spacing w:line="480" w:lineRule="auto"/>
        <w:jc w:val="center"/>
        <w:rPr>
          <w:rFonts w:ascii="Arial" w:hAnsi="Arial" w:cs="Arial"/>
          <w:b/>
          <w:bCs/>
        </w:rPr>
      </w:pPr>
      <w:r w:rsidRPr="00ED3B2D">
        <w:rPr>
          <w:rFonts w:ascii="Arial" w:hAnsi="Arial" w:cs="Arial"/>
          <w:b/>
          <w:bCs/>
        </w:rPr>
        <w:t>Academic Review.</w:t>
      </w:r>
    </w:p>
    <w:p w14:paraId="484CBCBE" w14:textId="2FD925C4" w:rsidR="0098092D" w:rsidRDefault="0098092D" w:rsidP="00ED3B2D">
      <w:pPr>
        <w:spacing w:line="480" w:lineRule="auto"/>
        <w:jc w:val="center"/>
        <w:rPr>
          <w:rFonts w:ascii="Arial" w:hAnsi="Arial" w:cs="Arial"/>
          <w:b/>
          <w:bCs/>
        </w:rPr>
      </w:pPr>
      <w:r>
        <w:rPr>
          <w:rFonts w:ascii="Arial" w:hAnsi="Arial" w:cs="Arial"/>
          <w:b/>
          <w:bCs/>
        </w:rPr>
        <w:t>Part 1 – The Historical Relationship Between Psychotherapy and Research.</w:t>
      </w:r>
    </w:p>
    <w:p w14:paraId="37548014" w14:textId="654B7EC3" w:rsidR="0098092D" w:rsidRDefault="0098092D" w:rsidP="00ED3B2D">
      <w:pPr>
        <w:spacing w:line="480" w:lineRule="auto"/>
        <w:jc w:val="center"/>
        <w:rPr>
          <w:rFonts w:ascii="Arial" w:hAnsi="Arial" w:cs="Arial"/>
          <w:b/>
          <w:bCs/>
        </w:rPr>
      </w:pPr>
      <w:r>
        <w:rPr>
          <w:rFonts w:ascii="Arial" w:hAnsi="Arial" w:cs="Arial"/>
          <w:b/>
          <w:bCs/>
        </w:rPr>
        <w:t xml:space="preserve">Part 2 </w:t>
      </w:r>
      <w:r w:rsidR="00891F15">
        <w:rPr>
          <w:rFonts w:ascii="Arial" w:hAnsi="Arial" w:cs="Arial"/>
          <w:b/>
          <w:bCs/>
        </w:rPr>
        <w:t>–</w:t>
      </w:r>
      <w:r>
        <w:rPr>
          <w:rFonts w:ascii="Arial" w:hAnsi="Arial" w:cs="Arial"/>
          <w:b/>
          <w:bCs/>
        </w:rPr>
        <w:t xml:space="preserve"> </w:t>
      </w:r>
      <w:r w:rsidR="00891F15">
        <w:rPr>
          <w:rFonts w:ascii="Arial" w:hAnsi="Arial" w:cs="Arial"/>
          <w:b/>
          <w:bCs/>
        </w:rPr>
        <w:t xml:space="preserve">Critical Review </w:t>
      </w:r>
      <w:r w:rsidR="00FB10B0">
        <w:rPr>
          <w:rFonts w:ascii="Arial" w:hAnsi="Arial" w:cs="Arial"/>
          <w:b/>
          <w:bCs/>
        </w:rPr>
        <w:t>of</w:t>
      </w:r>
      <w:r w:rsidR="00891F15">
        <w:rPr>
          <w:rFonts w:ascii="Arial" w:hAnsi="Arial" w:cs="Arial"/>
          <w:b/>
          <w:bCs/>
        </w:rPr>
        <w:t xml:space="preserve"> a Research Paper.</w:t>
      </w:r>
    </w:p>
    <w:p w14:paraId="0E42AC03" w14:textId="77777777" w:rsidR="00891F15" w:rsidRDefault="00891F15" w:rsidP="00ED3B2D">
      <w:pPr>
        <w:spacing w:line="480" w:lineRule="auto"/>
        <w:jc w:val="center"/>
        <w:rPr>
          <w:rFonts w:ascii="Arial" w:hAnsi="Arial" w:cs="Arial"/>
          <w:b/>
          <w:bCs/>
        </w:rPr>
      </w:pPr>
    </w:p>
    <w:p w14:paraId="249A070E" w14:textId="77777777" w:rsidR="00891F15" w:rsidRDefault="00891F15" w:rsidP="00ED3B2D">
      <w:pPr>
        <w:spacing w:line="480" w:lineRule="auto"/>
        <w:jc w:val="center"/>
        <w:rPr>
          <w:rFonts w:ascii="Arial" w:hAnsi="Arial" w:cs="Arial"/>
          <w:b/>
          <w:bCs/>
        </w:rPr>
      </w:pPr>
    </w:p>
    <w:p w14:paraId="4ED98180" w14:textId="77777777" w:rsidR="00891F15" w:rsidRDefault="00891F15" w:rsidP="00ED3B2D">
      <w:pPr>
        <w:spacing w:line="480" w:lineRule="auto"/>
        <w:jc w:val="center"/>
        <w:rPr>
          <w:rFonts w:ascii="Arial" w:hAnsi="Arial" w:cs="Arial"/>
          <w:b/>
          <w:bCs/>
        </w:rPr>
      </w:pPr>
    </w:p>
    <w:p w14:paraId="75573099" w14:textId="77777777" w:rsidR="00891F15" w:rsidRDefault="00891F15" w:rsidP="00ED3B2D">
      <w:pPr>
        <w:spacing w:line="480" w:lineRule="auto"/>
        <w:jc w:val="center"/>
        <w:rPr>
          <w:rFonts w:ascii="Arial" w:hAnsi="Arial" w:cs="Arial"/>
          <w:b/>
          <w:bCs/>
        </w:rPr>
      </w:pPr>
    </w:p>
    <w:p w14:paraId="1C4AB9C5" w14:textId="77777777" w:rsidR="00891F15" w:rsidRDefault="00891F15" w:rsidP="00ED3B2D">
      <w:pPr>
        <w:spacing w:line="480" w:lineRule="auto"/>
        <w:jc w:val="center"/>
        <w:rPr>
          <w:rFonts w:ascii="Arial" w:hAnsi="Arial" w:cs="Arial"/>
          <w:b/>
          <w:bCs/>
        </w:rPr>
      </w:pPr>
    </w:p>
    <w:p w14:paraId="2715826B" w14:textId="77777777" w:rsidR="00891F15" w:rsidRDefault="00891F15" w:rsidP="00ED3B2D">
      <w:pPr>
        <w:spacing w:line="480" w:lineRule="auto"/>
        <w:jc w:val="center"/>
        <w:rPr>
          <w:rFonts w:ascii="Arial" w:hAnsi="Arial" w:cs="Arial"/>
          <w:b/>
          <w:bCs/>
        </w:rPr>
      </w:pPr>
    </w:p>
    <w:p w14:paraId="4B041B53" w14:textId="77777777" w:rsidR="00891F15" w:rsidRDefault="00891F15" w:rsidP="00ED3B2D">
      <w:pPr>
        <w:spacing w:line="480" w:lineRule="auto"/>
        <w:jc w:val="center"/>
        <w:rPr>
          <w:rFonts w:ascii="Arial" w:hAnsi="Arial" w:cs="Arial"/>
          <w:b/>
          <w:bCs/>
        </w:rPr>
      </w:pPr>
    </w:p>
    <w:p w14:paraId="4A79F640" w14:textId="77777777" w:rsidR="00891F15" w:rsidRDefault="00891F15" w:rsidP="00ED3B2D">
      <w:pPr>
        <w:spacing w:line="480" w:lineRule="auto"/>
        <w:jc w:val="center"/>
        <w:rPr>
          <w:rFonts w:ascii="Arial" w:hAnsi="Arial" w:cs="Arial"/>
          <w:b/>
          <w:bCs/>
        </w:rPr>
      </w:pPr>
    </w:p>
    <w:p w14:paraId="7933984F" w14:textId="77777777" w:rsidR="00891F15" w:rsidRDefault="00891F15" w:rsidP="0021722D">
      <w:pPr>
        <w:spacing w:line="480" w:lineRule="auto"/>
        <w:rPr>
          <w:rFonts w:ascii="Arial" w:hAnsi="Arial" w:cs="Arial"/>
          <w:b/>
          <w:bCs/>
        </w:rPr>
      </w:pPr>
    </w:p>
    <w:p w14:paraId="5DA53CC4" w14:textId="77777777" w:rsidR="00031503" w:rsidRDefault="004B1182" w:rsidP="004B1182">
      <w:pPr>
        <w:spacing w:line="480" w:lineRule="auto"/>
        <w:rPr>
          <w:rFonts w:ascii="Arial" w:hAnsi="Arial" w:cs="Arial"/>
          <w:b/>
          <w:bCs/>
        </w:rPr>
      </w:pPr>
      <w:r w:rsidRPr="00753FD7">
        <w:rPr>
          <w:rFonts w:ascii="Arial" w:hAnsi="Arial" w:cs="Arial"/>
          <w:b/>
          <w:bCs/>
        </w:rPr>
        <w:lastRenderedPageBreak/>
        <w:t>Basic Acknowledgement format of AI tool use</w:t>
      </w:r>
      <w:r w:rsidR="00031503" w:rsidRPr="00753FD7">
        <w:rPr>
          <w:rFonts w:ascii="Arial" w:hAnsi="Arial" w:cs="Arial"/>
          <w:b/>
          <w:bCs/>
        </w:rPr>
        <w:t>.</w:t>
      </w:r>
    </w:p>
    <w:p w14:paraId="53DFECF2" w14:textId="77777777" w:rsidR="00F51ABC" w:rsidRDefault="00447595" w:rsidP="00F51ABC">
      <w:pPr>
        <w:spacing w:line="480" w:lineRule="auto"/>
        <w:rPr>
          <w:rFonts w:ascii="Arial" w:eastAsia="Aptos" w:hAnsi="Arial" w:cs="Arial"/>
        </w:rPr>
      </w:pPr>
      <w:r w:rsidRPr="00447595">
        <w:rPr>
          <w:rFonts w:ascii="Arial" w:eastAsia="Aptos" w:hAnsi="Arial" w:cs="Arial"/>
        </w:rPr>
        <w:t xml:space="preserve">I acknowledge the use of Grammarly (https://www.grammarly.com/) on </w:t>
      </w:r>
      <w:r>
        <w:rPr>
          <w:rFonts w:ascii="Arial" w:eastAsia="Aptos" w:hAnsi="Arial" w:cs="Arial"/>
        </w:rPr>
        <w:t>31</w:t>
      </w:r>
      <w:r w:rsidR="00F51ABC">
        <w:rPr>
          <w:rFonts w:ascii="Arial" w:eastAsia="Aptos" w:hAnsi="Arial" w:cs="Arial"/>
        </w:rPr>
        <w:t>/03/2026</w:t>
      </w:r>
      <w:r w:rsidRPr="00447595">
        <w:rPr>
          <w:rFonts w:ascii="Arial" w:eastAsia="Aptos" w:hAnsi="Arial" w:cs="Arial"/>
        </w:rPr>
        <w:t xml:space="preserve"> to check my work using the prompt(s):</w:t>
      </w:r>
    </w:p>
    <w:p w14:paraId="734EA069" w14:textId="1EE88A63" w:rsidR="00447595" w:rsidRPr="00493398" w:rsidRDefault="00447595" w:rsidP="00493398">
      <w:pPr>
        <w:pStyle w:val="ListParagraph"/>
        <w:numPr>
          <w:ilvl w:val="0"/>
          <w:numId w:val="3"/>
        </w:numPr>
        <w:spacing w:line="480" w:lineRule="auto"/>
        <w:rPr>
          <w:rFonts w:ascii="Arial" w:eastAsia="Aptos" w:hAnsi="Arial" w:cs="Arial"/>
        </w:rPr>
      </w:pPr>
      <w:r w:rsidRPr="00493398">
        <w:rPr>
          <w:rFonts w:ascii="Arial" w:eastAsia="Aptos" w:hAnsi="Arial" w:cs="Arial"/>
        </w:rPr>
        <w:t>Please check the following text for readability, grammar and syntax.</w:t>
      </w:r>
    </w:p>
    <w:p w14:paraId="5132A4C9" w14:textId="018AB873" w:rsidR="00493398" w:rsidRPr="00493398" w:rsidRDefault="001E1973" w:rsidP="00493398">
      <w:pPr>
        <w:pStyle w:val="ListParagraph"/>
        <w:numPr>
          <w:ilvl w:val="0"/>
          <w:numId w:val="3"/>
        </w:numPr>
        <w:spacing w:line="480" w:lineRule="auto"/>
        <w:rPr>
          <w:rFonts w:ascii="Arial" w:eastAsia="Aptos" w:hAnsi="Arial" w:cs="Arial"/>
        </w:rPr>
      </w:pPr>
      <w:r>
        <w:rPr>
          <w:rFonts w:ascii="Arial" w:eastAsia="Aptos" w:hAnsi="Arial" w:cs="Arial"/>
        </w:rPr>
        <w:t>Please check for flow and coherence</w:t>
      </w:r>
    </w:p>
    <w:p w14:paraId="576E53B3" w14:textId="2DA1DC66" w:rsidR="00891F15" w:rsidRPr="00753FD7" w:rsidRDefault="004B1182" w:rsidP="004B1182">
      <w:pPr>
        <w:spacing w:line="480" w:lineRule="auto"/>
        <w:rPr>
          <w:rFonts w:ascii="Arial" w:hAnsi="Arial" w:cs="Arial"/>
          <w:b/>
          <w:bCs/>
        </w:rPr>
      </w:pPr>
      <w:r w:rsidRPr="00753FD7">
        <w:rPr>
          <w:rFonts w:ascii="Arial" w:hAnsi="Arial" w:cs="Arial"/>
        </w:rPr>
        <w:t>I confirm I have copies of my drafts, notes, and other resources I used before, and after the use of AI tools which I may be asked to provide in evidence.</w:t>
      </w:r>
    </w:p>
    <w:p w14:paraId="43A0ABE2" w14:textId="77777777" w:rsidR="00174728" w:rsidRPr="00753FD7" w:rsidRDefault="00174728" w:rsidP="00ED3B2D">
      <w:pPr>
        <w:spacing w:line="480" w:lineRule="auto"/>
        <w:rPr>
          <w:rFonts w:ascii="Arial" w:hAnsi="Arial" w:cs="Arial"/>
          <w:color w:val="EE0000"/>
        </w:rPr>
      </w:pPr>
    </w:p>
    <w:p w14:paraId="38F1D39E" w14:textId="77777777" w:rsidR="00174728" w:rsidRPr="00753FD7" w:rsidRDefault="00174728" w:rsidP="00ED3B2D">
      <w:pPr>
        <w:spacing w:line="480" w:lineRule="auto"/>
        <w:rPr>
          <w:rFonts w:ascii="Arial" w:hAnsi="Arial" w:cs="Arial"/>
          <w:color w:val="EE0000"/>
        </w:rPr>
      </w:pPr>
    </w:p>
    <w:p w14:paraId="0D6CBE75" w14:textId="77777777" w:rsidR="00174728" w:rsidRDefault="00174728" w:rsidP="00ED3B2D">
      <w:pPr>
        <w:spacing w:line="480" w:lineRule="auto"/>
        <w:rPr>
          <w:rFonts w:ascii="Arial" w:hAnsi="Arial" w:cs="Arial"/>
          <w:color w:val="EE0000"/>
        </w:rPr>
      </w:pPr>
    </w:p>
    <w:p w14:paraId="0937AD99" w14:textId="77777777" w:rsidR="00174728" w:rsidRDefault="00174728" w:rsidP="00ED3B2D">
      <w:pPr>
        <w:spacing w:line="480" w:lineRule="auto"/>
        <w:rPr>
          <w:rFonts w:ascii="Arial" w:hAnsi="Arial" w:cs="Arial"/>
          <w:color w:val="EE0000"/>
        </w:rPr>
      </w:pPr>
    </w:p>
    <w:p w14:paraId="2A7BECF4" w14:textId="77777777" w:rsidR="00174728" w:rsidRDefault="00174728" w:rsidP="00ED3B2D">
      <w:pPr>
        <w:spacing w:line="480" w:lineRule="auto"/>
        <w:rPr>
          <w:rFonts w:ascii="Arial" w:hAnsi="Arial" w:cs="Arial"/>
          <w:color w:val="EE0000"/>
        </w:rPr>
      </w:pPr>
    </w:p>
    <w:p w14:paraId="3977867C" w14:textId="77777777" w:rsidR="00174728" w:rsidRDefault="00174728" w:rsidP="00ED3B2D">
      <w:pPr>
        <w:spacing w:line="480" w:lineRule="auto"/>
        <w:rPr>
          <w:rFonts w:ascii="Arial" w:hAnsi="Arial" w:cs="Arial"/>
          <w:color w:val="EE0000"/>
        </w:rPr>
      </w:pPr>
    </w:p>
    <w:p w14:paraId="74751C00" w14:textId="77777777" w:rsidR="00174728" w:rsidRDefault="00174728" w:rsidP="00ED3B2D">
      <w:pPr>
        <w:spacing w:line="480" w:lineRule="auto"/>
        <w:rPr>
          <w:rFonts w:ascii="Arial" w:hAnsi="Arial" w:cs="Arial"/>
          <w:color w:val="EE0000"/>
        </w:rPr>
      </w:pPr>
    </w:p>
    <w:p w14:paraId="23647B8F" w14:textId="77777777" w:rsidR="00174728" w:rsidRDefault="00174728" w:rsidP="00ED3B2D">
      <w:pPr>
        <w:spacing w:line="480" w:lineRule="auto"/>
        <w:rPr>
          <w:rFonts w:ascii="Arial" w:hAnsi="Arial" w:cs="Arial"/>
          <w:color w:val="EE0000"/>
        </w:rPr>
      </w:pPr>
    </w:p>
    <w:p w14:paraId="461C8BC2" w14:textId="77777777" w:rsidR="00174728" w:rsidRDefault="00174728" w:rsidP="00ED3B2D">
      <w:pPr>
        <w:spacing w:line="480" w:lineRule="auto"/>
        <w:rPr>
          <w:rFonts w:ascii="Arial" w:hAnsi="Arial" w:cs="Arial"/>
          <w:color w:val="EE0000"/>
        </w:rPr>
      </w:pPr>
    </w:p>
    <w:p w14:paraId="08D957C7" w14:textId="77777777" w:rsidR="00174728" w:rsidRDefault="00174728" w:rsidP="00ED3B2D">
      <w:pPr>
        <w:spacing w:line="480" w:lineRule="auto"/>
        <w:rPr>
          <w:rFonts w:ascii="Arial" w:hAnsi="Arial" w:cs="Arial"/>
          <w:color w:val="EE0000"/>
        </w:rPr>
      </w:pPr>
    </w:p>
    <w:p w14:paraId="1CE43897" w14:textId="77777777" w:rsidR="00174728" w:rsidRDefault="00174728" w:rsidP="00ED3B2D">
      <w:pPr>
        <w:spacing w:line="480" w:lineRule="auto"/>
        <w:rPr>
          <w:rFonts w:ascii="Arial" w:hAnsi="Arial" w:cs="Arial"/>
          <w:color w:val="EE0000"/>
        </w:rPr>
      </w:pPr>
    </w:p>
    <w:p w14:paraId="2CFA0781" w14:textId="77777777" w:rsidR="00174728" w:rsidRDefault="00174728" w:rsidP="00ED3B2D">
      <w:pPr>
        <w:spacing w:line="480" w:lineRule="auto"/>
        <w:rPr>
          <w:rFonts w:ascii="Arial" w:hAnsi="Arial" w:cs="Arial"/>
          <w:color w:val="EE0000"/>
        </w:rPr>
      </w:pPr>
    </w:p>
    <w:p w14:paraId="5C74C814" w14:textId="77777777" w:rsidR="00174728" w:rsidRDefault="00174728" w:rsidP="00ED3B2D">
      <w:pPr>
        <w:spacing w:line="480" w:lineRule="auto"/>
        <w:rPr>
          <w:rFonts w:ascii="Arial" w:hAnsi="Arial" w:cs="Arial"/>
          <w:color w:val="EE0000"/>
        </w:rPr>
      </w:pPr>
    </w:p>
    <w:p w14:paraId="7EFBFB8C" w14:textId="77777777" w:rsidR="00174728" w:rsidRDefault="00174728" w:rsidP="00ED3B2D">
      <w:pPr>
        <w:spacing w:line="480" w:lineRule="auto"/>
        <w:rPr>
          <w:rFonts w:ascii="Arial" w:hAnsi="Arial" w:cs="Arial"/>
          <w:color w:val="EE0000"/>
        </w:rPr>
      </w:pPr>
    </w:p>
    <w:p w14:paraId="42A1BDB2" w14:textId="170BA437" w:rsidR="00D6249F" w:rsidRPr="00184E67" w:rsidRDefault="00ED3B2D" w:rsidP="00FA6552">
      <w:pPr>
        <w:spacing w:line="480" w:lineRule="auto"/>
        <w:rPr>
          <w:rFonts w:ascii="Arial" w:hAnsi="Arial" w:cs="Arial"/>
          <w:b/>
          <w:bCs/>
        </w:rPr>
      </w:pPr>
      <w:r w:rsidRPr="00184E67">
        <w:rPr>
          <w:rFonts w:ascii="Arial" w:hAnsi="Arial" w:cs="Arial"/>
          <w:b/>
          <w:bCs/>
        </w:rPr>
        <w:t>Part 1</w:t>
      </w:r>
      <w:r w:rsidR="00174728" w:rsidRPr="00184E67">
        <w:rPr>
          <w:rFonts w:ascii="Arial" w:hAnsi="Arial" w:cs="Arial"/>
          <w:b/>
          <w:bCs/>
        </w:rPr>
        <w:t xml:space="preserve"> - </w:t>
      </w:r>
      <w:r w:rsidR="00D6249F" w:rsidRPr="00184E67">
        <w:rPr>
          <w:rFonts w:ascii="Arial" w:hAnsi="Arial" w:cs="Arial"/>
          <w:b/>
          <w:bCs/>
        </w:rPr>
        <w:t>The Historical Relationship Between Psychotherapy and Research.</w:t>
      </w:r>
    </w:p>
    <w:p w14:paraId="0FBB90CE" w14:textId="66F47F60" w:rsidR="00FA6552" w:rsidRPr="00184E67" w:rsidRDefault="00FA6552" w:rsidP="00000212">
      <w:pPr>
        <w:spacing w:after="0" w:line="240" w:lineRule="auto"/>
        <w:rPr>
          <w:rFonts w:ascii="Arial" w:hAnsi="Arial" w:cs="Arial"/>
          <w:b/>
          <w:bCs/>
        </w:rPr>
      </w:pPr>
      <w:r w:rsidRPr="00184E67">
        <w:rPr>
          <w:rFonts w:ascii="Arial" w:hAnsi="Arial" w:cs="Arial"/>
          <w:b/>
          <w:bCs/>
        </w:rPr>
        <w:t>Trace key historical developments</w:t>
      </w:r>
      <w:r w:rsidR="00051D2F" w:rsidRPr="00184E67">
        <w:rPr>
          <w:rFonts w:ascii="Arial" w:hAnsi="Arial" w:cs="Arial"/>
          <w:b/>
          <w:bCs/>
        </w:rPr>
        <w:t>.</w:t>
      </w:r>
    </w:p>
    <w:p w14:paraId="6992A7B1" w14:textId="77777777" w:rsidR="006A1F92" w:rsidRDefault="006A1F92" w:rsidP="00000212">
      <w:pPr>
        <w:spacing w:after="0" w:line="240" w:lineRule="auto"/>
        <w:rPr>
          <w:rFonts w:ascii="Arial" w:hAnsi="Arial" w:cs="Arial"/>
          <w:b/>
          <w:bCs/>
          <w:color w:val="A02B93" w:themeColor="accent5"/>
        </w:rPr>
      </w:pPr>
    </w:p>
    <w:p w14:paraId="3FB7F2AE" w14:textId="77777777" w:rsidR="006A1F92" w:rsidRPr="006A1F92" w:rsidRDefault="006A1F92" w:rsidP="002A3311">
      <w:pPr>
        <w:spacing w:line="480" w:lineRule="auto"/>
        <w:ind w:firstLine="720"/>
        <w:rPr>
          <w:rFonts w:ascii="Arial" w:eastAsia="Aptos" w:hAnsi="Arial" w:cs="Arial"/>
        </w:rPr>
      </w:pPr>
      <w:r w:rsidRPr="006A1F92">
        <w:rPr>
          <w:rFonts w:ascii="Arial" w:eastAsia="Aptos" w:hAnsi="Arial" w:cs="Arial"/>
        </w:rPr>
        <w:t xml:space="preserve">The early 20th century marked a period in which psychotherapy was fundamentally </w:t>
      </w:r>
      <w:r w:rsidRPr="006A1F92">
        <w:rPr>
          <w:rFonts w:ascii="Arial" w:eastAsia="Aptos" w:hAnsi="Arial" w:cs="Arial"/>
          <w:i/>
          <w:iCs/>
        </w:rPr>
        <w:t>practice before evidence</w:t>
      </w:r>
      <w:r w:rsidRPr="006A1F92">
        <w:rPr>
          <w:rFonts w:ascii="Arial" w:eastAsia="Aptos" w:hAnsi="Arial" w:cs="Arial"/>
        </w:rPr>
        <w:t>. Psychoanalysis, the dominant tradition of the time, relied on clinical case studies, theoretical reasoning, and the authority of the clinician rather than empirical validation (</w:t>
      </w:r>
      <w:proofErr w:type="spellStart"/>
      <w:r w:rsidRPr="00184E67">
        <w:rPr>
          <w:rFonts w:ascii="Arial" w:eastAsia="Aptos" w:hAnsi="Arial" w:cs="Arial"/>
        </w:rPr>
        <w:t>Marogna</w:t>
      </w:r>
      <w:proofErr w:type="spellEnd"/>
      <w:r w:rsidRPr="00184E67">
        <w:rPr>
          <w:rFonts w:ascii="Arial" w:eastAsia="Aptos" w:hAnsi="Arial" w:cs="Arial"/>
        </w:rPr>
        <w:t xml:space="preserve"> et al., 2025</w:t>
      </w:r>
      <w:r w:rsidRPr="006A1F92">
        <w:rPr>
          <w:rFonts w:ascii="Arial" w:eastAsia="Aptos" w:hAnsi="Arial" w:cs="Arial"/>
        </w:rPr>
        <w:t>). Freud’s method privileged interpretive depth over systematic observation, and the effectiveness of psychodynamic approaches rested largely on clinical testimony and conceptual coherence. Because no established research methods existed for psychotherapy, the field was vulnerable to scepticism regarding scientific rigour. Early attempts to study therapy emphasised insight and meaning, but such data were easily dismissed within emerging empirical standards (Vincenzo et al., 2024). This period laid the foundation for theoretical diversity while simultaneously exposing a deep tension between clinical intuition and empirical legitimacy (</w:t>
      </w:r>
      <w:proofErr w:type="spellStart"/>
      <w:r w:rsidRPr="006A1F92">
        <w:rPr>
          <w:rFonts w:ascii="Arial" w:eastAsia="Aptos" w:hAnsi="Arial" w:cs="Arial"/>
        </w:rPr>
        <w:t>Sumbas</w:t>
      </w:r>
      <w:proofErr w:type="spellEnd"/>
      <w:r w:rsidRPr="006A1F92">
        <w:rPr>
          <w:rFonts w:ascii="Arial" w:eastAsia="Aptos" w:hAnsi="Arial" w:cs="Arial"/>
        </w:rPr>
        <w:t>, 2024).</w:t>
      </w:r>
    </w:p>
    <w:p w14:paraId="0EE5D448" w14:textId="77777777" w:rsidR="006A1F92" w:rsidRPr="006A1F92" w:rsidRDefault="006A1F92" w:rsidP="002A3311">
      <w:pPr>
        <w:spacing w:line="480" w:lineRule="auto"/>
        <w:ind w:firstLine="720"/>
        <w:rPr>
          <w:rFonts w:ascii="Arial" w:eastAsia="Aptos" w:hAnsi="Arial" w:cs="Arial"/>
        </w:rPr>
      </w:pPr>
      <w:r w:rsidRPr="006A1F92">
        <w:rPr>
          <w:rFonts w:ascii="Arial" w:eastAsia="Aptos" w:hAnsi="Arial" w:cs="Arial"/>
        </w:rPr>
        <w:t>A major shift occurred between the 1930s and 1970s with the rise of behaviour therapy. Pavlov, Watson, and Skinner introduced controlled experimentation, measurable outcomes, and observable behaviour as the basis for psychological intervention (Hill and Corbett, 1993). This movement forced the field to confront the question of whether therapy “works,” establishing psychotherapy as something that could be tested, replicated, and quantified (</w:t>
      </w:r>
      <w:proofErr w:type="spellStart"/>
      <w:r w:rsidRPr="006A1F92">
        <w:rPr>
          <w:rFonts w:ascii="Arial" w:eastAsia="Aptos" w:hAnsi="Arial" w:cs="Arial"/>
        </w:rPr>
        <w:t>Zelčāne</w:t>
      </w:r>
      <w:proofErr w:type="spellEnd"/>
      <w:r w:rsidRPr="006A1F92">
        <w:rPr>
          <w:rFonts w:ascii="Arial" w:eastAsia="Aptos" w:hAnsi="Arial" w:cs="Arial"/>
        </w:rPr>
        <w:t xml:space="preserve"> and </w:t>
      </w:r>
      <w:proofErr w:type="spellStart"/>
      <w:r w:rsidRPr="006A1F92">
        <w:rPr>
          <w:rFonts w:ascii="Arial" w:eastAsia="Aptos" w:hAnsi="Arial" w:cs="Arial"/>
        </w:rPr>
        <w:t>Pipere</w:t>
      </w:r>
      <w:proofErr w:type="spellEnd"/>
      <w:r w:rsidRPr="006A1F92">
        <w:rPr>
          <w:rFonts w:ascii="Arial" w:eastAsia="Aptos" w:hAnsi="Arial" w:cs="Arial"/>
        </w:rPr>
        <w:t>, 2023). Case studies remained important for exploring “why” and “how” questions, but behaviourism’s emphasis on experimental control marked the first systematic attempt to evaluate therapeutic effectiveness.</w:t>
      </w:r>
    </w:p>
    <w:p w14:paraId="220D842F" w14:textId="0DAD842D" w:rsidR="006A1F92" w:rsidRPr="006A1F92" w:rsidRDefault="006A1F92" w:rsidP="001961F5">
      <w:pPr>
        <w:spacing w:line="480" w:lineRule="auto"/>
        <w:ind w:firstLine="720"/>
        <w:rPr>
          <w:rFonts w:ascii="Arial" w:eastAsia="Aptos" w:hAnsi="Arial" w:cs="Arial"/>
        </w:rPr>
      </w:pPr>
      <w:r w:rsidRPr="006A1F92">
        <w:rPr>
          <w:rFonts w:ascii="Arial" w:eastAsia="Aptos" w:hAnsi="Arial" w:cs="Arial"/>
        </w:rPr>
        <w:lastRenderedPageBreak/>
        <w:t>Eysenck’s (1952</w:t>
      </w:r>
      <w:r w:rsidR="00184E67">
        <w:rPr>
          <w:rFonts w:ascii="Arial" w:eastAsia="Aptos" w:hAnsi="Arial" w:cs="Arial"/>
        </w:rPr>
        <w:t>, as cited in, Schramm et al., 2021</w:t>
      </w:r>
      <w:r w:rsidRPr="006A1F92">
        <w:rPr>
          <w:rFonts w:ascii="Arial" w:eastAsia="Aptos" w:hAnsi="Arial" w:cs="Arial"/>
        </w:rPr>
        <w:t>) controversial review represented a turning point. By arguing that psychotherapy produced no better outcomes than spontaneous remission, he challenged the legitimacy of the entire field. Although widely criticised, Eysenck’s conclusions catalysed a methodological revolution. Researchers responded by developing more rigorous outcome studies, eventually demonstrating through meta</w:t>
      </w:r>
      <w:r w:rsidRPr="006A1F92">
        <w:rPr>
          <w:rFonts w:ascii="Arial" w:eastAsia="Aptos" w:hAnsi="Arial" w:cs="Arial"/>
        </w:rPr>
        <w:noBreakHyphen/>
        <w:t>analyses and randomised controlled trials (RCTs) that psychotherapy is effective and that the therapeutic alliance is a key predictor of change (Schramm et al., 2021).</w:t>
      </w:r>
    </w:p>
    <w:p w14:paraId="7B94B11F" w14:textId="77777777" w:rsidR="006A1F92" w:rsidRPr="006A1F92" w:rsidRDefault="006A1F92" w:rsidP="001961F5">
      <w:pPr>
        <w:spacing w:line="480" w:lineRule="auto"/>
        <w:ind w:firstLine="720"/>
        <w:rPr>
          <w:rFonts w:ascii="Arial" w:eastAsia="Aptos" w:hAnsi="Arial" w:cs="Arial"/>
        </w:rPr>
      </w:pPr>
      <w:r w:rsidRPr="006A1F92">
        <w:rPr>
          <w:rFonts w:ascii="Arial" w:eastAsia="Aptos" w:hAnsi="Arial" w:cs="Arial"/>
        </w:rPr>
        <w:t>The cognitive revolution of the 1970s–1990s further aligned psychotherapy with empirical research. Cognitive and behavioural therapies (CBT) were inherently compatible with experimental methods: they used structured protocols, operationalised constructs, and measurable outcomes (Ward et al., 2022). Standardised measures enabled large</w:t>
      </w:r>
      <w:r w:rsidRPr="006A1F92">
        <w:rPr>
          <w:rFonts w:ascii="Arial" w:eastAsia="Aptos" w:hAnsi="Arial" w:cs="Arial"/>
        </w:rPr>
        <w:noBreakHyphen/>
        <w:t>scale studies, and meta</w:t>
      </w:r>
      <w:r w:rsidRPr="006A1F92">
        <w:rPr>
          <w:rFonts w:ascii="Arial" w:eastAsia="Aptos" w:hAnsi="Arial" w:cs="Arial"/>
        </w:rPr>
        <w:noBreakHyphen/>
        <w:t>analyses such as Smith and Glass (1977) provided compelling evidence for psychotherapy’s overall effectiveness. RCTs became the dominant evaluative standard, shaping the evidence</w:t>
      </w:r>
      <w:r w:rsidRPr="006A1F92">
        <w:rPr>
          <w:rFonts w:ascii="Arial" w:eastAsia="Aptos" w:hAnsi="Arial" w:cs="Arial"/>
        </w:rPr>
        <w:noBreakHyphen/>
        <w:t>based practice (EBP) movement (Vincenzo et al., 2024). However, this visibility privileged certain modalities, particularly CBT, within institutions, training programmes, and policy frameworks (Cook et al., 2017). Approaches that were relational, long</w:t>
      </w:r>
      <w:r w:rsidRPr="006A1F92">
        <w:rPr>
          <w:rFonts w:ascii="Arial" w:eastAsia="Aptos" w:hAnsi="Arial" w:cs="Arial"/>
        </w:rPr>
        <w:noBreakHyphen/>
        <w:t>term, or difficult to manualise became under</w:t>
      </w:r>
      <w:r w:rsidRPr="006A1F92">
        <w:rPr>
          <w:rFonts w:ascii="Arial" w:eastAsia="Aptos" w:hAnsi="Arial" w:cs="Arial"/>
        </w:rPr>
        <w:noBreakHyphen/>
        <w:t>represented in the evidence base, illustrating how research not only describes practice but actively reconstructs what is considered legitimate therapy.</w:t>
      </w:r>
    </w:p>
    <w:p w14:paraId="125BFF5B" w14:textId="09AB1B3B" w:rsidR="006A1F92" w:rsidRPr="006A1F92" w:rsidRDefault="006A1F92" w:rsidP="001961F5">
      <w:pPr>
        <w:spacing w:line="480" w:lineRule="auto"/>
        <w:ind w:firstLine="720"/>
        <w:rPr>
          <w:rFonts w:ascii="Arial" w:eastAsia="Aptos" w:hAnsi="Arial" w:cs="Arial"/>
        </w:rPr>
      </w:pPr>
      <w:r w:rsidRPr="006A1F92">
        <w:rPr>
          <w:rFonts w:ascii="Arial" w:eastAsia="Aptos" w:hAnsi="Arial" w:cs="Arial"/>
        </w:rPr>
        <w:t>The 1990s–2000s saw the formalisation of EBP through American Psychological Association (APA</w:t>
      </w:r>
      <w:r w:rsidR="009272C2">
        <w:rPr>
          <w:rFonts w:ascii="Arial" w:eastAsia="Aptos" w:hAnsi="Arial" w:cs="Arial"/>
        </w:rPr>
        <w:t>, 2021</w:t>
      </w:r>
      <w:r w:rsidRPr="006A1F92">
        <w:rPr>
          <w:rFonts w:ascii="Arial" w:eastAsia="Aptos" w:hAnsi="Arial" w:cs="Arial"/>
        </w:rPr>
        <w:t xml:space="preserve">) and National Institute for Health and Care Excellence (NICE) guidelines, which emphasised empirically supported treatments (ESTs) validated primarily through RCTs (Braga et al., 2025). Critics argued that </w:t>
      </w:r>
      <w:r w:rsidRPr="006A1F92">
        <w:rPr>
          <w:rFonts w:ascii="Arial" w:eastAsia="Aptos" w:hAnsi="Arial" w:cs="Arial"/>
        </w:rPr>
        <w:lastRenderedPageBreak/>
        <w:t>these frameworks marginalised psychodynamic, relational, and culturally grounded therapies (Ferguson, 2023). Tensions emerged between therapist responsiveness and the rigidity of manualised protocols (Ward et al., 2022). EBP’s reliance on cognitive</w:t>
      </w:r>
      <w:r w:rsidRPr="006A1F92">
        <w:rPr>
          <w:rFonts w:ascii="Arial" w:eastAsia="Aptos" w:hAnsi="Arial" w:cs="Arial"/>
        </w:rPr>
        <w:noBreakHyphen/>
        <w:t>behavioural research further entrenched disparities in what modalities were funded, taught, and delivered (Cook et al., 2017).</w:t>
      </w:r>
    </w:p>
    <w:p w14:paraId="6E5FFABB" w14:textId="2F83F240" w:rsidR="006A1F92" w:rsidRPr="006A1F92" w:rsidRDefault="006A1F92" w:rsidP="001961F5">
      <w:pPr>
        <w:spacing w:line="480" w:lineRule="auto"/>
        <w:ind w:firstLine="720"/>
        <w:rPr>
          <w:rFonts w:ascii="Arial" w:eastAsia="Aptos" w:hAnsi="Arial" w:cs="Arial"/>
        </w:rPr>
      </w:pPr>
      <w:r w:rsidRPr="006A1F92">
        <w:rPr>
          <w:rFonts w:ascii="Arial" w:eastAsia="Aptos" w:hAnsi="Arial" w:cs="Arial"/>
        </w:rPr>
        <w:t>From the 2000s onward, research increasingly recognised that the therapeutic relationship</w:t>
      </w:r>
      <w:r w:rsidR="00894E32">
        <w:rPr>
          <w:rFonts w:ascii="Arial" w:eastAsia="Aptos" w:hAnsi="Arial" w:cs="Arial"/>
        </w:rPr>
        <w:t xml:space="preserve">, </w:t>
      </w:r>
      <w:r w:rsidRPr="006A1F92">
        <w:rPr>
          <w:rFonts w:ascii="Arial" w:eastAsia="Aptos" w:hAnsi="Arial" w:cs="Arial"/>
        </w:rPr>
        <w:t>particularly alliance and empathy</w:t>
      </w:r>
      <w:r w:rsidR="00894E32">
        <w:rPr>
          <w:rFonts w:ascii="Arial" w:eastAsia="Aptos" w:hAnsi="Arial" w:cs="Arial"/>
        </w:rPr>
        <w:t xml:space="preserve">, </w:t>
      </w:r>
      <w:r w:rsidRPr="006A1F92">
        <w:rPr>
          <w:rFonts w:ascii="Arial" w:eastAsia="Aptos" w:hAnsi="Arial" w:cs="Arial"/>
        </w:rPr>
        <w:t>is a stronger predictor of outcome than specific techniques. Practice</w:t>
      </w:r>
      <w:r w:rsidRPr="006A1F92">
        <w:rPr>
          <w:rFonts w:ascii="Arial" w:eastAsia="Aptos" w:hAnsi="Arial" w:cs="Arial"/>
        </w:rPr>
        <w:noBreakHyphen/>
        <w:t>based evidence (PBE), which draws on real</w:t>
      </w:r>
      <w:r w:rsidRPr="006A1F92">
        <w:rPr>
          <w:rFonts w:ascii="Arial" w:eastAsia="Aptos" w:hAnsi="Arial" w:cs="Arial"/>
        </w:rPr>
        <w:noBreakHyphen/>
        <w:t>world clinical data, has complemented RCTs and broadened methodological possibilities (</w:t>
      </w:r>
      <w:proofErr w:type="spellStart"/>
      <w:r w:rsidRPr="006A1F92">
        <w:rPr>
          <w:rFonts w:ascii="Arial" w:eastAsia="Aptos" w:hAnsi="Arial" w:cs="Arial"/>
        </w:rPr>
        <w:t>Timulak</w:t>
      </w:r>
      <w:proofErr w:type="spellEnd"/>
      <w:r w:rsidRPr="006A1F92">
        <w:rPr>
          <w:rFonts w:ascii="Arial" w:eastAsia="Aptos" w:hAnsi="Arial" w:cs="Arial"/>
        </w:rPr>
        <w:t xml:space="preserve"> and Elliott, 2019). Mixed</w:t>
      </w:r>
      <w:r w:rsidRPr="006A1F92">
        <w:rPr>
          <w:rFonts w:ascii="Arial" w:eastAsia="Aptos" w:hAnsi="Arial" w:cs="Arial"/>
        </w:rPr>
        <w:noBreakHyphen/>
        <w:t>methods and qualitative research have gained legitimacy, supported by growing attention to cultural humility and client subjectivity. Contemporary psychotherapy research is therefore more pluralistic, integrating multiple epistemologies and acknowledging that practice can inform research just as research informs practice (Vincenzo et al., 2024).</w:t>
      </w:r>
    </w:p>
    <w:p w14:paraId="7322CC5F" w14:textId="4DBC15AD" w:rsidR="006A1F92" w:rsidRPr="006A1F92" w:rsidRDefault="006A1F92" w:rsidP="001961F5">
      <w:pPr>
        <w:spacing w:line="480" w:lineRule="auto"/>
        <w:ind w:firstLine="720"/>
        <w:rPr>
          <w:rFonts w:ascii="Arial" w:eastAsia="Aptos" w:hAnsi="Arial" w:cs="Arial"/>
        </w:rPr>
      </w:pPr>
      <w:r w:rsidRPr="006A1F92">
        <w:rPr>
          <w:rFonts w:ascii="Arial" w:eastAsia="Aptos" w:hAnsi="Arial" w:cs="Arial"/>
        </w:rPr>
        <w:t xml:space="preserve">Humanistic and experiential traditions have also contributed meaningfully to this shift. Qualitative research has </w:t>
      </w:r>
      <w:r w:rsidR="007E7976">
        <w:rPr>
          <w:rFonts w:ascii="Arial" w:eastAsia="Aptos" w:hAnsi="Arial" w:cs="Arial"/>
        </w:rPr>
        <w:t>highlighted</w:t>
      </w:r>
      <w:r w:rsidRPr="006A1F92">
        <w:rPr>
          <w:rFonts w:ascii="Arial" w:eastAsia="Aptos" w:hAnsi="Arial" w:cs="Arial"/>
        </w:rPr>
        <w:t xml:space="preserve"> how historical, sociocultural, and embodied factors shape therapeutic processes. For example, Gestalt therapy’s emphasis on verbal and non</w:t>
      </w:r>
      <w:r w:rsidRPr="006A1F92">
        <w:rPr>
          <w:rFonts w:ascii="Arial" w:eastAsia="Aptos" w:hAnsi="Arial" w:cs="Arial"/>
        </w:rPr>
        <w:noBreakHyphen/>
        <w:t>verbal communication highlights how bodily experience can reveal unconscious material (Wilkinson et al., 2025). Such insights demonstrate the need for research methodologies capable of capturing depth, complexity, and relational nuance (</w:t>
      </w:r>
      <w:proofErr w:type="spellStart"/>
      <w:r w:rsidRPr="006A1F92">
        <w:rPr>
          <w:rFonts w:ascii="Arial" w:eastAsia="Aptos" w:hAnsi="Arial" w:cs="Arial"/>
        </w:rPr>
        <w:t>Zelčāne</w:t>
      </w:r>
      <w:proofErr w:type="spellEnd"/>
      <w:r w:rsidRPr="006A1F92">
        <w:rPr>
          <w:rFonts w:ascii="Arial" w:eastAsia="Aptos" w:hAnsi="Arial" w:cs="Arial"/>
        </w:rPr>
        <w:t xml:space="preserve"> and </w:t>
      </w:r>
      <w:proofErr w:type="spellStart"/>
      <w:r w:rsidRPr="006A1F92">
        <w:rPr>
          <w:rFonts w:ascii="Arial" w:eastAsia="Aptos" w:hAnsi="Arial" w:cs="Arial"/>
        </w:rPr>
        <w:t>Pipere</w:t>
      </w:r>
      <w:proofErr w:type="spellEnd"/>
      <w:r w:rsidRPr="006A1F92">
        <w:rPr>
          <w:rFonts w:ascii="Arial" w:eastAsia="Aptos" w:hAnsi="Arial" w:cs="Arial"/>
        </w:rPr>
        <w:t>, 2023).</w:t>
      </w:r>
    </w:p>
    <w:p w14:paraId="73F15E04" w14:textId="13ED02C4" w:rsidR="00FA6552" w:rsidRPr="002732CD" w:rsidRDefault="006A1F92" w:rsidP="002732CD">
      <w:pPr>
        <w:spacing w:line="480" w:lineRule="auto"/>
        <w:ind w:firstLine="720"/>
        <w:rPr>
          <w:rFonts w:ascii="Arial" w:eastAsia="Aptos" w:hAnsi="Arial" w:cs="Arial"/>
        </w:rPr>
      </w:pPr>
      <w:r w:rsidRPr="006A1F92">
        <w:rPr>
          <w:rFonts w:ascii="Arial" w:eastAsia="Aptos" w:hAnsi="Arial" w:cs="Arial"/>
        </w:rPr>
        <w:t>Overall, the history of psychotherapy research reflects a movement from theory</w:t>
      </w:r>
      <w:r w:rsidRPr="006A1F92">
        <w:rPr>
          <w:rFonts w:ascii="Arial" w:eastAsia="Aptos" w:hAnsi="Arial" w:cs="Arial"/>
        </w:rPr>
        <w:noBreakHyphen/>
        <w:t xml:space="preserve">driven practice, through periods of empirical scrutiny, toward a more collaborative and integrative relationship between research and clinical work. This </w:t>
      </w:r>
      <w:r w:rsidRPr="006A1F92">
        <w:rPr>
          <w:rFonts w:ascii="Arial" w:eastAsia="Aptos" w:hAnsi="Arial" w:cs="Arial"/>
        </w:rPr>
        <w:lastRenderedPageBreak/>
        <w:t>trajectory reveals that evidence is never neutral: it is shaped by institutional priorities, methodological choices, and power relations (Vincenzo et al., 2024). For psychotherapy to remain responsive to the complexities of human distress, the evidence base must continue to expand beyond a single dominant paradigm. A culturally sensitive, ethically grounded, and methodologically diverse research landscape is essential for capturing the full richness of therapeutic change.</w:t>
      </w:r>
    </w:p>
    <w:p w14:paraId="1EAF2B40" w14:textId="53BEF9F4" w:rsidR="00463A8F" w:rsidRPr="002732CD" w:rsidRDefault="003F7BDF" w:rsidP="004871B7">
      <w:pPr>
        <w:spacing w:after="0" w:line="240" w:lineRule="auto"/>
        <w:jc w:val="both"/>
        <w:rPr>
          <w:rFonts w:ascii="Arial" w:eastAsia="Arial" w:hAnsi="Arial" w:cs="Arial"/>
          <w:b/>
          <w:bCs/>
          <w:lang w:val="en" w:eastAsia="en"/>
        </w:rPr>
      </w:pPr>
      <w:r w:rsidRPr="00B10906">
        <w:rPr>
          <w:rFonts w:ascii="Arial" w:eastAsia="Arial" w:hAnsi="Arial" w:cs="Arial"/>
          <w:b/>
          <w:bCs/>
          <w:lang w:val="en" w:eastAsia="en"/>
        </w:rPr>
        <w:t>Critique the interplay between psychotherapy and research</w:t>
      </w:r>
      <w:r w:rsidR="00703011" w:rsidRPr="00B10906">
        <w:rPr>
          <w:rFonts w:ascii="Arial" w:eastAsia="Arial" w:hAnsi="Arial" w:cs="Arial"/>
          <w:b/>
          <w:bCs/>
          <w:lang w:val="en" w:eastAsia="en"/>
        </w:rPr>
        <w:t>.</w:t>
      </w:r>
    </w:p>
    <w:p w14:paraId="26907503" w14:textId="77777777" w:rsidR="00294397" w:rsidRDefault="00294397" w:rsidP="004871B7">
      <w:pPr>
        <w:spacing w:after="0" w:line="240" w:lineRule="auto"/>
        <w:jc w:val="both"/>
        <w:rPr>
          <w:rFonts w:ascii="Arial" w:eastAsia="Arial" w:hAnsi="Arial" w:cs="Arial"/>
          <w:b/>
          <w:bCs/>
          <w:color w:val="A02B93" w:themeColor="accent5"/>
          <w:lang w:val="en" w:eastAsia="en"/>
        </w:rPr>
      </w:pPr>
    </w:p>
    <w:p w14:paraId="0524EA85" w14:textId="3D7EF2B8" w:rsidR="00F1053A" w:rsidRPr="004D6E73" w:rsidRDefault="00F1053A" w:rsidP="004D6E73">
      <w:pPr>
        <w:spacing w:after="0" w:line="480" w:lineRule="auto"/>
        <w:ind w:firstLine="720"/>
        <w:jc w:val="both"/>
        <w:rPr>
          <w:rFonts w:ascii="Arial" w:eastAsia="Arial" w:hAnsi="Arial" w:cs="Arial"/>
          <w:lang w:val="en" w:eastAsia="en"/>
        </w:rPr>
      </w:pPr>
      <w:r w:rsidRPr="004D6E73">
        <w:rPr>
          <w:rFonts w:ascii="Arial" w:eastAsia="Arial" w:hAnsi="Arial" w:cs="Arial"/>
          <w:lang w:val="en" w:eastAsia="en"/>
        </w:rPr>
        <w:t xml:space="preserve">The relationship between psychotherapy and research has long been shaped by philosophical tension, methodological competition, and shifting power dynamics. Positivist and experimental paradigms have historically dominated what counts as legitimate knowledge, privileging measurable outcomes, clear hypotheses, and </w:t>
      </w:r>
      <w:proofErr w:type="spellStart"/>
      <w:r w:rsidRPr="004D6E73">
        <w:rPr>
          <w:rFonts w:ascii="Arial" w:eastAsia="Arial" w:hAnsi="Arial" w:cs="Arial"/>
          <w:lang w:val="en" w:eastAsia="en"/>
        </w:rPr>
        <w:t>generalisability</w:t>
      </w:r>
      <w:proofErr w:type="spellEnd"/>
      <w:r w:rsidRPr="004D6E73">
        <w:rPr>
          <w:rFonts w:ascii="Arial" w:eastAsia="Arial" w:hAnsi="Arial" w:cs="Arial"/>
          <w:lang w:val="en" w:eastAsia="en"/>
        </w:rPr>
        <w:t xml:space="preserve"> (Vincenzo et al., 2024). While this has strengthened accountability and contributed to the development of EBP, it also reduces complex human experiences to discrete variables, stripping away cultural, relational, and existential nuance</w:t>
      </w:r>
      <w:r w:rsidR="00B10906">
        <w:rPr>
          <w:rFonts w:ascii="Arial" w:eastAsia="Arial" w:hAnsi="Arial" w:cs="Arial"/>
          <w:lang w:val="en" w:eastAsia="en"/>
        </w:rPr>
        <w:t xml:space="preserve"> (Vincenzo et al., 2024)</w:t>
      </w:r>
      <w:r w:rsidRPr="004D6E73">
        <w:rPr>
          <w:rFonts w:ascii="Arial" w:eastAsia="Arial" w:hAnsi="Arial" w:cs="Arial"/>
          <w:lang w:val="en" w:eastAsia="en"/>
        </w:rPr>
        <w:t>. This “context</w:t>
      </w:r>
      <w:r w:rsidRPr="004D6E73">
        <w:rPr>
          <w:rFonts w:ascii="Cambria Math" w:eastAsia="Arial" w:hAnsi="Cambria Math" w:cs="Cambria Math"/>
          <w:lang w:val="en" w:eastAsia="en"/>
        </w:rPr>
        <w:t>‑</w:t>
      </w:r>
      <w:r w:rsidRPr="004D6E73">
        <w:rPr>
          <w:rFonts w:ascii="Arial" w:eastAsia="Arial" w:hAnsi="Arial" w:cs="Arial"/>
          <w:lang w:val="en" w:eastAsia="en"/>
        </w:rPr>
        <w:t xml:space="preserve">stripping” creates a persistent mismatch between the lived experience of therapy and the </w:t>
      </w:r>
      <w:proofErr w:type="spellStart"/>
      <w:r w:rsidRPr="004D6E73">
        <w:rPr>
          <w:rFonts w:ascii="Arial" w:eastAsia="Arial" w:hAnsi="Arial" w:cs="Arial"/>
          <w:lang w:val="en" w:eastAsia="en"/>
        </w:rPr>
        <w:t>manualised</w:t>
      </w:r>
      <w:proofErr w:type="spellEnd"/>
      <w:r w:rsidRPr="004D6E73">
        <w:rPr>
          <w:rFonts w:ascii="Arial" w:eastAsia="Arial" w:hAnsi="Arial" w:cs="Arial"/>
          <w:lang w:val="en" w:eastAsia="en"/>
        </w:rPr>
        <w:t xml:space="preserve"> interventions required by experimental designs, reinforcing positivism as the gold standard and </w:t>
      </w:r>
      <w:proofErr w:type="spellStart"/>
      <w:r w:rsidRPr="004D6E73">
        <w:rPr>
          <w:rFonts w:ascii="Arial" w:eastAsia="Arial" w:hAnsi="Arial" w:cs="Arial"/>
          <w:lang w:val="en" w:eastAsia="en"/>
        </w:rPr>
        <w:t>marginalising</w:t>
      </w:r>
      <w:proofErr w:type="spellEnd"/>
      <w:r w:rsidRPr="004D6E73">
        <w:rPr>
          <w:rFonts w:ascii="Arial" w:eastAsia="Arial" w:hAnsi="Arial" w:cs="Arial"/>
          <w:lang w:val="en" w:eastAsia="en"/>
        </w:rPr>
        <w:t xml:space="preserve"> alternative epistemologies.</w:t>
      </w:r>
    </w:p>
    <w:p w14:paraId="7445AE5B" w14:textId="77777777" w:rsidR="00F1053A" w:rsidRPr="004D6E73" w:rsidRDefault="00F1053A" w:rsidP="004D6E73">
      <w:pPr>
        <w:spacing w:after="0" w:line="480" w:lineRule="auto"/>
        <w:ind w:firstLine="720"/>
        <w:jc w:val="both"/>
        <w:rPr>
          <w:rFonts w:ascii="Arial" w:eastAsia="Arial" w:hAnsi="Arial" w:cs="Arial"/>
          <w:lang w:val="en" w:eastAsia="en"/>
        </w:rPr>
      </w:pPr>
      <w:r w:rsidRPr="004D6E73">
        <w:rPr>
          <w:rFonts w:ascii="Arial" w:eastAsia="Arial" w:hAnsi="Arial" w:cs="Arial"/>
          <w:lang w:val="en" w:eastAsia="en"/>
        </w:rPr>
        <w:t xml:space="preserve">Interpretivist and qualitative traditions offer a contrasting lens by </w:t>
      </w:r>
      <w:proofErr w:type="gramStart"/>
      <w:r w:rsidRPr="004D6E73">
        <w:rPr>
          <w:rFonts w:ascii="Arial" w:eastAsia="Arial" w:hAnsi="Arial" w:cs="Arial"/>
          <w:lang w:val="en" w:eastAsia="en"/>
        </w:rPr>
        <w:t>foregrounding</w:t>
      </w:r>
      <w:proofErr w:type="gramEnd"/>
      <w:r w:rsidRPr="004D6E73">
        <w:rPr>
          <w:rFonts w:ascii="Arial" w:eastAsia="Arial" w:hAnsi="Arial" w:cs="Arial"/>
          <w:lang w:val="en" w:eastAsia="en"/>
        </w:rPr>
        <w:t xml:space="preserve"> meaning, subjectivity, and context. These approaches align closely with the relational and phenomenological foundations of psychotherapy, giving voice to </w:t>
      </w:r>
      <w:proofErr w:type="spellStart"/>
      <w:r w:rsidRPr="004D6E73">
        <w:rPr>
          <w:rFonts w:ascii="Arial" w:eastAsia="Arial" w:hAnsi="Arial" w:cs="Arial"/>
          <w:lang w:val="en" w:eastAsia="en"/>
        </w:rPr>
        <w:t>marginalised</w:t>
      </w:r>
      <w:proofErr w:type="spellEnd"/>
      <w:r w:rsidRPr="004D6E73">
        <w:rPr>
          <w:rFonts w:ascii="Arial" w:eastAsia="Arial" w:hAnsi="Arial" w:cs="Arial"/>
          <w:lang w:val="en" w:eastAsia="en"/>
        </w:rPr>
        <w:t xml:space="preserve"> experiences and illuminating identity, power, and emotional depth (Ward et al., 2022). Yet qualitative research is frequently dismissed as lacking </w:t>
      </w:r>
      <w:proofErr w:type="spellStart"/>
      <w:r w:rsidRPr="004D6E73">
        <w:rPr>
          <w:rFonts w:ascii="Arial" w:eastAsia="Arial" w:hAnsi="Arial" w:cs="Arial"/>
          <w:lang w:val="en" w:eastAsia="en"/>
        </w:rPr>
        <w:t>rigour</w:t>
      </w:r>
      <w:proofErr w:type="spellEnd"/>
      <w:r w:rsidRPr="004D6E73">
        <w:rPr>
          <w:rFonts w:ascii="Arial" w:eastAsia="Arial" w:hAnsi="Arial" w:cs="Arial"/>
          <w:lang w:val="en" w:eastAsia="en"/>
        </w:rPr>
        <w:t xml:space="preserve"> or </w:t>
      </w:r>
      <w:proofErr w:type="spellStart"/>
      <w:r w:rsidRPr="004D6E73">
        <w:rPr>
          <w:rFonts w:ascii="Arial" w:eastAsia="Arial" w:hAnsi="Arial" w:cs="Arial"/>
          <w:lang w:val="en" w:eastAsia="en"/>
        </w:rPr>
        <w:t>generalisability</w:t>
      </w:r>
      <w:proofErr w:type="spellEnd"/>
      <w:r w:rsidRPr="004D6E73">
        <w:rPr>
          <w:rFonts w:ascii="Arial" w:eastAsia="Arial" w:hAnsi="Arial" w:cs="Arial"/>
          <w:lang w:val="en" w:eastAsia="en"/>
        </w:rPr>
        <w:t xml:space="preserve">, and funding structures continue to privilege quantitative designs (Hill and Corbett, 1993). Despite this, qualitative innovations such as Interpersonal Process Recall (IPR) </w:t>
      </w:r>
      <w:r w:rsidRPr="004D6E73">
        <w:rPr>
          <w:rFonts w:ascii="Arial" w:eastAsia="Arial" w:hAnsi="Arial" w:cs="Arial"/>
          <w:lang w:val="en" w:eastAsia="en"/>
        </w:rPr>
        <w:lastRenderedPageBreak/>
        <w:t>have enriched psychotherapy by deepening practitioner reflexivity and supporting more nuanced understandings of therapeutic process.</w:t>
      </w:r>
    </w:p>
    <w:p w14:paraId="303EC22F" w14:textId="77777777" w:rsidR="00F1053A" w:rsidRPr="004D6E73" w:rsidRDefault="00F1053A" w:rsidP="004D6E73">
      <w:pPr>
        <w:spacing w:after="0" w:line="480" w:lineRule="auto"/>
        <w:ind w:firstLine="720"/>
        <w:jc w:val="both"/>
        <w:rPr>
          <w:rFonts w:ascii="Arial" w:eastAsia="Arial" w:hAnsi="Arial" w:cs="Arial"/>
          <w:lang w:val="en" w:eastAsia="en"/>
        </w:rPr>
      </w:pPr>
      <w:r w:rsidRPr="004D6E73">
        <w:rPr>
          <w:rFonts w:ascii="Arial" w:eastAsia="Arial" w:hAnsi="Arial" w:cs="Arial"/>
          <w:lang w:val="en" w:eastAsia="en"/>
        </w:rPr>
        <w:t>Critical and post</w:t>
      </w:r>
      <w:r w:rsidRPr="004D6E73">
        <w:rPr>
          <w:rFonts w:ascii="Cambria Math" w:eastAsia="Arial" w:hAnsi="Cambria Math" w:cs="Cambria Math"/>
          <w:lang w:val="en" w:eastAsia="en"/>
        </w:rPr>
        <w:t>‑</w:t>
      </w:r>
      <w:r w:rsidRPr="004D6E73">
        <w:rPr>
          <w:rFonts w:ascii="Arial" w:eastAsia="Arial" w:hAnsi="Arial" w:cs="Arial"/>
          <w:lang w:val="en" w:eastAsia="en"/>
        </w:rPr>
        <w:t xml:space="preserve">structural research cultures further challenge dominant paradigms by interrogating power, discourse, and the politics of knowledge (Fossey et al., 2002). These approaches expose structural inequalities, question diagnostic categories, and highlight how psychological knowledge is socially constructed. Although sometimes </w:t>
      </w:r>
      <w:proofErr w:type="spellStart"/>
      <w:r w:rsidRPr="004D6E73">
        <w:rPr>
          <w:rFonts w:ascii="Arial" w:eastAsia="Arial" w:hAnsi="Arial" w:cs="Arial"/>
          <w:lang w:val="en" w:eastAsia="en"/>
        </w:rPr>
        <w:t>criticised</w:t>
      </w:r>
      <w:proofErr w:type="spellEnd"/>
      <w:r w:rsidRPr="004D6E73">
        <w:rPr>
          <w:rFonts w:ascii="Arial" w:eastAsia="Arial" w:hAnsi="Arial" w:cs="Arial"/>
          <w:lang w:val="en" w:eastAsia="en"/>
        </w:rPr>
        <w:t xml:space="preserve"> as overly theoretical or impractical, they expand the field’s epistemological horizons and challenge the dominance of positivist assumptions (Hill and Corbett, 1993).</w:t>
      </w:r>
    </w:p>
    <w:p w14:paraId="72AC58EB" w14:textId="27605768" w:rsidR="00F1053A" w:rsidRPr="004D6E73" w:rsidRDefault="00F1053A" w:rsidP="004D6E73">
      <w:pPr>
        <w:spacing w:after="0" w:line="480" w:lineRule="auto"/>
        <w:ind w:firstLine="720"/>
        <w:jc w:val="both"/>
        <w:rPr>
          <w:rFonts w:ascii="Arial" w:eastAsia="Arial" w:hAnsi="Arial" w:cs="Arial"/>
          <w:lang w:val="en" w:eastAsia="en"/>
        </w:rPr>
      </w:pPr>
      <w:r w:rsidRPr="004D6E73">
        <w:rPr>
          <w:rFonts w:ascii="Arial" w:eastAsia="Arial" w:hAnsi="Arial" w:cs="Arial"/>
          <w:lang w:val="en" w:eastAsia="en"/>
        </w:rPr>
        <w:t xml:space="preserve">Phenomenological research represents another influential yet contested paradigm. By </w:t>
      </w:r>
      <w:proofErr w:type="spellStart"/>
      <w:r w:rsidRPr="004D6E73">
        <w:rPr>
          <w:rFonts w:ascii="Arial" w:eastAsia="Arial" w:hAnsi="Arial" w:cs="Arial"/>
          <w:lang w:val="en" w:eastAsia="en"/>
        </w:rPr>
        <w:t>prioritising</w:t>
      </w:r>
      <w:proofErr w:type="spellEnd"/>
      <w:r w:rsidRPr="004D6E73">
        <w:rPr>
          <w:rFonts w:ascii="Arial" w:eastAsia="Arial" w:hAnsi="Arial" w:cs="Arial"/>
          <w:lang w:val="en" w:eastAsia="en"/>
        </w:rPr>
        <w:t xml:space="preserve"> lived experience, phenomenology challenges positivist reductionism and highlights the embodied, relational, and meaning</w:t>
      </w:r>
      <w:r w:rsidRPr="004D6E73">
        <w:rPr>
          <w:rFonts w:ascii="Cambria Math" w:eastAsia="Arial" w:hAnsi="Cambria Math" w:cs="Cambria Math"/>
          <w:lang w:val="en" w:eastAsia="en"/>
        </w:rPr>
        <w:t>‑</w:t>
      </w:r>
      <w:r w:rsidRPr="004D6E73">
        <w:rPr>
          <w:rFonts w:ascii="Arial" w:eastAsia="Arial" w:hAnsi="Arial" w:cs="Arial"/>
          <w:lang w:val="en" w:eastAsia="en"/>
        </w:rPr>
        <w:t>laden nature of psychological distress (Wertz, 202</w:t>
      </w:r>
      <w:r w:rsidR="00315035">
        <w:rPr>
          <w:rFonts w:ascii="Arial" w:eastAsia="Arial" w:hAnsi="Arial" w:cs="Arial"/>
          <w:lang w:val="en" w:eastAsia="en"/>
        </w:rPr>
        <w:t>3</w:t>
      </w:r>
      <w:r w:rsidRPr="004D6E73">
        <w:rPr>
          <w:rFonts w:ascii="Arial" w:eastAsia="Arial" w:hAnsi="Arial" w:cs="Arial"/>
          <w:lang w:val="en" w:eastAsia="en"/>
        </w:rPr>
        <w:t>). Approaches such as descriptive phenomenology and IPA have illuminated processes like empathy, presence, and rupture</w:t>
      </w:r>
      <w:r w:rsidRPr="004D6E73">
        <w:rPr>
          <w:rFonts w:ascii="Cambria Math" w:eastAsia="Arial" w:hAnsi="Cambria Math" w:cs="Cambria Math"/>
          <w:lang w:val="en" w:eastAsia="en"/>
        </w:rPr>
        <w:t>‑</w:t>
      </w:r>
      <w:r w:rsidRPr="004D6E73">
        <w:rPr>
          <w:rFonts w:ascii="Arial" w:eastAsia="Arial" w:hAnsi="Arial" w:cs="Arial"/>
          <w:lang w:val="en" w:eastAsia="en"/>
        </w:rPr>
        <w:t xml:space="preserve">repair, shaping humanistic and existential therapies. Yet phenomenological research is constrained by evidence hierarchies that privilege RCTs and </w:t>
      </w:r>
      <w:proofErr w:type="spellStart"/>
      <w:r w:rsidRPr="004D6E73">
        <w:rPr>
          <w:rFonts w:ascii="Arial" w:eastAsia="Arial" w:hAnsi="Arial" w:cs="Arial"/>
          <w:lang w:val="en" w:eastAsia="en"/>
        </w:rPr>
        <w:t>manualised</w:t>
      </w:r>
      <w:proofErr w:type="spellEnd"/>
      <w:r w:rsidRPr="004D6E73">
        <w:rPr>
          <w:rFonts w:ascii="Arial" w:eastAsia="Arial" w:hAnsi="Arial" w:cs="Arial"/>
          <w:lang w:val="en" w:eastAsia="en"/>
        </w:rPr>
        <w:t xml:space="preserve"> interventions, positioning it as “lower</w:t>
      </w:r>
      <w:r w:rsidRPr="004D6E73">
        <w:rPr>
          <w:rFonts w:ascii="Cambria Math" w:eastAsia="Arial" w:hAnsi="Cambria Math" w:cs="Cambria Math"/>
          <w:lang w:val="en" w:eastAsia="en"/>
        </w:rPr>
        <w:t>‑</w:t>
      </w:r>
      <w:r w:rsidRPr="004D6E73">
        <w:rPr>
          <w:rFonts w:ascii="Arial" w:eastAsia="Arial" w:hAnsi="Arial" w:cs="Arial"/>
          <w:lang w:val="en" w:eastAsia="en"/>
        </w:rPr>
        <w:t xml:space="preserve">quality evidence” due to its idiographic focus (Vincenzo et al., 2024). Institutional pressures often push phenomenological researchers toward </w:t>
      </w:r>
      <w:r w:rsidR="00637DA2">
        <w:rPr>
          <w:rFonts w:ascii="Arial" w:eastAsia="Arial" w:hAnsi="Arial" w:cs="Arial"/>
          <w:lang w:val="en" w:eastAsia="en"/>
        </w:rPr>
        <w:t>empirical verification</w:t>
      </w:r>
      <w:r w:rsidRPr="004D6E73">
        <w:rPr>
          <w:rFonts w:ascii="Arial" w:eastAsia="Arial" w:hAnsi="Arial" w:cs="Arial"/>
          <w:lang w:val="en" w:eastAsia="en"/>
        </w:rPr>
        <w:t xml:space="preserve"> to gain legitimacy (Hill and Corbett, 1993), while funding bodies’ emphasis on measurable outcomes sidelines explorations of meaning, identity, and relational nuance (</w:t>
      </w:r>
      <w:proofErr w:type="spellStart"/>
      <w:r w:rsidRPr="004D6E73">
        <w:rPr>
          <w:rFonts w:ascii="Arial" w:eastAsia="Arial" w:hAnsi="Arial" w:cs="Arial"/>
          <w:lang w:val="en" w:eastAsia="en"/>
        </w:rPr>
        <w:t>Zelčāne</w:t>
      </w:r>
      <w:proofErr w:type="spellEnd"/>
      <w:r w:rsidRPr="004D6E73">
        <w:rPr>
          <w:rFonts w:ascii="Arial" w:eastAsia="Arial" w:hAnsi="Arial" w:cs="Arial"/>
          <w:lang w:val="en" w:eastAsia="en"/>
        </w:rPr>
        <w:t xml:space="preserve"> and </w:t>
      </w:r>
      <w:proofErr w:type="spellStart"/>
      <w:r w:rsidRPr="004D6E73">
        <w:rPr>
          <w:rFonts w:ascii="Arial" w:eastAsia="Arial" w:hAnsi="Arial" w:cs="Arial"/>
          <w:lang w:val="en" w:eastAsia="en"/>
        </w:rPr>
        <w:t>Pipere</w:t>
      </w:r>
      <w:proofErr w:type="spellEnd"/>
      <w:r w:rsidRPr="004D6E73">
        <w:rPr>
          <w:rFonts w:ascii="Arial" w:eastAsia="Arial" w:hAnsi="Arial" w:cs="Arial"/>
          <w:lang w:val="en" w:eastAsia="en"/>
        </w:rPr>
        <w:t>, 2023). These constraints reflect broader tensions between depth</w:t>
      </w:r>
      <w:r w:rsidRPr="004D6E73">
        <w:rPr>
          <w:rFonts w:ascii="Cambria Math" w:eastAsia="Arial" w:hAnsi="Cambria Math" w:cs="Cambria Math"/>
          <w:lang w:val="en" w:eastAsia="en"/>
        </w:rPr>
        <w:t>‑</w:t>
      </w:r>
      <w:r w:rsidRPr="004D6E73">
        <w:rPr>
          <w:rFonts w:ascii="Arial" w:eastAsia="Arial" w:hAnsi="Arial" w:cs="Arial"/>
          <w:lang w:val="en" w:eastAsia="en"/>
        </w:rPr>
        <w:t xml:space="preserve">oriented inquiry and the demand for scalable, </w:t>
      </w:r>
      <w:proofErr w:type="spellStart"/>
      <w:r w:rsidRPr="004D6E73">
        <w:rPr>
          <w:rFonts w:ascii="Arial" w:eastAsia="Arial" w:hAnsi="Arial" w:cs="Arial"/>
          <w:lang w:val="en" w:eastAsia="en"/>
        </w:rPr>
        <w:t>generalisable</w:t>
      </w:r>
      <w:proofErr w:type="spellEnd"/>
      <w:r w:rsidRPr="004D6E73">
        <w:rPr>
          <w:rFonts w:ascii="Arial" w:eastAsia="Arial" w:hAnsi="Arial" w:cs="Arial"/>
          <w:lang w:val="en" w:eastAsia="en"/>
        </w:rPr>
        <w:t xml:space="preserve"> evidence.</w:t>
      </w:r>
    </w:p>
    <w:p w14:paraId="012FB9D0" w14:textId="77777777" w:rsidR="00A22573" w:rsidRPr="00A22573" w:rsidRDefault="00A22573" w:rsidP="00A22573">
      <w:pPr>
        <w:spacing w:line="480" w:lineRule="auto"/>
        <w:ind w:firstLine="720"/>
        <w:rPr>
          <w:rFonts w:ascii="Arial" w:hAnsi="Arial" w:cs="Arial"/>
        </w:rPr>
      </w:pPr>
      <w:r w:rsidRPr="00A22573">
        <w:rPr>
          <w:rFonts w:ascii="Arial" w:hAnsi="Arial" w:cs="Arial"/>
        </w:rPr>
        <w:t xml:space="preserve">Across these paradigms, research cultures compete not only methodologically but politically. Evidence </w:t>
      </w:r>
      <w:proofErr w:type="gramStart"/>
      <w:r w:rsidRPr="00A22573">
        <w:rPr>
          <w:rFonts w:ascii="Arial" w:hAnsi="Arial" w:cs="Arial"/>
        </w:rPr>
        <w:t>hierarchies</w:t>
      </w:r>
      <w:proofErr w:type="gramEnd"/>
      <w:r w:rsidRPr="00A22573">
        <w:rPr>
          <w:rFonts w:ascii="Arial" w:hAnsi="Arial" w:cs="Arial"/>
        </w:rPr>
        <w:t xml:space="preserve"> privilege RCTs, reinforcing the dominance of </w:t>
      </w:r>
      <w:r w:rsidRPr="00A22573">
        <w:rPr>
          <w:rFonts w:ascii="Arial" w:hAnsi="Arial" w:cs="Arial"/>
        </w:rPr>
        <w:lastRenderedPageBreak/>
        <w:t>certain professional identities (e.g., clinical psychology, CBT) while marginalising others such as humanistic and integrative approaches (Vincenzo et al., 2024). Funding bodies tend to support what is easiest to measure rather than what is most meaningful for clients, shaping what gets studied, whose voices are heard, and what ultimately counts as evidence within psychotherapy (Hill and Corbett, 1993).</w:t>
      </w:r>
    </w:p>
    <w:p w14:paraId="1EF8032F" w14:textId="24A2C732" w:rsidR="00A22573" w:rsidRPr="00A22573" w:rsidRDefault="00A22573" w:rsidP="00A22573">
      <w:pPr>
        <w:spacing w:line="480" w:lineRule="auto"/>
        <w:ind w:firstLine="720"/>
        <w:rPr>
          <w:rFonts w:ascii="Arial" w:hAnsi="Arial" w:cs="Arial"/>
        </w:rPr>
      </w:pPr>
      <w:r w:rsidRPr="00A22573">
        <w:rPr>
          <w:rFonts w:ascii="Arial" w:hAnsi="Arial" w:cs="Arial"/>
        </w:rPr>
        <w:t>These tensions reflect deeper conflicts between therapeutic values</w:t>
      </w:r>
      <w:r w:rsidR="00D66853">
        <w:rPr>
          <w:rFonts w:ascii="Arial" w:hAnsi="Arial" w:cs="Arial"/>
        </w:rPr>
        <w:t xml:space="preserve">, </w:t>
      </w:r>
      <w:r w:rsidRPr="00A22573">
        <w:rPr>
          <w:rFonts w:ascii="Arial" w:hAnsi="Arial" w:cs="Arial"/>
        </w:rPr>
        <w:t>subjectivity, relational depth, and contextual understanding</w:t>
      </w:r>
      <w:r w:rsidR="00D66853">
        <w:rPr>
          <w:rFonts w:ascii="Arial" w:hAnsi="Arial" w:cs="Arial"/>
        </w:rPr>
        <w:t xml:space="preserve">, </w:t>
      </w:r>
      <w:r w:rsidRPr="00A22573">
        <w:rPr>
          <w:rFonts w:ascii="Arial" w:hAnsi="Arial" w:cs="Arial"/>
        </w:rPr>
        <w:t xml:space="preserve">and research </w:t>
      </w:r>
      <w:r w:rsidR="00A46D40">
        <w:rPr>
          <w:rFonts w:ascii="Arial" w:hAnsi="Arial" w:cs="Arial"/>
        </w:rPr>
        <w:t>princip</w:t>
      </w:r>
      <w:r w:rsidR="0083754F">
        <w:rPr>
          <w:rFonts w:ascii="Arial" w:hAnsi="Arial" w:cs="Arial"/>
        </w:rPr>
        <w:t>les</w:t>
      </w:r>
      <w:r w:rsidRPr="00A22573">
        <w:rPr>
          <w:rFonts w:ascii="Arial" w:hAnsi="Arial" w:cs="Arial"/>
        </w:rPr>
        <w:t xml:space="preserve"> such as objectivity, generalisability, and measurement</w:t>
      </w:r>
      <w:r w:rsidR="0083754F">
        <w:rPr>
          <w:rFonts w:ascii="Arial" w:hAnsi="Arial" w:cs="Arial"/>
        </w:rPr>
        <w:t xml:space="preserve"> (Ward</w:t>
      </w:r>
      <w:r w:rsidR="00AA51F9">
        <w:rPr>
          <w:rFonts w:ascii="Arial" w:hAnsi="Arial" w:cs="Arial"/>
        </w:rPr>
        <w:t xml:space="preserve"> et al., 2022)</w:t>
      </w:r>
      <w:r w:rsidRPr="00A22573">
        <w:rPr>
          <w:rFonts w:ascii="Arial" w:hAnsi="Arial" w:cs="Arial"/>
        </w:rPr>
        <w:t>. RCTs isolate techniques and measure symptom change, often neglecting cultural factors, relational processes, and meaning</w:t>
      </w:r>
      <w:r w:rsidRPr="00A22573">
        <w:rPr>
          <w:rFonts w:ascii="Cambria Math" w:hAnsi="Cambria Math" w:cs="Cambria Math"/>
        </w:rPr>
        <w:t>‑</w:t>
      </w:r>
      <w:r w:rsidRPr="00A22573">
        <w:rPr>
          <w:rFonts w:ascii="Arial" w:hAnsi="Arial" w:cs="Arial"/>
        </w:rPr>
        <w:t>making. This stands in contrast to counselling traditions that emphasise the therapeutic relationship as the primary mechanism of change. When research paradigms overshadow therapeutic values, psychotherapy risks being reduced to techniques rather than relational encounters (McLeod, 2011).</w:t>
      </w:r>
    </w:p>
    <w:p w14:paraId="2B9ED268" w14:textId="6BBA7603" w:rsidR="00A22573" w:rsidRPr="00A22573" w:rsidRDefault="00A22573" w:rsidP="00A22573">
      <w:pPr>
        <w:spacing w:line="480" w:lineRule="auto"/>
        <w:ind w:firstLine="720"/>
        <w:rPr>
          <w:rFonts w:ascii="Arial" w:hAnsi="Arial" w:cs="Arial"/>
        </w:rPr>
      </w:pPr>
      <w:r w:rsidRPr="00A22573">
        <w:rPr>
          <w:rFonts w:ascii="Arial" w:hAnsi="Arial" w:cs="Arial"/>
        </w:rPr>
        <w:t>Yet the interplay between psychotherapy and research is not solely constraining. EBP has strengthened accountability, protected clients ethically, and enhanced professional credibility. Research has illuminated mechanisms of change, refined therapeutic techniques, and challenged ineffective or harmful practices</w:t>
      </w:r>
      <w:r w:rsidR="00181A1A">
        <w:rPr>
          <w:rFonts w:ascii="Arial" w:hAnsi="Arial" w:cs="Arial"/>
        </w:rPr>
        <w:t xml:space="preserve"> (Vincenzo et al., 2024)</w:t>
      </w:r>
      <w:r w:rsidRPr="00A22573">
        <w:rPr>
          <w:rFonts w:ascii="Arial" w:hAnsi="Arial" w:cs="Arial"/>
        </w:rPr>
        <w:t>. At the same time, psychotherapy has influenced research by expanding qualitative methodologies, emphasising lived experience, and challenging positivist assumptions (McLeod, 2011). Practitioner wisdom, client narratives, and relational processes have increasingly shaped research agendas, reflecting a gradual shift toward more pluralistic and context</w:t>
      </w:r>
      <w:r w:rsidRPr="00A22573">
        <w:rPr>
          <w:rFonts w:ascii="Cambria Math" w:hAnsi="Cambria Math" w:cs="Cambria Math"/>
        </w:rPr>
        <w:t>‑</w:t>
      </w:r>
      <w:r w:rsidRPr="00A22573">
        <w:rPr>
          <w:rFonts w:ascii="Arial" w:hAnsi="Arial" w:cs="Arial"/>
        </w:rPr>
        <w:t>sensitive inquiry.</w:t>
      </w:r>
    </w:p>
    <w:p w14:paraId="3D9BF114" w14:textId="04742269" w:rsidR="00A22573" w:rsidRPr="00E50BFF" w:rsidRDefault="00A22573" w:rsidP="00A22573">
      <w:pPr>
        <w:spacing w:line="480" w:lineRule="auto"/>
        <w:ind w:firstLine="720"/>
        <w:rPr>
          <w:rFonts w:ascii="Arial" w:hAnsi="Arial" w:cs="Arial"/>
        </w:rPr>
      </w:pPr>
      <w:r w:rsidRPr="00A22573">
        <w:rPr>
          <w:rFonts w:ascii="Arial" w:hAnsi="Arial" w:cs="Arial"/>
        </w:rPr>
        <w:t>The future of psychotherapy and research lies in embracing methodological pluralism. Mixed</w:t>
      </w:r>
      <w:r w:rsidRPr="00A22573">
        <w:rPr>
          <w:rFonts w:ascii="Cambria Math" w:hAnsi="Cambria Math" w:cs="Cambria Math"/>
        </w:rPr>
        <w:t>‑</w:t>
      </w:r>
      <w:r w:rsidRPr="00A22573">
        <w:rPr>
          <w:rFonts w:ascii="Arial" w:hAnsi="Arial" w:cs="Arial"/>
        </w:rPr>
        <w:t>methods designs that genuinely integrate paradigms, co</w:t>
      </w:r>
      <w:r w:rsidRPr="00A22573">
        <w:rPr>
          <w:rFonts w:ascii="Cambria Math" w:hAnsi="Cambria Math" w:cs="Cambria Math"/>
        </w:rPr>
        <w:t>‑</w:t>
      </w:r>
      <w:r w:rsidRPr="00A22573">
        <w:rPr>
          <w:rFonts w:ascii="Arial" w:hAnsi="Arial" w:cs="Arial"/>
        </w:rPr>
        <w:t xml:space="preserve">produced </w:t>
      </w:r>
      <w:r w:rsidRPr="00A22573">
        <w:rPr>
          <w:rFonts w:ascii="Arial" w:hAnsi="Arial" w:cs="Arial"/>
        </w:rPr>
        <w:lastRenderedPageBreak/>
        <w:t>research that centres client experience, and approaches that honour practitioner knowledge can create a more balanced and generative interplay (Fossey et al., 2002). Recognising the strengths and limitations of each paradigm allows the field to move beyond competition toward collaboration, ensuring that research supports</w:t>
      </w:r>
      <w:r w:rsidR="00D66853">
        <w:rPr>
          <w:rFonts w:ascii="Arial" w:hAnsi="Arial" w:cs="Arial"/>
        </w:rPr>
        <w:t xml:space="preserve">, </w:t>
      </w:r>
      <w:r w:rsidRPr="00A22573">
        <w:rPr>
          <w:rFonts w:ascii="Arial" w:hAnsi="Arial" w:cs="Arial"/>
        </w:rPr>
        <w:t>rather than constrains</w:t>
      </w:r>
      <w:r w:rsidR="00D66853">
        <w:rPr>
          <w:rFonts w:ascii="Arial" w:hAnsi="Arial" w:cs="Arial"/>
        </w:rPr>
        <w:t xml:space="preserve">, </w:t>
      </w:r>
      <w:r w:rsidRPr="00A22573">
        <w:rPr>
          <w:rFonts w:ascii="Arial" w:hAnsi="Arial" w:cs="Arial"/>
        </w:rPr>
        <w:t>the relational, contextual, and deeply human nature of psychotherapy.</w:t>
      </w:r>
    </w:p>
    <w:p w14:paraId="53A5515A" w14:textId="2853CBE0" w:rsidR="0055348D" w:rsidRDefault="0055348D" w:rsidP="00A010D0">
      <w:pPr>
        <w:spacing w:after="0" w:line="240" w:lineRule="auto"/>
        <w:jc w:val="both"/>
        <w:rPr>
          <w:rFonts w:ascii="Arial" w:eastAsia="Arial" w:hAnsi="Arial" w:cs="Arial"/>
          <w:color w:val="47D459" w:themeColor="accent3" w:themeTint="99"/>
          <w:lang w:val="en" w:eastAsia="en"/>
        </w:rPr>
      </w:pPr>
      <w:r w:rsidRPr="003F0A71">
        <w:rPr>
          <w:rFonts w:ascii="Arial" w:eastAsia="Arial" w:hAnsi="Arial" w:cs="Arial"/>
          <w:b/>
          <w:bCs/>
          <w:lang w:val="en" w:eastAsia="en"/>
        </w:rPr>
        <w:t>Develop an argument about your own therapeutic values</w:t>
      </w:r>
      <w:r w:rsidR="000D1BC8" w:rsidRPr="003F0A71">
        <w:rPr>
          <w:rFonts w:ascii="Arial" w:eastAsia="Arial" w:hAnsi="Arial" w:cs="Arial"/>
          <w:b/>
          <w:bCs/>
          <w:lang w:val="en" w:eastAsia="en"/>
        </w:rPr>
        <w:t>.</w:t>
      </w:r>
    </w:p>
    <w:p w14:paraId="370B8D11" w14:textId="77777777" w:rsidR="00A010D0" w:rsidRPr="00753FD7" w:rsidRDefault="00A010D0" w:rsidP="00A010D0">
      <w:pPr>
        <w:spacing w:after="0" w:line="240" w:lineRule="auto"/>
        <w:jc w:val="both"/>
        <w:rPr>
          <w:rFonts w:ascii="Arial" w:eastAsia="Arial" w:hAnsi="Arial" w:cs="Arial"/>
          <w:color w:val="47D459" w:themeColor="accent3" w:themeTint="99"/>
          <w:lang w:val="en" w:eastAsia="en"/>
        </w:rPr>
      </w:pPr>
    </w:p>
    <w:p w14:paraId="2D226313" w14:textId="4B9BB0CB" w:rsidR="00102A88" w:rsidRPr="00102A88" w:rsidRDefault="00102A88" w:rsidP="00102A88">
      <w:pPr>
        <w:spacing w:line="480" w:lineRule="auto"/>
        <w:ind w:firstLine="720"/>
        <w:rPr>
          <w:rFonts w:ascii="Arial" w:eastAsia="Aptos" w:hAnsi="Arial" w:cs="Arial"/>
        </w:rPr>
      </w:pPr>
      <w:r w:rsidRPr="00102A88">
        <w:rPr>
          <w:rFonts w:ascii="Arial" w:eastAsia="Aptos" w:hAnsi="Arial" w:cs="Arial"/>
        </w:rPr>
        <w:t>The integration of EBPs has profoundly shaped contemporary psychotherapy, offering structured guidance for practitioners while simultaneously constraining aspects of therapeutic freedom and relational depth (</w:t>
      </w:r>
      <w:proofErr w:type="spellStart"/>
      <w:r w:rsidRPr="003F0A71">
        <w:rPr>
          <w:rFonts w:ascii="Arial" w:eastAsia="Aptos" w:hAnsi="Arial" w:cs="Arial"/>
        </w:rPr>
        <w:t>Wampold</w:t>
      </w:r>
      <w:proofErr w:type="spellEnd"/>
      <w:r w:rsidRPr="003F0A71">
        <w:rPr>
          <w:rFonts w:ascii="Arial" w:eastAsia="Aptos" w:hAnsi="Arial" w:cs="Arial"/>
        </w:rPr>
        <w:t xml:space="preserve"> and Imel, 2015).</w:t>
      </w:r>
      <w:r w:rsidRPr="00102A88">
        <w:rPr>
          <w:rFonts w:ascii="Arial" w:eastAsia="Aptos" w:hAnsi="Arial" w:cs="Arial"/>
        </w:rPr>
        <w:t xml:space="preserve"> EBPs have enhanced accountability, improved treatment consistency, and strengthened the empirical credibility of the field. Yet they have also been criticised for privileging manualised, symptom</w:t>
      </w:r>
      <w:r w:rsidRPr="00102A88">
        <w:rPr>
          <w:rFonts w:ascii="Arial" w:eastAsia="Aptos" w:hAnsi="Arial" w:cs="Arial"/>
        </w:rPr>
        <w:noBreakHyphen/>
        <w:t>focused approaches at the expense of relational, experiential, and culturally responsive practice</w:t>
      </w:r>
      <w:r w:rsidR="0006079C">
        <w:rPr>
          <w:rFonts w:ascii="Arial" w:eastAsia="Aptos" w:hAnsi="Arial" w:cs="Arial"/>
        </w:rPr>
        <w:t xml:space="preserve"> (</w:t>
      </w:r>
      <w:proofErr w:type="spellStart"/>
      <w:r w:rsidR="0006079C">
        <w:rPr>
          <w:rFonts w:ascii="Arial" w:eastAsia="Aptos" w:hAnsi="Arial" w:cs="Arial"/>
        </w:rPr>
        <w:t>Wampold</w:t>
      </w:r>
      <w:proofErr w:type="spellEnd"/>
      <w:r w:rsidR="0006079C">
        <w:rPr>
          <w:rFonts w:ascii="Arial" w:eastAsia="Aptos" w:hAnsi="Arial" w:cs="Arial"/>
        </w:rPr>
        <w:t xml:space="preserve"> and Imel</w:t>
      </w:r>
      <w:r w:rsidR="00113816">
        <w:rPr>
          <w:rFonts w:ascii="Arial" w:eastAsia="Aptos" w:hAnsi="Arial" w:cs="Arial"/>
        </w:rPr>
        <w:t>, 2015</w:t>
      </w:r>
      <w:r w:rsidRPr="00102A88">
        <w:rPr>
          <w:rFonts w:ascii="Arial" w:eastAsia="Aptos" w:hAnsi="Arial" w:cs="Arial"/>
        </w:rPr>
        <w:t>). These tensions are reflected in my emerging therapeutic values as a trainee therapist, which are deeply influenced by humanistic principles such as authenticity, respect for the client’s subjective world, and relational presence (Wilkinson et al., 2025). My early experiences suggest that these values are not fixed ideals but evolving commitments that require ongoing negotiation within the realities of clinical work.</w:t>
      </w:r>
    </w:p>
    <w:p w14:paraId="1B3FA180" w14:textId="77777777" w:rsidR="00102A88" w:rsidRPr="00102A88" w:rsidRDefault="00102A88" w:rsidP="00102A88">
      <w:pPr>
        <w:spacing w:line="480" w:lineRule="auto"/>
        <w:ind w:firstLine="720"/>
        <w:rPr>
          <w:rFonts w:ascii="Arial" w:eastAsia="Aptos" w:hAnsi="Arial" w:cs="Arial"/>
        </w:rPr>
      </w:pPr>
      <w:r w:rsidRPr="00102A88">
        <w:rPr>
          <w:rFonts w:ascii="Arial" w:eastAsia="Aptos" w:hAnsi="Arial" w:cs="Arial"/>
        </w:rPr>
        <w:t xml:space="preserve">Humanistic therapy positions empathy, unconditional positive regard (UPR), and congruence as foundational therapeutic conditions (Rogers, 1957). These values resonate strongly with my aspiration to meet clients with humanity and openness. However, the practice of empathy is more complex than its theoretical framing suggests. Empathic </w:t>
      </w:r>
      <w:proofErr w:type="spellStart"/>
      <w:r w:rsidRPr="00102A88">
        <w:rPr>
          <w:rFonts w:ascii="Arial" w:eastAsia="Aptos" w:hAnsi="Arial" w:cs="Arial"/>
        </w:rPr>
        <w:t>attunement</w:t>
      </w:r>
      <w:proofErr w:type="spellEnd"/>
      <w:r w:rsidRPr="00102A88">
        <w:rPr>
          <w:rFonts w:ascii="Arial" w:eastAsia="Aptos" w:hAnsi="Arial" w:cs="Arial"/>
        </w:rPr>
        <w:t xml:space="preserve"> can oscillate between the client’s narrative </w:t>
      </w:r>
      <w:r w:rsidRPr="00102A88">
        <w:rPr>
          <w:rFonts w:ascii="Arial" w:eastAsia="Aptos" w:hAnsi="Arial" w:cs="Arial"/>
        </w:rPr>
        <w:lastRenderedPageBreak/>
        <w:t>and my own emotional responses, requiring careful monitoring to avoid over</w:t>
      </w:r>
      <w:r w:rsidRPr="00102A88">
        <w:rPr>
          <w:rFonts w:ascii="Arial" w:eastAsia="Aptos" w:hAnsi="Arial" w:cs="Arial"/>
        </w:rPr>
        <w:noBreakHyphen/>
        <w:t>identification or emotional distancing (Wilkinson et al., 2025). Similarly, congruence is challenged by professional boundaries and the fear of “getting it wrong,” which can inhibit genuine expression. Clients may also present frustrations, moral tensions, or relational ruptures that make UPR difficult to sustain. These experiences highlight that humanistic values require continuous reflexivity rather than being static ethical commitments.</w:t>
      </w:r>
    </w:p>
    <w:p w14:paraId="73237DEB" w14:textId="77777777" w:rsidR="00102A88" w:rsidRPr="00102A88" w:rsidRDefault="00102A88" w:rsidP="00102A88">
      <w:pPr>
        <w:spacing w:line="480" w:lineRule="auto"/>
        <w:ind w:firstLine="720"/>
        <w:rPr>
          <w:rFonts w:ascii="Arial" w:eastAsia="Aptos" w:hAnsi="Arial" w:cs="Arial"/>
        </w:rPr>
      </w:pPr>
      <w:r w:rsidRPr="00102A88">
        <w:rPr>
          <w:rFonts w:ascii="Arial" w:eastAsia="Aptos" w:hAnsi="Arial" w:cs="Arial"/>
        </w:rPr>
        <w:t>Authenticity, often idealised within humanistic discourse, reveals further tensions in practice. While I value being genuine with clients, therapeutic authenticity must coexist with theoretical knowledge, ethical guidelines, and clinical judgement (Mearns and Cooper, 2018). Transparency is therefore not a simple disclosure of internal states but a relational stance that considers timing, power, and potential impact. Maintaining presence can be disrupted by self</w:t>
      </w:r>
      <w:r w:rsidRPr="00102A88">
        <w:rPr>
          <w:rFonts w:ascii="Arial" w:eastAsia="Aptos" w:hAnsi="Arial" w:cs="Arial"/>
        </w:rPr>
        <w:noBreakHyphen/>
        <w:t>monitoring or anxiety about influencing the client. These complexities challenge the assumption that authenticity is inherently therapeutic and instead position it as a dynamic, context</w:t>
      </w:r>
      <w:r w:rsidRPr="00102A88">
        <w:rPr>
          <w:rFonts w:ascii="Arial" w:eastAsia="Aptos" w:hAnsi="Arial" w:cs="Arial"/>
        </w:rPr>
        <w:noBreakHyphen/>
        <w:t>dependent process.</w:t>
      </w:r>
    </w:p>
    <w:p w14:paraId="33A29915" w14:textId="1BF960DE" w:rsidR="00102A88" w:rsidRPr="00102A88" w:rsidRDefault="00102A88" w:rsidP="00102A88">
      <w:pPr>
        <w:spacing w:line="480" w:lineRule="auto"/>
        <w:ind w:firstLine="720"/>
        <w:rPr>
          <w:rFonts w:ascii="Arial" w:eastAsia="Aptos" w:hAnsi="Arial" w:cs="Arial"/>
        </w:rPr>
      </w:pPr>
      <w:r w:rsidRPr="00102A88">
        <w:rPr>
          <w:rFonts w:ascii="Arial" w:eastAsia="Aptos" w:hAnsi="Arial" w:cs="Arial"/>
        </w:rPr>
        <w:t>Humanistic therapy’s emphasis on the client’s phenomenological world is particularly meaningful when working with grief, where subjective experience is central</w:t>
      </w:r>
      <w:r w:rsidR="008338A5">
        <w:rPr>
          <w:rFonts w:ascii="Arial" w:eastAsia="Aptos" w:hAnsi="Arial" w:cs="Arial"/>
        </w:rPr>
        <w:t xml:space="preserve"> (Wilkinson</w:t>
      </w:r>
      <w:r w:rsidR="00F72C3B">
        <w:rPr>
          <w:rFonts w:ascii="Arial" w:eastAsia="Aptos" w:hAnsi="Arial" w:cs="Arial"/>
        </w:rPr>
        <w:t xml:space="preserve"> et al., 2025)</w:t>
      </w:r>
      <w:r w:rsidRPr="00102A88">
        <w:rPr>
          <w:rFonts w:ascii="Arial" w:eastAsia="Aptos" w:hAnsi="Arial" w:cs="Arial"/>
        </w:rPr>
        <w:t>. Yet trainee experiences reveal how personal assumptions and cultural frameworks shape how clients are heard. Interpretation can inadvertently take precedence over entering the client’s world, especially when coherence, emotional expression, or meaning</w:t>
      </w:r>
      <w:r w:rsidRPr="00102A88">
        <w:rPr>
          <w:rFonts w:ascii="Arial" w:eastAsia="Aptos" w:hAnsi="Arial" w:cs="Arial"/>
        </w:rPr>
        <w:noBreakHyphen/>
        <w:t>making align with my own internal values. This raises questions about the extent to which bracketing is possible and suggests that therapeutic values are co</w:t>
      </w:r>
      <w:r w:rsidRPr="00102A88">
        <w:rPr>
          <w:rFonts w:ascii="Arial" w:eastAsia="Aptos" w:hAnsi="Arial" w:cs="Arial"/>
        </w:rPr>
        <w:noBreakHyphen/>
        <w:t>constructed within the relational alliance rather than solely held by the therapist (Spinelli, 2005).</w:t>
      </w:r>
    </w:p>
    <w:p w14:paraId="7FD78614" w14:textId="77777777" w:rsidR="00102A88" w:rsidRPr="00102A88" w:rsidRDefault="00102A88" w:rsidP="00102A88">
      <w:pPr>
        <w:spacing w:line="480" w:lineRule="auto"/>
        <w:ind w:firstLine="720"/>
        <w:rPr>
          <w:rFonts w:ascii="Arial" w:eastAsia="Aptos" w:hAnsi="Arial" w:cs="Arial"/>
        </w:rPr>
      </w:pPr>
      <w:r w:rsidRPr="00102A88">
        <w:rPr>
          <w:rFonts w:ascii="Arial" w:eastAsia="Aptos" w:hAnsi="Arial" w:cs="Arial"/>
        </w:rPr>
        <w:lastRenderedPageBreak/>
        <w:t>Non</w:t>
      </w:r>
      <w:r w:rsidRPr="00102A88">
        <w:rPr>
          <w:rFonts w:ascii="Arial" w:eastAsia="Aptos" w:hAnsi="Arial" w:cs="Arial"/>
        </w:rPr>
        <w:noBreakHyphen/>
        <w:t>directivity, a core humanistic value, honours client autonomy but can become problematic when clients seek guidance, structure, or psychoeducation. In moments of distress, strict non</w:t>
      </w:r>
      <w:r w:rsidRPr="00102A88">
        <w:rPr>
          <w:rFonts w:ascii="Arial" w:eastAsia="Aptos" w:hAnsi="Arial" w:cs="Arial"/>
        </w:rPr>
        <w:noBreakHyphen/>
        <w:t>directivity may feel like abandonment rather than empowerment. Anxiety about influencing the client can lead to passivity rather than presence, revealing how rigid adherence to non</w:t>
      </w:r>
      <w:r w:rsidRPr="00102A88">
        <w:rPr>
          <w:rFonts w:ascii="Arial" w:eastAsia="Aptos" w:hAnsi="Arial" w:cs="Arial"/>
        </w:rPr>
        <w:noBreakHyphen/>
        <w:t>directivity may distort the relational and ethical grounding of practice (Cooper and McLeod, 2011). This underscores the need for humanistic values to be applied with flexibility rather than ideological purity.</w:t>
      </w:r>
    </w:p>
    <w:p w14:paraId="0A3FAA1A" w14:textId="3D13A6AF" w:rsidR="00102A88" w:rsidRPr="00102A88" w:rsidRDefault="00102A88" w:rsidP="00102A88">
      <w:pPr>
        <w:spacing w:line="480" w:lineRule="auto"/>
        <w:ind w:firstLine="720"/>
        <w:rPr>
          <w:rFonts w:ascii="Arial" w:eastAsia="Aptos" w:hAnsi="Arial" w:cs="Arial"/>
        </w:rPr>
      </w:pPr>
      <w:r w:rsidRPr="00102A88">
        <w:rPr>
          <w:rFonts w:ascii="Arial" w:eastAsia="Aptos" w:hAnsi="Arial" w:cs="Arial"/>
        </w:rPr>
        <w:t>Reflexivity has become central to contemporary humanistic practice, enabling therapists to explore personal emotional responses, cultural assumptions, and identity</w:t>
      </w:r>
      <w:r w:rsidRPr="00102A88">
        <w:rPr>
          <w:rFonts w:ascii="Arial" w:eastAsia="Aptos" w:hAnsi="Arial" w:cs="Arial"/>
        </w:rPr>
        <w:noBreakHyphen/>
        <w:t>based influences on the therapeutic relationship (</w:t>
      </w:r>
      <w:r w:rsidR="0026171E">
        <w:rPr>
          <w:rFonts w:ascii="Arial" w:eastAsia="Aptos" w:hAnsi="Arial" w:cs="Arial"/>
        </w:rPr>
        <w:t>Dixon and Chiang, 2020</w:t>
      </w:r>
      <w:r w:rsidRPr="00102A88">
        <w:rPr>
          <w:rFonts w:ascii="Arial" w:eastAsia="Aptos" w:hAnsi="Arial" w:cs="Arial"/>
        </w:rPr>
        <w:t>). Supervision provides a space to examine internal conflicts and consider how therapist subjectivity shapes therapeutic encounters. Reflexivity transforms humanistic values from abstract ideals into lived ethical obligations, supporting more attuned and responsive practice.</w:t>
      </w:r>
    </w:p>
    <w:p w14:paraId="71917DF0" w14:textId="6ECCD375" w:rsidR="002F7E6F" w:rsidRDefault="00102A88" w:rsidP="002F7E6F">
      <w:pPr>
        <w:spacing w:line="480" w:lineRule="auto"/>
        <w:ind w:firstLine="720"/>
        <w:rPr>
          <w:rFonts w:ascii="Arial" w:eastAsia="Aptos" w:hAnsi="Arial" w:cs="Arial"/>
        </w:rPr>
      </w:pPr>
      <w:r w:rsidRPr="00102A88">
        <w:rPr>
          <w:rFonts w:ascii="Arial" w:eastAsia="Aptos" w:hAnsi="Arial" w:cs="Arial"/>
        </w:rPr>
        <w:t>These reflections also connect to broader debates about the relationship between psychotherapy and research. Research has enriched psychotherapy by offering empirical grounding, refining techniques, and illuminating mechanisms of change (Norcross and Lambert, 2019). Yet it has also distorted practice when research paradigms prioritise measurable outcomes over relational depth, or when EBPs marginalise approaches that do not fit experimental designs (</w:t>
      </w:r>
      <w:r w:rsidR="003949B0">
        <w:rPr>
          <w:rFonts w:ascii="Arial" w:eastAsia="Aptos" w:hAnsi="Arial" w:cs="Arial"/>
        </w:rPr>
        <w:t>Mearns and Cooper</w:t>
      </w:r>
      <w:r w:rsidR="00F17C4E">
        <w:rPr>
          <w:rFonts w:ascii="Arial" w:eastAsia="Aptos" w:hAnsi="Arial" w:cs="Arial"/>
        </w:rPr>
        <w:t>, 2018</w:t>
      </w:r>
      <w:r w:rsidRPr="00102A88">
        <w:rPr>
          <w:rFonts w:ascii="Arial" w:eastAsia="Aptos" w:hAnsi="Arial" w:cs="Arial"/>
        </w:rPr>
        <w:t>). Conversely, psychotherapy has influenced research by expanding qualitative methodologies, emphasising lived experience, and challenging positivist assumptions (McLeod, 2011). My own development reflects this reciprocal relationship: humanistic values guide my practice, but research encourages reflexivity, accountability, and theoretical integration.</w:t>
      </w:r>
    </w:p>
    <w:p w14:paraId="73D09781" w14:textId="3C570617" w:rsidR="005B5DAF" w:rsidRPr="002F7E6F" w:rsidRDefault="00ED3B2D" w:rsidP="00F17C4E">
      <w:pPr>
        <w:spacing w:line="480" w:lineRule="auto"/>
        <w:rPr>
          <w:rFonts w:ascii="Arial" w:eastAsia="Aptos" w:hAnsi="Arial" w:cs="Arial"/>
        </w:rPr>
      </w:pPr>
      <w:r w:rsidRPr="00F72C3B">
        <w:rPr>
          <w:rFonts w:ascii="Arial" w:hAnsi="Arial" w:cs="Arial"/>
        </w:rPr>
        <w:lastRenderedPageBreak/>
        <w:t>Part 2</w:t>
      </w:r>
      <w:r w:rsidR="0025136B" w:rsidRPr="00F72C3B">
        <w:rPr>
          <w:rFonts w:ascii="Arial" w:hAnsi="Arial" w:cs="Arial"/>
        </w:rPr>
        <w:t xml:space="preserve"> - </w:t>
      </w:r>
      <w:r w:rsidR="00D6249F" w:rsidRPr="00F72C3B">
        <w:rPr>
          <w:rFonts w:ascii="Arial" w:hAnsi="Arial" w:cs="Arial"/>
        </w:rPr>
        <w:t>Critical review of a research paper.</w:t>
      </w:r>
    </w:p>
    <w:p w14:paraId="4CB49E69" w14:textId="05BFAFE4" w:rsidR="00FC67F2" w:rsidRPr="00FC67F2" w:rsidRDefault="00FC67F2" w:rsidP="00FC67F2">
      <w:pPr>
        <w:spacing w:line="480" w:lineRule="auto"/>
        <w:ind w:firstLine="720"/>
        <w:rPr>
          <w:rFonts w:ascii="Arial" w:hAnsi="Arial" w:cs="Arial"/>
        </w:rPr>
      </w:pPr>
      <w:r w:rsidRPr="00FC67F2">
        <w:rPr>
          <w:rFonts w:ascii="Arial" w:hAnsi="Arial" w:cs="Arial"/>
        </w:rPr>
        <w:t>Gender continues to shape how clients engage with psychological services, with men often presenting distinctive barriers to help seeking and therapeutic involvement (Seidler et al., 2</w:t>
      </w:r>
      <w:r w:rsidR="00F72C3B">
        <w:rPr>
          <w:rFonts w:ascii="Arial" w:hAnsi="Arial" w:cs="Arial"/>
        </w:rPr>
        <w:t>021</w:t>
      </w:r>
      <w:r w:rsidRPr="00FC67F2">
        <w:rPr>
          <w:rFonts w:ascii="Arial" w:hAnsi="Arial" w:cs="Arial"/>
        </w:rPr>
        <w:t xml:space="preserve">). Within this context, </w:t>
      </w:r>
      <w:r w:rsidRPr="00FC67F2">
        <w:rPr>
          <w:rFonts w:ascii="Arial" w:hAnsi="Arial" w:cs="Arial"/>
          <w:i/>
          <w:iCs/>
        </w:rPr>
        <w:t>Expectations versus Reality: Psychology Trainees’ Experiences Working with Men</w:t>
      </w:r>
      <w:r w:rsidRPr="00FC67F2">
        <w:rPr>
          <w:rFonts w:ascii="Arial" w:hAnsi="Arial" w:cs="Arial"/>
        </w:rPr>
        <w:t xml:space="preserve"> (Scaffidi et al., 2025) explores how trainee psychologists make sense of the challenges and assumptions that arise when working with male clients. The authors aim to </w:t>
      </w:r>
      <w:r w:rsidR="006944D3">
        <w:rPr>
          <w:rFonts w:ascii="Arial" w:hAnsi="Arial" w:cs="Arial"/>
        </w:rPr>
        <w:t>highlight</w:t>
      </w:r>
      <w:r w:rsidRPr="00FC67F2">
        <w:rPr>
          <w:rFonts w:ascii="Arial" w:hAnsi="Arial" w:cs="Arial"/>
        </w:rPr>
        <w:t xml:space="preserve"> the emotional and professional complexities trainees encounter, offering insight into the gendered dynamics of early clinical practice. This article was selected because it addresses an under</w:t>
      </w:r>
      <w:r w:rsidRPr="00FC67F2">
        <w:rPr>
          <w:rFonts w:ascii="Arial" w:hAnsi="Arial" w:cs="Arial"/>
        </w:rPr>
        <w:noBreakHyphen/>
        <w:t>examined area of practitioner development and raises important questions about how training programmes prepare clinicians for gender</w:t>
      </w:r>
      <w:r w:rsidRPr="00FC67F2">
        <w:rPr>
          <w:rFonts w:ascii="Arial" w:hAnsi="Arial" w:cs="Arial"/>
        </w:rPr>
        <w:noBreakHyphen/>
        <w:t>responsive work (Brownhill and Kelly, 2025). This essay critically evaluates the study’s methodological approach, theoretical coherence, and the extent to which its conclusions are supported by the evidence presented.</w:t>
      </w:r>
    </w:p>
    <w:p w14:paraId="482E002E" w14:textId="111127EF" w:rsidR="00FC67F2" w:rsidRPr="00FC67F2" w:rsidRDefault="00FC67F2" w:rsidP="000767BD">
      <w:pPr>
        <w:spacing w:line="480" w:lineRule="auto"/>
        <w:ind w:firstLine="720"/>
        <w:rPr>
          <w:rFonts w:ascii="Arial" w:hAnsi="Arial" w:cs="Arial"/>
        </w:rPr>
      </w:pPr>
      <w:r w:rsidRPr="00FC67F2">
        <w:rPr>
          <w:rFonts w:ascii="Arial" w:hAnsi="Arial" w:cs="Arial"/>
        </w:rPr>
        <w:t>Scaffidi et al. (2025) employed reflexive thematic analysis (RTA) of semi</w:t>
      </w:r>
      <w:r w:rsidRPr="00FC67F2">
        <w:rPr>
          <w:rFonts w:ascii="Arial" w:hAnsi="Arial" w:cs="Arial"/>
        </w:rPr>
        <w:noBreakHyphen/>
        <w:t>structured interviews, following Braun and Clarke’s (2022) framework, to explore trainees’ preparedness for working with male clients. The analysis generated three themes</w:t>
      </w:r>
      <w:r w:rsidR="000767BD">
        <w:rPr>
          <w:rFonts w:ascii="Arial" w:hAnsi="Arial" w:cs="Arial"/>
        </w:rPr>
        <w:t xml:space="preserve">, </w:t>
      </w:r>
      <w:r w:rsidRPr="00FC67F2">
        <w:rPr>
          <w:rFonts w:ascii="Arial" w:hAnsi="Arial" w:cs="Arial"/>
          <w:i/>
          <w:iCs/>
        </w:rPr>
        <w:t xml:space="preserve">mismatched expectations of </w:t>
      </w:r>
      <w:proofErr w:type="spellStart"/>
      <w:r w:rsidRPr="00FC67F2">
        <w:rPr>
          <w:rFonts w:ascii="Arial" w:hAnsi="Arial" w:cs="Arial"/>
          <w:i/>
          <w:iCs/>
        </w:rPr>
        <w:t>manspeak</w:t>
      </w:r>
      <w:proofErr w:type="spellEnd"/>
      <w:r w:rsidRPr="00FC67F2">
        <w:rPr>
          <w:rFonts w:ascii="Arial" w:hAnsi="Arial" w:cs="Arial"/>
        </w:rPr>
        <w:t xml:space="preserve">, </w:t>
      </w:r>
      <w:r w:rsidRPr="00FC67F2">
        <w:rPr>
          <w:rFonts w:ascii="Arial" w:hAnsi="Arial" w:cs="Arial"/>
          <w:i/>
          <w:iCs/>
        </w:rPr>
        <w:t>gratifying work</w:t>
      </w:r>
      <w:r w:rsidRPr="00FC67F2">
        <w:rPr>
          <w:rFonts w:ascii="Arial" w:hAnsi="Arial" w:cs="Arial"/>
        </w:rPr>
        <w:t xml:space="preserve">, and </w:t>
      </w:r>
      <w:r w:rsidRPr="00FC67F2">
        <w:rPr>
          <w:rFonts w:ascii="Arial" w:hAnsi="Arial" w:cs="Arial"/>
          <w:i/>
          <w:iCs/>
        </w:rPr>
        <w:t>working with the “macho man”</w:t>
      </w:r>
      <w:r w:rsidR="000767BD">
        <w:rPr>
          <w:rFonts w:ascii="Arial" w:hAnsi="Arial" w:cs="Arial"/>
        </w:rPr>
        <w:t xml:space="preserve">, </w:t>
      </w:r>
      <w:r w:rsidRPr="00FC67F2">
        <w:rPr>
          <w:rFonts w:ascii="Arial" w:hAnsi="Arial" w:cs="Arial"/>
        </w:rPr>
        <w:t>which aimed to capture the tensions trainees experience when navigating gendered expectations in therapy. The study offers valuable insights into the relational and cultural complexities of working with men and highlights the potential for training programmes to be masculine</w:t>
      </w:r>
      <w:r w:rsidRPr="00FC67F2">
        <w:rPr>
          <w:rFonts w:ascii="Arial" w:hAnsi="Arial" w:cs="Arial"/>
        </w:rPr>
        <w:noBreakHyphen/>
        <w:t>informed and support reflective and gender</w:t>
      </w:r>
      <w:r w:rsidRPr="00FC67F2">
        <w:rPr>
          <w:rFonts w:ascii="Arial" w:hAnsi="Arial" w:cs="Arial"/>
        </w:rPr>
        <w:noBreakHyphen/>
        <w:t>responsive practice (Boerma et al., 2023).</w:t>
      </w:r>
    </w:p>
    <w:p w14:paraId="27C9BCFA" w14:textId="3B8C59F7" w:rsidR="00FC67F2" w:rsidRPr="00FC67F2" w:rsidRDefault="00FC67F2" w:rsidP="000767BD">
      <w:pPr>
        <w:spacing w:line="480" w:lineRule="auto"/>
        <w:ind w:firstLine="720"/>
        <w:rPr>
          <w:rFonts w:ascii="Arial" w:hAnsi="Arial" w:cs="Arial"/>
        </w:rPr>
      </w:pPr>
      <w:r w:rsidRPr="00FC67F2">
        <w:rPr>
          <w:rFonts w:ascii="Arial" w:hAnsi="Arial" w:cs="Arial"/>
        </w:rPr>
        <w:lastRenderedPageBreak/>
        <w:t>A notable strength of the study is its transparency regarding limitations and potential biases. The interviewer was a male trainee from the same cohort as participants, and the authors acknowledge how this shared identity may have shaped the data. Their reflexive stance aligns with RTA’s epistemological commitments, which position researcher subjectivity as a resource rather than a threat to validity (Braun and Clarke, 2022). However, the proximity between researcher and participants also raises concerns about social desirability, power dynamics, and the possibility of unexamined shared assumptions influencing the analysis (Dixon and Chiang, 2020). Participants may have moderated their accounts to maintain peer relationships or avoid appearing uncertain, particularly when discussing sensitive topics such as competence or discomfort in working with male clients. These dynamics are especially salient in psychotherapy research, where narratives of professionalism are tightly regulated within training cultures. Although the authors describe how themes were developed, the analytic process remains relatively surface</w:t>
      </w:r>
      <w:r w:rsidRPr="00FC67F2">
        <w:rPr>
          <w:rFonts w:ascii="Arial" w:hAnsi="Arial" w:cs="Arial"/>
        </w:rPr>
        <w:noBreakHyphen/>
        <w:t>level, and the themes occasionally drift toward description rather than deeper interpretation</w:t>
      </w:r>
      <w:r w:rsidR="00D51917">
        <w:rPr>
          <w:rFonts w:ascii="Arial" w:hAnsi="Arial" w:cs="Arial"/>
        </w:rPr>
        <w:t xml:space="preserve">, </w:t>
      </w:r>
      <w:r w:rsidRPr="00FC67F2">
        <w:rPr>
          <w:rFonts w:ascii="Arial" w:hAnsi="Arial" w:cs="Arial"/>
        </w:rPr>
        <w:t>an issue noted in critiques of poorly executed thematic analysis (Braun and Clarke, 2022).</w:t>
      </w:r>
    </w:p>
    <w:p w14:paraId="655592E0" w14:textId="718E0543" w:rsidR="00FC67F2" w:rsidRPr="00FC67F2" w:rsidRDefault="00FC67F2" w:rsidP="003813F0">
      <w:pPr>
        <w:spacing w:line="480" w:lineRule="auto"/>
        <w:ind w:firstLine="720"/>
        <w:rPr>
          <w:rFonts w:ascii="Arial" w:hAnsi="Arial" w:cs="Arial"/>
        </w:rPr>
      </w:pPr>
      <w:r w:rsidRPr="00FC67F2">
        <w:rPr>
          <w:rFonts w:ascii="Arial" w:hAnsi="Arial" w:cs="Arial"/>
        </w:rPr>
        <w:t>A further limitation concerns the study’s epistemological positioning. While the authors state that they follow a reflexive thematic analysis, they do not fully articulate the epistemological implications of this choice</w:t>
      </w:r>
      <w:r w:rsidR="00A8320D">
        <w:rPr>
          <w:rFonts w:ascii="Arial" w:hAnsi="Arial" w:cs="Arial"/>
        </w:rPr>
        <w:t xml:space="preserve"> </w:t>
      </w:r>
      <w:r w:rsidR="00A8320D">
        <w:rPr>
          <w:rFonts w:ascii="Arial" w:hAnsi="Arial" w:cs="Arial"/>
        </w:rPr>
        <w:fldChar w:fldCharType="begin"/>
      </w:r>
      <w:r w:rsidR="00A8320D">
        <w:rPr>
          <w:rFonts w:ascii="Arial" w:hAnsi="Arial" w:cs="Arial"/>
        </w:rPr>
        <w:instrText xml:space="preserve"> ADDIN ZOTERO_ITEM CSL_CITATION {"citationID":"EeJplvYA","properties":{"formattedCitation":"(Clarke Victoria and Braun Victoria, 2022)","plainCitation":"(Clarke Victoria and Braun Victoria, 2022)","noteIndex":0},"citationItems":[{"id":181,"uris":["http://zotero.org/users/local/cOkgZFVs/items/SMDWA6N8"],"itemData":{"id":181,"type":"book","call-number":"300.721 BRA","ISBN":"978-1-4739-5323-9","language":"eng","publisher":"SAGE Publications","publisher-place":"London","source":"librarysearch.uwtsd.ac.uk","title":"Thematic analysis: a practical guide","title-short":"Thematic analysis","author":[{"literal":"Clarke Victoria"},{"literal":"Braun Victoria"}],"issued":{"date-parts":[["2022"]]}}}],"schema":"https://github.com/citation-style-language/schema/raw/master/csl-citation.json"} </w:instrText>
      </w:r>
      <w:r w:rsidR="00A8320D">
        <w:rPr>
          <w:rFonts w:ascii="Arial" w:hAnsi="Arial" w:cs="Arial"/>
        </w:rPr>
        <w:fldChar w:fldCharType="separate"/>
      </w:r>
      <w:r w:rsidR="00A8320D" w:rsidRPr="00A8320D">
        <w:rPr>
          <w:rFonts w:ascii="Arial" w:hAnsi="Arial" w:cs="Arial"/>
        </w:rPr>
        <w:t xml:space="preserve">(Braun </w:t>
      </w:r>
      <w:r w:rsidR="00A8320D">
        <w:rPr>
          <w:rFonts w:ascii="Arial" w:hAnsi="Arial" w:cs="Arial"/>
        </w:rPr>
        <w:t>and Clarke</w:t>
      </w:r>
      <w:r w:rsidR="00A8320D" w:rsidRPr="00A8320D">
        <w:rPr>
          <w:rFonts w:ascii="Arial" w:hAnsi="Arial" w:cs="Arial"/>
        </w:rPr>
        <w:t>, 2022)</w:t>
      </w:r>
      <w:r w:rsidR="00A8320D">
        <w:rPr>
          <w:rFonts w:ascii="Arial" w:hAnsi="Arial" w:cs="Arial"/>
        </w:rPr>
        <w:fldChar w:fldCharType="end"/>
      </w:r>
      <w:r w:rsidRPr="00FC67F2">
        <w:rPr>
          <w:rFonts w:ascii="Arial" w:hAnsi="Arial" w:cs="Arial"/>
        </w:rPr>
        <w:t>. RTA is grounded in a constructionist understanding of knowledge, where meaning is co</w:t>
      </w:r>
      <w:r w:rsidRPr="00FC67F2">
        <w:rPr>
          <w:rFonts w:ascii="Arial" w:hAnsi="Arial" w:cs="Arial"/>
        </w:rPr>
        <w:noBreakHyphen/>
        <w:t xml:space="preserve">produced through researcher–participant interaction. Yet the authors move from constructionist analysis to making practice recommendations, a shift that requires careful justification. Without explicitly acknowledging the limits of constructionist claims, the study risks overstating the general applicability of its findings. This </w:t>
      </w:r>
      <w:r w:rsidRPr="00FC67F2">
        <w:rPr>
          <w:rFonts w:ascii="Arial" w:hAnsi="Arial" w:cs="Arial"/>
        </w:rPr>
        <w:lastRenderedPageBreak/>
        <w:t>reflects a broader issue in psychotherapy research, where qualitative studies often blur the line between exploring meaning and prescribing practice, thereby weakening the coherence between method and conclusion.</w:t>
      </w:r>
      <w:r w:rsidR="003813F0">
        <w:rPr>
          <w:rFonts w:ascii="Arial" w:hAnsi="Arial" w:cs="Arial"/>
        </w:rPr>
        <w:t xml:space="preserve"> </w:t>
      </w:r>
      <w:r w:rsidRPr="00FC67F2">
        <w:rPr>
          <w:rFonts w:ascii="Arial" w:hAnsi="Arial" w:cs="Arial"/>
        </w:rPr>
        <w:t xml:space="preserve">For example, the theme </w:t>
      </w:r>
      <w:r w:rsidRPr="00FC67F2">
        <w:rPr>
          <w:rFonts w:ascii="Arial" w:hAnsi="Arial" w:cs="Arial"/>
          <w:i/>
          <w:iCs/>
        </w:rPr>
        <w:t xml:space="preserve">mismatched expectations of </w:t>
      </w:r>
      <w:proofErr w:type="spellStart"/>
      <w:r w:rsidRPr="00FC67F2">
        <w:rPr>
          <w:rFonts w:ascii="Arial" w:hAnsi="Arial" w:cs="Arial"/>
          <w:i/>
          <w:iCs/>
        </w:rPr>
        <w:t>manspeak</w:t>
      </w:r>
      <w:proofErr w:type="spellEnd"/>
      <w:r w:rsidRPr="00FC67F2">
        <w:rPr>
          <w:rFonts w:ascii="Arial" w:hAnsi="Arial" w:cs="Arial"/>
        </w:rPr>
        <w:t xml:space="preserve"> presented as a generalised difficulty in understanding male clients’ communication styles. Yet this could equally reflect broader cultural narratives about masculinity, emotional expression, and conversational norms</w:t>
      </w:r>
      <w:r w:rsidR="00E14BD2">
        <w:rPr>
          <w:rFonts w:ascii="Arial" w:hAnsi="Arial" w:cs="Arial"/>
        </w:rPr>
        <w:t xml:space="preserve"> </w:t>
      </w:r>
      <w:r w:rsidR="00E14BD2">
        <w:rPr>
          <w:rFonts w:ascii="Arial" w:hAnsi="Arial" w:cs="Arial"/>
        </w:rPr>
        <w:fldChar w:fldCharType="begin"/>
      </w:r>
      <w:r w:rsidR="00E14BD2">
        <w:rPr>
          <w:rFonts w:ascii="Arial" w:hAnsi="Arial" w:cs="Arial"/>
        </w:rPr>
        <w:instrText xml:space="preserve"> ADDIN ZOTERO_ITEM CSL_CITATION {"citationID":"qqO9yvot","properties":{"formattedCitation":"(Boerma et al., 2023)","plainCitation":"(Boerma et al., 2023)","noteIndex":0},"citationItems":[{"id":167,"uris":["http://zotero.org/users/local/cOkgZFVs/items/44D28GW5"],"itemData":{"id":167,"type":"article-journal","abstract":"Background There are growing calls to tailor counselling practices for adolescent males, a population reluctant to engage in psychological treatment despite concerning rates of mental illness. The objective of this systematic review (PROSPERO: CRD4202125547) was to collate and synthesise recommendations for individual counselling with adolescent males (12–18 years). Method The databases Psychology and Behavioural Science Collection, PsycArticles, PsycINFO, Academic Search Complete, EBSCO eBook Collection, Wiley Science Collection, Taylor and Francis Collection and ProQuest One Academic were searched for articles published between 1995 and November 2021. The quality of evidence was assessed using the JBI critical appraisal checklists, and thematic analysis was employed to synthesise findings across the literature. Results A total of 1625 texts were identified, of which 16 met the inclusion criteria. Generated themes included (a) therapist knowledge of masculinity, gender socialisation, and male-relational styles; (b) necessity of therapists to address masculinity in the therapeutic space; and (c) customising engagement and treatment practices to appeal to adolescent males. Conclusions The themes highlighted the unique developmental, and sociocultural considerations practitioners should be aware of when working with young men. Through a multicultural counselling competency framework, masculinity and adolescent male identity are expressions of diverse sociocultural identities that psychological assessment and intervention should ideally be tailored to suit. The findings of the review suggest that empirical research focusing on the experiences of adolescent males receiving psychological treatment is sparse. Further research is needed to inform the development of practicable, gender-sensitive adaptions to counselling practice for young men.","container-title":"Child and Adolescent Mental Health","DOI":"10.1111/camh.12633","ISSN":"1475-3588","issue":"4","language":"en","note":"_eprint: https://acamh.onlinelibrary.wiley.com/doi/pdf/10.1111/camh.12633","page":"536-549","source":"Wiley Online Library","title":"Review: Recommendations for male-friendly counselling with adolescent males: A qualitative systematic literature review","title-short":"Review","URL":"https://onlinelibrary.wiley.com/doi/abs/10.1111/camh.12633","volume":"28","author":[{"family":"Boerma","given":"Micah"},{"family":"Beel","given":"Nathan"},{"family":"Jeffries","given":"Carla"},{"family":"Ruse","given":"Jesse"}],"accessed":{"date-parts":[["2026",3,24]]},"issued":{"date-parts":[["2023"]]}}}],"schema":"https://github.com/citation-style-language/schema/raw/master/csl-citation.json"} </w:instrText>
      </w:r>
      <w:r w:rsidR="00E14BD2">
        <w:rPr>
          <w:rFonts w:ascii="Arial" w:hAnsi="Arial" w:cs="Arial"/>
        </w:rPr>
        <w:fldChar w:fldCharType="separate"/>
      </w:r>
      <w:r w:rsidR="00E14BD2" w:rsidRPr="00E14BD2">
        <w:rPr>
          <w:rFonts w:ascii="Arial" w:hAnsi="Arial" w:cs="Arial"/>
        </w:rPr>
        <w:t>(Boerma et al., 2023)</w:t>
      </w:r>
      <w:r w:rsidR="00E14BD2">
        <w:rPr>
          <w:rFonts w:ascii="Arial" w:hAnsi="Arial" w:cs="Arial"/>
        </w:rPr>
        <w:fldChar w:fldCharType="end"/>
      </w:r>
      <w:r w:rsidRPr="00FC67F2">
        <w:rPr>
          <w:rFonts w:ascii="Arial" w:hAnsi="Arial" w:cs="Arial"/>
        </w:rPr>
        <w:t xml:space="preserve">. Without engaging with gender theory or social psychology, the theme risks reinforcing stereotypes rather than interrogating them. A more theoretically grounded analysis could have unpacked how cultural scripts shape both trainees’ expectations and clients’ presentation, thereby offering a more nuanced account of the therapeutic encounter (Addis, 2008). The absence of </w:t>
      </w:r>
      <w:r w:rsidR="00C3711A">
        <w:rPr>
          <w:rFonts w:ascii="Arial" w:hAnsi="Arial" w:cs="Arial"/>
        </w:rPr>
        <w:t xml:space="preserve">examining the </w:t>
      </w:r>
      <w:r w:rsidR="00DF3A21">
        <w:rPr>
          <w:rFonts w:ascii="Arial" w:hAnsi="Arial" w:cs="Arial"/>
        </w:rPr>
        <w:t xml:space="preserve">social identities </w:t>
      </w:r>
      <w:r w:rsidR="009E7126">
        <w:rPr>
          <w:rFonts w:ascii="Arial" w:hAnsi="Arial" w:cs="Arial"/>
        </w:rPr>
        <w:t xml:space="preserve">and the complexities of </w:t>
      </w:r>
      <w:r w:rsidR="00184C54">
        <w:rPr>
          <w:rFonts w:ascii="Arial" w:hAnsi="Arial" w:cs="Arial"/>
        </w:rPr>
        <w:t>inequalities</w:t>
      </w:r>
      <w:r w:rsidRPr="00FC67F2">
        <w:rPr>
          <w:rFonts w:ascii="Arial" w:hAnsi="Arial" w:cs="Arial"/>
        </w:rPr>
        <w:t xml:space="preserve"> further limits the study’s explanatory power. Gender cannot be meaningfully understood without considering how race, class, sexuality, and cultural background intersect with masculinity to influence help</w:t>
      </w:r>
      <w:r w:rsidRPr="00FC67F2">
        <w:rPr>
          <w:rFonts w:ascii="Arial" w:hAnsi="Arial" w:cs="Arial"/>
        </w:rPr>
        <w:noBreakHyphen/>
        <w:t>seeking and emotional expression. By treating gender as a singular variable, the study risks oversimplifying the complexities of male clients’ experiences.</w:t>
      </w:r>
    </w:p>
    <w:p w14:paraId="1EF08819" w14:textId="0683DAAF" w:rsidR="00FC67F2" w:rsidRPr="00FC67F2" w:rsidRDefault="00FC67F2" w:rsidP="003813F0">
      <w:pPr>
        <w:spacing w:line="480" w:lineRule="auto"/>
        <w:ind w:firstLine="720"/>
        <w:rPr>
          <w:rFonts w:ascii="Arial" w:hAnsi="Arial" w:cs="Arial"/>
        </w:rPr>
      </w:pPr>
      <w:r w:rsidRPr="00FC67F2">
        <w:rPr>
          <w:rFonts w:ascii="Arial" w:hAnsi="Arial" w:cs="Arial"/>
        </w:rPr>
        <w:t>The study’s methodological limitations further constrain its claims. The sample was small, homogenous, and drawn exclusively from the researcher’s university cohort. While qualitative research does not aim for statistical generalisability, such a narrow sample reduces the transferability of findings (Smith et al., 2009) and heightens the risk of interpretive bias. The over</w:t>
      </w:r>
      <w:r w:rsidRPr="00FC67F2">
        <w:rPr>
          <w:rFonts w:ascii="Arial" w:hAnsi="Arial" w:cs="Arial"/>
        </w:rPr>
        <w:noBreakHyphen/>
        <w:t xml:space="preserve">representation of male participants also raises questions about whether the findings reflect broader trainee experiences or the particular dynamics of this cohort. These limitations are consistent with concerns raised in the psychotherapy research literature about the challenges of </w:t>
      </w:r>
      <w:r w:rsidRPr="00FC67F2">
        <w:rPr>
          <w:rFonts w:ascii="Arial" w:hAnsi="Arial" w:cs="Arial"/>
        </w:rPr>
        <w:lastRenderedPageBreak/>
        <w:t>producing robust, context</w:t>
      </w:r>
      <w:r w:rsidRPr="00FC67F2">
        <w:rPr>
          <w:rFonts w:ascii="Arial" w:hAnsi="Arial" w:cs="Arial"/>
        </w:rPr>
        <w:noBreakHyphen/>
        <w:t>sensitive qualitative evidence (McLeod, 2011). The study also exemplifies long</w:t>
      </w:r>
      <w:r w:rsidRPr="00FC67F2">
        <w:rPr>
          <w:rFonts w:ascii="Arial" w:hAnsi="Arial" w:cs="Arial"/>
        </w:rPr>
        <w:noBreakHyphen/>
        <w:t>standing tensions within psychotherapy research culture. As McLeod (2011) argues, qualitative inquiry in psychotherapy often struggles to achieve depth and theoretical integration due to institutional pressures favouring evidence</w:t>
      </w:r>
      <w:r w:rsidRPr="00FC67F2">
        <w:rPr>
          <w:rFonts w:ascii="Arial" w:hAnsi="Arial" w:cs="Arial"/>
        </w:rPr>
        <w:noBreakHyphen/>
        <w:t xml:space="preserve">based practice models and manualised interventions. Scaffidi et al.’s </w:t>
      </w:r>
      <w:r w:rsidR="00184C54">
        <w:rPr>
          <w:rFonts w:ascii="Arial" w:hAnsi="Arial" w:cs="Arial"/>
        </w:rPr>
        <w:t xml:space="preserve">(2025) </w:t>
      </w:r>
      <w:r w:rsidRPr="00FC67F2">
        <w:rPr>
          <w:rFonts w:ascii="Arial" w:hAnsi="Arial" w:cs="Arial"/>
        </w:rPr>
        <w:t>analysis, while insightful, reflects this pattern: the themes remain largely descriptive, and the theoretical engagement with masculinity and gender socialisation is limited.</w:t>
      </w:r>
    </w:p>
    <w:p w14:paraId="0CA1FB88" w14:textId="278A3B9D" w:rsidR="00FC67F2" w:rsidRPr="00FC67F2" w:rsidRDefault="00FC67F2" w:rsidP="003813F0">
      <w:pPr>
        <w:spacing w:line="480" w:lineRule="auto"/>
        <w:ind w:firstLine="720"/>
        <w:rPr>
          <w:rFonts w:ascii="Arial" w:hAnsi="Arial" w:cs="Arial"/>
        </w:rPr>
      </w:pPr>
      <w:r w:rsidRPr="00FC67F2">
        <w:rPr>
          <w:rFonts w:ascii="Arial" w:hAnsi="Arial" w:cs="Arial"/>
        </w:rPr>
        <w:t>The authors position the study as informing the development of gender</w:t>
      </w:r>
      <w:r w:rsidRPr="00FC67F2">
        <w:rPr>
          <w:rFonts w:ascii="Arial" w:hAnsi="Arial" w:cs="Arial"/>
        </w:rPr>
        <w:noBreakHyphen/>
        <w:t>responsive training interventions. While this is a valuable aim, the analysis does not fully engage with the broader literature on masculinity, intersectionality, or cultural competence (</w:t>
      </w:r>
      <w:r w:rsidR="001734C0">
        <w:rPr>
          <w:rFonts w:ascii="Arial" w:hAnsi="Arial" w:cs="Arial"/>
        </w:rPr>
        <w:t>Boerma et al., 2023</w:t>
      </w:r>
      <w:r w:rsidRPr="00FC67F2">
        <w:rPr>
          <w:rFonts w:ascii="Arial" w:hAnsi="Arial" w:cs="Arial"/>
        </w:rPr>
        <w:t xml:space="preserve">). As a result, the recommendations remain somewhat limited, focusing primarily on reflective practice rather than addressing the structural and cultural dimensions of gender in therapy. A more </w:t>
      </w:r>
      <w:r w:rsidR="00D76C08">
        <w:rPr>
          <w:rFonts w:ascii="Arial" w:hAnsi="Arial" w:cs="Arial"/>
        </w:rPr>
        <w:t>widespread</w:t>
      </w:r>
      <w:r w:rsidRPr="00FC67F2">
        <w:rPr>
          <w:rFonts w:ascii="Arial" w:hAnsi="Arial" w:cs="Arial"/>
        </w:rPr>
        <w:t xml:space="preserve"> theoretical framing could have strengthened the study’s contribution to curriculum development. Integrating frameworks such as hegemonic masculinity, relational</w:t>
      </w:r>
      <w:r w:rsidRPr="00FC67F2">
        <w:rPr>
          <w:rFonts w:ascii="Arial" w:hAnsi="Arial" w:cs="Arial"/>
        </w:rPr>
        <w:noBreakHyphen/>
        <w:t>cultural theory, or gender role conflict theory would have offered richer insight into the relational challenges trainees describe</w:t>
      </w:r>
      <w:r w:rsidR="00DD4C1A">
        <w:rPr>
          <w:rFonts w:ascii="Arial" w:hAnsi="Arial" w:cs="Arial"/>
        </w:rPr>
        <w:t xml:space="preserve"> (Boerma et al., 2023)</w:t>
      </w:r>
      <w:r w:rsidRPr="00FC67F2">
        <w:rPr>
          <w:rFonts w:ascii="Arial" w:hAnsi="Arial" w:cs="Arial"/>
        </w:rPr>
        <w:t>. A gendered approach focusing on understanding male challenges in counselling, masculinity, gender socialisation, and male</w:t>
      </w:r>
      <w:r w:rsidRPr="00FC67F2">
        <w:rPr>
          <w:rFonts w:ascii="Arial" w:hAnsi="Arial" w:cs="Arial"/>
        </w:rPr>
        <w:noBreakHyphen/>
        <w:t>relational styles would increase cultural humility</w:t>
      </w:r>
      <w:r w:rsidR="00DD4C1A">
        <w:rPr>
          <w:rFonts w:ascii="Arial" w:hAnsi="Arial" w:cs="Arial"/>
        </w:rPr>
        <w:t>.</w:t>
      </w:r>
    </w:p>
    <w:p w14:paraId="3D3B38B8" w14:textId="25A6C3A2" w:rsidR="00FC67F2" w:rsidRDefault="00FC67F2" w:rsidP="003813F0">
      <w:pPr>
        <w:spacing w:line="480" w:lineRule="auto"/>
        <w:ind w:firstLine="720"/>
        <w:rPr>
          <w:rFonts w:ascii="Arial" w:hAnsi="Arial" w:cs="Arial"/>
        </w:rPr>
      </w:pPr>
      <w:r w:rsidRPr="00FC67F2">
        <w:rPr>
          <w:rFonts w:ascii="Arial" w:hAnsi="Arial" w:cs="Arial"/>
        </w:rPr>
        <w:t xml:space="preserve">Considering alternative methodologies highlights how different approaches could have enriched the study. An Interpretative Phenomenological Analysis (IPA) would have deepened engagement with </w:t>
      </w:r>
      <w:proofErr w:type="gramStart"/>
      <w:r w:rsidRPr="00FC67F2">
        <w:rPr>
          <w:rFonts w:ascii="Arial" w:hAnsi="Arial" w:cs="Arial"/>
        </w:rPr>
        <w:t>trainees’</w:t>
      </w:r>
      <w:proofErr w:type="gramEnd"/>
      <w:r w:rsidRPr="00FC67F2">
        <w:rPr>
          <w:rFonts w:ascii="Arial" w:hAnsi="Arial" w:cs="Arial"/>
        </w:rPr>
        <w:t xml:space="preserve"> lived experiences, offering richer insight into how they interpret and negotiate gendered encounters (Smith et al., </w:t>
      </w:r>
      <w:r w:rsidRPr="00FC67F2">
        <w:rPr>
          <w:rFonts w:ascii="Arial" w:hAnsi="Arial" w:cs="Arial"/>
        </w:rPr>
        <w:lastRenderedPageBreak/>
        <w:t xml:space="preserve">2009). IPA’s emphasis on </w:t>
      </w:r>
      <w:proofErr w:type="spellStart"/>
      <w:r w:rsidRPr="00FC67F2">
        <w:rPr>
          <w:rFonts w:ascii="Arial" w:hAnsi="Arial" w:cs="Arial"/>
        </w:rPr>
        <w:t>idiography</w:t>
      </w:r>
      <w:proofErr w:type="spellEnd"/>
      <w:r w:rsidRPr="00FC67F2">
        <w:rPr>
          <w:rFonts w:ascii="Arial" w:hAnsi="Arial" w:cs="Arial"/>
        </w:rPr>
        <w:t>, reflexivity, and meaning</w:t>
      </w:r>
      <w:r w:rsidRPr="00FC67F2">
        <w:rPr>
          <w:rFonts w:ascii="Arial" w:hAnsi="Arial" w:cs="Arial"/>
        </w:rPr>
        <w:noBreakHyphen/>
        <w:t>making aligns closely with the relational nature of psychotherapy and could have addressed several analytic limitations of the original study</w:t>
      </w:r>
      <w:r w:rsidR="00A10E9A">
        <w:rPr>
          <w:rFonts w:ascii="Arial" w:hAnsi="Arial" w:cs="Arial"/>
        </w:rPr>
        <w:t xml:space="preserve"> </w:t>
      </w:r>
      <w:r w:rsidR="00A10E9A">
        <w:rPr>
          <w:rFonts w:ascii="Arial" w:hAnsi="Arial" w:cs="Arial"/>
        </w:rPr>
        <w:fldChar w:fldCharType="begin"/>
      </w:r>
      <w:r w:rsidR="00A10E9A">
        <w:rPr>
          <w:rFonts w:ascii="Arial" w:hAnsi="Arial" w:cs="Arial"/>
        </w:rPr>
        <w:instrText xml:space="preserve"> ADDIN ZOTERO_ITEM CSL_CITATION {"citationID":"dixeL8Ms","properties":{"formattedCitation":"(Cuthbertson et al., 2020)","plainCitation":"(Cuthbertson et al., 2020)","noteIndex":0},"citationItems":[{"id":210,"uris":["http://zotero.org/users/local/cOkgZFVs/items/9HGD76BS"],"itemData":{"id":210,"type":"article-journal","abstract":"Introduction\nQualitative research approaches have potential to provide unique and valuable insights intoperceptions, experiences and behaviours. Reports however indicate that papers often fail to sufficiently detail the underlying principles that explain the philosophical assumptions and ontological, epistemological and methodological perspectives. Primarily directed towards radiographers considering a qualitative approach for doctoral research, this paper will also be informative for other health and social care practitioners.\nMethod\nPart 1 discusses research principles broadly and how philosophical assumptions can be used for selection of the approach and methodology to explore a particular topic. Part 2 provides a worked example applied in context for a qualitative approach utilising Interpretative Phenomenological Analysis (IPA), that explored perceptions and experiences of lived experiences of radiographers on a journey to advanced practice in skeletal trauma reporting.\nResults\nThe paper identifies the need for understanding of the theory and application of research principles broadly. Explanation and justification of choice is expected for the selection of research approach, paradigm, philosophical underpinning, underlying assumptions and methodology, to best answer the research question and inform participant selection, data collection, data analysis and interpretation methods\nConclusion\nCoherent research requires synthesis of ontology, epistemology and methodology with the choice of research design based on the most appropriate approach. Qualitative research has greatly enhanced its reputation for methodological rigour and the uptake of IPA is increasing within health and social care.\nImplications for practice\nFuture research within the Interpretative paradigm, utilising IPA as a methodology has potential to expand the body of evidence for Radiography research.","container-title":"Radiography","DOI":"10.1016/j.radi.2019.11.092","ISSN":"1078-8174","issue":"2","journalAbbreviation":"Radiography","page":"e94-e102","source":"ScienceDirect","title":"Theory and application of research principles and philosophical underpinning for a study utilising interpretative phenomenological analysis","URL":"https://www.sciencedirect.com/science/article/pii/S1078817419302548","volume":"26","author":[{"family":"Cuthbertson","given":"L. M."},{"family":"Robb","given":"Y. A."},{"family":"Blair","given":"S."}],"accessed":{"date-parts":[["2026",3,30]]},"issued":{"date-parts":[["2020",5,1]]}}}],"schema":"https://github.com/citation-style-language/schema/raw/master/csl-citation.json"} </w:instrText>
      </w:r>
      <w:r w:rsidR="00A10E9A">
        <w:rPr>
          <w:rFonts w:ascii="Arial" w:hAnsi="Arial" w:cs="Arial"/>
        </w:rPr>
        <w:fldChar w:fldCharType="separate"/>
      </w:r>
      <w:r w:rsidR="00A10E9A" w:rsidRPr="00A10E9A">
        <w:rPr>
          <w:rFonts w:ascii="Arial" w:hAnsi="Arial" w:cs="Arial"/>
        </w:rPr>
        <w:t>(Cuthbertson et al., 2020)</w:t>
      </w:r>
      <w:r w:rsidR="00A10E9A">
        <w:rPr>
          <w:rFonts w:ascii="Arial" w:hAnsi="Arial" w:cs="Arial"/>
        </w:rPr>
        <w:fldChar w:fldCharType="end"/>
      </w:r>
      <w:r w:rsidRPr="00FC67F2">
        <w:rPr>
          <w:rFonts w:ascii="Arial" w:hAnsi="Arial" w:cs="Arial"/>
        </w:rPr>
        <w:t>. Conversely, a Descriptive Analysis (DA) could have broadened the cultural scope by incorporating a more diverse sample and mapping sociocultural variations in trainees’ experiences (Chafe, 2025). While DA lacks interpretive depth, it could have illuminated how cultural norms, training contexts, and demographic factors shape expectations of male clients. A narrative method would have offered yet another lens, foregrounding the stories trainees construct about working with men and how these narratives shape their therapeutic identities (McLeod, 2024). These contrasts underscore that methodological choices are not neutral; they shape what becomes visible and what remains unexamined in psychotherapy research.</w:t>
      </w:r>
    </w:p>
    <w:p w14:paraId="5B87CC63" w14:textId="2D98294D" w:rsidR="00541485" w:rsidRPr="00FC67F2" w:rsidRDefault="00541485" w:rsidP="003813F0">
      <w:pPr>
        <w:spacing w:line="480" w:lineRule="auto"/>
        <w:ind w:firstLine="720"/>
        <w:rPr>
          <w:rFonts w:ascii="Arial" w:hAnsi="Arial" w:cs="Arial"/>
        </w:rPr>
      </w:pPr>
      <w:r w:rsidRPr="00541485">
        <w:rPr>
          <w:rFonts w:ascii="Arial" w:hAnsi="Arial" w:cs="Arial"/>
        </w:rPr>
        <w:t>A further methodological possibility that could have strengthened the study is a Mixed</w:t>
      </w:r>
      <w:r w:rsidRPr="00541485">
        <w:rPr>
          <w:rFonts w:ascii="Cambria Math" w:hAnsi="Cambria Math" w:cs="Cambria Math"/>
        </w:rPr>
        <w:t>‑</w:t>
      </w:r>
      <w:r w:rsidRPr="00541485">
        <w:rPr>
          <w:rFonts w:ascii="Arial" w:hAnsi="Arial" w:cs="Arial"/>
        </w:rPr>
        <w:t>Methods Interpretative Phenomenological Analysis (MM</w:t>
      </w:r>
      <w:r w:rsidRPr="00541485">
        <w:rPr>
          <w:rFonts w:ascii="Cambria Math" w:hAnsi="Cambria Math" w:cs="Cambria Math"/>
        </w:rPr>
        <w:t>‑</w:t>
      </w:r>
      <w:r w:rsidRPr="00541485">
        <w:rPr>
          <w:rFonts w:ascii="Arial" w:hAnsi="Arial" w:cs="Arial"/>
        </w:rPr>
        <w:t>IPA)</w:t>
      </w:r>
      <w:r w:rsidR="00050801">
        <w:rPr>
          <w:rFonts w:ascii="Arial" w:hAnsi="Arial" w:cs="Arial"/>
        </w:rPr>
        <w:t xml:space="preserve"> </w:t>
      </w:r>
      <w:r w:rsidR="00050801">
        <w:rPr>
          <w:rFonts w:ascii="Arial" w:hAnsi="Arial" w:cs="Arial"/>
        </w:rPr>
        <w:fldChar w:fldCharType="begin"/>
      </w:r>
      <w:r w:rsidR="00050801">
        <w:rPr>
          <w:rFonts w:ascii="Arial" w:hAnsi="Arial" w:cs="Arial"/>
        </w:rPr>
        <w:instrText xml:space="preserve"> ADDIN ZOTERO_ITEM CSL_CITATION {"citationID":"lYMvFKmt","properties":{"formattedCitation":"(Morrison, 2025)","plainCitation":"(Morrison, 2025)","noteIndex":0},"citationItems":[{"id":213,"uris":["http://zotero.org/users/local/cOkgZFVs/items/G9MGDQU2"],"itemData":{"id":213,"type":"article-journal","abstract":"Mixed Methods Interpretative Phenomenological Analysis (MMIPA) is a qualitative-dominant framework that integrates the idiographic depth of Interpretative Phenomenological Analysis (IPA) with the comparative reach of mixed methods design. Developed to address the persistent challenge of preserving interpretive integrity while engaging broader social, cultural, and structural patterns, MMIPA is grounded in phenomenology, critical realism, and methodological pluralism. It positions first-person meaning-making as the interpretive center of analysis while using quantitative and contextual instruments to amplify, rather than determine, understanding. The framework employs a layered design logic that resists premature integration, cultivating dialogue across distinct epistemological registers. Its utility is illustrated through a study of transnational church partnerships between Canadian and Mexican congregations, where the approach revealed how faith is simultaneously embodied, relational, and institutionally embedded. By combining interpretive depth with contextual complexity, MMIPA demonstrates how phenomenological methods can be scaled without losing experiential focus. The article outlines MMIPA’s philosophical foundations, methodological procedures, and analytic applications, arguing for its value across disciplines concerned with lived meaning—such as sociology, geography, theology, and education. Rather than collapsing qualitative and quantitative paradigms, MMIPA holds their tension productively, offering a bridge methodology for researchers seeking to interpret both meanings and patterned structures of human experience across cultural and methodological boundaries.","container-title":"International Journal of Qualitative Methods","DOI":"10.1177/16094069251400179","ISSN":"1609-4069","language":"EN","page":"16094069251400179","publisher":"SAGE Publications Inc","source":"SAGE Journals","title":"Mixed Methods Interpretative Phenomenological Analysis: Bridging Lived Experience and Contextual Complexity","title-short":"Mixed Methods Interpretative Phenomenological Analysis","URL":"https://doi.org/10.1177/16094069251400179","volume":"24","author":[{"family":"Morrison","given":"Tanner"}],"accessed":{"date-parts":[["2026",3,30]]},"issued":{"date-parts":[["2025",11,1]]}}}],"schema":"https://github.com/citation-style-language/schema/raw/master/csl-citation.json"} </w:instrText>
      </w:r>
      <w:r w:rsidR="00050801">
        <w:rPr>
          <w:rFonts w:ascii="Arial" w:hAnsi="Arial" w:cs="Arial"/>
        </w:rPr>
        <w:fldChar w:fldCharType="separate"/>
      </w:r>
      <w:r w:rsidR="00050801" w:rsidRPr="00050801">
        <w:rPr>
          <w:rFonts w:ascii="Arial" w:hAnsi="Arial" w:cs="Arial"/>
        </w:rPr>
        <w:t>(Morrison, 2025)</w:t>
      </w:r>
      <w:r w:rsidR="00050801">
        <w:rPr>
          <w:rFonts w:ascii="Arial" w:hAnsi="Arial" w:cs="Arial"/>
        </w:rPr>
        <w:fldChar w:fldCharType="end"/>
      </w:r>
      <w:r w:rsidRPr="00541485">
        <w:rPr>
          <w:rFonts w:ascii="Arial" w:hAnsi="Arial" w:cs="Arial"/>
        </w:rPr>
        <w:t>. MM</w:t>
      </w:r>
      <w:r w:rsidRPr="00541485">
        <w:rPr>
          <w:rFonts w:ascii="Cambria Math" w:hAnsi="Cambria Math" w:cs="Cambria Math"/>
        </w:rPr>
        <w:t>‑</w:t>
      </w:r>
      <w:r w:rsidRPr="00541485">
        <w:rPr>
          <w:rFonts w:ascii="Arial" w:hAnsi="Arial" w:cs="Arial"/>
        </w:rPr>
        <w:t>IPA combines the idiographic depth of IPA with the broader contextual insights offered by quantitative or descriptive components, allowing researchers to explore both the lived experience of trainees and the wider cultural patterns shaping those experiences. Such an approach would have enabled Scaffidi et al. (2025) to retain the phenomenological richness needed to understand how trainees make sense of gendered encounters, while also situating these interpretations within a broader dataset</w:t>
      </w:r>
      <w:r w:rsidR="002C2814">
        <w:rPr>
          <w:rFonts w:ascii="Arial" w:hAnsi="Arial" w:cs="Arial"/>
        </w:rPr>
        <w:t xml:space="preserve">, </w:t>
      </w:r>
      <w:r w:rsidRPr="00541485">
        <w:rPr>
          <w:rFonts w:ascii="Arial" w:hAnsi="Arial" w:cs="Arial"/>
        </w:rPr>
        <w:t>for example, by mapping variations across demographic groups, training contexts, or prior experience with male clients. MM</w:t>
      </w:r>
      <w:r w:rsidRPr="00541485">
        <w:rPr>
          <w:rFonts w:ascii="Cambria Math" w:hAnsi="Cambria Math" w:cs="Cambria Math"/>
        </w:rPr>
        <w:t>‑</w:t>
      </w:r>
      <w:r w:rsidRPr="00541485">
        <w:rPr>
          <w:rFonts w:ascii="Arial" w:hAnsi="Arial" w:cs="Arial"/>
        </w:rPr>
        <w:t>IPA is particularly well</w:t>
      </w:r>
      <w:r w:rsidRPr="00541485">
        <w:rPr>
          <w:rFonts w:ascii="Cambria Math" w:hAnsi="Cambria Math" w:cs="Cambria Math"/>
        </w:rPr>
        <w:t>‑</w:t>
      </w:r>
      <w:r w:rsidRPr="00541485">
        <w:rPr>
          <w:rFonts w:ascii="Arial" w:hAnsi="Arial" w:cs="Arial"/>
        </w:rPr>
        <w:t>suited to psychotherapy research because it honours the complexity of meaning</w:t>
      </w:r>
      <w:r w:rsidRPr="00541485">
        <w:rPr>
          <w:rFonts w:ascii="Cambria Math" w:hAnsi="Cambria Math" w:cs="Cambria Math"/>
        </w:rPr>
        <w:t>‑</w:t>
      </w:r>
      <w:r w:rsidRPr="00541485">
        <w:rPr>
          <w:rFonts w:ascii="Arial" w:hAnsi="Arial" w:cs="Arial"/>
        </w:rPr>
        <w:t xml:space="preserve">making while addressing concerns about transferability and contextual breadth that often arise in qualitative studies (Smith et al., 2009). Incorporating a </w:t>
      </w:r>
      <w:r w:rsidRPr="00541485">
        <w:rPr>
          <w:rFonts w:ascii="Arial" w:hAnsi="Arial" w:cs="Arial"/>
        </w:rPr>
        <w:lastRenderedPageBreak/>
        <w:t>mixed</w:t>
      </w:r>
      <w:r w:rsidRPr="00541485">
        <w:rPr>
          <w:rFonts w:ascii="Cambria Math" w:hAnsi="Cambria Math" w:cs="Cambria Math"/>
        </w:rPr>
        <w:t>‑</w:t>
      </w:r>
      <w:r w:rsidRPr="00541485">
        <w:rPr>
          <w:rFonts w:ascii="Arial" w:hAnsi="Arial" w:cs="Arial"/>
        </w:rPr>
        <w:t>methods phenomenological design could therefore have mitigated some of the study’s limitations by deepening experiential insight, enhancing theoretical integration, and providing a more robust foundation for practice</w:t>
      </w:r>
      <w:r w:rsidRPr="00541485">
        <w:rPr>
          <w:rFonts w:ascii="Cambria Math" w:hAnsi="Cambria Math" w:cs="Cambria Math"/>
        </w:rPr>
        <w:t>‑</w:t>
      </w:r>
      <w:r w:rsidRPr="00541485">
        <w:rPr>
          <w:rFonts w:ascii="Arial" w:hAnsi="Arial" w:cs="Arial"/>
        </w:rPr>
        <w:t>relevant recommendations.</w:t>
      </w:r>
    </w:p>
    <w:p w14:paraId="23FBBA0C" w14:textId="05884898" w:rsidR="00FC67F2" w:rsidRPr="00FC67F2" w:rsidRDefault="00FC67F2" w:rsidP="003813F0">
      <w:pPr>
        <w:spacing w:line="480" w:lineRule="auto"/>
        <w:ind w:firstLine="720"/>
        <w:rPr>
          <w:rFonts w:ascii="Arial" w:hAnsi="Arial" w:cs="Arial"/>
        </w:rPr>
      </w:pPr>
      <w:r w:rsidRPr="00FC67F2">
        <w:rPr>
          <w:rFonts w:ascii="Arial" w:hAnsi="Arial" w:cs="Arial"/>
        </w:rPr>
        <w:t>Reflexive Thematic Analysis (RTA) provided a useful overview of shared patterns in trainees’ experiences</w:t>
      </w:r>
      <w:r w:rsidR="005C39AC">
        <w:rPr>
          <w:rFonts w:ascii="Arial" w:hAnsi="Arial" w:cs="Arial"/>
        </w:rPr>
        <w:t xml:space="preserve"> </w:t>
      </w:r>
      <w:r w:rsidR="005C39AC">
        <w:rPr>
          <w:rFonts w:ascii="Arial" w:hAnsi="Arial" w:cs="Arial"/>
        </w:rPr>
        <w:fldChar w:fldCharType="begin"/>
      </w:r>
      <w:r w:rsidR="005C39AC">
        <w:rPr>
          <w:rFonts w:ascii="Arial" w:hAnsi="Arial" w:cs="Arial"/>
        </w:rPr>
        <w:instrText xml:space="preserve"> ADDIN ZOTERO_ITEM CSL_CITATION {"citationID":"1sAajkJR","properties":{"formattedCitation":"(Clarke Victoria and Braun Victoria, 2022)","plainCitation":"(Clarke Victoria and Braun Victoria, 2022)","noteIndex":0},"citationItems":[{"id":181,"uris":["http://zotero.org/users/local/cOkgZFVs/items/SMDWA6N8"],"itemData":{"id":181,"type":"book","call-number":"300.721 BRA","ISBN":"978-1-4739-5323-9","language":"eng","publisher":"SAGE Publications","publisher-place":"London","source":"librarysearch.uwtsd.ac.uk","title":"Thematic analysis: a practical guide","title-short":"Thematic analysis","author":[{"literal":"Clarke Victoria"},{"literal":"Braun Victoria"}],"issued":{"date-parts":[["2022"]]}}}],"schema":"https://github.com/citation-style-language/schema/raw/master/csl-citation.json"} </w:instrText>
      </w:r>
      <w:r w:rsidR="005C39AC">
        <w:rPr>
          <w:rFonts w:ascii="Arial" w:hAnsi="Arial" w:cs="Arial"/>
        </w:rPr>
        <w:fldChar w:fldCharType="separate"/>
      </w:r>
      <w:r w:rsidR="005C39AC" w:rsidRPr="005C39AC">
        <w:rPr>
          <w:rFonts w:ascii="Arial" w:hAnsi="Arial" w:cs="Arial"/>
        </w:rPr>
        <w:t xml:space="preserve">(Braun </w:t>
      </w:r>
      <w:r w:rsidR="0089543F">
        <w:rPr>
          <w:rFonts w:ascii="Arial" w:hAnsi="Arial" w:cs="Arial"/>
        </w:rPr>
        <w:t>and Clarke</w:t>
      </w:r>
      <w:r w:rsidR="005C39AC" w:rsidRPr="005C39AC">
        <w:rPr>
          <w:rFonts w:ascii="Arial" w:hAnsi="Arial" w:cs="Arial"/>
        </w:rPr>
        <w:t>, 2022)</w:t>
      </w:r>
      <w:r w:rsidR="005C39AC">
        <w:rPr>
          <w:rFonts w:ascii="Arial" w:hAnsi="Arial" w:cs="Arial"/>
        </w:rPr>
        <w:fldChar w:fldCharType="end"/>
      </w:r>
      <w:r w:rsidRPr="00FC67F2">
        <w:rPr>
          <w:rFonts w:ascii="Arial" w:hAnsi="Arial" w:cs="Arial"/>
        </w:rPr>
        <w:t>, but alternative methods would have shaped the study in distinct ways (Scaffidi et al., 2025). IPA would have deepened experiential insight; descriptive analysis would have broadened cultural context; and narrative methods would have enhanced reflexivity and alignment with therapeutic practice. These contrasts highlight the importance of methodological pluralism in psychotherapy research, where the complexity of therapeutic work often exceeds the capacity of any single method.</w:t>
      </w:r>
    </w:p>
    <w:p w14:paraId="0B1D119D" w14:textId="3AB99080" w:rsidR="00FC67F2" w:rsidRDefault="00FC67F2" w:rsidP="003813F0">
      <w:pPr>
        <w:spacing w:line="480" w:lineRule="auto"/>
        <w:ind w:firstLine="720"/>
        <w:rPr>
          <w:rFonts w:ascii="Arial" w:hAnsi="Arial" w:cs="Arial"/>
        </w:rPr>
      </w:pPr>
      <w:r w:rsidRPr="00FC67F2">
        <w:rPr>
          <w:rFonts w:ascii="Arial" w:hAnsi="Arial" w:cs="Arial"/>
        </w:rPr>
        <w:t>Overall, the study makes a valuable contribution by highlighting the gendered complexities trainees encounter when working with male clients. However, its methodological and analytic limitations, particularly around sampling, reflexivity, and theoretical integration, reduce the strength of its claims. The findings remain useful for stimulating discussion about training and supervision. Guidelines should include men and mental health as the workforce is primarily female (Ferguson, 2023). Gender differences, perceptions, and biases impact the therapeutic relationship. The study should be interpreted cautiously and not generalised beyond the specific trainee group studied. Ultimately, the article exemplifies both the productive and problematic aspects of the historical psychotherapy</w:t>
      </w:r>
      <w:r w:rsidR="0089543F">
        <w:rPr>
          <w:rFonts w:ascii="Arial" w:hAnsi="Arial" w:cs="Arial"/>
        </w:rPr>
        <w:t xml:space="preserve">, </w:t>
      </w:r>
      <w:r w:rsidRPr="00FC67F2">
        <w:rPr>
          <w:rFonts w:ascii="Arial" w:hAnsi="Arial" w:cs="Arial"/>
        </w:rPr>
        <w:t>research relationship: it advances practice</w:t>
      </w:r>
      <w:r w:rsidRPr="00FC67F2">
        <w:rPr>
          <w:rFonts w:ascii="Arial" w:hAnsi="Arial" w:cs="Arial"/>
        </w:rPr>
        <w:noBreakHyphen/>
        <w:t>relevant knowledge while simultaneously illustrating the challenges of producing rigorous, theoretically grounded evidence within psychotherapy research (McLeod, 2011).</w:t>
      </w:r>
    </w:p>
    <w:p w14:paraId="01F7C3AA" w14:textId="4B1CCE37" w:rsidR="00AA13EC" w:rsidRPr="00AA13EC" w:rsidRDefault="00AA13EC" w:rsidP="00AA13EC">
      <w:pPr>
        <w:spacing w:line="480" w:lineRule="auto"/>
        <w:ind w:firstLine="720"/>
        <w:rPr>
          <w:rFonts w:ascii="Arial" w:hAnsi="Arial" w:cs="Arial"/>
        </w:rPr>
      </w:pPr>
      <w:r>
        <w:rPr>
          <w:rFonts w:ascii="Arial" w:hAnsi="Arial" w:cs="Arial"/>
        </w:rPr>
        <w:lastRenderedPageBreak/>
        <w:t>T</w:t>
      </w:r>
      <w:r w:rsidRPr="00AA13EC">
        <w:rPr>
          <w:rFonts w:ascii="Arial" w:hAnsi="Arial" w:cs="Arial"/>
        </w:rPr>
        <w:t>he historical tensions between psychotherapy and research</w:t>
      </w:r>
      <w:r>
        <w:rPr>
          <w:rFonts w:ascii="Arial" w:hAnsi="Arial" w:cs="Arial"/>
        </w:rPr>
        <w:t>,</w:t>
      </w:r>
      <w:r w:rsidR="00D408F6">
        <w:rPr>
          <w:rFonts w:ascii="Arial" w:hAnsi="Arial" w:cs="Arial"/>
        </w:rPr>
        <w:t xml:space="preserve"> </w:t>
      </w:r>
      <w:r w:rsidRPr="00AA13EC">
        <w:rPr>
          <w:rFonts w:ascii="Arial" w:hAnsi="Arial" w:cs="Arial"/>
        </w:rPr>
        <w:t>particularly the dominance of positivist evidence hierarchies and the marginalisation of relational, contextual, and phenomenological knowledge</w:t>
      </w:r>
      <w:r w:rsidR="00D408F6">
        <w:rPr>
          <w:rFonts w:ascii="Arial" w:hAnsi="Arial" w:cs="Arial"/>
        </w:rPr>
        <w:t xml:space="preserve">, </w:t>
      </w:r>
      <w:r w:rsidRPr="00AA13EC">
        <w:rPr>
          <w:rFonts w:ascii="Arial" w:hAnsi="Arial" w:cs="Arial"/>
        </w:rPr>
        <w:t>provide an essential backdrop for understanding the strengths and limitations of Scaffidi et al.’s (2025) study. Part 1 demonstrated how research cultures shape what becomes visible in psychotherapy, privileging measurable outcomes and manualised interventions while constraining depth</w:t>
      </w:r>
      <w:r w:rsidRPr="00AA13EC">
        <w:rPr>
          <w:rFonts w:ascii="Cambria Math" w:hAnsi="Cambria Math" w:cs="Cambria Math"/>
        </w:rPr>
        <w:t>‑</w:t>
      </w:r>
      <w:r w:rsidRPr="00AA13EC">
        <w:rPr>
          <w:rFonts w:ascii="Arial" w:hAnsi="Arial" w:cs="Arial"/>
        </w:rPr>
        <w:t>oriented, culturally sensitive inquiry. These dynamics are clearly reflected in the study’s reliance on RTA</w:t>
      </w:r>
      <w:r w:rsidR="00B446D6">
        <w:rPr>
          <w:rFonts w:ascii="Arial" w:hAnsi="Arial" w:cs="Arial"/>
        </w:rPr>
        <w:t xml:space="preserve"> </w:t>
      </w:r>
      <w:r w:rsidR="00B446D6">
        <w:rPr>
          <w:rFonts w:ascii="Arial" w:hAnsi="Arial" w:cs="Arial"/>
        </w:rPr>
        <w:fldChar w:fldCharType="begin"/>
      </w:r>
      <w:r w:rsidR="00B446D6">
        <w:rPr>
          <w:rFonts w:ascii="Arial" w:hAnsi="Arial" w:cs="Arial"/>
        </w:rPr>
        <w:instrText xml:space="preserve"> ADDIN ZOTERO_ITEM CSL_CITATION {"citationID":"bZKY28wG","properties":{"formattedCitation":"(Clarke Victoria and Braun Victoria, 2022)","plainCitation":"(Clarke Victoria and Braun Victoria, 2022)","noteIndex":0},"citationItems":[{"id":181,"uris":["http://zotero.org/users/local/cOkgZFVs/items/SMDWA6N8"],"itemData":{"id":181,"type":"book","call-number":"300.721 BRA","ISBN":"978-1-4739-5323-9","language":"eng","publisher":"SAGE Publications","publisher-place":"London","source":"librarysearch.uwtsd.ac.uk","title":"Thematic analysis: a practical guide","title-short":"Thematic analysis","author":[{"literal":"Clarke Victoria"},{"literal":"Braun Victoria"}],"issued":{"date-parts":[["2022"]]}}}],"schema":"https://github.com/citation-style-language/schema/raw/master/csl-citation.json"} </w:instrText>
      </w:r>
      <w:r w:rsidR="00B446D6">
        <w:rPr>
          <w:rFonts w:ascii="Arial" w:hAnsi="Arial" w:cs="Arial"/>
        </w:rPr>
        <w:fldChar w:fldCharType="separate"/>
      </w:r>
      <w:r w:rsidR="00B446D6" w:rsidRPr="00B446D6">
        <w:rPr>
          <w:rFonts w:ascii="Arial" w:hAnsi="Arial" w:cs="Arial"/>
        </w:rPr>
        <w:t xml:space="preserve">(Braun </w:t>
      </w:r>
      <w:r w:rsidR="00B446D6">
        <w:rPr>
          <w:rFonts w:ascii="Arial" w:hAnsi="Arial" w:cs="Arial"/>
        </w:rPr>
        <w:t>and Clarke</w:t>
      </w:r>
      <w:r w:rsidR="00B446D6" w:rsidRPr="00B446D6">
        <w:rPr>
          <w:rFonts w:ascii="Arial" w:hAnsi="Arial" w:cs="Arial"/>
        </w:rPr>
        <w:t>, 2022)</w:t>
      </w:r>
      <w:r w:rsidR="00B446D6">
        <w:rPr>
          <w:rFonts w:ascii="Arial" w:hAnsi="Arial" w:cs="Arial"/>
        </w:rPr>
        <w:fldChar w:fldCharType="end"/>
      </w:r>
      <w:r w:rsidRPr="00AA13EC">
        <w:rPr>
          <w:rFonts w:ascii="Arial" w:hAnsi="Arial" w:cs="Arial"/>
        </w:rPr>
        <w:t>, its limited theoretical integration, and its challenges in addressing the complexity of gendered therapeutic encounters.</w:t>
      </w:r>
    </w:p>
    <w:p w14:paraId="1919F51A" w14:textId="4FF6A819" w:rsidR="00AA13EC" w:rsidRPr="00AA13EC" w:rsidRDefault="00AA13EC" w:rsidP="00AA13EC">
      <w:pPr>
        <w:spacing w:line="480" w:lineRule="auto"/>
        <w:ind w:firstLine="720"/>
        <w:rPr>
          <w:rFonts w:ascii="Arial" w:hAnsi="Arial" w:cs="Arial"/>
        </w:rPr>
      </w:pPr>
      <w:r w:rsidRPr="00AA13EC">
        <w:rPr>
          <w:rFonts w:ascii="Arial" w:hAnsi="Arial" w:cs="Arial"/>
        </w:rPr>
        <w:t xml:space="preserve">Part 2 showed that while the study offers valuable insight into trainees’ experiences with male clients, its methodological and epistemological constraints mirror broader issues within psychotherapy research. The descriptive nature of the themes, the absence of </w:t>
      </w:r>
      <w:r w:rsidR="002C71AD">
        <w:rPr>
          <w:rFonts w:ascii="Arial" w:hAnsi="Arial" w:cs="Arial"/>
        </w:rPr>
        <w:t>examining the social identities and the complexities of inequalities</w:t>
      </w:r>
      <w:r w:rsidRPr="00AA13EC">
        <w:rPr>
          <w:rFonts w:ascii="Arial" w:hAnsi="Arial" w:cs="Arial"/>
        </w:rPr>
        <w:t>, and the narrow sampling frame all reflect the pressures placed on qualitative research to produce accessible, generalisable findings within evidence cultures that often undervalue interpretive depth</w:t>
      </w:r>
      <w:r w:rsidR="00206CCE">
        <w:rPr>
          <w:rFonts w:ascii="Arial" w:hAnsi="Arial" w:cs="Arial"/>
        </w:rPr>
        <w:t xml:space="preserve"> </w:t>
      </w:r>
      <w:r w:rsidR="00206CCE">
        <w:rPr>
          <w:rFonts w:ascii="Arial" w:hAnsi="Arial" w:cs="Arial"/>
        </w:rPr>
        <w:fldChar w:fldCharType="begin"/>
      </w:r>
      <w:r w:rsidR="00206CCE">
        <w:rPr>
          <w:rFonts w:ascii="Arial" w:hAnsi="Arial" w:cs="Arial"/>
        </w:rPr>
        <w:instrText xml:space="preserve"> ADDIN ZOTERO_ITEM CSL_CITATION {"citationID":"fc1RlhoK","properties":{"formattedCitation":"(Timulak and Elliott, 2019)","plainCitation":"(Timulak and Elliott, 2019)","noteIndex":0},"citationItems":[{"id":107,"uris":["http://zotero.org/users/local/cOkgZFVs/items/YFA57FT8"],"itemData":{"id":107,"type":"article-journal","abstract":"The paper offers a perspective on some of the methodological issues present in current qualitative psychotherapy research (QPR). The authors are involved in this type of research (for 20 and 40 years, respectively) as researchers, as reviewers of papers submitted to journals publishing QPR, as well as past editors of such journals. The authors reflect at how the overall field of psychotherapy research has had an influence on how QPR is conducted. The authors further discuss a wide range of issues pertaining to QPR that often bring confusion in the community of psychotherapy researchers. These include: brand naming largely overlapping qualitative methods; epistemological confusion arising from the context and application of these methods; issues of data collection and the range of types of qualitative data; the confounding of investigative questions or aims with findings; the issue of interpretative frameworks in data analysis; strategies by which findings are generated; difficulties in assessing the representativeness of findings to the target sample; issues of generalisability of findings; and possibilities for developing cumulative knowledge across studies. The paper specifically focuses on those genres of qualitative research that have a descriptive–interpretative character, typically represented by brand-name approaches such as empirical phenomenology, hermeneutics, interpretative phenomenological analysis, consensual qualitative research, grounded theory and thematic analysis, etc.","container-title":"Counselling and Psychotherapy Research","DOI":"10.1002/capr.12197","ISSN":"1746-1405","issue":"1","language":"en","note":"_eprint: https://onlinelibrary.wiley.com/doi/pdf/10.1002/capr.12197","page":"8-15","source":"Wiley Online Library","title":"Taking stock of descriptive–interpretative qualitative psychotherapy research: Issues and observations from the front line","title-short":"Taking stock of descriptive–interpretative qualitative psychotherapy research","URL":"https://onlinelibrary.wiley.com/doi/abs/10.1002/capr.12197","volume":"19","author":[{"family":"Timulak","given":"Ladislav"},{"family":"Elliott","given":"Robert"}],"accessed":{"date-parts":[["2026",3,6]]},"issued":{"date-parts":[["2019"]]}}}],"schema":"https://github.com/citation-style-language/schema/raw/master/csl-citation.json"} </w:instrText>
      </w:r>
      <w:r w:rsidR="00206CCE">
        <w:rPr>
          <w:rFonts w:ascii="Arial" w:hAnsi="Arial" w:cs="Arial"/>
        </w:rPr>
        <w:fldChar w:fldCharType="separate"/>
      </w:r>
      <w:r w:rsidR="00206CCE" w:rsidRPr="00206CCE">
        <w:rPr>
          <w:rFonts w:ascii="Arial" w:hAnsi="Arial" w:cs="Arial"/>
        </w:rPr>
        <w:t>(Timulak and Elliott, 2019)</w:t>
      </w:r>
      <w:r w:rsidR="00206CCE">
        <w:rPr>
          <w:rFonts w:ascii="Arial" w:hAnsi="Arial" w:cs="Arial"/>
        </w:rPr>
        <w:fldChar w:fldCharType="end"/>
      </w:r>
      <w:r w:rsidRPr="00AA13EC">
        <w:rPr>
          <w:rFonts w:ascii="Arial" w:hAnsi="Arial" w:cs="Arial"/>
        </w:rPr>
        <w:t>. Considering alternative methodologies</w:t>
      </w:r>
      <w:r w:rsidR="000708B1">
        <w:rPr>
          <w:rFonts w:ascii="Arial" w:hAnsi="Arial" w:cs="Arial"/>
        </w:rPr>
        <w:t xml:space="preserve">, </w:t>
      </w:r>
      <w:r w:rsidRPr="00AA13EC">
        <w:rPr>
          <w:rFonts w:ascii="Arial" w:hAnsi="Arial" w:cs="Arial"/>
        </w:rPr>
        <w:t>such as IPA, narrative approaches, or a mixed</w:t>
      </w:r>
      <w:r w:rsidRPr="00AA13EC">
        <w:rPr>
          <w:rFonts w:ascii="Cambria Math" w:hAnsi="Cambria Math" w:cs="Cambria Math"/>
        </w:rPr>
        <w:t>‑</w:t>
      </w:r>
      <w:r w:rsidRPr="00AA13EC">
        <w:rPr>
          <w:rFonts w:ascii="Arial" w:hAnsi="Arial" w:cs="Arial"/>
        </w:rPr>
        <w:t>methods IPA (MM</w:t>
      </w:r>
      <w:r w:rsidRPr="00AA13EC">
        <w:rPr>
          <w:rFonts w:ascii="Cambria Math" w:hAnsi="Cambria Math" w:cs="Cambria Math"/>
        </w:rPr>
        <w:t>‑</w:t>
      </w:r>
      <w:r w:rsidRPr="00AA13EC">
        <w:rPr>
          <w:rFonts w:ascii="Arial" w:hAnsi="Arial" w:cs="Arial"/>
        </w:rPr>
        <w:t>IPA)</w:t>
      </w:r>
      <w:r w:rsidR="00BF1D90">
        <w:rPr>
          <w:rFonts w:ascii="Arial" w:hAnsi="Arial" w:cs="Arial"/>
        </w:rPr>
        <w:t xml:space="preserve"> </w:t>
      </w:r>
      <w:r w:rsidR="00BF1D90">
        <w:rPr>
          <w:rFonts w:ascii="Arial" w:hAnsi="Arial" w:cs="Arial"/>
        </w:rPr>
        <w:fldChar w:fldCharType="begin"/>
      </w:r>
      <w:r w:rsidR="00BF1D90">
        <w:rPr>
          <w:rFonts w:ascii="Arial" w:hAnsi="Arial" w:cs="Arial"/>
        </w:rPr>
        <w:instrText xml:space="preserve"> ADDIN ZOTERO_ITEM CSL_CITATION {"citationID":"MFM2xro0","properties":{"formattedCitation":"(Morrison, 2025)","plainCitation":"(Morrison, 2025)","noteIndex":0},"citationItems":[{"id":213,"uris":["http://zotero.org/users/local/cOkgZFVs/items/G9MGDQU2"],"itemData":{"id":213,"type":"article-journal","abstract":"Mixed Methods Interpretative Phenomenological Analysis (MMIPA) is a qualitative-dominant framework that integrates the idiographic depth of Interpretative Phenomenological Analysis (IPA) with the comparative reach of mixed methods design. Developed to address the persistent challenge of preserving interpretive integrity while engaging broader social, cultural, and structural patterns, MMIPA is grounded in phenomenology, critical realism, and methodological pluralism. It positions first-person meaning-making as the interpretive center of analysis while using quantitative and contextual instruments to amplify, rather than determine, understanding. The framework employs a layered design logic that resists premature integration, cultivating dialogue across distinct epistemological registers. Its utility is illustrated through a study of transnational church partnerships between Canadian and Mexican congregations, where the approach revealed how faith is simultaneously embodied, relational, and institutionally embedded. By combining interpretive depth with contextual complexity, MMIPA demonstrates how phenomenological methods can be scaled without losing experiential focus. The article outlines MMIPA’s philosophical foundations, methodological procedures, and analytic applications, arguing for its value across disciplines concerned with lived meaning—such as sociology, geography, theology, and education. Rather than collapsing qualitative and quantitative paradigms, MMIPA holds their tension productively, offering a bridge methodology for researchers seeking to interpret both meanings and patterned structures of human experience across cultural and methodological boundaries.","container-title":"International Journal of Qualitative Methods","DOI":"10.1177/16094069251400179","ISSN":"1609-4069","language":"EN","page":"16094069251400179","publisher":"SAGE Publications Inc","source":"SAGE Journals","title":"Mixed Methods Interpretative Phenomenological Analysis: Bridging Lived Experience and Contextual Complexity","title-short":"Mixed Methods Interpretative Phenomenological Analysis","URL":"https://doi.org/10.1177/16094069251400179","volume":"24","author":[{"family":"Morrison","given":"Tanner"}],"accessed":{"date-parts":[["2026",3,30]]},"issued":{"date-parts":[["2025",11,1]]}}}],"schema":"https://github.com/citation-style-language/schema/raw/master/csl-citation.json"} </w:instrText>
      </w:r>
      <w:r w:rsidR="00BF1D90">
        <w:rPr>
          <w:rFonts w:ascii="Arial" w:hAnsi="Arial" w:cs="Arial"/>
        </w:rPr>
        <w:fldChar w:fldCharType="separate"/>
      </w:r>
      <w:r w:rsidR="00BF1D90" w:rsidRPr="00BF1D90">
        <w:rPr>
          <w:rFonts w:ascii="Arial" w:hAnsi="Arial" w:cs="Arial"/>
        </w:rPr>
        <w:t>(Morrison, 2025)</w:t>
      </w:r>
      <w:r w:rsidR="00BF1D90">
        <w:rPr>
          <w:rFonts w:ascii="Arial" w:hAnsi="Arial" w:cs="Arial"/>
        </w:rPr>
        <w:fldChar w:fldCharType="end"/>
      </w:r>
      <w:r w:rsidR="000708B1">
        <w:rPr>
          <w:rFonts w:ascii="Arial" w:hAnsi="Arial" w:cs="Arial"/>
        </w:rPr>
        <w:t xml:space="preserve">, </w:t>
      </w:r>
      <w:r w:rsidRPr="00AA13EC">
        <w:rPr>
          <w:rFonts w:ascii="Arial" w:hAnsi="Arial" w:cs="Arial"/>
        </w:rPr>
        <w:t>highlights how different epistemological commitments could have generated richer, more theoretically grounded insights. MM</w:t>
      </w:r>
      <w:r w:rsidRPr="00AA13EC">
        <w:rPr>
          <w:rFonts w:ascii="Cambria Math" w:hAnsi="Cambria Math" w:cs="Cambria Math"/>
        </w:rPr>
        <w:t>‑</w:t>
      </w:r>
      <w:r w:rsidRPr="00AA13EC">
        <w:rPr>
          <w:rFonts w:ascii="Arial" w:hAnsi="Arial" w:cs="Arial"/>
        </w:rPr>
        <w:t>IPA, in particular, illustrates how phenomenological depth and contextual breadth can be integrated, offering a more robust foundation for gender</w:t>
      </w:r>
      <w:r w:rsidRPr="00AA13EC">
        <w:rPr>
          <w:rFonts w:ascii="Cambria Math" w:hAnsi="Cambria Math" w:cs="Cambria Math"/>
        </w:rPr>
        <w:t>‑</w:t>
      </w:r>
      <w:r w:rsidRPr="00AA13EC">
        <w:rPr>
          <w:rFonts w:ascii="Arial" w:hAnsi="Arial" w:cs="Arial"/>
        </w:rPr>
        <w:t>responsive training recommendations.</w:t>
      </w:r>
    </w:p>
    <w:p w14:paraId="13DC9D99" w14:textId="380D9589" w:rsidR="00AA13EC" w:rsidRPr="00AA13EC" w:rsidRDefault="00AA13EC" w:rsidP="00AA13EC">
      <w:pPr>
        <w:spacing w:line="480" w:lineRule="auto"/>
        <w:ind w:firstLine="720"/>
        <w:rPr>
          <w:rFonts w:ascii="Arial" w:hAnsi="Arial" w:cs="Arial"/>
        </w:rPr>
      </w:pPr>
      <w:r w:rsidRPr="00AA13EC">
        <w:rPr>
          <w:rFonts w:ascii="Arial" w:hAnsi="Arial" w:cs="Arial"/>
        </w:rPr>
        <w:t xml:space="preserve">Taken together, the two parts of this assignment illustrate that the relationship between psychotherapy and research is both productive and problematic. Research </w:t>
      </w:r>
      <w:r w:rsidRPr="00AA13EC">
        <w:rPr>
          <w:rFonts w:ascii="Arial" w:hAnsi="Arial" w:cs="Arial"/>
        </w:rPr>
        <w:lastRenderedPageBreak/>
        <w:t xml:space="preserve">has strengthened accountability, enhanced ethical safeguards, and illuminated mechanisms of change, yet it has also constrained the types of knowledge that are legitimised and the voices that are heard. The Scaffidi et al. </w:t>
      </w:r>
      <w:r w:rsidR="00BF1D90">
        <w:rPr>
          <w:rFonts w:ascii="Arial" w:hAnsi="Arial" w:cs="Arial"/>
        </w:rPr>
        <w:t xml:space="preserve">(2025) </w:t>
      </w:r>
      <w:r w:rsidRPr="00AA13EC">
        <w:rPr>
          <w:rFonts w:ascii="Arial" w:hAnsi="Arial" w:cs="Arial"/>
        </w:rPr>
        <w:t>study exemplifies this duality: it advances practice</w:t>
      </w:r>
      <w:r w:rsidRPr="00AA13EC">
        <w:rPr>
          <w:rFonts w:ascii="Cambria Math" w:hAnsi="Cambria Math" w:cs="Cambria Math"/>
        </w:rPr>
        <w:t>‑</w:t>
      </w:r>
      <w:r w:rsidRPr="00AA13EC">
        <w:rPr>
          <w:rFonts w:ascii="Arial" w:hAnsi="Arial" w:cs="Arial"/>
        </w:rPr>
        <w:t>relevant understanding while simultaneously revealing the methodological and epistemological limitations that continue to shape qualitative psychotherapy research.</w:t>
      </w:r>
    </w:p>
    <w:p w14:paraId="40AE6BE0" w14:textId="0829047F" w:rsidR="00C47BD5" w:rsidRDefault="00AA13EC" w:rsidP="00AA13EC">
      <w:pPr>
        <w:spacing w:line="480" w:lineRule="auto"/>
        <w:ind w:firstLine="720"/>
        <w:rPr>
          <w:rFonts w:ascii="Arial" w:hAnsi="Arial" w:cs="Arial"/>
        </w:rPr>
      </w:pPr>
      <w:r w:rsidRPr="00AA13EC">
        <w:rPr>
          <w:rFonts w:ascii="Arial" w:hAnsi="Arial" w:cs="Arial"/>
        </w:rPr>
        <w:t>A future research landscape grounded in methodological pluralism</w:t>
      </w:r>
      <w:r w:rsidR="00781517">
        <w:rPr>
          <w:rFonts w:ascii="Arial" w:hAnsi="Arial" w:cs="Arial"/>
        </w:rPr>
        <w:t xml:space="preserve">, </w:t>
      </w:r>
      <w:r w:rsidRPr="00AA13EC">
        <w:rPr>
          <w:rFonts w:ascii="Arial" w:hAnsi="Arial" w:cs="Arial"/>
        </w:rPr>
        <w:t>where interpretive, phenomenological, mixed</w:t>
      </w:r>
      <w:r w:rsidRPr="00AA13EC">
        <w:rPr>
          <w:rFonts w:ascii="Cambria Math" w:hAnsi="Cambria Math" w:cs="Cambria Math"/>
        </w:rPr>
        <w:t>‑</w:t>
      </w:r>
      <w:r w:rsidRPr="00AA13EC">
        <w:rPr>
          <w:rFonts w:ascii="Arial" w:hAnsi="Arial" w:cs="Arial"/>
        </w:rPr>
        <w:t>methods, and practice</w:t>
      </w:r>
      <w:r w:rsidRPr="00AA13EC">
        <w:rPr>
          <w:rFonts w:ascii="Cambria Math" w:hAnsi="Cambria Math" w:cs="Cambria Math"/>
        </w:rPr>
        <w:t>‑</w:t>
      </w:r>
      <w:r w:rsidRPr="00AA13EC">
        <w:rPr>
          <w:rFonts w:ascii="Arial" w:hAnsi="Arial" w:cs="Arial"/>
        </w:rPr>
        <w:t>based approaches</w:t>
      </w:r>
      <w:r w:rsidR="00685EA4">
        <w:rPr>
          <w:rFonts w:ascii="Arial" w:hAnsi="Arial" w:cs="Arial"/>
        </w:rPr>
        <w:t xml:space="preserve"> </w:t>
      </w:r>
      <w:r w:rsidR="00685EA4">
        <w:rPr>
          <w:rFonts w:ascii="Arial" w:hAnsi="Arial" w:cs="Arial"/>
        </w:rPr>
        <w:fldChar w:fldCharType="begin"/>
      </w:r>
      <w:r w:rsidR="00685EA4">
        <w:rPr>
          <w:rFonts w:ascii="Arial" w:hAnsi="Arial" w:cs="Arial"/>
        </w:rPr>
        <w:instrText xml:space="preserve"> ADDIN ZOTERO_ITEM CSL_CITATION {"citationID":"TgC0gbWk","properties":{"formattedCitation":"(Timulak and Elliott, 2019)","plainCitation":"(Timulak and Elliott, 2019)","noteIndex":0},"citationItems":[{"id":107,"uris":["http://zotero.org/users/local/cOkgZFVs/items/YFA57FT8"],"itemData":{"id":107,"type":"article-journal","abstract":"The paper offers a perspective on some of the methodological issues present in current qualitative psychotherapy research (QPR). The authors are involved in this type of research (for 20 and 40 years, respectively) as researchers, as reviewers of papers submitted to journals publishing QPR, as well as past editors of such journals. The authors reflect at how the overall field of psychotherapy research has had an influence on how QPR is conducted. The authors further discuss a wide range of issues pertaining to QPR that often bring confusion in the community of psychotherapy researchers. These include: brand naming largely overlapping qualitative methods; epistemological confusion arising from the context and application of these methods; issues of data collection and the range of types of qualitative data; the confounding of investigative questions or aims with findings; the issue of interpretative frameworks in data analysis; strategies by which findings are generated; difficulties in assessing the representativeness of findings to the target sample; issues of generalisability of findings; and possibilities for developing cumulative knowledge across studies. The paper specifically focuses on those genres of qualitative research that have a descriptive–interpretative character, typically represented by brand-name approaches such as empirical phenomenology, hermeneutics, interpretative phenomenological analysis, consensual qualitative research, grounded theory and thematic analysis, etc.","container-title":"Counselling and Psychotherapy Research","DOI":"10.1002/capr.12197","ISSN":"1746-1405","issue":"1","language":"en","note":"_eprint: https://onlinelibrary.wiley.com/doi/pdf/10.1002/capr.12197","page":"8-15","source":"Wiley Online Library","title":"Taking stock of descriptive–interpretative qualitative psychotherapy research: Issues and observations from the front line","title-short":"Taking stock of descriptive–interpretative qualitative psychotherapy research","URL":"https://onlinelibrary.wiley.com/doi/abs/10.1002/capr.12197","volume":"19","author":[{"family":"Timulak","given":"Ladislav"},{"family":"Elliott","given":"Robert"}],"accessed":{"date-parts":[["2026",3,6]]},"issued":{"date-parts":[["2019"]]}}}],"schema":"https://github.com/citation-style-language/schema/raw/master/csl-citation.json"} </w:instrText>
      </w:r>
      <w:r w:rsidR="00685EA4">
        <w:rPr>
          <w:rFonts w:ascii="Arial" w:hAnsi="Arial" w:cs="Arial"/>
        </w:rPr>
        <w:fldChar w:fldCharType="separate"/>
      </w:r>
      <w:r w:rsidR="00685EA4" w:rsidRPr="00685EA4">
        <w:rPr>
          <w:rFonts w:ascii="Arial" w:hAnsi="Arial" w:cs="Arial"/>
        </w:rPr>
        <w:t>(Timulak and Elliott, 2019)</w:t>
      </w:r>
      <w:r w:rsidR="00685EA4">
        <w:rPr>
          <w:rFonts w:ascii="Arial" w:hAnsi="Arial" w:cs="Arial"/>
        </w:rPr>
        <w:fldChar w:fldCharType="end"/>
      </w:r>
      <w:r w:rsidRPr="00AA13EC">
        <w:rPr>
          <w:rFonts w:ascii="Arial" w:hAnsi="Arial" w:cs="Arial"/>
        </w:rPr>
        <w:t xml:space="preserve"> are valued alongside experimental designs</w:t>
      </w:r>
      <w:r w:rsidR="00781517">
        <w:rPr>
          <w:rFonts w:ascii="Arial" w:hAnsi="Arial" w:cs="Arial"/>
        </w:rPr>
        <w:t xml:space="preserve">, </w:t>
      </w:r>
      <w:r w:rsidRPr="00AA13EC">
        <w:rPr>
          <w:rFonts w:ascii="Arial" w:hAnsi="Arial" w:cs="Arial"/>
        </w:rPr>
        <w:t>would better support the relational, contextual, and culturally embedded nature of therapeutic work. Such a landscape would not only strengthen the evidence base but also enhance the capacity of training programmes to prepare practitioners for the nuanced realities of gender</w:t>
      </w:r>
      <w:r w:rsidRPr="00AA13EC">
        <w:rPr>
          <w:rFonts w:ascii="Cambria Math" w:hAnsi="Cambria Math" w:cs="Cambria Math"/>
        </w:rPr>
        <w:t>‑</w:t>
      </w:r>
      <w:r w:rsidRPr="00AA13EC">
        <w:rPr>
          <w:rFonts w:ascii="Arial" w:hAnsi="Arial" w:cs="Arial"/>
        </w:rPr>
        <w:t>responsive, ethically grounded, and culturally attuned clinical practice.</w:t>
      </w:r>
    </w:p>
    <w:p w14:paraId="76D52C6D" w14:textId="349E8F63" w:rsidR="00E93969" w:rsidRDefault="00E93969" w:rsidP="00E93969">
      <w:pPr>
        <w:spacing w:line="480" w:lineRule="auto"/>
        <w:rPr>
          <w:rFonts w:ascii="Arial" w:hAnsi="Arial" w:cs="Arial"/>
        </w:rPr>
      </w:pPr>
    </w:p>
    <w:p w14:paraId="44B89B53" w14:textId="77777777" w:rsidR="00F00A65" w:rsidRDefault="00F00A65" w:rsidP="00F00A65">
      <w:pPr>
        <w:pStyle w:val="Bibliography"/>
        <w:rPr>
          <w:rFonts w:ascii="Arial" w:hAnsi="Arial" w:cs="Arial"/>
        </w:rPr>
      </w:pPr>
    </w:p>
    <w:p w14:paraId="18849B84" w14:textId="77777777" w:rsidR="007C18D1" w:rsidRDefault="007C18D1" w:rsidP="007C18D1"/>
    <w:p w14:paraId="14F2018A" w14:textId="77777777" w:rsidR="007C18D1" w:rsidRDefault="007C18D1" w:rsidP="007C18D1"/>
    <w:p w14:paraId="480545DA" w14:textId="77777777" w:rsidR="007C18D1" w:rsidRDefault="007C18D1" w:rsidP="007C18D1"/>
    <w:p w14:paraId="2544A1A5" w14:textId="77777777" w:rsidR="007C18D1" w:rsidRDefault="007C18D1" w:rsidP="007C18D1"/>
    <w:p w14:paraId="158B5B0D" w14:textId="77777777" w:rsidR="007C18D1" w:rsidRDefault="007C18D1" w:rsidP="007C18D1"/>
    <w:p w14:paraId="4E988C35" w14:textId="77777777" w:rsidR="007C18D1" w:rsidRDefault="007C18D1" w:rsidP="007C18D1"/>
    <w:p w14:paraId="50103ED5" w14:textId="77777777" w:rsidR="007C18D1" w:rsidRDefault="007C18D1" w:rsidP="007C18D1"/>
    <w:p w14:paraId="158095A7" w14:textId="77777777" w:rsidR="00F00A65" w:rsidRDefault="00F00A65" w:rsidP="00F00A65">
      <w:pPr>
        <w:pStyle w:val="Bibliography"/>
        <w:rPr>
          <w:rFonts w:ascii="Arial" w:hAnsi="Arial" w:cs="Arial"/>
        </w:rPr>
      </w:pPr>
    </w:p>
    <w:p w14:paraId="37A7AA00" w14:textId="77777777" w:rsidR="00135791" w:rsidRPr="00135791" w:rsidRDefault="00135791" w:rsidP="00135791"/>
    <w:p w14:paraId="523DF655" w14:textId="2CB24C03" w:rsidR="00FD231C" w:rsidRPr="00521AF5" w:rsidRDefault="00FD231C" w:rsidP="002F7E6F">
      <w:pPr>
        <w:pStyle w:val="Bibliography"/>
        <w:jc w:val="center"/>
        <w:rPr>
          <w:rFonts w:ascii="Arial" w:hAnsi="Arial" w:cs="Arial"/>
          <w:b/>
          <w:bCs/>
        </w:rPr>
      </w:pPr>
      <w:r w:rsidRPr="00521AF5">
        <w:rPr>
          <w:rFonts w:ascii="Arial" w:hAnsi="Arial" w:cs="Arial"/>
          <w:b/>
          <w:bCs/>
        </w:rPr>
        <w:lastRenderedPageBreak/>
        <w:t>References.</w:t>
      </w:r>
    </w:p>
    <w:p w14:paraId="749ED86F" w14:textId="22B6BC57" w:rsidR="00F3669D" w:rsidRPr="00521AF5" w:rsidRDefault="00F00A65" w:rsidP="00F3669D">
      <w:pPr>
        <w:pStyle w:val="Bibliography"/>
        <w:rPr>
          <w:rFonts w:ascii="Arial" w:hAnsi="Arial" w:cs="Arial"/>
          <w:i/>
          <w:iCs/>
          <w:kern w:val="0"/>
        </w:rPr>
      </w:pPr>
      <w:r w:rsidRPr="00521AF5">
        <w:rPr>
          <w:rFonts w:ascii="Arial" w:hAnsi="Arial" w:cs="Arial"/>
        </w:rPr>
        <w:fldChar w:fldCharType="begin"/>
      </w:r>
      <w:r w:rsidR="00F3669D" w:rsidRPr="00521AF5">
        <w:rPr>
          <w:rFonts w:ascii="Arial" w:hAnsi="Arial" w:cs="Arial"/>
        </w:rPr>
        <w:instrText xml:space="preserve"> ADDIN ZOTERO_BIBL {"uncited":[["http://zotero.org/users/local/cOkgZFVs/items/EKMHZIHQ"],["http://zotero.org/users/local/cOkgZFVs/items/89J6ES8A"],["http://zotero.org/users/local/cOkgZFVs/items/7MJDHJHJ"],["http://zotero.org/users/local/cOkgZFVs/items/RIZU4H4S"],["http://zotero.org/users/local/cOkgZFVs/items/4MRD3XGV"],["http://zotero.org/users/local/cOkgZFVs/items/NUBYSDJ9"],["http://zotero.org/users/local/cOkgZFVs/items/IDZFTZNR"],["http://zotero.org/users/local/cOkgZFVs/items/JD5P3JG4"],["http://zotero.org/users/local/cOkgZFVs/items/VKR9E895"],["http://zotero.org/users/local/cOkgZFVs/items/VZFTA9I9"],["http://zotero.org/users/local/cOkgZFVs/items/ZGVUZKJP"],["http://zotero.org/users/local/cOkgZFVs/items/WIZV67E2"],["http://zotero.org/users/local/cOkgZFVs/items/JHNPCNRH"],["http://zotero.org/users/local/cOkgZFVs/items/E8IYSLKJ"],["http://zotero.org/users/local/cOkgZFVs/items/U46XRD9U"],["http://zotero.org/users/local/cOkgZFVs/items/8KDT5JCF"],["http://zotero.org/users/local/cOkgZFVs/items/67TXTBPU"],["http://zotero.org/users/local/cOkgZFVs/items/ET9SW3U3"],["http://zotero.org/users/local/cOkgZFVs/items/CDPAMANT"],["http://zotero.org/users/local/cOkgZFVs/items/SAH6MFFU"],["http://zotero.org/users/local/cOkgZFVs/items/94K94ZVU"],["http://zotero.org/users/local/cOkgZFVs/items/IB2GVCTJ"],["http://zotero.org/users/local/cOkgZFVs/items/673QBZZU"],["http://zotero.org/users/local/cOkgZFVs/items/2NT39MQ2"],["http://zotero.org/users/local/cOkgZFVs/items/Z4HCJY7X"],["http://zotero.org/users/local/cOkgZFVs/items/UP855WBP"],["http://zotero.org/users/local/cOkgZFVs/items/N6ZHZYFH"],["http://zotero.org/users/local/cOkgZFVs/items/7KW9QQBJ"],["http://zotero.org/users/local/cOkgZFVs/items/KYY5R8NC"]],"omitted":[],"custom":[]} CSL_BIBLIOGRAPHY </w:instrText>
      </w:r>
      <w:r w:rsidRPr="00521AF5">
        <w:rPr>
          <w:rFonts w:ascii="Arial" w:hAnsi="Arial" w:cs="Arial"/>
        </w:rPr>
        <w:fldChar w:fldCharType="separate"/>
      </w:r>
      <w:r w:rsidR="00F3669D" w:rsidRPr="00521AF5">
        <w:rPr>
          <w:rFonts w:ascii="Arial" w:hAnsi="Arial" w:cs="Arial"/>
          <w:kern w:val="0"/>
        </w:rPr>
        <w:t>Addis, M.E.</w:t>
      </w:r>
      <w:r w:rsidR="000536D2" w:rsidRPr="00521AF5">
        <w:rPr>
          <w:rFonts w:ascii="Arial" w:hAnsi="Arial" w:cs="Arial"/>
          <w:kern w:val="0"/>
        </w:rPr>
        <w:t xml:space="preserve"> (</w:t>
      </w:r>
      <w:r w:rsidR="00F3669D" w:rsidRPr="00521AF5">
        <w:rPr>
          <w:rFonts w:ascii="Arial" w:hAnsi="Arial" w:cs="Arial"/>
          <w:kern w:val="0"/>
        </w:rPr>
        <w:t>2008</w:t>
      </w:r>
      <w:r w:rsidR="000536D2" w:rsidRPr="00521AF5">
        <w:rPr>
          <w:rFonts w:ascii="Arial" w:hAnsi="Arial" w:cs="Arial"/>
          <w:kern w:val="0"/>
        </w:rPr>
        <w:t>)</w:t>
      </w:r>
      <w:r w:rsidR="00F3669D" w:rsidRPr="00521AF5">
        <w:rPr>
          <w:rFonts w:ascii="Arial" w:hAnsi="Arial" w:cs="Arial"/>
          <w:kern w:val="0"/>
        </w:rPr>
        <w:t xml:space="preserve"> Gender and Depression in Men. </w:t>
      </w:r>
      <w:r w:rsidR="00F3669D" w:rsidRPr="00521AF5">
        <w:rPr>
          <w:rFonts w:ascii="Arial" w:hAnsi="Arial" w:cs="Arial"/>
          <w:i/>
          <w:iCs/>
          <w:kern w:val="0"/>
        </w:rPr>
        <w:t>Clin. Psychol. Sci. Pract.</w:t>
      </w:r>
      <w:r w:rsidR="00F3669D" w:rsidRPr="00521AF5">
        <w:rPr>
          <w:rFonts w:ascii="Arial" w:hAnsi="Arial" w:cs="Arial"/>
          <w:kern w:val="0"/>
        </w:rPr>
        <w:t xml:space="preserve"> 15,</w:t>
      </w:r>
      <w:r w:rsidR="000536D2" w:rsidRPr="00521AF5">
        <w:rPr>
          <w:rFonts w:ascii="Arial" w:hAnsi="Arial" w:cs="Arial"/>
          <w:i/>
          <w:iCs/>
          <w:kern w:val="0"/>
        </w:rPr>
        <w:tab/>
      </w:r>
      <w:r w:rsidR="00E24C7B" w:rsidRPr="00521AF5">
        <w:rPr>
          <w:rFonts w:ascii="Arial" w:hAnsi="Arial" w:cs="Arial"/>
          <w:kern w:val="0"/>
        </w:rPr>
        <w:t>pp.</w:t>
      </w:r>
      <w:r w:rsidR="00E24C7B" w:rsidRPr="00521AF5">
        <w:rPr>
          <w:rFonts w:ascii="Arial" w:hAnsi="Arial" w:cs="Arial"/>
          <w:i/>
          <w:iCs/>
          <w:kern w:val="0"/>
        </w:rPr>
        <w:t xml:space="preserve"> </w:t>
      </w:r>
      <w:r w:rsidR="00E24C7B" w:rsidRPr="00521AF5">
        <w:rPr>
          <w:rFonts w:ascii="Arial" w:hAnsi="Arial" w:cs="Arial"/>
          <w:i/>
          <w:iCs/>
          <w:kern w:val="0"/>
        </w:rPr>
        <w:tab/>
      </w:r>
      <w:r w:rsidR="00F3669D" w:rsidRPr="00521AF5">
        <w:rPr>
          <w:rFonts w:ascii="Arial" w:hAnsi="Arial" w:cs="Arial"/>
          <w:kern w:val="0"/>
        </w:rPr>
        <w:t>153–168. https://doi.org/10.1111/j.1468-2850.2008.00125.x</w:t>
      </w:r>
    </w:p>
    <w:p w14:paraId="0CE20999" w14:textId="41A3BB6D" w:rsidR="00F3669D" w:rsidRPr="00521AF5" w:rsidRDefault="00F3669D" w:rsidP="00F3669D">
      <w:pPr>
        <w:pStyle w:val="Bibliography"/>
        <w:rPr>
          <w:rFonts w:ascii="Arial" w:hAnsi="Arial" w:cs="Arial"/>
          <w:kern w:val="0"/>
        </w:rPr>
      </w:pPr>
      <w:r w:rsidRPr="00521AF5">
        <w:rPr>
          <w:rFonts w:ascii="Arial" w:hAnsi="Arial" w:cs="Arial"/>
          <w:kern w:val="0"/>
        </w:rPr>
        <w:t>A</w:t>
      </w:r>
      <w:r w:rsidR="000536D2" w:rsidRPr="00521AF5">
        <w:rPr>
          <w:rFonts w:ascii="Arial" w:hAnsi="Arial" w:cs="Arial"/>
          <w:kern w:val="0"/>
        </w:rPr>
        <w:t xml:space="preserve">merican </w:t>
      </w:r>
      <w:r w:rsidRPr="00521AF5">
        <w:rPr>
          <w:rFonts w:ascii="Arial" w:hAnsi="Arial" w:cs="Arial"/>
          <w:kern w:val="0"/>
        </w:rPr>
        <w:t>P</w:t>
      </w:r>
      <w:r w:rsidR="000536D2" w:rsidRPr="00521AF5">
        <w:rPr>
          <w:rFonts w:ascii="Arial" w:hAnsi="Arial" w:cs="Arial"/>
          <w:kern w:val="0"/>
        </w:rPr>
        <w:t xml:space="preserve">sychological </w:t>
      </w:r>
      <w:r w:rsidRPr="00521AF5">
        <w:rPr>
          <w:rFonts w:ascii="Arial" w:hAnsi="Arial" w:cs="Arial"/>
          <w:kern w:val="0"/>
        </w:rPr>
        <w:t>A</w:t>
      </w:r>
      <w:r w:rsidR="000536D2" w:rsidRPr="00521AF5">
        <w:rPr>
          <w:rFonts w:ascii="Arial" w:hAnsi="Arial" w:cs="Arial"/>
          <w:kern w:val="0"/>
        </w:rPr>
        <w:t>ssociation</w:t>
      </w:r>
      <w:r w:rsidR="00E61179" w:rsidRPr="00521AF5">
        <w:rPr>
          <w:rFonts w:ascii="Arial" w:hAnsi="Arial" w:cs="Arial"/>
          <w:kern w:val="0"/>
        </w:rPr>
        <w:t>. (2021)</w:t>
      </w:r>
      <w:r w:rsidRPr="00521AF5">
        <w:rPr>
          <w:rFonts w:ascii="Arial" w:hAnsi="Arial" w:cs="Arial"/>
          <w:kern w:val="0"/>
        </w:rPr>
        <w:t xml:space="preserve"> </w:t>
      </w:r>
      <w:r w:rsidR="0069372F" w:rsidRPr="00521AF5">
        <w:rPr>
          <w:rFonts w:ascii="Arial" w:hAnsi="Arial" w:cs="Arial"/>
          <w:kern w:val="0"/>
        </w:rPr>
        <w:t xml:space="preserve">APA </w:t>
      </w:r>
      <w:r w:rsidRPr="00521AF5">
        <w:rPr>
          <w:rFonts w:ascii="Arial" w:hAnsi="Arial" w:cs="Arial"/>
          <w:kern w:val="0"/>
        </w:rPr>
        <w:t>Guidelines on Evidence-Based</w:t>
      </w:r>
      <w:r w:rsidR="00E61179" w:rsidRPr="00521AF5">
        <w:rPr>
          <w:rFonts w:ascii="Arial" w:hAnsi="Arial" w:cs="Arial"/>
          <w:kern w:val="0"/>
        </w:rPr>
        <w:tab/>
      </w:r>
      <w:r w:rsidRPr="00521AF5">
        <w:rPr>
          <w:rFonts w:ascii="Arial" w:hAnsi="Arial" w:cs="Arial"/>
          <w:kern w:val="0"/>
        </w:rPr>
        <w:t>Psychological Practice in Health Care: (503832021-001)</w:t>
      </w:r>
      <w:r w:rsidR="00E61179" w:rsidRPr="00521AF5">
        <w:rPr>
          <w:rFonts w:ascii="Arial" w:hAnsi="Arial" w:cs="Arial"/>
          <w:kern w:val="0"/>
        </w:rPr>
        <w:tab/>
      </w:r>
      <w:r w:rsidRPr="00521AF5">
        <w:rPr>
          <w:rFonts w:ascii="Arial" w:hAnsi="Arial" w:cs="Arial"/>
          <w:kern w:val="0"/>
        </w:rPr>
        <w:t>https://doi.org/10.1037/e503832021-001</w:t>
      </w:r>
    </w:p>
    <w:p w14:paraId="5696DC04" w14:textId="03B0FC43" w:rsidR="00F3669D" w:rsidRPr="00521AF5" w:rsidRDefault="00F3669D" w:rsidP="00F3669D">
      <w:pPr>
        <w:pStyle w:val="Bibliography"/>
        <w:rPr>
          <w:rFonts w:ascii="Arial" w:hAnsi="Arial" w:cs="Arial"/>
          <w:i/>
          <w:iCs/>
          <w:kern w:val="0"/>
        </w:rPr>
      </w:pPr>
      <w:r w:rsidRPr="00521AF5">
        <w:rPr>
          <w:rFonts w:ascii="Arial" w:hAnsi="Arial" w:cs="Arial"/>
          <w:kern w:val="0"/>
        </w:rPr>
        <w:t>Boerma, M., Beel, N., Jeffries, C., Ruse, J.</w:t>
      </w:r>
      <w:r w:rsidR="00E61179" w:rsidRPr="00521AF5">
        <w:rPr>
          <w:rFonts w:ascii="Arial" w:hAnsi="Arial" w:cs="Arial"/>
          <w:kern w:val="0"/>
        </w:rPr>
        <w:t xml:space="preserve"> (</w:t>
      </w:r>
      <w:r w:rsidRPr="00521AF5">
        <w:rPr>
          <w:rFonts w:ascii="Arial" w:hAnsi="Arial" w:cs="Arial"/>
          <w:kern w:val="0"/>
        </w:rPr>
        <w:t>2023</w:t>
      </w:r>
      <w:r w:rsidR="00E61179" w:rsidRPr="00521AF5">
        <w:rPr>
          <w:rFonts w:ascii="Arial" w:hAnsi="Arial" w:cs="Arial"/>
          <w:kern w:val="0"/>
        </w:rPr>
        <w:t>)</w:t>
      </w:r>
      <w:r w:rsidRPr="00521AF5">
        <w:rPr>
          <w:rFonts w:ascii="Arial" w:hAnsi="Arial" w:cs="Arial"/>
          <w:kern w:val="0"/>
        </w:rPr>
        <w:t xml:space="preserve"> Review: Recommendations for</w:t>
      </w:r>
      <w:r w:rsidR="00E61179" w:rsidRPr="00521AF5">
        <w:rPr>
          <w:rFonts w:ascii="Arial" w:hAnsi="Arial" w:cs="Arial"/>
          <w:kern w:val="0"/>
        </w:rPr>
        <w:tab/>
      </w:r>
      <w:r w:rsidRPr="00521AF5">
        <w:rPr>
          <w:rFonts w:ascii="Arial" w:hAnsi="Arial" w:cs="Arial"/>
          <w:kern w:val="0"/>
        </w:rPr>
        <w:t>male-friendly counselling with adolescent males: A qualitative systematic</w:t>
      </w:r>
      <w:r w:rsidR="00E61179" w:rsidRPr="00521AF5">
        <w:rPr>
          <w:rFonts w:ascii="Arial" w:hAnsi="Arial" w:cs="Arial"/>
          <w:kern w:val="0"/>
        </w:rPr>
        <w:tab/>
      </w:r>
      <w:r w:rsidRPr="00521AF5">
        <w:rPr>
          <w:rFonts w:ascii="Arial" w:hAnsi="Arial" w:cs="Arial"/>
          <w:kern w:val="0"/>
        </w:rPr>
        <w:t>literature review</w:t>
      </w:r>
      <w:r w:rsidRPr="00521AF5">
        <w:rPr>
          <w:rFonts w:ascii="Arial" w:hAnsi="Arial" w:cs="Arial"/>
          <w:i/>
          <w:iCs/>
          <w:kern w:val="0"/>
        </w:rPr>
        <w:t xml:space="preserve">. Child Adolesc. Ment. Health </w:t>
      </w:r>
      <w:r w:rsidRPr="00521AF5">
        <w:rPr>
          <w:rFonts w:ascii="Arial" w:hAnsi="Arial" w:cs="Arial"/>
          <w:kern w:val="0"/>
        </w:rPr>
        <w:t xml:space="preserve">28, </w:t>
      </w:r>
      <w:r w:rsidR="00E24C7B" w:rsidRPr="00521AF5">
        <w:rPr>
          <w:rFonts w:ascii="Arial" w:hAnsi="Arial" w:cs="Arial"/>
          <w:kern w:val="0"/>
        </w:rPr>
        <w:t xml:space="preserve">pp. </w:t>
      </w:r>
      <w:r w:rsidRPr="00521AF5">
        <w:rPr>
          <w:rFonts w:ascii="Arial" w:hAnsi="Arial" w:cs="Arial"/>
          <w:kern w:val="0"/>
        </w:rPr>
        <w:t>536–549.</w:t>
      </w:r>
      <w:r w:rsidR="00E61179" w:rsidRPr="00521AF5">
        <w:rPr>
          <w:rFonts w:ascii="Arial" w:hAnsi="Arial" w:cs="Arial"/>
          <w:kern w:val="0"/>
        </w:rPr>
        <w:tab/>
      </w:r>
      <w:r w:rsidRPr="00521AF5">
        <w:rPr>
          <w:rFonts w:ascii="Arial" w:hAnsi="Arial" w:cs="Arial"/>
          <w:kern w:val="0"/>
        </w:rPr>
        <w:t>https://doi.org/10.1111/camh.12633</w:t>
      </w:r>
    </w:p>
    <w:p w14:paraId="74837073" w14:textId="1374D895" w:rsidR="00F3669D" w:rsidRPr="00521AF5" w:rsidRDefault="00F3669D" w:rsidP="00E61179">
      <w:pPr>
        <w:pStyle w:val="Bibliography"/>
        <w:rPr>
          <w:rFonts w:ascii="Arial" w:hAnsi="Arial" w:cs="Arial"/>
          <w:kern w:val="0"/>
        </w:rPr>
      </w:pPr>
      <w:r w:rsidRPr="00521AF5">
        <w:rPr>
          <w:rFonts w:ascii="Arial" w:hAnsi="Arial" w:cs="Arial"/>
          <w:kern w:val="0"/>
        </w:rPr>
        <w:t xml:space="preserve">Braga, L.H., </w:t>
      </w:r>
      <w:proofErr w:type="spellStart"/>
      <w:r w:rsidRPr="00521AF5">
        <w:rPr>
          <w:rFonts w:ascii="Arial" w:hAnsi="Arial" w:cs="Arial"/>
          <w:kern w:val="0"/>
        </w:rPr>
        <w:t>Farrokhyar</w:t>
      </w:r>
      <w:proofErr w:type="spellEnd"/>
      <w:r w:rsidRPr="00521AF5">
        <w:rPr>
          <w:rFonts w:ascii="Arial" w:hAnsi="Arial" w:cs="Arial"/>
          <w:kern w:val="0"/>
        </w:rPr>
        <w:t>, F., Dönmez, M.İ., Nelson, C.P., Haid, B., Herbst, K.,</w:t>
      </w:r>
      <w:r w:rsidR="00E61179" w:rsidRPr="00521AF5">
        <w:rPr>
          <w:rFonts w:ascii="Arial" w:hAnsi="Arial" w:cs="Arial"/>
          <w:kern w:val="0"/>
        </w:rPr>
        <w:tab/>
      </w:r>
      <w:r w:rsidRPr="00521AF5">
        <w:rPr>
          <w:rFonts w:ascii="Arial" w:hAnsi="Arial" w:cs="Arial"/>
          <w:kern w:val="0"/>
        </w:rPr>
        <w:t>Garriboli, M., Cascio, S., Nieuwhof-Leppink, A., Kaefer, M., Bägli, D.J., Kalfa,</w:t>
      </w:r>
      <w:r w:rsidR="00E61179" w:rsidRPr="00521AF5">
        <w:rPr>
          <w:rFonts w:ascii="Arial" w:hAnsi="Arial" w:cs="Arial"/>
          <w:kern w:val="0"/>
        </w:rPr>
        <w:tab/>
      </w:r>
      <w:r w:rsidRPr="00521AF5">
        <w:rPr>
          <w:rFonts w:ascii="Arial" w:hAnsi="Arial" w:cs="Arial"/>
          <w:kern w:val="0"/>
        </w:rPr>
        <w:t>N., Ching, C., Fossum, M., Harper, L.</w:t>
      </w:r>
      <w:r w:rsidR="00E61179" w:rsidRPr="00521AF5">
        <w:rPr>
          <w:rFonts w:ascii="Arial" w:hAnsi="Arial" w:cs="Arial"/>
          <w:kern w:val="0"/>
        </w:rPr>
        <w:t xml:space="preserve"> (</w:t>
      </w:r>
      <w:r w:rsidRPr="00521AF5">
        <w:rPr>
          <w:rFonts w:ascii="Arial" w:hAnsi="Arial" w:cs="Arial"/>
          <w:kern w:val="0"/>
        </w:rPr>
        <w:t>2025</w:t>
      </w:r>
      <w:r w:rsidR="00E61179" w:rsidRPr="00521AF5">
        <w:rPr>
          <w:rFonts w:ascii="Arial" w:hAnsi="Arial" w:cs="Arial"/>
          <w:kern w:val="0"/>
        </w:rPr>
        <w:t>)</w:t>
      </w:r>
      <w:r w:rsidRPr="00521AF5">
        <w:rPr>
          <w:rFonts w:ascii="Arial" w:hAnsi="Arial" w:cs="Arial"/>
          <w:kern w:val="0"/>
        </w:rPr>
        <w:t xml:space="preserve"> Randomized controlled trials </w:t>
      </w:r>
      <w:r w:rsidR="00E61179" w:rsidRPr="00521AF5">
        <w:rPr>
          <w:rFonts w:ascii="Arial" w:hAnsi="Arial" w:cs="Arial"/>
          <w:kern w:val="0"/>
        </w:rPr>
        <w:tab/>
      </w:r>
      <w:r w:rsidRPr="00521AF5">
        <w:rPr>
          <w:rFonts w:ascii="Arial" w:hAnsi="Arial" w:cs="Arial"/>
          <w:kern w:val="0"/>
        </w:rPr>
        <w:t>The what, when, how and why.</w:t>
      </w:r>
      <w:r w:rsidRPr="00521AF5">
        <w:rPr>
          <w:rFonts w:ascii="Arial" w:hAnsi="Arial" w:cs="Arial"/>
          <w:i/>
          <w:iCs/>
          <w:kern w:val="0"/>
        </w:rPr>
        <w:t xml:space="preserve"> J. Pediatr. Urol. </w:t>
      </w:r>
      <w:r w:rsidRPr="00521AF5">
        <w:rPr>
          <w:rFonts w:ascii="Arial" w:hAnsi="Arial" w:cs="Arial"/>
          <w:kern w:val="0"/>
        </w:rPr>
        <w:t xml:space="preserve">21, </w:t>
      </w:r>
      <w:r w:rsidR="00E24C7B" w:rsidRPr="00521AF5">
        <w:rPr>
          <w:rFonts w:ascii="Arial" w:hAnsi="Arial" w:cs="Arial"/>
          <w:kern w:val="0"/>
        </w:rPr>
        <w:t xml:space="preserve">pp. </w:t>
      </w:r>
      <w:r w:rsidRPr="00521AF5">
        <w:rPr>
          <w:rFonts w:ascii="Arial" w:hAnsi="Arial" w:cs="Arial"/>
          <w:kern w:val="0"/>
        </w:rPr>
        <w:t>397–404.</w:t>
      </w:r>
      <w:r w:rsidR="00E61179" w:rsidRPr="00521AF5">
        <w:rPr>
          <w:rFonts w:ascii="Arial" w:hAnsi="Arial" w:cs="Arial"/>
          <w:kern w:val="0"/>
        </w:rPr>
        <w:tab/>
      </w:r>
      <w:r w:rsidRPr="00521AF5">
        <w:rPr>
          <w:rFonts w:ascii="Arial" w:hAnsi="Arial" w:cs="Arial"/>
          <w:kern w:val="0"/>
        </w:rPr>
        <w:t>https://doi.org/10.1016/j.jpurol.2024.11.021</w:t>
      </w:r>
    </w:p>
    <w:p w14:paraId="16DD331F" w14:textId="7D154011" w:rsidR="00316258" w:rsidRPr="00521AF5" w:rsidRDefault="00316258" w:rsidP="00316258">
      <w:pPr>
        <w:rPr>
          <w:rFonts w:ascii="Arial" w:hAnsi="Arial" w:cs="Arial"/>
        </w:rPr>
      </w:pPr>
      <w:r w:rsidRPr="00521AF5">
        <w:rPr>
          <w:rFonts w:ascii="Arial" w:hAnsi="Arial" w:cs="Arial"/>
        </w:rPr>
        <w:t xml:space="preserve">Braun, V., Clarke, V. (2022) </w:t>
      </w:r>
      <w:r w:rsidRPr="00521AF5">
        <w:rPr>
          <w:rFonts w:ascii="Arial" w:hAnsi="Arial" w:cs="Arial"/>
          <w:i/>
          <w:iCs/>
        </w:rPr>
        <w:t>Thematic analysis: a practical guide</w:t>
      </w:r>
      <w:r w:rsidRPr="00521AF5">
        <w:rPr>
          <w:rFonts w:ascii="Arial" w:hAnsi="Arial" w:cs="Arial"/>
        </w:rPr>
        <w:t>. SAGE</w:t>
      </w:r>
      <w:r w:rsidRPr="00521AF5">
        <w:rPr>
          <w:rFonts w:ascii="Arial" w:hAnsi="Arial" w:cs="Arial"/>
        </w:rPr>
        <w:tab/>
        <w:t>Publications,</w:t>
      </w:r>
      <w:r w:rsidRPr="00521AF5">
        <w:rPr>
          <w:rFonts w:ascii="Arial" w:hAnsi="Arial" w:cs="Arial"/>
        </w:rPr>
        <w:tab/>
        <w:t>London.</w:t>
      </w:r>
    </w:p>
    <w:p w14:paraId="717DD44D" w14:textId="352075B3" w:rsidR="00F3669D" w:rsidRPr="00521AF5" w:rsidRDefault="00F3669D" w:rsidP="00E61179">
      <w:pPr>
        <w:pStyle w:val="Bibliography"/>
        <w:rPr>
          <w:rFonts w:ascii="Arial" w:hAnsi="Arial" w:cs="Arial"/>
          <w:kern w:val="0"/>
        </w:rPr>
      </w:pPr>
      <w:r w:rsidRPr="00521AF5">
        <w:rPr>
          <w:rFonts w:ascii="Arial" w:hAnsi="Arial" w:cs="Arial"/>
          <w:kern w:val="0"/>
        </w:rPr>
        <w:t>Brownhill, A., Kelly, C.</w:t>
      </w:r>
      <w:r w:rsidR="00E61179" w:rsidRPr="00521AF5">
        <w:rPr>
          <w:rFonts w:ascii="Arial" w:hAnsi="Arial" w:cs="Arial"/>
          <w:kern w:val="0"/>
        </w:rPr>
        <w:t xml:space="preserve"> (</w:t>
      </w:r>
      <w:r w:rsidRPr="00521AF5">
        <w:rPr>
          <w:rFonts w:ascii="Arial" w:hAnsi="Arial" w:cs="Arial"/>
          <w:kern w:val="0"/>
        </w:rPr>
        <w:t>2025</w:t>
      </w:r>
      <w:r w:rsidR="00E61179" w:rsidRPr="00521AF5">
        <w:rPr>
          <w:rFonts w:ascii="Arial" w:hAnsi="Arial" w:cs="Arial"/>
          <w:kern w:val="0"/>
        </w:rPr>
        <w:t>)</w:t>
      </w:r>
      <w:r w:rsidRPr="00521AF5">
        <w:rPr>
          <w:rFonts w:ascii="Arial" w:hAnsi="Arial" w:cs="Arial"/>
          <w:kern w:val="0"/>
        </w:rPr>
        <w:t xml:space="preserve"> Evolving social justice in school psychology practice </w:t>
      </w:r>
      <w:r w:rsidR="00E61179" w:rsidRPr="00521AF5">
        <w:rPr>
          <w:rFonts w:ascii="Arial" w:hAnsi="Arial" w:cs="Arial"/>
          <w:kern w:val="0"/>
        </w:rPr>
        <w:tab/>
      </w:r>
      <w:r w:rsidRPr="00521AF5">
        <w:rPr>
          <w:rFonts w:ascii="Arial" w:hAnsi="Arial" w:cs="Arial"/>
          <w:kern w:val="0"/>
        </w:rPr>
        <w:t>A systematic review of practitioner perspectives from UK and USA</w:t>
      </w:r>
      <w:r w:rsidR="00E61179" w:rsidRPr="00521AF5">
        <w:rPr>
          <w:rFonts w:ascii="Arial" w:hAnsi="Arial" w:cs="Arial"/>
          <w:kern w:val="0"/>
        </w:rPr>
        <w:tab/>
      </w:r>
      <w:r w:rsidRPr="00521AF5">
        <w:rPr>
          <w:rFonts w:ascii="Arial" w:hAnsi="Arial" w:cs="Arial"/>
          <w:kern w:val="0"/>
        </w:rPr>
        <w:t xml:space="preserve">educational contexts. </w:t>
      </w:r>
      <w:r w:rsidRPr="00521AF5">
        <w:rPr>
          <w:rFonts w:ascii="Arial" w:hAnsi="Arial" w:cs="Arial"/>
          <w:i/>
          <w:iCs/>
          <w:kern w:val="0"/>
        </w:rPr>
        <w:t>Int. J. Sch. Educ. Psychol.</w:t>
      </w:r>
      <w:r w:rsidRPr="00521AF5">
        <w:rPr>
          <w:rFonts w:ascii="Arial" w:hAnsi="Arial" w:cs="Arial"/>
          <w:kern w:val="0"/>
        </w:rPr>
        <w:t xml:space="preserve"> 13, </w:t>
      </w:r>
      <w:r w:rsidR="00147EE8" w:rsidRPr="00521AF5">
        <w:rPr>
          <w:rFonts w:ascii="Arial" w:hAnsi="Arial" w:cs="Arial"/>
          <w:kern w:val="0"/>
        </w:rPr>
        <w:t xml:space="preserve">pp. </w:t>
      </w:r>
      <w:r w:rsidRPr="00521AF5">
        <w:rPr>
          <w:rFonts w:ascii="Arial" w:hAnsi="Arial" w:cs="Arial"/>
          <w:kern w:val="0"/>
        </w:rPr>
        <w:t>327–339.</w:t>
      </w:r>
      <w:r w:rsidR="00E61179" w:rsidRPr="00521AF5">
        <w:rPr>
          <w:rFonts w:ascii="Arial" w:hAnsi="Arial" w:cs="Arial"/>
          <w:kern w:val="0"/>
        </w:rPr>
        <w:tab/>
      </w:r>
      <w:r w:rsidRPr="00521AF5">
        <w:rPr>
          <w:rFonts w:ascii="Arial" w:hAnsi="Arial" w:cs="Arial"/>
          <w:kern w:val="0"/>
        </w:rPr>
        <w:t>https://doi.org/10.1080/21683603.2025.2563060</w:t>
      </w:r>
    </w:p>
    <w:p w14:paraId="034676CD" w14:textId="50CDDAA7" w:rsidR="00F3669D" w:rsidRPr="00521AF5" w:rsidRDefault="00F3669D" w:rsidP="00F3669D">
      <w:pPr>
        <w:pStyle w:val="Bibliography"/>
        <w:rPr>
          <w:rFonts w:ascii="Arial" w:hAnsi="Arial" w:cs="Arial"/>
          <w:kern w:val="0"/>
        </w:rPr>
      </w:pPr>
      <w:r w:rsidRPr="00521AF5">
        <w:rPr>
          <w:rFonts w:ascii="Arial" w:hAnsi="Arial" w:cs="Arial"/>
          <w:kern w:val="0"/>
        </w:rPr>
        <w:t>Chafe, R.</w:t>
      </w:r>
      <w:r w:rsidR="00ED2893" w:rsidRPr="00521AF5">
        <w:rPr>
          <w:rFonts w:ascii="Arial" w:hAnsi="Arial" w:cs="Arial"/>
          <w:kern w:val="0"/>
        </w:rPr>
        <w:t xml:space="preserve"> (</w:t>
      </w:r>
      <w:r w:rsidRPr="00521AF5">
        <w:rPr>
          <w:rFonts w:ascii="Arial" w:hAnsi="Arial" w:cs="Arial"/>
          <w:kern w:val="0"/>
        </w:rPr>
        <w:t>2025</w:t>
      </w:r>
      <w:r w:rsidR="00ED2893" w:rsidRPr="00521AF5">
        <w:rPr>
          <w:rFonts w:ascii="Arial" w:hAnsi="Arial" w:cs="Arial"/>
          <w:kern w:val="0"/>
        </w:rPr>
        <w:t>)</w:t>
      </w:r>
      <w:r w:rsidRPr="00521AF5">
        <w:rPr>
          <w:rFonts w:ascii="Arial" w:hAnsi="Arial" w:cs="Arial"/>
          <w:kern w:val="0"/>
        </w:rPr>
        <w:t xml:space="preserve"> </w:t>
      </w:r>
      <w:r w:rsidRPr="00521AF5">
        <w:rPr>
          <w:rFonts w:ascii="Arial" w:hAnsi="Arial" w:cs="Arial"/>
          <w:i/>
          <w:iCs/>
          <w:kern w:val="0"/>
        </w:rPr>
        <w:t>Developing Qualitative Descriptions.</w:t>
      </w:r>
      <w:r w:rsidRPr="00521AF5">
        <w:rPr>
          <w:rFonts w:ascii="Arial" w:hAnsi="Arial" w:cs="Arial"/>
          <w:kern w:val="0"/>
        </w:rPr>
        <w:t xml:space="preserve"> Routledge, London.</w:t>
      </w:r>
      <w:r w:rsidR="00ED2893" w:rsidRPr="00521AF5">
        <w:rPr>
          <w:rFonts w:ascii="Arial" w:hAnsi="Arial" w:cs="Arial"/>
          <w:kern w:val="0"/>
        </w:rPr>
        <w:tab/>
      </w:r>
      <w:r w:rsidRPr="00521AF5">
        <w:rPr>
          <w:rFonts w:ascii="Arial" w:hAnsi="Arial" w:cs="Arial"/>
          <w:kern w:val="0"/>
        </w:rPr>
        <w:t>https://doi.org/10.4324/9781003582373</w:t>
      </w:r>
    </w:p>
    <w:p w14:paraId="39FCEC1C" w14:textId="11067B5C" w:rsidR="00F3669D" w:rsidRPr="00521AF5" w:rsidRDefault="00F3669D" w:rsidP="00F3669D">
      <w:pPr>
        <w:pStyle w:val="Bibliography"/>
        <w:rPr>
          <w:rFonts w:ascii="Arial" w:hAnsi="Arial" w:cs="Arial"/>
          <w:kern w:val="0"/>
        </w:rPr>
      </w:pPr>
      <w:r w:rsidRPr="00521AF5">
        <w:rPr>
          <w:rFonts w:ascii="Arial" w:hAnsi="Arial" w:cs="Arial"/>
          <w:kern w:val="0"/>
        </w:rPr>
        <w:t>Cook, S.C., Schwartz, A.C., Kaslow, N.J.</w:t>
      </w:r>
      <w:r w:rsidR="00147EE8" w:rsidRPr="00521AF5">
        <w:rPr>
          <w:rFonts w:ascii="Arial" w:hAnsi="Arial" w:cs="Arial"/>
          <w:kern w:val="0"/>
        </w:rPr>
        <w:t xml:space="preserve"> (</w:t>
      </w:r>
      <w:r w:rsidRPr="00521AF5">
        <w:rPr>
          <w:rFonts w:ascii="Arial" w:hAnsi="Arial" w:cs="Arial"/>
          <w:kern w:val="0"/>
        </w:rPr>
        <w:t>2017</w:t>
      </w:r>
      <w:r w:rsidR="00147EE8" w:rsidRPr="00521AF5">
        <w:rPr>
          <w:rFonts w:ascii="Arial" w:hAnsi="Arial" w:cs="Arial"/>
          <w:kern w:val="0"/>
        </w:rPr>
        <w:t>)</w:t>
      </w:r>
      <w:r w:rsidRPr="00521AF5">
        <w:rPr>
          <w:rFonts w:ascii="Arial" w:hAnsi="Arial" w:cs="Arial"/>
          <w:kern w:val="0"/>
        </w:rPr>
        <w:t xml:space="preserve"> Evidence-Based Psychotherapy:</w:t>
      </w:r>
      <w:r w:rsidR="00316258" w:rsidRPr="00521AF5">
        <w:rPr>
          <w:rFonts w:ascii="Arial" w:hAnsi="Arial" w:cs="Arial"/>
          <w:kern w:val="0"/>
        </w:rPr>
        <w:tab/>
      </w:r>
      <w:r w:rsidRPr="00521AF5">
        <w:rPr>
          <w:rFonts w:ascii="Arial" w:hAnsi="Arial" w:cs="Arial"/>
          <w:kern w:val="0"/>
        </w:rPr>
        <w:t xml:space="preserve">Advantages and Challenges. </w:t>
      </w:r>
      <w:r w:rsidRPr="00521AF5">
        <w:rPr>
          <w:rFonts w:ascii="Arial" w:hAnsi="Arial" w:cs="Arial"/>
          <w:i/>
          <w:iCs/>
          <w:kern w:val="0"/>
        </w:rPr>
        <w:t>Neurotherapeutics</w:t>
      </w:r>
      <w:r w:rsidRPr="00521AF5">
        <w:rPr>
          <w:rFonts w:ascii="Arial" w:hAnsi="Arial" w:cs="Arial"/>
          <w:kern w:val="0"/>
        </w:rPr>
        <w:t xml:space="preserve"> 14, </w:t>
      </w:r>
      <w:r w:rsidR="00147EE8" w:rsidRPr="00521AF5">
        <w:rPr>
          <w:rFonts w:ascii="Arial" w:hAnsi="Arial" w:cs="Arial"/>
          <w:kern w:val="0"/>
        </w:rPr>
        <w:t xml:space="preserve">pp. </w:t>
      </w:r>
      <w:r w:rsidRPr="00521AF5">
        <w:rPr>
          <w:rFonts w:ascii="Arial" w:hAnsi="Arial" w:cs="Arial"/>
          <w:kern w:val="0"/>
        </w:rPr>
        <w:t>537–545.</w:t>
      </w:r>
      <w:r w:rsidR="00316258" w:rsidRPr="00521AF5">
        <w:rPr>
          <w:rFonts w:ascii="Arial" w:hAnsi="Arial" w:cs="Arial"/>
          <w:kern w:val="0"/>
        </w:rPr>
        <w:tab/>
      </w:r>
      <w:r w:rsidRPr="00521AF5">
        <w:rPr>
          <w:rFonts w:ascii="Arial" w:hAnsi="Arial" w:cs="Arial"/>
          <w:kern w:val="0"/>
        </w:rPr>
        <w:t>https://doi.org/10.1007/s13311-017-0549-4</w:t>
      </w:r>
    </w:p>
    <w:p w14:paraId="7A601BFD" w14:textId="75697248" w:rsidR="005D3163" w:rsidRPr="00521AF5" w:rsidRDefault="005D3163" w:rsidP="00147EE8">
      <w:pPr>
        <w:rPr>
          <w:rFonts w:ascii="Arial" w:hAnsi="Arial" w:cs="Arial"/>
        </w:rPr>
      </w:pPr>
      <w:r w:rsidRPr="00521AF5">
        <w:rPr>
          <w:rFonts w:ascii="Arial" w:hAnsi="Arial" w:cs="Arial"/>
        </w:rPr>
        <w:t>Cooper, M., McLeod, J. (2011). Person-centered therapy: A pluralistic</w:t>
      </w:r>
      <w:r w:rsidR="00316258" w:rsidRPr="00521AF5">
        <w:rPr>
          <w:rFonts w:ascii="Arial" w:hAnsi="Arial" w:cs="Arial"/>
        </w:rPr>
        <w:tab/>
      </w:r>
      <w:r w:rsidRPr="00521AF5">
        <w:rPr>
          <w:rFonts w:ascii="Arial" w:hAnsi="Arial" w:cs="Arial"/>
        </w:rPr>
        <w:t>perspective. </w:t>
      </w:r>
      <w:r w:rsidRPr="00521AF5">
        <w:rPr>
          <w:rFonts w:ascii="Arial" w:hAnsi="Arial" w:cs="Arial"/>
          <w:i/>
          <w:iCs/>
        </w:rPr>
        <w:t>Person-Centered &amp; Experiential Psychotherapies</w:t>
      </w:r>
      <w:r w:rsidRPr="00521AF5">
        <w:rPr>
          <w:rFonts w:ascii="Arial" w:hAnsi="Arial" w:cs="Arial"/>
        </w:rPr>
        <w:t xml:space="preserve">, 10(3), </w:t>
      </w:r>
      <w:r w:rsidR="00147EE8" w:rsidRPr="00521AF5">
        <w:rPr>
          <w:rFonts w:ascii="Arial" w:hAnsi="Arial" w:cs="Arial"/>
        </w:rPr>
        <w:t xml:space="preserve">pp. </w:t>
      </w:r>
      <w:r w:rsidRPr="00521AF5">
        <w:rPr>
          <w:rFonts w:ascii="Arial" w:hAnsi="Arial" w:cs="Arial"/>
        </w:rPr>
        <w:t>210</w:t>
      </w:r>
      <w:r w:rsidR="00147EE8" w:rsidRPr="00521AF5">
        <w:rPr>
          <w:rFonts w:ascii="Arial" w:hAnsi="Arial" w:cs="Arial"/>
        </w:rPr>
        <w:tab/>
      </w:r>
      <w:r w:rsidRPr="00521AF5">
        <w:rPr>
          <w:rFonts w:ascii="Arial" w:hAnsi="Arial" w:cs="Arial"/>
        </w:rPr>
        <w:t>223.</w:t>
      </w:r>
      <w:r w:rsidR="00147EE8" w:rsidRPr="00521AF5">
        <w:rPr>
          <w:rFonts w:ascii="Arial" w:hAnsi="Arial" w:cs="Arial"/>
        </w:rPr>
        <w:t xml:space="preserve"> </w:t>
      </w:r>
      <w:r w:rsidRPr="00521AF5">
        <w:rPr>
          <w:rFonts w:ascii="Arial" w:hAnsi="Arial" w:cs="Arial"/>
        </w:rPr>
        <w:t>https://doi.org/10.1080/14779757.2011.599517</w:t>
      </w:r>
    </w:p>
    <w:p w14:paraId="36FAC9CF" w14:textId="579A20BA" w:rsidR="00F3669D" w:rsidRPr="00521AF5" w:rsidRDefault="00F3669D" w:rsidP="00F3669D">
      <w:pPr>
        <w:pStyle w:val="Bibliography"/>
        <w:rPr>
          <w:rFonts w:ascii="Arial" w:hAnsi="Arial" w:cs="Arial"/>
          <w:kern w:val="0"/>
        </w:rPr>
      </w:pPr>
      <w:r w:rsidRPr="00521AF5">
        <w:rPr>
          <w:rFonts w:ascii="Arial" w:hAnsi="Arial" w:cs="Arial"/>
          <w:kern w:val="0"/>
        </w:rPr>
        <w:t>Cuthbertson, L.M., Robb, Y.A., Blair, S.</w:t>
      </w:r>
      <w:r w:rsidR="00316258" w:rsidRPr="00521AF5">
        <w:rPr>
          <w:rFonts w:ascii="Arial" w:hAnsi="Arial" w:cs="Arial"/>
          <w:kern w:val="0"/>
        </w:rPr>
        <w:t xml:space="preserve"> (</w:t>
      </w:r>
      <w:r w:rsidRPr="00521AF5">
        <w:rPr>
          <w:rFonts w:ascii="Arial" w:hAnsi="Arial" w:cs="Arial"/>
          <w:kern w:val="0"/>
        </w:rPr>
        <w:t>2020</w:t>
      </w:r>
      <w:r w:rsidR="00316258" w:rsidRPr="00521AF5">
        <w:rPr>
          <w:rFonts w:ascii="Arial" w:hAnsi="Arial" w:cs="Arial"/>
          <w:kern w:val="0"/>
        </w:rPr>
        <w:t>)</w:t>
      </w:r>
      <w:r w:rsidRPr="00521AF5">
        <w:rPr>
          <w:rFonts w:ascii="Arial" w:hAnsi="Arial" w:cs="Arial"/>
          <w:kern w:val="0"/>
        </w:rPr>
        <w:t xml:space="preserve"> Theory and application of research</w:t>
      </w:r>
      <w:r w:rsidR="00316258" w:rsidRPr="00521AF5">
        <w:rPr>
          <w:rFonts w:ascii="Arial" w:hAnsi="Arial" w:cs="Arial"/>
          <w:kern w:val="0"/>
        </w:rPr>
        <w:tab/>
      </w:r>
      <w:r w:rsidRPr="00521AF5">
        <w:rPr>
          <w:rFonts w:ascii="Arial" w:hAnsi="Arial" w:cs="Arial"/>
          <w:kern w:val="0"/>
        </w:rPr>
        <w:t>principles and philosophical underpinning for a study utilising interpretative</w:t>
      </w:r>
      <w:r w:rsidR="00316258" w:rsidRPr="00521AF5">
        <w:rPr>
          <w:rFonts w:ascii="Arial" w:hAnsi="Arial" w:cs="Arial"/>
          <w:kern w:val="0"/>
        </w:rPr>
        <w:tab/>
      </w:r>
      <w:r w:rsidRPr="00521AF5">
        <w:rPr>
          <w:rFonts w:ascii="Arial" w:hAnsi="Arial" w:cs="Arial"/>
          <w:kern w:val="0"/>
        </w:rPr>
        <w:t xml:space="preserve">phenomenological analysis. </w:t>
      </w:r>
      <w:r w:rsidRPr="00521AF5">
        <w:rPr>
          <w:rFonts w:ascii="Arial" w:hAnsi="Arial" w:cs="Arial"/>
          <w:i/>
          <w:iCs/>
          <w:kern w:val="0"/>
        </w:rPr>
        <w:t>Radiography</w:t>
      </w:r>
      <w:r w:rsidRPr="00521AF5">
        <w:rPr>
          <w:rFonts w:ascii="Arial" w:hAnsi="Arial" w:cs="Arial"/>
          <w:kern w:val="0"/>
        </w:rPr>
        <w:t xml:space="preserve"> 26, e94–e102.</w:t>
      </w:r>
      <w:r w:rsidR="00316258" w:rsidRPr="00521AF5">
        <w:rPr>
          <w:rFonts w:ascii="Arial" w:hAnsi="Arial" w:cs="Arial"/>
          <w:kern w:val="0"/>
        </w:rPr>
        <w:tab/>
      </w:r>
      <w:r w:rsidRPr="00521AF5">
        <w:rPr>
          <w:rFonts w:ascii="Arial" w:hAnsi="Arial" w:cs="Arial"/>
          <w:kern w:val="0"/>
        </w:rPr>
        <w:t>https://doi.org/10.1016/j.radi.2019.11.092</w:t>
      </w:r>
    </w:p>
    <w:p w14:paraId="463CBB9B" w14:textId="46A5FE58" w:rsidR="00F3669D" w:rsidRPr="00521AF5" w:rsidRDefault="00F3669D" w:rsidP="00F3669D">
      <w:pPr>
        <w:pStyle w:val="Bibliography"/>
        <w:rPr>
          <w:rFonts w:ascii="Arial" w:hAnsi="Arial" w:cs="Arial"/>
          <w:kern w:val="0"/>
        </w:rPr>
      </w:pPr>
      <w:r w:rsidRPr="00521AF5">
        <w:rPr>
          <w:rFonts w:ascii="Arial" w:hAnsi="Arial" w:cs="Arial"/>
          <w:kern w:val="0"/>
        </w:rPr>
        <w:t>Dixon, S., Chiang, C.-M.</w:t>
      </w:r>
      <w:r w:rsidR="00F30918" w:rsidRPr="00521AF5">
        <w:rPr>
          <w:rFonts w:ascii="Arial" w:hAnsi="Arial" w:cs="Arial"/>
          <w:kern w:val="0"/>
        </w:rPr>
        <w:t xml:space="preserve"> (</w:t>
      </w:r>
      <w:r w:rsidRPr="00521AF5">
        <w:rPr>
          <w:rFonts w:ascii="Arial" w:hAnsi="Arial" w:cs="Arial"/>
          <w:kern w:val="0"/>
        </w:rPr>
        <w:t>2020</w:t>
      </w:r>
      <w:r w:rsidR="00F30918" w:rsidRPr="00521AF5">
        <w:rPr>
          <w:rFonts w:ascii="Arial" w:hAnsi="Arial" w:cs="Arial"/>
          <w:kern w:val="0"/>
        </w:rPr>
        <w:t>)</w:t>
      </w:r>
      <w:r w:rsidRPr="00521AF5">
        <w:rPr>
          <w:rFonts w:ascii="Arial" w:hAnsi="Arial" w:cs="Arial"/>
          <w:kern w:val="0"/>
        </w:rPr>
        <w:t xml:space="preserve"> Promoting Reflexivity and Reflectivity in Counselling,</w:t>
      </w:r>
      <w:r w:rsidR="00F30918" w:rsidRPr="00521AF5">
        <w:rPr>
          <w:rFonts w:ascii="Arial" w:hAnsi="Arial" w:cs="Arial"/>
          <w:kern w:val="0"/>
        </w:rPr>
        <w:tab/>
      </w:r>
      <w:r w:rsidRPr="00521AF5">
        <w:rPr>
          <w:rFonts w:ascii="Arial" w:hAnsi="Arial" w:cs="Arial"/>
          <w:kern w:val="0"/>
        </w:rPr>
        <w:t>Education, and Research 15–31.</w:t>
      </w:r>
      <w:r w:rsidR="00316258" w:rsidRPr="00521AF5">
        <w:rPr>
          <w:rFonts w:ascii="Arial" w:hAnsi="Arial" w:cs="Arial"/>
          <w:kern w:val="0"/>
        </w:rPr>
        <w:tab/>
      </w:r>
    </w:p>
    <w:p w14:paraId="527EFF01" w14:textId="1FD26CC2" w:rsidR="00F3669D" w:rsidRPr="00521AF5" w:rsidRDefault="00F3669D" w:rsidP="00F3669D">
      <w:pPr>
        <w:pStyle w:val="Bibliography"/>
        <w:rPr>
          <w:rFonts w:ascii="Arial" w:hAnsi="Arial" w:cs="Arial"/>
          <w:kern w:val="0"/>
        </w:rPr>
      </w:pPr>
      <w:r w:rsidRPr="00521AF5">
        <w:rPr>
          <w:rFonts w:ascii="Arial" w:hAnsi="Arial" w:cs="Arial"/>
          <w:kern w:val="0"/>
        </w:rPr>
        <w:t>Ferguson, C.J.</w:t>
      </w:r>
      <w:r w:rsidR="00F30918" w:rsidRPr="00521AF5">
        <w:rPr>
          <w:rFonts w:ascii="Arial" w:hAnsi="Arial" w:cs="Arial"/>
          <w:kern w:val="0"/>
        </w:rPr>
        <w:t xml:space="preserve"> (</w:t>
      </w:r>
      <w:r w:rsidRPr="00521AF5">
        <w:rPr>
          <w:rFonts w:ascii="Arial" w:hAnsi="Arial" w:cs="Arial"/>
          <w:kern w:val="0"/>
        </w:rPr>
        <w:t>2023</w:t>
      </w:r>
      <w:r w:rsidR="00F30918" w:rsidRPr="00521AF5">
        <w:rPr>
          <w:rFonts w:ascii="Arial" w:hAnsi="Arial" w:cs="Arial"/>
          <w:kern w:val="0"/>
        </w:rPr>
        <w:t>)</w:t>
      </w:r>
      <w:r w:rsidRPr="00521AF5">
        <w:rPr>
          <w:rFonts w:ascii="Arial" w:hAnsi="Arial" w:cs="Arial"/>
          <w:kern w:val="0"/>
        </w:rPr>
        <w:t xml:space="preserve"> The American psychological Association’s practice guidelines</w:t>
      </w:r>
      <w:r w:rsidR="00F30918" w:rsidRPr="00521AF5">
        <w:rPr>
          <w:rFonts w:ascii="Arial" w:hAnsi="Arial" w:cs="Arial"/>
          <w:kern w:val="0"/>
        </w:rPr>
        <w:tab/>
      </w:r>
      <w:r w:rsidRPr="00521AF5">
        <w:rPr>
          <w:rFonts w:ascii="Arial" w:hAnsi="Arial" w:cs="Arial"/>
          <w:kern w:val="0"/>
        </w:rPr>
        <w:t>for men and boys: Are they hurting rather than helping male mental wellness?</w:t>
      </w:r>
      <w:r w:rsidR="00F30918" w:rsidRPr="00521AF5">
        <w:rPr>
          <w:rFonts w:ascii="Arial" w:hAnsi="Arial" w:cs="Arial"/>
          <w:kern w:val="0"/>
        </w:rPr>
        <w:lastRenderedPageBreak/>
        <w:tab/>
      </w:r>
      <w:r w:rsidRPr="00521AF5">
        <w:rPr>
          <w:rFonts w:ascii="Arial" w:hAnsi="Arial" w:cs="Arial"/>
          <w:i/>
          <w:iCs/>
          <w:kern w:val="0"/>
        </w:rPr>
        <w:t>New Ideas Psychol.</w:t>
      </w:r>
      <w:r w:rsidRPr="00521AF5">
        <w:rPr>
          <w:rFonts w:ascii="Arial" w:hAnsi="Arial" w:cs="Arial"/>
          <w:kern w:val="0"/>
        </w:rPr>
        <w:t xml:space="preserve"> 68, 100984.</w:t>
      </w:r>
      <w:r w:rsidR="00F30918" w:rsidRPr="00521AF5">
        <w:rPr>
          <w:rFonts w:ascii="Arial" w:hAnsi="Arial" w:cs="Arial"/>
          <w:kern w:val="0"/>
        </w:rPr>
        <w:tab/>
      </w:r>
      <w:r w:rsidRPr="00521AF5">
        <w:rPr>
          <w:rFonts w:ascii="Arial" w:hAnsi="Arial" w:cs="Arial"/>
          <w:kern w:val="0"/>
        </w:rPr>
        <w:t>https://doi.org/10.1016/j.newideapsych.2022.100984</w:t>
      </w:r>
    </w:p>
    <w:p w14:paraId="6D099989" w14:textId="278554FE" w:rsidR="00F3669D" w:rsidRPr="00521AF5" w:rsidRDefault="00F3669D" w:rsidP="00F3669D">
      <w:pPr>
        <w:pStyle w:val="Bibliography"/>
        <w:rPr>
          <w:rFonts w:ascii="Arial" w:hAnsi="Arial" w:cs="Arial"/>
          <w:kern w:val="0"/>
        </w:rPr>
      </w:pPr>
      <w:r w:rsidRPr="00521AF5">
        <w:rPr>
          <w:rFonts w:ascii="Arial" w:hAnsi="Arial" w:cs="Arial"/>
          <w:kern w:val="0"/>
        </w:rPr>
        <w:t>Fossey, E., Harvey, C., McDermott, F., Davidson, L.</w:t>
      </w:r>
      <w:r w:rsidR="00831047" w:rsidRPr="00521AF5">
        <w:rPr>
          <w:rFonts w:ascii="Arial" w:hAnsi="Arial" w:cs="Arial"/>
          <w:kern w:val="0"/>
        </w:rPr>
        <w:t xml:space="preserve"> (</w:t>
      </w:r>
      <w:r w:rsidRPr="00521AF5">
        <w:rPr>
          <w:rFonts w:ascii="Arial" w:hAnsi="Arial" w:cs="Arial"/>
          <w:kern w:val="0"/>
        </w:rPr>
        <w:t>2002</w:t>
      </w:r>
      <w:r w:rsidR="00831047" w:rsidRPr="00521AF5">
        <w:rPr>
          <w:rFonts w:ascii="Arial" w:hAnsi="Arial" w:cs="Arial"/>
          <w:kern w:val="0"/>
        </w:rPr>
        <w:t>)</w:t>
      </w:r>
      <w:r w:rsidRPr="00521AF5">
        <w:rPr>
          <w:rFonts w:ascii="Arial" w:hAnsi="Arial" w:cs="Arial"/>
          <w:kern w:val="0"/>
        </w:rPr>
        <w:t xml:space="preserve"> Understanding and</w:t>
      </w:r>
      <w:r w:rsidR="00831047" w:rsidRPr="00521AF5">
        <w:rPr>
          <w:rFonts w:ascii="Arial" w:hAnsi="Arial" w:cs="Arial"/>
          <w:kern w:val="0"/>
        </w:rPr>
        <w:tab/>
      </w:r>
      <w:r w:rsidRPr="00521AF5">
        <w:rPr>
          <w:rFonts w:ascii="Arial" w:hAnsi="Arial" w:cs="Arial"/>
          <w:kern w:val="0"/>
        </w:rPr>
        <w:t xml:space="preserve">evaluating qualitative research. </w:t>
      </w:r>
      <w:r w:rsidRPr="00521AF5">
        <w:rPr>
          <w:rFonts w:ascii="Arial" w:hAnsi="Arial" w:cs="Arial"/>
          <w:i/>
          <w:iCs/>
          <w:kern w:val="0"/>
        </w:rPr>
        <w:t>Aust. N. Z. J. Psychiatry</w:t>
      </w:r>
      <w:r w:rsidRPr="00521AF5">
        <w:rPr>
          <w:rFonts w:ascii="Arial" w:hAnsi="Arial" w:cs="Arial"/>
          <w:kern w:val="0"/>
        </w:rPr>
        <w:t xml:space="preserve"> 36, </w:t>
      </w:r>
      <w:r w:rsidR="00CB22B3" w:rsidRPr="00521AF5">
        <w:rPr>
          <w:rFonts w:ascii="Arial" w:hAnsi="Arial" w:cs="Arial"/>
          <w:kern w:val="0"/>
        </w:rPr>
        <w:t xml:space="preserve">pp. </w:t>
      </w:r>
      <w:r w:rsidRPr="00521AF5">
        <w:rPr>
          <w:rFonts w:ascii="Arial" w:hAnsi="Arial" w:cs="Arial"/>
          <w:kern w:val="0"/>
        </w:rPr>
        <w:t>717–732.</w:t>
      </w:r>
      <w:r w:rsidR="00831047" w:rsidRPr="00521AF5">
        <w:rPr>
          <w:rFonts w:ascii="Arial" w:hAnsi="Arial" w:cs="Arial"/>
          <w:kern w:val="0"/>
        </w:rPr>
        <w:tab/>
      </w:r>
      <w:r w:rsidRPr="00521AF5">
        <w:rPr>
          <w:rFonts w:ascii="Arial" w:hAnsi="Arial" w:cs="Arial"/>
          <w:kern w:val="0"/>
        </w:rPr>
        <w:t>https://doi.org/10.1046/j.1440-1614.2002.01100.x</w:t>
      </w:r>
    </w:p>
    <w:p w14:paraId="25A79CC3" w14:textId="47C80D8C" w:rsidR="00664964" w:rsidRPr="00521AF5" w:rsidRDefault="002B61D7" w:rsidP="002B61D7">
      <w:pPr>
        <w:rPr>
          <w:rFonts w:ascii="Arial" w:hAnsi="Arial" w:cs="Arial"/>
        </w:rPr>
      </w:pPr>
      <w:r w:rsidRPr="002B61D7">
        <w:rPr>
          <w:rFonts w:ascii="Arial" w:hAnsi="Arial" w:cs="Arial"/>
        </w:rPr>
        <w:t>Rogers, C. R. (1957). The Necessary and Sufficient Conditions of Therapeutic</w:t>
      </w:r>
      <w:r w:rsidRPr="00521AF5">
        <w:rPr>
          <w:rFonts w:ascii="Arial" w:hAnsi="Arial" w:cs="Arial"/>
        </w:rPr>
        <w:tab/>
      </w:r>
      <w:r w:rsidRPr="002B61D7">
        <w:rPr>
          <w:rFonts w:ascii="Arial" w:hAnsi="Arial" w:cs="Arial"/>
        </w:rPr>
        <w:t>Personality Change. Journal of Consulting Psychology, 21, 95-103.</w:t>
      </w:r>
      <w:r w:rsidRPr="00521AF5">
        <w:rPr>
          <w:rFonts w:ascii="Arial" w:hAnsi="Arial" w:cs="Arial"/>
        </w:rPr>
        <w:tab/>
      </w:r>
      <w:r w:rsidRPr="002B61D7">
        <w:rPr>
          <w:rFonts w:ascii="Arial" w:hAnsi="Arial" w:cs="Arial"/>
        </w:rPr>
        <w:t>http://dx.doi.org/10.1037/h0045357</w:t>
      </w:r>
    </w:p>
    <w:p w14:paraId="2454043F" w14:textId="3172A754" w:rsidR="00F3669D" w:rsidRPr="00521AF5" w:rsidRDefault="00F3669D" w:rsidP="00F3669D">
      <w:pPr>
        <w:pStyle w:val="Bibliography"/>
        <w:rPr>
          <w:rFonts w:ascii="Arial" w:hAnsi="Arial" w:cs="Arial"/>
          <w:kern w:val="0"/>
        </w:rPr>
      </w:pPr>
      <w:r w:rsidRPr="00521AF5">
        <w:rPr>
          <w:rFonts w:ascii="Arial" w:hAnsi="Arial" w:cs="Arial"/>
          <w:kern w:val="0"/>
        </w:rPr>
        <w:t>Hill, C.E., Corbett, M.M.</w:t>
      </w:r>
      <w:r w:rsidR="00831047" w:rsidRPr="00521AF5">
        <w:rPr>
          <w:rFonts w:ascii="Arial" w:hAnsi="Arial" w:cs="Arial"/>
          <w:kern w:val="0"/>
        </w:rPr>
        <w:t xml:space="preserve"> (</w:t>
      </w:r>
      <w:r w:rsidRPr="00521AF5">
        <w:rPr>
          <w:rFonts w:ascii="Arial" w:hAnsi="Arial" w:cs="Arial"/>
          <w:kern w:val="0"/>
        </w:rPr>
        <w:t>1993</w:t>
      </w:r>
      <w:r w:rsidR="00831047" w:rsidRPr="00521AF5">
        <w:rPr>
          <w:rFonts w:ascii="Arial" w:hAnsi="Arial" w:cs="Arial"/>
          <w:kern w:val="0"/>
        </w:rPr>
        <w:t>)</w:t>
      </w:r>
      <w:r w:rsidRPr="00521AF5">
        <w:rPr>
          <w:rFonts w:ascii="Arial" w:hAnsi="Arial" w:cs="Arial"/>
          <w:kern w:val="0"/>
        </w:rPr>
        <w:t xml:space="preserve"> A perspective on the history of process and outcome</w:t>
      </w:r>
      <w:r w:rsidR="00831047" w:rsidRPr="00521AF5">
        <w:rPr>
          <w:rFonts w:ascii="Arial" w:hAnsi="Arial" w:cs="Arial"/>
          <w:kern w:val="0"/>
        </w:rPr>
        <w:tab/>
      </w:r>
      <w:r w:rsidRPr="00521AF5">
        <w:rPr>
          <w:rFonts w:ascii="Arial" w:hAnsi="Arial" w:cs="Arial"/>
          <w:kern w:val="0"/>
        </w:rPr>
        <w:t>research in counseling psychology.</w:t>
      </w:r>
      <w:r w:rsidRPr="00521AF5">
        <w:rPr>
          <w:rFonts w:ascii="Arial" w:hAnsi="Arial" w:cs="Arial"/>
          <w:i/>
          <w:iCs/>
          <w:kern w:val="0"/>
        </w:rPr>
        <w:t xml:space="preserve"> J. Couns. Psychol</w:t>
      </w:r>
      <w:r w:rsidRPr="00521AF5">
        <w:rPr>
          <w:rFonts w:ascii="Arial" w:hAnsi="Arial" w:cs="Arial"/>
          <w:kern w:val="0"/>
        </w:rPr>
        <w:t xml:space="preserve">. 40, </w:t>
      </w:r>
      <w:r w:rsidR="00CB22B3" w:rsidRPr="00521AF5">
        <w:rPr>
          <w:rFonts w:ascii="Arial" w:hAnsi="Arial" w:cs="Arial"/>
          <w:kern w:val="0"/>
        </w:rPr>
        <w:t xml:space="preserve">pp. </w:t>
      </w:r>
      <w:r w:rsidRPr="00521AF5">
        <w:rPr>
          <w:rFonts w:ascii="Arial" w:hAnsi="Arial" w:cs="Arial"/>
          <w:kern w:val="0"/>
        </w:rPr>
        <w:t>3–24.</w:t>
      </w:r>
      <w:r w:rsidR="00831047" w:rsidRPr="00521AF5">
        <w:rPr>
          <w:rFonts w:ascii="Arial" w:hAnsi="Arial" w:cs="Arial"/>
          <w:kern w:val="0"/>
        </w:rPr>
        <w:tab/>
      </w:r>
      <w:r w:rsidRPr="00521AF5">
        <w:rPr>
          <w:rFonts w:ascii="Arial" w:hAnsi="Arial" w:cs="Arial"/>
          <w:kern w:val="0"/>
        </w:rPr>
        <w:t>https://doi.org/10.1037/0022-0167.40.1.3</w:t>
      </w:r>
    </w:p>
    <w:p w14:paraId="4633B8E2" w14:textId="0C55FD51" w:rsidR="00F3669D" w:rsidRPr="00521AF5" w:rsidRDefault="00F3669D" w:rsidP="00F3669D">
      <w:pPr>
        <w:pStyle w:val="Bibliography"/>
        <w:rPr>
          <w:rFonts w:ascii="Arial" w:hAnsi="Arial" w:cs="Arial"/>
          <w:kern w:val="0"/>
        </w:rPr>
      </w:pPr>
      <w:r w:rsidRPr="00521AF5">
        <w:rPr>
          <w:rFonts w:ascii="Arial" w:hAnsi="Arial" w:cs="Arial"/>
          <w:kern w:val="0"/>
        </w:rPr>
        <w:t>Marogna, C., Vincenzo, C.D., Lleshi, K., Paluan, E., Giannotti, A.V</w:t>
      </w:r>
      <w:r w:rsidR="00831047" w:rsidRPr="00521AF5">
        <w:rPr>
          <w:rFonts w:ascii="Arial" w:hAnsi="Arial" w:cs="Arial"/>
          <w:kern w:val="0"/>
        </w:rPr>
        <w:t>. (</w:t>
      </w:r>
      <w:r w:rsidRPr="00521AF5">
        <w:rPr>
          <w:rFonts w:ascii="Arial" w:hAnsi="Arial" w:cs="Arial"/>
          <w:kern w:val="0"/>
        </w:rPr>
        <w:t>2025</w:t>
      </w:r>
      <w:r w:rsidR="00831047" w:rsidRPr="00521AF5">
        <w:rPr>
          <w:rFonts w:ascii="Arial" w:hAnsi="Arial" w:cs="Arial"/>
          <w:kern w:val="0"/>
        </w:rPr>
        <w:t>)</w:t>
      </w:r>
      <w:r w:rsidRPr="00521AF5">
        <w:rPr>
          <w:rFonts w:ascii="Arial" w:hAnsi="Arial" w:cs="Arial"/>
          <w:kern w:val="0"/>
        </w:rPr>
        <w:t xml:space="preserve"> Research</w:t>
      </w:r>
      <w:r w:rsidR="00831047" w:rsidRPr="00521AF5">
        <w:rPr>
          <w:rFonts w:ascii="Arial" w:hAnsi="Arial" w:cs="Arial"/>
          <w:kern w:val="0"/>
        </w:rPr>
        <w:tab/>
      </w:r>
      <w:r w:rsidRPr="00521AF5">
        <w:rPr>
          <w:rFonts w:ascii="Arial" w:hAnsi="Arial" w:cs="Arial"/>
          <w:kern w:val="0"/>
        </w:rPr>
        <w:t>in psychoanalysis across theory and practice: a systematic literature review.</w:t>
      </w:r>
      <w:r w:rsidR="00831047" w:rsidRPr="00521AF5">
        <w:rPr>
          <w:rFonts w:ascii="Arial" w:hAnsi="Arial" w:cs="Arial"/>
          <w:kern w:val="0"/>
        </w:rPr>
        <w:tab/>
      </w:r>
      <w:r w:rsidRPr="00521AF5">
        <w:rPr>
          <w:rFonts w:ascii="Arial" w:hAnsi="Arial" w:cs="Arial"/>
          <w:i/>
          <w:iCs/>
          <w:kern w:val="0"/>
        </w:rPr>
        <w:t>Res. Psychother. Psychopathol. Process Outcome</w:t>
      </w:r>
      <w:r w:rsidRPr="00521AF5">
        <w:rPr>
          <w:rFonts w:ascii="Arial" w:hAnsi="Arial" w:cs="Arial"/>
          <w:kern w:val="0"/>
        </w:rPr>
        <w:t xml:space="preserve"> 28.</w:t>
      </w:r>
      <w:r w:rsidR="00831047" w:rsidRPr="00521AF5">
        <w:rPr>
          <w:rFonts w:ascii="Arial" w:hAnsi="Arial" w:cs="Arial"/>
          <w:kern w:val="0"/>
        </w:rPr>
        <w:tab/>
      </w:r>
      <w:r w:rsidRPr="00521AF5">
        <w:rPr>
          <w:rFonts w:ascii="Arial" w:hAnsi="Arial" w:cs="Arial"/>
          <w:kern w:val="0"/>
        </w:rPr>
        <w:t>https://doi.org/10.4081/ripppo.2025.861</w:t>
      </w:r>
    </w:p>
    <w:p w14:paraId="49488154" w14:textId="3ECF1A7F" w:rsidR="00F3669D" w:rsidRPr="00521AF5" w:rsidRDefault="00F3669D" w:rsidP="00F3669D">
      <w:pPr>
        <w:pStyle w:val="Bibliography"/>
        <w:rPr>
          <w:rFonts w:ascii="Arial" w:hAnsi="Arial" w:cs="Arial"/>
          <w:kern w:val="0"/>
        </w:rPr>
      </w:pPr>
      <w:r w:rsidRPr="00521AF5">
        <w:rPr>
          <w:rFonts w:ascii="Arial" w:hAnsi="Arial" w:cs="Arial"/>
          <w:kern w:val="0"/>
        </w:rPr>
        <w:t>McLeod</w:t>
      </w:r>
      <w:r w:rsidR="00831047" w:rsidRPr="00521AF5">
        <w:rPr>
          <w:rFonts w:ascii="Arial" w:hAnsi="Arial" w:cs="Arial"/>
          <w:kern w:val="0"/>
        </w:rPr>
        <w:t>,</w:t>
      </w:r>
      <w:r w:rsidRPr="00521AF5">
        <w:rPr>
          <w:rFonts w:ascii="Arial" w:hAnsi="Arial" w:cs="Arial"/>
          <w:kern w:val="0"/>
        </w:rPr>
        <w:t xml:space="preserve"> J</w:t>
      </w:r>
      <w:r w:rsidR="00831047" w:rsidRPr="00521AF5">
        <w:rPr>
          <w:rFonts w:ascii="Arial" w:hAnsi="Arial" w:cs="Arial"/>
          <w:kern w:val="0"/>
        </w:rPr>
        <w:t>.</w:t>
      </w:r>
      <w:r w:rsidRPr="00521AF5">
        <w:rPr>
          <w:rFonts w:ascii="Arial" w:hAnsi="Arial" w:cs="Arial"/>
          <w:kern w:val="0"/>
        </w:rPr>
        <w:t xml:space="preserve"> </w:t>
      </w:r>
      <w:r w:rsidR="00831047" w:rsidRPr="00521AF5">
        <w:rPr>
          <w:rFonts w:ascii="Arial" w:hAnsi="Arial" w:cs="Arial"/>
          <w:kern w:val="0"/>
        </w:rPr>
        <w:t>(</w:t>
      </w:r>
      <w:r w:rsidRPr="00521AF5">
        <w:rPr>
          <w:rFonts w:ascii="Arial" w:hAnsi="Arial" w:cs="Arial"/>
          <w:kern w:val="0"/>
        </w:rPr>
        <w:t>2011</w:t>
      </w:r>
      <w:r w:rsidR="00831047" w:rsidRPr="00521AF5">
        <w:rPr>
          <w:rFonts w:ascii="Arial" w:hAnsi="Arial" w:cs="Arial"/>
          <w:kern w:val="0"/>
        </w:rPr>
        <w:t xml:space="preserve">) </w:t>
      </w:r>
      <w:r w:rsidRPr="00521AF5">
        <w:rPr>
          <w:rFonts w:ascii="Arial" w:hAnsi="Arial" w:cs="Arial"/>
          <w:i/>
          <w:iCs/>
          <w:kern w:val="0"/>
        </w:rPr>
        <w:t>Qualitative research in counselling and psychotherapy</w:t>
      </w:r>
      <w:r w:rsidRPr="00521AF5">
        <w:rPr>
          <w:rFonts w:ascii="Arial" w:hAnsi="Arial" w:cs="Arial"/>
          <w:kern w:val="0"/>
        </w:rPr>
        <w:t>, 2nd ed.</w:t>
      </w:r>
      <w:r w:rsidR="00831047" w:rsidRPr="00521AF5">
        <w:rPr>
          <w:rFonts w:ascii="Arial" w:hAnsi="Arial" w:cs="Arial"/>
          <w:kern w:val="0"/>
        </w:rPr>
        <w:tab/>
      </w:r>
      <w:r w:rsidRPr="00521AF5">
        <w:rPr>
          <w:rFonts w:ascii="Arial" w:hAnsi="Arial" w:cs="Arial"/>
          <w:kern w:val="0"/>
        </w:rPr>
        <w:t>ed. SAGE, London.</w:t>
      </w:r>
    </w:p>
    <w:p w14:paraId="7D965B70" w14:textId="32D746AB" w:rsidR="00F3669D" w:rsidRPr="00521AF5" w:rsidRDefault="00F3669D" w:rsidP="00F3669D">
      <w:pPr>
        <w:pStyle w:val="Bibliography"/>
        <w:rPr>
          <w:rFonts w:ascii="Arial" w:hAnsi="Arial" w:cs="Arial"/>
          <w:kern w:val="0"/>
        </w:rPr>
      </w:pPr>
      <w:r w:rsidRPr="00521AF5">
        <w:rPr>
          <w:rFonts w:ascii="Arial" w:hAnsi="Arial" w:cs="Arial"/>
          <w:kern w:val="0"/>
        </w:rPr>
        <w:t>McLeod, S.</w:t>
      </w:r>
      <w:r w:rsidR="00314F61" w:rsidRPr="00521AF5">
        <w:rPr>
          <w:rFonts w:ascii="Arial" w:hAnsi="Arial" w:cs="Arial"/>
          <w:kern w:val="0"/>
        </w:rPr>
        <w:t xml:space="preserve"> (</w:t>
      </w:r>
      <w:r w:rsidRPr="00521AF5">
        <w:rPr>
          <w:rFonts w:ascii="Arial" w:hAnsi="Arial" w:cs="Arial"/>
          <w:kern w:val="0"/>
        </w:rPr>
        <w:t>2024</w:t>
      </w:r>
      <w:r w:rsidR="00314F61" w:rsidRPr="00521AF5">
        <w:rPr>
          <w:rFonts w:ascii="Arial" w:hAnsi="Arial" w:cs="Arial"/>
          <w:kern w:val="0"/>
        </w:rPr>
        <w:t>)</w:t>
      </w:r>
      <w:r w:rsidRPr="00521AF5">
        <w:rPr>
          <w:rFonts w:ascii="Arial" w:hAnsi="Arial" w:cs="Arial"/>
          <w:kern w:val="0"/>
        </w:rPr>
        <w:t xml:space="preserve"> </w:t>
      </w:r>
      <w:r w:rsidRPr="00521AF5">
        <w:rPr>
          <w:rFonts w:ascii="Arial" w:hAnsi="Arial" w:cs="Arial"/>
          <w:i/>
          <w:iCs/>
          <w:kern w:val="0"/>
        </w:rPr>
        <w:t>Narrative Analysis In Qualitative Research.</w:t>
      </w:r>
      <w:r w:rsidR="00314F61" w:rsidRPr="00521AF5">
        <w:rPr>
          <w:rFonts w:ascii="Arial" w:hAnsi="Arial" w:cs="Arial"/>
          <w:kern w:val="0"/>
        </w:rPr>
        <w:tab/>
      </w:r>
      <w:r w:rsidRPr="00521AF5">
        <w:rPr>
          <w:rFonts w:ascii="Arial" w:hAnsi="Arial" w:cs="Arial"/>
          <w:kern w:val="0"/>
        </w:rPr>
        <w:t>https://doi.org/10.13140/RG.2.2.30491.07200</w:t>
      </w:r>
    </w:p>
    <w:p w14:paraId="22D38110" w14:textId="41EC9901" w:rsidR="00C63AEF" w:rsidRPr="00521AF5" w:rsidRDefault="00C63AEF" w:rsidP="00C63AEF">
      <w:pPr>
        <w:rPr>
          <w:rFonts w:ascii="Arial" w:hAnsi="Arial" w:cs="Arial"/>
        </w:rPr>
      </w:pPr>
      <w:r w:rsidRPr="00521AF5">
        <w:rPr>
          <w:rFonts w:ascii="Arial" w:hAnsi="Arial" w:cs="Arial"/>
        </w:rPr>
        <w:t>Mearns, D., &amp; Cooper, M. (20</w:t>
      </w:r>
      <w:r w:rsidR="0096357A" w:rsidRPr="00521AF5">
        <w:rPr>
          <w:rFonts w:ascii="Arial" w:hAnsi="Arial" w:cs="Arial"/>
        </w:rPr>
        <w:t>18</w:t>
      </w:r>
      <w:r w:rsidRPr="00521AF5">
        <w:rPr>
          <w:rFonts w:ascii="Arial" w:hAnsi="Arial" w:cs="Arial"/>
        </w:rPr>
        <w:t>). </w:t>
      </w:r>
      <w:r w:rsidRPr="00521AF5">
        <w:rPr>
          <w:rFonts w:ascii="Arial" w:hAnsi="Arial" w:cs="Arial"/>
          <w:i/>
          <w:iCs/>
        </w:rPr>
        <w:t>Working at relational depth in counselling and</w:t>
      </w:r>
      <w:r w:rsidR="00314F61" w:rsidRPr="00521AF5">
        <w:rPr>
          <w:rFonts w:ascii="Arial" w:hAnsi="Arial" w:cs="Arial"/>
          <w:i/>
          <w:iCs/>
        </w:rPr>
        <w:tab/>
      </w:r>
      <w:r w:rsidRPr="00521AF5">
        <w:rPr>
          <w:rFonts w:ascii="Arial" w:hAnsi="Arial" w:cs="Arial"/>
          <w:i/>
          <w:iCs/>
        </w:rPr>
        <w:t>psychotherapy</w:t>
      </w:r>
      <w:r w:rsidRPr="00521AF5">
        <w:rPr>
          <w:rFonts w:ascii="Arial" w:hAnsi="Arial" w:cs="Arial"/>
        </w:rPr>
        <w:t>. SAGE.</w:t>
      </w:r>
    </w:p>
    <w:p w14:paraId="0C3ED56C" w14:textId="52CCF8AC" w:rsidR="00F3669D" w:rsidRPr="00521AF5" w:rsidRDefault="00F3669D" w:rsidP="00F3669D">
      <w:pPr>
        <w:pStyle w:val="Bibliography"/>
        <w:rPr>
          <w:rFonts w:ascii="Arial" w:hAnsi="Arial" w:cs="Arial"/>
          <w:kern w:val="0"/>
        </w:rPr>
      </w:pPr>
      <w:r w:rsidRPr="00521AF5">
        <w:rPr>
          <w:rFonts w:ascii="Arial" w:hAnsi="Arial" w:cs="Arial"/>
          <w:kern w:val="0"/>
        </w:rPr>
        <w:t>Morrison, T</w:t>
      </w:r>
      <w:r w:rsidR="00314F61" w:rsidRPr="00521AF5">
        <w:rPr>
          <w:rFonts w:ascii="Arial" w:hAnsi="Arial" w:cs="Arial"/>
          <w:kern w:val="0"/>
        </w:rPr>
        <w:t>. (</w:t>
      </w:r>
      <w:r w:rsidRPr="00521AF5">
        <w:rPr>
          <w:rFonts w:ascii="Arial" w:hAnsi="Arial" w:cs="Arial"/>
          <w:kern w:val="0"/>
        </w:rPr>
        <w:t>2025</w:t>
      </w:r>
      <w:r w:rsidR="00314F61" w:rsidRPr="00521AF5">
        <w:rPr>
          <w:rFonts w:ascii="Arial" w:hAnsi="Arial" w:cs="Arial"/>
          <w:kern w:val="0"/>
        </w:rPr>
        <w:t>)</w:t>
      </w:r>
      <w:r w:rsidRPr="00521AF5">
        <w:rPr>
          <w:rFonts w:ascii="Arial" w:hAnsi="Arial" w:cs="Arial"/>
          <w:kern w:val="0"/>
        </w:rPr>
        <w:t xml:space="preserve"> Mixed Methods Interpretative Phenomenological Analysis:</w:t>
      </w:r>
      <w:r w:rsidR="00314F61" w:rsidRPr="00521AF5">
        <w:rPr>
          <w:rFonts w:ascii="Arial" w:hAnsi="Arial" w:cs="Arial"/>
          <w:kern w:val="0"/>
        </w:rPr>
        <w:tab/>
      </w:r>
      <w:r w:rsidRPr="00521AF5">
        <w:rPr>
          <w:rFonts w:ascii="Arial" w:hAnsi="Arial" w:cs="Arial"/>
          <w:kern w:val="0"/>
        </w:rPr>
        <w:t xml:space="preserve">Bridging Lived Experience and Contextual Complexity. </w:t>
      </w:r>
      <w:r w:rsidRPr="00521AF5">
        <w:rPr>
          <w:rFonts w:ascii="Arial" w:hAnsi="Arial" w:cs="Arial"/>
          <w:i/>
          <w:iCs/>
          <w:kern w:val="0"/>
        </w:rPr>
        <w:t>Int. J. Qual. Methods</w:t>
      </w:r>
      <w:r w:rsidR="00314F61" w:rsidRPr="00521AF5">
        <w:rPr>
          <w:rFonts w:ascii="Arial" w:hAnsi="Arial" w:cs="Arial"/>
          <w:kern w:val="0"/>
        </w:rPr>
        <w:tab/>
      </w:r>
      <w:r w:rsidRPr="00521AF5">
        <w:rPr>
          <w:rFonts w:ascii="Arial" w:hAnsi="Arial" w:cs="Arial"/>
          <w:kern w:val="0"/>
        </w:rPr>
        <w:t>24, 16094069251400179. https://doi.org/10.1177/16094069251400179</w:t>
      </w:r>
    </w:p>
    <w:p w14:paraId="289D7C3E" w14:textId="2292EB7F" w:rsidR="00F3669D" w:rsidRPr="00521AF5" w:rsidRDefault="00F3669D" w:rsidP="00F3669D">
      <w:pPr>
        <w:pStyle w:val="Bibliography"/>
        <w:rPr>
          <w:rFonts w:ascii="Arial" w:hAnsi="Arial" w:cs="Arial"/>
          <w:kern w:val="0"/>
        </w:rPr>
      </w:pPr>
      <w:r w:rsidRPr="00521AF5">
        <w:rPr>
          <w:rFonts w:ascii="Arial" w:hAnsi="Arial" w:cs="Arial"/>
          <w:kern w:val="0"/>
        </w:rPr>
        <w:t>Scaffidi, J., Wilson, M.J., Seidler, Z.E., O’Shea, M.</w:t>
      </w:r>
      <w:r w:rsidR="00314F61" w:rsidRPr="00521AF5">
        <w:rPr>
          <w:rFonts w:ascii="Arial" w:hAnsi="Arial" w:cs="Arial"/>
          <w:kern w:val="0"/>
        </w:rPr>
        <w:t xml:space="preserve"> (</w:t>
      </w:r>
      <w:r w:rsidRPr="00521AF5">
        <w:rPr>
          <w:rFonts w:ascii="Arial" w:hAnsi="Arial" w:cs="Arial"/>
          <w:kern w:val="0"/>
        </w:rPr>
        <w:t>2025</w:t>
      </w:r>
      <w:r w:rsidR="00314F61" w:rsidRPr="00521AF5">
        <w:rPr>
          <w:rFonts w:ascii="Arial" w:hAnsi="Arial" w:cs="Arial"/>
          <w:kern w:val="0"/>
        </w:rPr>
        <w:t>)</w:t>
      </w:r>
      <w:r w:rsidRPr="00521AF5">
        <w:rPr>
          <w:rFonts w:ascii="Arial" w:hAnsi="Arial" w:cs="Arial"/>
          <w:kern w:val="0"/>
        </w:rPr>
        <w:t xml:space="preserve"> Expectations versus</w:t>
      </w:r>
      <w:r w:rsidR="00314F61" w:rsidRPr="00521AF5">
        <w:rPr>
          <w:rFonts w:ascii="Arial" w:hAnsi="Arial" w:cs="Arial"/>
          <w:kern w:val="0"/>
        </w:rPr>
        <w:tab/>
      </w:r>
      <w:r w:rsidRPr="00521AF5">
        <w:rPr>
          <w:rFonts w:ascii="Arial" w:hAnsi="Arial" w:cs="Arial"/>
          <w:kern w:val="0"/>
        </w:rPr>
        <w:t xml:space="preserve">reality: psychology trainees’ experiences working with men. </w:t>
      </w:r>
      <w:r w:rsidRPr="00521AF5">
        <w:rPr>
          <w:rFonts w:ascii="Arial" w:hAnsi="Arial" w:cs="Arial"/>
          <w:i/>
          <w:iCs/>
          <w:kern w:val="0"/>
        </w:rPr>
        <w:t>Couns. Psychol.</w:t>
      </w:r>
      <w:r w:rsidR="00314F61" w:rsidRPr="00521AF5">
        <w:rPr>
          <w:rFonts w:ascii="Arial" w:hAnsi="Arial" w:cs="Arial"/>
          <w:i/>
          <w:iCs/>
          <w:kern w:val="0"/>
        </w:rPr>
        <w:tab/>
      </w:r>
      <w:r w:rsidRPr="00521AF5">
        <w:rPr>
          <w:rFonts w:ascii="Arial" w:hAnsi="Arial" w:cs="Arial"/>
          <w:i/>
          <w:iCs/>
          <w:kern w:val="0"/>
        </w:rPr>
        <w:t>Q</w:t>
      </w:r>
      <w:r w:rsidRPr="00521AF5">
        <w:rPr>
          <w:rFonts w:ascii="Arial" w:hAnsi="Arial" w:cs="Arial"/>
          <w:kern w:val="0"/>
        </w:rPr>
        <w:t>. 38,</w:t>
      </w:r>
      <w:r w:rsidR="00CB22B3" w:rsidRPr="00521AF5">
        <w:rPr>
          <w:rFonts w:ascii="Arial" w:hAnsi="Arial" w:cs="Arial"/>
          <w:kern w:val="0"/>
        </w:rPr>
        <w:t xml:space="preserve"> pp. </w:t>
      </w:r>
      <w:r w:rsidRPr="00521AF5">
        <w:rPr>
          <w:rFonts w:ascii="Arial" w:hAnsi="Arial" w:cs="Arial"/>
          <w:kern w:val="0"/>
        </w:rPr>
        <w:t xml:space="preserve"> 251–269. https://doi.org/10.1080/09515070.2024.2373474</w:t>
      </w:r>
    </w:p>
    <w:p w14:paraId="3CB41025" w14:textId="2DAC5D5A" w:rsidR="00F3669D" w:rsidRPr="00521AF5" w:rsidRDefault="00F3669D" w:rsidP="00F3669D">
      <w:pPr>
        <w:pStyle w:val="Bibliography"/>
        <w:rPr>
          <w:rFonts w:ascii="Arial" w:hAnsi="Arial" w:cs="Arial"/>
          <w:kern w:val="0"/>
        </w:rPr>
      </w:pPr>
      <w:r w:rsidRPr="00521AF5">
        <w:rPr>
          <w:rFonts w:ascii="Arial" w:hAnsi="Arial" w:cs="Arial"/>
          <w:kern w:val="0"/>
        </w:rPr>
        <w:t>Schramm, E., Rapee, R., Furukawa, T.A.</w:t>
      </w:r>
      <w:r w:rsidR="00314F61" w:rsidRPr="00521AF5">
        <w:rPr>
          <w:rFonts w:ascii="Arial" w:hAnsi="Arial" w:cs="Arial"/>
          <w:kern w:val="0"/>
        </w:rPr>
        <w:t xml:space="preserve"> (</w:t>
      </w:r>
      <w:r w:rsidRPr="00521AF5">
        <w:rPr>
          <w:rFonts w:ascii="Arial" w:hAnsi="Arial" w:cs="Arial"/>
          <w:kern w:val="0"/>
        </w:rPr>
        <w:t>2021</w:t>
      </w:r>
      <w:r w:rsidR="00314F61" w:rsidRPr="00521AF5">
        <w:rPr>
          <w:rFonts w:ascii="Arial" w:hAnsi="Arial" w:cs="Arial"/>
          <w:kern w:val="0"/>
        </w:rPr>
        <w:t>)</w:t>
      </w:r>
      <w:r w:rsidRPr="00521AF5">
        <w:rPr>
          <w:rFonts w:ascii="Arial" w:hAnsi="Arial" w:cs="Arial"/>
          <w:kern w:val="0"/>
        </w:rPr>
        <w:t xml:space="preserve"> Time for a paradigm shift for</w:t>
      </w:r>
      <w:r w:rsidR="00314F61" w:rsidRPr="00521AF5">
        <w:rPr>
          <w:rFonts w:ascii="Arial" w:hAnsi="Arial" w:cs="Arial"/>
          <w:kern w:val="0"/>
        </w:rPr>
        <w:tab/>
      </w:r>
      <w:r w:rsidRPr="00521AF5">
        <w:rPr>
          <w:rFonts w:ascii="Arial" w:hAnsi="Arial" w:cs="Arial"/>
          <w:kern w:val="0"/>
        </w:rPr>
        <w:t xml:space="preserve">psychotherapies? </w:t>
      </w:r>
      <w:r w:rsidRPr="00521AF5">
        <w:rPr>
          <w:rFonts w:ascii="Arial" w:hAnsi="Arial" w:cs="Arial"/>
          <w:i/>
          <w:iCs/>
          <w:kern w:val="0"/>
        </w:rPr>
        <w:t>Evid. Based Ment. Health</w:t>
      </w:r>
      <w:r w:rsidRPr="00521AF5">
        <w:rPr>
          <w:rFonts w:ascii="Arial" w:hAnsi="Arial" w:cs="Arial"/>
          <w:kern w:val="0"/>
        </w:rPr>
        <w:t xml:space="preserve"> 24, </w:t>
      </w:r>
      <w:r w:rsidR="00CB22B3" w:rsidRPr="00521AF5">
        <w:rPr>
          <w:rFonts w:ascii="Arial" w:hAnsi="Arial" w:cs="Arial"/>
          <w:kern w:val="0"/>
        </w:rPr>
        <w:t xml:space="preserve">pp. </w:t>
      </w:r>
      <w:r w:rsidRPr="00521AF5">
        <w:rPr>
          <w:rFonts w:ascii="Arial" w:hAnsi="Arial" w:cs="Arial"/>
          <w:kern w:val="0"/>
        </w:rPr>
        <w:t>1–1.</w:t>
      </w:r>
      <w:r w:rsidR="00314F61" w:rsidRPr="00521AF5">
        <w:rPr>
          <w:rFonts w:ascii="Arial" w:hAnsi="Arial" w:cs="Arial"/>
          <w:kern w:val="0"/>
        </w:rPr>
        <w:tab/>
      </w:r>
      <w:r w:rsidRPr="00521AF5">
        <w:rPr>
          <w:rFonts w:ascii="Arial" w:hAnsi="Arial" w:cs="Arial"/>
          <w:kern w:val="0"/>
        </w:rPr>
        <w:t>https://doi.org/10.1136/ebmental-2020-300239</w:t>
      </w:r>
    </w:p>
    <w:p w14:paraId="62DC2911" w14:textId="21DCB572" w:rsidR="00F3669D" w:rsidRPr="00521AF5" w:rsidRDefault="00F3669D" w:rsidP="00F3669D">
      <w:pPr>
        <w:pStyle w:val="Bibliography"/>
        <w:rPr>
          <w:rFonts w:ascii="Arial" w:hAnsi="Arial" w:cs="Arial"/>
          <w:kern w:val="0"/>
        </w:rPr>
      </w:pPr>
      <w:r w:rsidRPr="00521AF5">
        <w:rPr>
          <w:rFonts w:ascii="Arial" w:hAnsi="Arial" w:cs="Arial"/>
          <w:kern w:val="0"/>
        </w:rPr>
        <w:t>Seidler, Z.E., Wilson, M.J., Trail, K., Rice, S.M., Kealy, D., Ogrodniczuk, J.S., Oliffe,</w:t>
      </w:r>
      <w:r w:rsidR="00FA70B4" w:rsidRPr="00521AF5">
        <w:rPr>
          <w:rFonts w:ascii="Arial" w:hAnsi="Arial" w:cs="Arial"/>
          <w:kern w:val="0"/>
        </w:rPr>
        <w:tab/>
      </w:r>
      <w:r w:rsidRPr="00521AF5">
        <w:rPr>
          <w:rFonts w:ascii="Arial" w:hAnsi="Arial" w:cs="Arial"/>
          <w:kern w:val="0"/>
        </w:rPr>
        <w:t>J.L.</w:t>
      </w:r>
      <w:r w:rsidR="00314F61" w:rsidRPr="00521AF5">
        <w:rPr>
          <w:rFonts w:ascii="Arial" w:hAnsi="Arial" w:cs="Arial"/>
          <w:kern w:val="0"/>
        </w:rPr>
        <w:t xml:space="preserve"> (</w:t>
      </w:r>
      <w:r w:rsidRPr="00521AF5">
        <w:rPr>
          <w:rFonts w:ascii="Arial" w:hAnsi="Arial" w:cs="Arial"/>
          <w:kern w:val="0"/>
        </w:rPr>
        <w:t>202</w:t>
      </w:r>
      <w:r w:rsidR="00314F61" w:rsidRPr="00521AF5">
        <w:rPr>
          <w:rFonts w:ascii="Arial" w:hAnsi="Arial" w:cs="Arial"/>
          <w:kern w:val="0"/>
        </w:rPr>
        <w:t>0</w:t>
      </w:r>
      <w:r w:rsidR="00FA70B4" w:rsidRPr="00521AF5">
        <w:rPr>
          <w:rFonts w:ascii="Arial" w:hAnsi="Arial" w:cs="Arial"/>
          <w:kern w:val="0"/>
        </w:rPr>
        <w:t>)</w:t>
      </w:r>
      <w:r w:rsidRPr="00521AF5">
        <w:rPr>
          <w:rFonts w:ascii="Arial" w:hAnsi="Arial" w:cs="Arial"/>
          <w:kern w:val="0"/>
        </w:rPr>
        <w:t xml:space="preserve"> Challenges working with men: Australian therapists’ perspectives.</w:t>
      </w:r>
      <w:r w:rsidR="00FA70B4" w:rsidRPr="00521AF5">
        <w:rPr>
          <w:rFonts w:ascii="Arial" w:hAnsi="Arial" w:cs="Arial"/>
          <w:kern w:val="0"/>
        </w:rPr>
        <w:tab/>
      </w:r>
      <w:r w:rsidRPr="00521AF5">
        <w:rPr>
          <w:rFonts w:ascii="Arial" w:hAnsi="Arial" w:cs="Arial"/>
          <w:i/>
          <w:iCs/>
          <w:kern w:val="0"/>
        </w:rPr>
        <w:t>J. Clin. Psychol.</w:t>
      </w:r>
      <w:r w:rsidRPr="00521AF5">
        <w:rPr>
          <w:rFonts w:ascii="Arial" w:hAnsi="Arial" w:cs="Arial"/>
          <w:kern w:val="0"/>
        </w:rPr>
        <w:t xml:space="preserve"> 77, </w:t>
      </w:r>
      <w:r w:rsidR="00CB22B3" w:rsidRPr="00521AF5">
        <w:rPr>
          <w:rFonts w:ascii="Arial" w:hAnsi="Arial" w:cs="Arial"/>
          <w:kern w:val="0"/>
        </w:rPr>
        <w:t xml:space="preserve">pp. </w:t>
      </w:r>
      <w:r w:rsidRPr="00521AF5">
        <w:rPr>
          <w:rFonts w:ascii="Arial" w:hAnsi="Arial" w:cs="Arial"/>
          <w:kern w:val="0"/>
        </w:rPr>
        <w:t>2781–2797. https://doi.org/10.1002/jclp.23257</w:t>
      </w:r>
    </w:p>
    <w:p w14:paraId="027ECBDB" w14:textId="3D45697B" w:rsidR="00B1025F" w:rsidRPr="00521AF5" w:rsidRDefault="00F3669D" w:rsidP="00B1025F">
      <w:pPr>
        <w:pStyle w:val="Bibliography"/>
        <w:rPr>
          <w:rFonts w:ascii="Arial" w:hAnsi="Arial" w:cs="Arial"/>
          <w:kern w:val="0"/>
        </w:rPr>
      </w:pPr>
      <w:r w:rsidRPr="00521AF5">
        <w:rPr>
          <w:rFonts w:ascii="Arial" w:hAnsi="Arial" w:cs="Arial"/>
          <w:kern w:val="0"/>
        </w:rPr>
        <w:t>Smith, M., Glass, G.</w:t>
      </w:r>
      <w:r w:rsidR="00FA70B4" w:rsidRPr="00521AF5">
        <w:rPr>
          <w:rFonts w:ascii="Arial" w:hAnsi="Arial" w:cs="Arial"/>
          <w:kern w:val="0"/>
        </w:rPr>
        <w:t xml:space="preserve"> (</w:t>
      </w:r>
      <w:r w:rsidRPr="00521AF5">
        <w:rPr>
          <w:rFonts w:ascii="Arial" w:hAnsi="Arial" w:cs="Arial"/>
          <w:kern w:val="0"/>
        </w:rPr>
        <w:t>1977</w:t>
      </w:r>
      <w:r w:rsidR="00FA70B4" w:rsidRPr="00521AF5">
        <w:rPr>
          <w:rFonts w:ascii="Arial" w:hAnsi="Arial" w:cs="Arial"/>
          <w:kern w:val="0"/>
        </w:rPr>
        <w:t>)</w:t>
      </w:r>
      <w:r w:rsidRPr="00521AF5">
        <w:rPr>
          <w:rFonts w:ascii="Arial" w:hAnsi="Arial" w:cs="Arial"/>
          <w:kern w:val="0"/>
        </w:rPr>
        <w:t xml:space="preserve"> Meta-Analysis of Psychotherapy Outcome Studies. </w:t>
      </w:r>
      <w:r w:rsidRPr="00521AF5">
        <w:rPr>
          <w:rFonts w:ascii="Arial" w:hAnsi="Arial" w:cs="Arial"/>
          <w:i/>
          <w:iCs/>
          <w:kern w:val="0"/>
        </w:rPr>
        <w:t>Am.</w:t>
      </w:r>
      <w:r w:rsidR="00FA70B4" w:rsidRPr="00521AF5">
        <w:rPr>
          <w:rFonts w:ascii="Arial" w:hAnsi="Arial" w:cs="Arial"/>
          <w:i/>
          <w:iCs/>
          <w:kern w:val="0"/>
        </w:rPr>
        <w:tab/>
      </w:r>
      <w:r w:rsidRPr="00521AF5">
        <w:rPr>
          <w:rFonts w:ascii="Arial" w:hAnsi="Arial" w:cs="Arial"/>
          <w:i/>
          <w:iCs/>
          <w:kern w:val="0"/>
        </w:rPr>
        <w:t>Psychol</w:t>
      </w:r>
      <w:r w:rsidRPr="00521AF5">
        <w:rPr>
          <w:rFonts w:ascii="Arial" w:hAnsi="Arial" w:cs="Arial"/>
          <w:kern w:val="0"/>
        </w:rPr>
        <w:t xml:space="preserve">. 32, </w:t>
      </w:r>
      <w:r w:rsidR="00CB22B3" w:rsidRPr="00521AF5">
        <w:rPr>
          <w:rFonts w:ascii="Arial" w:hAnsi="Arial" w:cs="Arial"/>
          <w:kern w:val="0"/>
        </w:rPr>
        <w:t xml:space="preserve">pp. </w:t>
      </w:r>
      <w:r w:rsidRPr="00521AF5">
        <w:rPr>
          <w:rFonts w:ascii="Arial" w:hAnsi="Arial" w:cs="Arial"/>
          <w:kern w:val="0"/>
        </w:rPr>
        <w:t>752–60. https://doi.org/10.1037//0003-066X.32.9.752</w:t>
      </w:r>
    </w:p>
    <w:p w14:paraId="146ACE2E" w14:textId="1B3CE458" w:rsidR="00B1025F" w:rsidRPr="00521AF5" w:rsidRDefault="00813865" w:rsidP="00B1025F">
      <w:pPr>
        <w:pStyle w:val="Bibliography"/>
        <w:rPr>
          <w:rFonts w:ascii="Arial" w:hAnsi="Arial" w:cs="Arial"/>
          <w:kern w:val="0"/>
        </w:rPr>
      </w:pPr>
      <w:r w:rsidRPr="00521AF5">
        <w:rPr>
          <w:rFonts w:ascii="Arial" w:hAnsi="Arial" w:cs="Arial"/>
          <w:kern w:val="0"/>
        </w:rPr>
        <w:t>Smith, J.A., Flowers, P. and Larkin, M. (2009). </w:t>
      </w:r>
      <w:r w:rsidRPr="00521AF5">
        <w:rPr>
          <w:rFonts w:ascii="Arial" w:hAnsi="Arial" w:cs="Arial"/>
          <w:i/>
          <w:iCs/>
          <w:kern w:val="0"/>
        </w:rPr>
        <w:t>Interpretative phenomenological</w:t>
      </w:r>
      <w:r w:rsidR="00FA70B4" w:rsidRPr="00521AF5">
        <w:rPr>
          <w:rFonts w:ascii="Arial" w:hAnsi="Arial" w:cs="Arial"/>
          <w:i/>
          <w:iCs/>
          <w:kern w:val="0"/>
        </w:rPr>
        <w:tab/>
      </w:r>
      <w:r w:rsidRPr="00521AF5">
        <w:rPr>
          <w:rFonts w:ascii="Arial" w:hAnsi="Arial" w:cs="Arial"/>
          <w:i/>
          <w:iCs/>
          <w:kern w:val="0"/>
        </w:rPr>
        <w:t>analysis: Theory, method and research.</w:t>
      </w:r>
      <w:r w:rsidRPr="00521AF5">
        <w:rPr>
          <w:rFonts w:ascii="Arial" w:hAnsi="Arial" w:cs="Arial"/>
          <w:kern w:val="0"/>
        </w:rPr>
        <w:t xml:space="preserve"> London: Sage.</w:t>
      </w:r>
    </w:p>
    <w:p w14:paraId="60153C81" w14:textId="3FEFAFDA" w:rsidR="000F61C9" w:rsidRPr="00521AF5" w:rsidRDefault="000F61C9" w:rsidP="000F61C9">
      <w:pPr>
        <w:rPr>
          <w:rFonts w:ascii="Arial" w:hAnsi="Arial" w:cs="Arial"/>
        </w:rPr>
      </w:pPr>
      <w:r w:rsidRPr="00521AF5">
        <w:rPr>
          <w:rFonts w:ascii="Arial" w:hAnsi="Arial" w:cs="Arial"/>
        </w:rPr>
        <w:lastRenderedPageBreak/>
        <w:t>Spinelli, E. (2005). </w:t>
      </w:r>
      <w:r w:rsidRPr="00521AF5">
        <w:rPr>
          <w:rFonts w:ascii="Arial" w:hAnsi="Arial" w:cs="Arial"/>
          <w:i/>
          <w:iCs/>
        </w:rPr>
        <w:t>The interpreted world : an introduction to phenomenological</w:t>
      </w:r>
      <w:r w:rsidR="00FA70B4" w:rsidRPr="00521AF5">
        <w:rPr>
          <w:rFonts w:ascii="Arial" w:hAnsi="Arial" w:cs="Arial"/>
          <w:i/>
          <w:iCs/>
        </w:rPr>
        <w:tab/>
      </w:r>
      <w:r w:rsidRPr="00521AF5">
        <w:rPr>
          <w:rFonts w:ascii="Arial" w:hAnsi="Arial" w:cs="Arial"/>
          <w:i/>
          <w:iCs/>
        </w:rPr>
        <w:t>psychology </w:t>
      </w:r>
      <w:r w:rsidRPr="00521AF5">
        <w:rPr>
          <w:rFonts w:ascii="Arial" w:hAnsi="Arial" w:cs="Arial"/>
        </w:rPr>
        <w:t>(2nd ed.). SAGE.</w:t>
      </w:r>
    </w:p>
    <w:p w14:paraId="79F31E39" w14:textId="351B025F" w:rsidR="00F3669D" w:rsidRPr="00521AF5" w:rsidRDefault="00F3669D" w:rsidP="00A70CFB">
      <w:pPr>
        <w:pStyle w:val="Bibliography"/>
        <w:rPr>
          <w:rFonts w:ascii="Arial" w:hAnsi="Arial" w:cs="Arial"/>
          <w:kern w:val="0"/>
        </w:rPr>
      </w:pPr>
      <w:r w:rsidRPr="00521AF5">
        <w:rPr>
          <w:rFonts w:ascii="Arial" w:hAnsi="Arial" w:cs="Arial"/>
          <w:kern w:val="0"/>
        </w:rPr>
        <w:t>Sumbas, E.</w:t>
      </w:r>
      <w:r w:rsidR="00FA70B4" w:rsidRPr="00521AF5">
        <w:rPr>
          <w:rFonts w:ascii="Arial" w:hAnsi="Arial" w:cs="Arial"/>
          <w:kern w:val="0"/>
        </w:rPr>
        <w:t xml:space="preserve"> (202</w:t>
      </w:r>
      <w:r w:rsidR="00A70CFB" w:rsidRPr="00521AF5">
        <w:rPr>
          <w:rFonts w:ascii="Arial" w:hAnsi="Arial" w:cs="Arial"/>
          <w:kern w:val="0"/>
        </w:rPr>
        <w:t>4)</w:t>
      </w:r>
      <w:r w:rsidRPr="00521AF5">
        <w:rPr>
          <w:rFonts w:ascii="Arial" w:hAnsi="Arial" w:cs="Arial"/>
          <w:kern w:val="0"/>
        </w:rPr>
        <w:t xml:space="preserve"> Psychoanalysis: Theoretical Foundations, Historical Context, and</w:t>
      </w:r>
      <w:r w:rsidR="00A70CFB" w:rsidRPr="00521AF5">
        <w:rPr>
          <w:rFonts w:ascii="Arial" w:hAnsi="Arial" w:cs="Arial"/>
          <w:kern w:val="0"/>
        </w:rPr>
        <w:tab/>
      </w:r>
      <w:r w:rsidRPr="00521AF5">
        <w:rPr>
          <w:rFonts w:ascii="Arial" w:hAnsi="Arial" w:cs="Arial"/>
          <w:kern w:val="0"/>
        </w:rPr>
        <w:t>Current Debates.</w:t>
      </w:r>
      <w:r w:rsidR="0025624A">
        <w:rPr>
          <w:rFonts w:ascii="Arial" w:hAnsi="Arial" w:cs="Arial"/>
          <w:kern w:val="0"/>
        </w:rPr>
        <w:t xml:space="preserve"> </w:t>
      </w:r>
      <w:r w:rsidR="0025624A" w:rsidRPr="0025624A">
        <w:rPr>
          <w:rFonts w:ascii="Arial" w:hAnsi="Arial" w:cs="Arial"/>
          <w:kern w:val="0"/>
        </w:rPr>
        <w:t xml:space="preserve">[online] </w:t>
      </w:r>
      <w:proofErr w:type="spellStart"/>
      <w:proofErr w:type="gramStart"/>
      <w:r w:rsidR="0025624A" w:rsidRPr="0025624A">
        <w:rPr>
          <w:rFonts w:ascii="Arial" w:hAnsi="Arial" w:cs="Arial"/>
          <w:kern w:val="0"/>
        </w:rPr>
        <w:t>doi:https</w:t>
      </w:r>
      <w:proofErr w:type="spellEnd"/>
      <w:r w:rsidR="0025624A" w:rsidRPr="0025624A">
        <w:rPr>
          <w:rFonts w:ascii="Arial" w:hAnsi="Arial" w:cs="Arial"/>
          <w:kern w:val="0"/>
        </w:rPr>
        <w:t>://doi.org/10.35841/2469-9837.24.11.403</w:t>
      </w:r>
      <w:proofErr w:type="gramEnd"/>
      <w:r w:rsidR="0025624A">
        <w:rPr>
          <w:rFonts w:ascii="Arial" w:hAnsi="Arial" w:cs="Arial"/>
          <w:kern w:val="0"/>
        </w:rPr>
        <w:t xml:space="preserve"> </w:t>
      </w:r>
    </w:p>
    <w:p w14:paraId="7EDB74F4" w14:textId="7BC54D93" w:rsidR="00F3669D" w:rsidRPr="00521AF5" w:rsidRDefault="00F3669D" w:rsidP="00F3669D">
      <w:pPr>
        <w:pStyle w:val="Bibliography"/>
        <w:rPr>
          <w:rFonts w:ascii="Arial" w:hAnsi="Arial" w:cs="Arial"/>
          <w:kern w:val="0"/>
        </w:rPr>
      </w:pPr>
      <w:r w:rsidRPr="00521AF5">
        <w:rPr>
          <w:rFonts w:ascii="Arial" w:hAnsi="Arial" w:cs="Arial"/>
          <w:kern w:val="0"/>
        </w:rPr>
        <w:t>Timulak, L., Elliott, R.</w:t>
      </w:r>
      <w:r w:rsidR="00A70CFB" w:rsidRPr="00521AF5">
        <w:rPr>
          <w:rFonts w:ascii="Arial" w:hAnsi="Arial" w:cs="Arial"/>
          <w:kern w:val="0"/>
        </w:rPr>
        <w:t xml:space="preserve"> (</w:t>
      </w:r>
      <w:r w:rsidRPr="00521AF5">
        <w:rPr>
          <w:rFonts w:ascii="Arial" w:hAnsi="Arial" w:cs="Arial"/>
          <w:kern w:val="0"/>
        </w:rPr>
        <w:t>2019</w:t>
      </w:r>
      <w:r w:rsidR="00A70CFB" w:rsidRPr="00521AF5">
        <w:rPr>
          <w:rFonts w:ascii="Arial" w:hAnsi="Arial" w:cs="Arial"/>
          <w:kern w:val="0"/>
        </w:rPr>
        <w:t>)</w:t>
      </w:r>
      <w:r w:rsidRPr="00521AF5">
        <w:rPr>
          <w:rFonts w:ascii="Arial" w:hAnsi="Arial" w:cs="Arial"/>
          <w:kern w:val="0"/>
        </w:rPr>
        <w:t xml:space="preserve"> Taking stock of descriptive–interpretative qualitative</w:t>
      </w:r>
      <w:r w:rsidR="00A70CFB" w:rsidRPr="00521AF5">
        <w:rPr>
          <w:rFonts w:ascii="Arial" w:hAnsi="Arial" w:cs="Arial"/>
          <w:kern w:val="0"/>
        </w:rPr>
        <w:tab/>
      </w:r>
      <w:r w:rsidRPr="00521AF5">
        <w:rPr>
          <w:rFonts w:ascii="Arial" w:hAnsi="Arial" w:cs="Arial"/>
          <w:kern w:val="0"/>
        </w:rPr>
        <w:t xml:space="preserve">psychotherapy research: Issues and observations from the front line. </w:t>
      </w:r>
      <w:r w:rsidRPr="00521AF5">
        <w:rPr>
          <w:rFonts w:ascii="Arial" w:hAnsi="Arial" w:cs="Arial"/>
          <w:i/>
          <w:iCs/>
          <w:kern w:val="0"/>
        </w:rPr>
        <w:t>Couns.</w:t>
      </w:r>
      <w:r w:rsidR="00A70CFB" w:rsidRPr="00521AF5">
        <w:rPr>
          <w:rFonts w:ascii="Arial" w:hAnsi="Arial" w:cs="Arial"/>
          <w:i/>
          <w:iCs/>
          <w:kern w:val="0"/>
        </w:rPr>
        <w:tab/>
      </w:r>
      <w:r w:rsidRPr="00521AF5">
        <w:rPr>
          <w:rFonts w:ascii="Arial" w:hAnsi="Arial" w:cs="Arial"/>
          <w:i/>
          <w:iCs/>
          <w:kern w:val="0"/>
        </w:rPr>
        <w:t>Psychother. Res.</w:t>
      </w:r>
      <w:r w:rsidRPr="00521AF5">
        <w:rPr>
          <w:rFonts w:ascii="Arial" w:hAnsi="Arial" w:cs="Arial"/>
          <w:kern w:val="0"/>
        </w:rPr>
        <w:t xml:space="preserve"> 19, </w:t>
      </w:r>
      <w:r w:rsidR="00CB22B3" w:rsidRPr="00521AF5">
        <w:rPr>
          <w:rFonts w:ascii="Arial" w:hAnsi="Arial" w:cs="Arial"/>
          <w:kern w:val="0"/>
        </w:rPr>
        <w:t xml:space="preserve">pp. </w:t>
      </w:r>
      <w:r w:rsidRPr="00521AF5">
        <w:rPr>
          <w:rFonts w:ascii="Arial" w:hAnsi="Arial" w:cs="Arial"/>
          <w:kern w:val="0"/>
        </w:rPr>
        <w:t>8–15. https://doi.org/10.1002/capr.12197</w:t>
      </w:r>
    </w:p>
    <w:p w14:paraId="07588F49" w14:textId="5E192887" w:rsidR="000A639D" w:rsidRPr="00521AF5" w:rsidRDefault="000A639D" w:rsidP="000A639D">
      <w:pPr>
        <w:rPr>
          <w:rFonts w:ascii="Arial" w:hAnsi="Arial" w:cs="Arial"/>
        </w:rPr>
      </w:pPr>
      <w:r w:rsidRPr="00521AF5">
        <w:rPr>
          <w:rFonts w:ascii="Arial" w:hAnsi="Arial" w:cs="Arial"/>
        </w:rPr>
        <w:t>Vincenzo, C., Stocco, N., Modugno, R. (2024) A Critical Sociocultural Understanding</w:t>
      </w:r>
      <w:r w:rsidRPr="00521AF5">
        <w:rPr>
          <w:rFonts w:ascii="Arial" w:hAnsi="Arial" w:cs="Arial"/>
        </w:rPr>
        <w:tab/>
        <w:t>of</w:t>
      </w:r>
      <w:r w:rsidRPr="00521AF5">
        <w:rPr>
          <w:rFonts w:ascii="Arial" w:hAnsi="Arial" w:cs="Arial"/>
        </w:rPr>
        <w:tab/>
        <w:t>Evidence-Based Research and Practice Paradigm in Contemporary</w:t>
      </w:r>
      <w:r w:rsidRPr="00521AF5">
        <w:rPr>
          <w:rFonts w:ascii="Arial" w:hAnsi="Arial" w:cs="Arial"/>
        </w:rPr>
        <w:tab/>
        <w:t>Psychology.</w:t>
      </w:r>
      <w:r w:rsidRPr="00521AF5">
        <w:rPr>
          <w:rFonts w:ascii="Arial" w:hAnsi="Arial" w:cs="Arial"/>
          <w:i/>
          <w:iCs/>
        </w:rPr>
        <w:t xml:space="preserve"> Integr. Psychol. Behav. Sci.</w:t>
      </w:r>
      <w:r w:rsidRPr="00521AF5">
        <w:rPr>
          <w:rFonts w:ascii="Arial" w:hAnsi="Arial" w:cs="Arial"/>
        </w:rPr>
        <w:t xml:space="preserve"> 58, </w:t>
      </w:r>
      <w:r w:rsidR="00CB22B3" w:rsidRPr="00521AF5">
        <w:rPr>
          <w:rFonts w:ascii="Arial" w:hAnsi="Arial" w:cs="Arial"/>
        </w:rPr>
        <w:t xml:space="preserve">pp. </w:t>
      </w:r>
      <w:r w:rsidRPr="00521AF5">
        <w:rPr>
          <w:rFonts w:ascii="Arial" w:hAnsi="Arial" w:cs="Arial"/>
        </w:rPr>
        <w:t>160–177.</w:t>
      </w:r>
      <w:r w:rsidRPr="00521AF5">
        <w:rPr>
          <w:rFonts w:ascii="Arial" w:hAnsi="Arial" w:cs="Arial"/>
        </w:rPr>
        <w:tab/>
        <w:t>https://doi.org/10.1007/s12124-023-09798-5</w:t>
      </w:r>
    </w:p>
    <w:p w14:paraId="00306EDC" w14:textId="6E913BB4" w:rsidR="00F3669D" w:rsidRPr="00521AF5" w:rsidRDefault="00F3669D" w:rsidP="00F3669D">
      <w:pPr>
        <w:pStyle w:val="Bibliography"/>
        <w:rPr>
          <w:rFonts w:ascii="Arial" w:hAnsi="Arial" w:cs="Arial"/>
          <w:kern w:val="0"/>
        </w:rPr>
      </w:pPr>
      <w:r w:rsidRPr="00521AF5">
        <w:rPr>
          <w:rFonts w:ascii="Arial" w:hAnsi="Arial" w:cs="Arial"/>
          <w:kern w:val="0"/>
        </w:rPr>
        <w:t>Wampold, B.E., Imel, Z.E.</w:t>
      </w:r>
      <w:r w:rsidR="00A70CFB" w:rsidRPr="00521AF5">
        <w:rPr>
          <w:rFonts w:ascii="Arial" w:hAnsi="Arial" w:cs="Arial"/>
          <w:kern w:val="0"/>
        </w:rPr>
        <w:t xml:space="preserve"> (</w:t>
      </w:r>
      <w:r w:rsidRPr="00521AF5">
        <w:rPr>
          <w:rFonts w:ascii="Arial" w:hAnsi="Arial" w:cs="Arial"/>
          <w:kern w:val="0"/>
        </w:rPr>
        <w:t>2015</w:t>
      </w:r>
      <w:r w:rsidR="00A70CFB" w:rsidRPr="00521AF5">
        <w:rPr>
          <w:rFonts w:ascii="Arial" w:hAnsi="Arial" w:cs="Arial"/>
          <w:kern w:val="0"/>
        </w:rPr>
        <w:t>)</w:t>
      </w:r>
      <w:r w:rsidRPr="00521AF5">
        <w:rPr>
          <w:rFonts w:ascii="Arial" w:hAnsi="Arial" w:cs="Arial"/>
          <w:kern w:val="0"/>
        </w:rPr>
        <w:t xml:space="preserve"> </w:t>
      </w:r>
      <w:r w:rsidRPr="00521AF5">
        <w:rPr>
          <w:rFonts w:ascii="Arial" w:hAnsi="Arial" w:cs="Arial"/>
          <w:i/>
          <w:iCs/>
          <w:kern w:val="0"/>
        </w:rPr>
        <w:t>The Great Psychotherapy Debate: The Evidence</w:t>
      </w:r>
      <w:r w:rsidR="00A70CFB" w:rsidRPr="00521AF5">
        <w:rPr>
          <w:rFonts w:ascii="Arial" w:hAnsi="Arial" w:cs="Arial"/>
          <w:i/>
          <w:iCs/>
          <w:kern w:val="0"/>
        </w:rPr>
        <w:tab/>
      </w:r>
      <w:r w:rsidRPr="00521AF5">
        <w:rPr>
          <w:rFonts w:ascii="Arial" w:hAnsi="Arial" w:cs="Arial"/>
          <w:i/>
          <w:iCs/>
          <w:kern w:val="0"/>
        </w:rPr>
        <w:t>for What Makes Psychotherapy Work</w:t>
      </w:r>
      <w:r w:rsidRPr="00521AF5">
        <w:rPr>
          <w:rFonts w:ascii="Arial" w:hAnsi="Arial" w:cs="Arial"/>
          <w:kern w:val="0"/>
        </w:rPr>
        <w:t>, 2nd ed. Routledge, New York.</w:t>
      </w:r>
      <w:r w:rsidR="00A70CFB" w:rsidRPr="00521AF5">
        <w:rPr>
          <w:rFonts w:ascii="Arial" w:hAnsi="Arial" w:cs="Arial"/>
          <w:kern w:val="0"/>
        </w:rPr>
        <w:tab/>
      </w:r>
      <w:r w:rsidRPr="00521AF5">
        <w:rPr>
          <w:rFonts w:ascii="Arial" w:hAnsi="Arial" w:cs="Arial"/>
          <w:kern w:val="0"/>
        </w:rPr>
        <w:t>https://doi.org/10.4324/9780203582015</w:t>
      </w:r>
      <w:r w:rsidR="00EE5FDD" w:rsidRPr="00521AF5">
        <w:rPr>
          <w:rFonts w:ascii="Arial" w:hAnsi="Arial" w:cs="Arial"/>
          <w:kern w:val="0"/>
        </w:rPr>
        <w:t xml:space="preserve"> </w:t>
      </w:r>
    </w:p>
    <w:p w14:paraId="5D19ACDC" w14:textId="52AE7F03" w:rsidR="00F3669D" w:rsidRPr="00521AF5" w:rsidRDefault="00F3669D" w:rsidP="00A70CFB">
      <w:pPr>
        <w:pStyle w:val="Bibliography"/>
        <w:rPr>
          <w:rFonts w:ascii="Arial" w:hAnsi="Arial" w:cs="Arial"/>
          <w:kern w:val="0"/>
        </w:rPr>
      </w:pPr>
      <w:r w:rsidRPr="00521AF5">
        <w:rPr>
          <w:rFonts w:ascii="Arial" w:hAnsi="Arial" w:cs="Arial"/>
          <w:kern w:val="0"/>
        </w:rPr>
        <w:t>Ward, T., Haig, B.D., McDonald, M.</w:t>
      </w:r>
      <w:r w:rsidR="00A70CFB" w:rsidRPr="00521AF5">
        <w:rPr>
          <w:rFonts w:ascii="Arial" w:hAnsi="Arial" w:cs="Arial"/>
          <w:kern w:val="0"/>
        </w:rPr>
        <w:t xml:space="preserve"> (</w:t>
      </w:r>
      <w:r w:rsidRPr="00521AF5">
        <w:rPr>
          <w:rFonts w:ascii="Arial" w:hAnsi="Arial" w:cs="Arial"/>
          <w:kern w:val="0"/>
        </w:rPr>
        <w:t>2022</w:t>
      </w:r>
      <w:r w:rsidR="00A70CFB" w:rsidRPr="00521AF5">
        <w:rPr>
          <w:rFonts w:ascii="Arial" w:hAnsi="Arial" w:cs="Arial"/>
          <w:kern w:val="0"/>
        </w:rPr>
        <w:t>)</w:t>
      </w:r>
      <w:r w:rsidRPr="00521AF5">
        <w:rPr>
          <w:rFonts w:ascii="Arial" w:hAnsi="Arial" w:cs="Arial"/>
          <w:kern w:val="0"/>
        </w:rPr>
        <w:t xml:space="preserve"> Translating science into practice in</w:t>
      </w:r>
      <w:r w:rsidR="00A70CFB" w:rsidRPr="00521AF5">
        <w:rPr>
          <w:rFonts w:ascii="Arial" w:hAnsi="Arial" w:cs="Arial"/>
          <w:kern w:val="0"/>
        </w:rPr>
        <w:tab/>
      </w:r>
      <w:r w:rsidRPr="00521AF5">
        <w:rPr>
          <w:rFonts w:ascii="Arial" w:hAnsi="Arial" w:cs="Arial"/>
          <w:kern w:val="0"/>
        </w:rPr>
        <w:t>clinical psychology: A reformulation of the evidence-based practice inquiry</w:t>
      </w:r>
      <w:r w:rsidR="00A70CFB" w:rsidRPr="00521AF5">
        <w:rPr>
          <w:rFonts w:ascii="Arial" w:hAnsi="Arial" w:cs="Arial"/>
          <w:kern w:val="0"/>
        </w:rPr>
        <w:tab/>
      </w:r>
      <w:r w:rsidRPr="00521AF5">
        <w:rPr>
          <w:rFonts w:ascii="Arial" w:hAnsi="Arial" w:cs="Arial"/>
          <w:kern w:val="0"/>
        </w:rPr>
        <w:t xml:space="preserve">model. </w:t>
      </w:r>
      <w:r w:rsidRPr="00521AF5">
        <w:rPr>
          <w:rFonts w:ascii="Arial" w:hAnsi="Arial" w:cs="Arial"/>
          <w:i/>
          <w:iCs/>
          <w:kern w:val="0"/>
        </w:rPr>
        <w:t>Theory Psychol.</w:t>
      </w:r>
      <w:r w:rsidRPr="00521AF5">
        <w:rPr>
          <w:rFonts w:ascii="Arial" w:hAnsi="Arial" w:cs="Arial"/>
          <w:kern w:val="0"/>
        </w:rPr>
        <w:t xml:space="preserve"> 32, 401–422.</w:t>
      </w:r>
      <w:r w:rsidR="00A70CFB" w:rsidRPr="00521AF5">
        <w:rPr>
          <w:rFonts w:ascii="Arial" w:hAnsi="Arial" w:cs="Arial"/>
          <w:kern w:val="0"/>
        </w:rPr>
        <w:tab/>
      </w:r>
      <w:r w:rsidRPr="00521AF5">
        <w:rPr>
          <w:rFonts w:ascii="Arial" w:hAnsi="Arial" w:cs="Arial"/>
          <w:kern w:val="0"/>
        </w:rPr>
        <w:t>https://doi.org/10.1177/09593543211059816</w:t>
      </w:r>
    </w:p>
    <w:p w14:paraId="3D0963F1" w14:textId="0D2FD55E" w:rsidR="00F3669D" w:rsidRPr="00521AF5" w:rsidRDefault="00F3669D" w:rsidP="00F3669D">
      <w:pPr>
        <w:pStyle w:val="Bibliography"/>
        <w:rPr>
          <w:rFonts w:ascii="Arial" w:hAnsi="Arial" w:cs="Arial"/>
          <w:kern w:val="0"/>
        </w:rPr>
      </w:pPr>
      <w:r w:rsidRPr="00521AF5">
        <w:rPr>
          <w:rFonts w:ascii="Arial" w:hAnsi="Arial" w:cs="Arial"/>
          <w:kern w:val="0"/>
        </w:rPr>
        <w:t>Wertz, F</w:t>
      </w:r>
      <w:r w:rsidR="00A70CFB" w:rsidRPr="00521AF5">
        <w:rPr>
          <w:rFonts w:ascii="Arial" w:hAnsi="Arial" w:cs="Arial"/>
          <w:kern w:val="0"/>
        </w:rPr>
        <w:t>. (</w:t>
      </w:r>
      <w:r w:rsidRPr="00521AF5">
        <w:rPr>
          <w:rFonts w:ascii="Arial" w:hAnsi="Arial" w:cs="Arial"/>
          <w:kern w:val="0"/>
        </w:rPr>
        <w:t>2023</w:t>
      </w:r>
      <w:r w:rsidR="00A70CFB" w:rsidRPr="00521AF5">
        <w:rPr>
          <w:rFonts w:ascii="Arial" w:hAnsi="Arial" w:cs="Arial"/>
          <w:kern w:val="0"/>
        </w:rPr>
        <w:t>)</w:t>
      </w:r>
      <w:r w:rsidRPr="00521AF5">
        <w:rPr>
          <w:rFonts w:ascii="Arial" w:hAnsi="Arial" w:cs="Arial"/>
          <w:kern w:val="0"/>
        </w:rPr>
        <w:t xml:space="preserve"> A history of humanistic and existential psychology: The possibility</w:t>
      </w:r>
      <w:r w:rsidR="00A70CFB" w:rsidRPr="00521AF5">
        <w:rPr>
          <w:rFonts w:ascii="Arial" w:hAnsi="Arial" w:cs="Arial"/>
          <w:kern w:val="0"/>
        </w:rPr>
        <w:tab/>
      </w:r>
      <w:r w:rsidRPr="00521AF5">
        <w:rPr>
          <w:rFonts w:ascii="Arial" w:hAnsi="Arial" w:cs="Arial"/>
          <w:kern w:val="0"/>
        </w:rPr>
        <w:t xml:space="preserve">and cultural contexts of renewal in science. </w:t>
      </w:r>
      <w:r w:rsidRPr="00521AF5">
        <w:rPr>
          <w:rFonts w:ascii="Arial" w:hAnsi="Arial" w:cs="Arial"/>
          <w:i/>
          <w:iCs/>
          <w:kern w:val="0"/>
        </w:rPr>
        <w:t>pp</w:t>
      </w:r>
      <w:r w:rsidRPr="00521AF5">
        <w:rPr>
          <w:rFonts w:ascii="Arial" w:hAnsi="Arial" w:cs="Arial"/>
          <w:kern w:val="0"/>
        </w:rPr>
        <w:t>. xx–xx.</w:t>
      </w:r>
      <w:r w:rsidR="00A70CFB" w:rsidRPr="00521AF5">
        <w:rPr>
          <w:rFonts w:ascii="Arial" w:hAnsi="Arial" w:cs="Arial"/>
          <w:kern w:val="0"/>
        </w:rPr>
        <w:tab/>
      </w:r>
      <w:r w:rsidRPr="00521AF5">
        <w:rPr>
          <w:rFonts w:ascii="Arial" w:hAnsi="Arial" w:cs="Arial"/>
          <w:kern w:val="0"/>
        </w:rPr>
        <w:t>https://doi.org/10.1037/0000431-001</w:t>
      </w:r>
    </w:p>
    <w:p w14:paraId="2C4BEB9E" w14:textId="697EAD39" w:rsidR="00F3669D" w:rsidRPr="00521AF5" w:rsidRDefault="00F3669D" w:rsidP="00F3669D">
      <w:pPr>
        <w:pStyle w:val="Bibliography"/>
        <w:rPr>
          <w:rFonts w:ascii="Arial" w:hAnsi="Arial" w:cs="Arial"/>
          <w:kern w:val="0"/>
        </w:rPr>
      </w:pPr>
      <w:r w:rsidRPr="00521AF5">
        <w:rPr>
          <w:rFonts w:ascii="Arial" w:hAnsi="Arial" w:cs="Arial"/>
          <w:kern w:val="0"/>
        </w:rPr>
        <w:t>Wilkinson, B.D., Johnson, L.D., Brown, A.M., Sunderland, W.A., Strelec, M.N.</w:t>
      </w:r>
      <w:r w:rsidR="00A70CFB" w:rsidRPr="00521AF5">
        <w:rPr>
          <w:rFonts w:ascii="Arial" w:hAnsi="Arial" w:cs="Arial"/>
          <w:kern w:val="0"/>
        </w:rPr>
        <w:t xml:space="preserve"> (</w:t>
      </w:r>
      <w:r w:rsidRPr="00521AF5">
        <w:rPr>
          <w:rFonts w:ascii="Arial" w:hAnsi="Arial" w:cs="Arial"/>
          <w:kern w:val="0"/>
        </w:rPr>
        <w:t>2025</w:t>
      </w:r>
      <w:r w:rsidR="00A70CFB" w:rsidRPr="00521AF5">
        <w:rPr>
          <w:rFonts w:ascii="Arial" w:hAnsi="Arial" w:cs="Arial"/>
          <w:kern w:val="0"/>
        </w:rPr>
        <w:t>)</w:t>
      </w:r>
      <w:r w:rsidR="00A70CFB" w:rsidRPr="00521AF5">
        <w:rPr>
          <w:rFonts w:ascii="Arial" w:hAnsi="Arial" w:cs="Arial"/>
          <w:kern w:val="0"/>
        </w:rPr>
        <w:tab/>
      </w:r>
      <w:r w:rsidRPr="00521AF5">
        <w:rPr>
          <w:rFonts w:ascii="Arial" w:hAnsi="Arial" w:cs="Arial"/>
          <w:kern w:val="0"/>
        </w:rPr>
        <w:t>Four Schools of Humanism: A Qualitative Synthesis of the Journal of</w:t>
      </w:r>
      <w:r w:rsidR="00A70CFB" w:rsidRPr="00521AF5">
        <w:rPr>
          <w:rFonts w:ascii="Arial" w:hAnsi="Arial" w:cs="Arial"/>
          <w:kern w:val="0"/>
        </w:rPr>
        <w:tab/>
      </w:r>
      <w:r w:rsidRPr="00521AF5">
        <w:rPr>
          <w:rFonts w:ascii="Arial" w:hAnsi="Arial" w:cs="Arial"/>
          <w:kern w:val="0"/>
        </w:rPr>
        <w:t>Humanistic Counseling (2008–2023). J. Humanist. Couns. 64, 174–183.</w:t>
      </w:r>
      <w:r w:rsidR="00A70CFB" w:rsidRPr="00521AF5">
        <w:rPr>
          <w:rFonts w:ascii="Arial" w:hAnsi="Arial" w:cs="Arial"/>
          <w:kern w:val="0"/>
        </w:rPr>
        <w:tab/>
      </w:r>
      <w:r w:rsidRPr="00521AF5">
        <w:rPr>
          <w:rFonts w:ascii="Arial" w:hAnsi="Arial" w:cs="Arial"/>
          <w:kern w:val="0"/>
        </w:rPr>
        <w:t>https://doi.org/10.1002/johc.70003</w:t>
      </w:r>
    </w:p>
    <w:p w14:paraId="0CE13F70" w14:textId="724B172F" w:rsidR="00F3669D" w:rsidRPr="00521AF5" w:rsidRDefault="00F3669D" w:rsidP="00F3669D">
      <w:pPr>
        <w:pStyle w:val="Bibliography"/>
        <w:rPr>
          <w:rFonts w:ascii="Arial" w:hAnsi="Arial" w:cs="Arial"/>
          <w:kern w:val="0"/>
        </w:rPr>
      </w:pPr>
      <w:r w:rsidRPr="00521AF5">
        <w:rPr>
          <w:rFonts w:ascii="Arial" w:hAnsi="Arial" w:cs="Arial"/>
          <w:kern w:val="0"/>
        </w:rPr>
        <w:t>Zelčāne, E., Pipere, A.</w:t>
      </w:r>
      <w:r w:rsidR="00A70CFB" w:rsidRPr="00521AF5">
        <w:rPr>
          <w:rFonts w:ascii="Arial" w:hAnsi="Arial" w:cs="Arial"/>
          <w:kern w:val="0"/>
        </w:rPr>
        <w:t xml:space="preserve"> (</w:t>
      </w:r>
      <w:r w:rsidRPr="00521AF5">
        <w:rPr>
          <w:rFonts w:ascii="Arial" w:hAnsi="Arial" w:cs="Arial"/>
          <w:kern w:val="0"/>
        </w:rPr>
        <w:t>2023</w:t>
      </w:r>
      <w:r w:rsidR="00A70CFB" w:rsidRPr="00521AF5">
        <w:rPr>
          <w:rFonts w:ascii="Arial" w:hAnsi="Arial" w:cs="Arial"/>
          <w:kern w:val="0"/>
        </w:rPr>
        <w:t>)</w:t>
      </w:r>
      <w:r w:rsidRPr="00521AF5">
        <w:rPr>
          <w:rFonts w:ascii="Arial" w:hAnsi="Arial" w:cs="Arial"/>
          <w:kern w:val="0"/>
        </w:rPr>
        <w:t xml:space="preserve"> Finding a path in a methodological jungle: a qualitative</w:t>
      </w:r>
      <w:r w:rsidR="00A70CFB" w:rsidRPr="00521AF5">
        <w:rPr>
          <w:rFonts w:ascii="Arial" w:hAnsi="Arial" w:cs="Arial"/>
          <w:kern w:val="0"/>
        </w:rPr>
        <w:tab/>
      </w:r>
      <w:r w:rsidRPr="00521AF5">
        <w:rPr>
          <w:rFonts w:ascii="Arial" w:hAnsi="Arial" w:cs="Arial"/>
          <w:kern w:val="0"/>
        </w:rPr>
        <w:t>research of resilience. Int. J. Qual. Stud. Health Well-Being 18, 2164948.</w:t>
      </w:r>
      <w:r w:rsidR="00A70CFB" w:rsidRPr="00521AF5">
        <w:rPr>
          <w:rFonts w:ascii="Arial" w:hAnsi="Arial" w:cs="Arial"/>
          <w:kern w:val="0"/>
        </w:rPr>
        <w:tab/>
      </w:r>
      <w:r w:rsidRPr="00521AF5">
        <w:rPr>
          <w:rFonts w:ascii="Arial" w:hAnsi="Arial" w:cs="Arial"/>
          <w:kern w:val="0"/>
        </w:rPr>
        <w:t>https://doi.org/10.1080/17482631.2023.2164948</w:t>
      </w:r>
    </w:p>
    <w:p w14:paraId="38D8433E" w14:textId="407D09B0" w:rsidR="00263E8F" w:rsidRPr="002A7907" w:rsidRDefault="00F00A65" w:rsidP="002A7907">
      <w:pPr>
        <w:spacing w:line="480" w:lineRule="auto"/>
        <w:jc w:val="center"/>
        <w:rPr>
          <w:rFonts w:ascii="Arial" w:hAnsi="Arial" w:cs="Arial"/>
        </w:rPr>
      </w:pPr>
      <w:r w:rsidRPr="00521AF5">
        <w:rPr>
          <w:rFonts w:ascii="Arial" w:hAnsi="Arial" w:cs="Arial"/>
        </w:rPr>
        <w:fldChar w:fldCharType="end"/>
      </w:r>
      <w:r w:rsidR="00ED3B2D" w:rsidRPr="00753FD7">
        <w:rPr>
          <w:rFonts w:ascii="Arial" w:hAnsi="Arial" w:cs="Arial"/>
        </w:rPr>
        <w:t>.</w:t>
      </w:r>
    </w:p>
    <w:p w14:paraId="17FE5F90" w14:textId="77777777" w:rsidR="00263E8F" w:rsidRPr="00753FD7" w:rsidRDefault="00263E8F" w:rsidP="00263E8F">
      <w:pPr>
        <w:spacing w:line="240" w:lineRule="auto"/>
        <w:rPr>
          <w:rFonts w:ascii="Arial" w:hAnsi="Arial" w:cs="Arial"/>
          <w:color w:val="000000"/>
          <w:shd w:val="clear" w:color="auto" w:fill="F5F5F5"/>
        </w:rPr>
      </w:pPr>
    </w:p>
    <w:sectPr w:rsidR="00263E8F" w:rsidRPr="00753F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5059A4" w14:textId="77777777" w:rsidR="004C6892" w:rsidRDefault="004C6892" w:rsidP="002417F5">
      <w:pPr>
        <w:spacing w:after="0" w:line="240" w:lineRule="auto"/>
      </w:pPr>
      <w:r>
        <w:separator/>
      </w:r>
    </w:p>
  </w:endnote>
  <w:endnote w:type="continuationSeparator" w:id="0">
    <w:p w14:paraId="76DA20A4" w14:textId="77777777" w:rsidR="004C6892" w:rsidRDefault="004C6892" w:rsidP="002417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0E6574" w14:textId="77777777" w:rsidR="004C6892" w:rsidRDefault="004C6892" w:rsidP="002417F5">
      <w:pPr>
        <w:spacing w:after="0" w:line="240" w:lineRule="auto"/>
      </w:pPr>
      <w:r>
        <w:separator/>
      </w:r>
    </w:p>
  </w:footnote>
  <w:footnote w:type="continuationSeparator" w:id="0">
    <w:p w14:paraId="11DBB0BD" w14:textId="77777777" w:rsidR="004C6892" w:rsidRDefault="004C6892" w:rsidP="002417F5">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431E0"/>
    <w:multiLevelType w:val="hybridMultilevel"/>
    <w:tmpl w:val="C6A89772"/>
    <w:lvl w:ilvl="0" w:tplc="386AA6BA">
      <w:start w:val="1"/>
      <w:numFmt w:val="decimal"/>
      <w:lvlText w:val="%1."/>
      <w:lvlJc w:val="left"/>
      <w:pPr>
        <w:ind w:left="432" w:hanging="360"/>
      </w:pPr>
      <w:rPr>
        <w:rFonts w:hint="default"/>
      </w:rPr>
    </w:lvl>
    <w:lvl w:ilvl="1" w:tplc="08090019" w:tentative="1">
      <w:start w:val="1"/>
      <w:numFmt w:val="lowerLetter"/>
      <w:lvlText w:val="%2."/>
      <w:lvlJc w:val="left"/>
      <w:pPr>
        <w:ind w:left="1152" w:hanging="360"/>
      </w:pPr>
    </w:lvl>
    <w:lvl w:ilvl="2" w:tplc="0809001B" w:tentative="1">
      <w:start w:val="1"/>
      <w:numFmt w:val="lowerRoman"/>
      <w:lvlText w:val="%3."/>
      <w:lvlJc w:val="right"/>
      <w:pPr>
        <w:ind w:left="1872" w:hanging="180"/>
      </w:pPr>
    </w:lvl>
    <w:lvl w:ilvl="3" w:tplc="0809000F" w:tentative="1">
      <w:start w:val="1"/>
      <w:numFmt w:val="decimal"/>
      <w:lvlText w:val="%4."/>
      <w:lvlJc w:val="left"/>
      <w:pPr>
        <w:ind w:left="2592" w:hanging="360"/>
      </w:pPr>
    </w:lvl>
    <w:lvl w:ilvl="4" w:tplc="08090019" w:tentative="1">
      <w:start w:val="1"/>
      <w:numFmt w:val="lowerLetter"/>
      <w:lvlText w:val="%5."/>
      <w:lvlJc w:val="left"/>
      <w:pPr>
        <w:ind w:left="3312" w:hanging="360"/>
      </w:pPr>
    </w:lvl>
    <w:lvl w:ilvl="5" w:tplc="0809001B" w:tentative="1">
      <w:start w:val="1"/>
      <w:numFmt w:val="lowerRoman"/>
      <w:lvlText w:val="%6."/>
      <w:lvlJc w:val="right"/>
      <w:pPr>
        <w:ind w:left="4032" w:hanging="180"/>
      </w:pPr>
    </w:lvl>
    <w:lvl w:ilvl="6" w:tplc="0809000F" w:tentative="1">
      <w:start w:val="1"/>
      <w:numFmt w:val="decimal"/>
      <w:lvlText w:val="%7."/>
      <w:lvlJc w:val="left"/>
      <w:pPr>
        <w:ind w:left="4752" w:hanging="360"/>
      </w:pPr>
    </w:lvl>
    <w:lvl w:ilvl="7" w:tplc="08090019" w:tentative="1">
      <w:start w:val="1"/>
      <w:numFmt w:val="lowerLetter"/>
      <w:lvlText w:val="%8."/>
      <w:lvlJc w:val="left"/>
      <w:pPr>
        <w:ind w:left="5472" w:hanging="360"/>
      </w:pPr>
    </w:lvl>
    <w:lvl w:ilvl="8" w:tplc="0809001B" w:tentative="1">
      <w:start w:val="1"/>
      <w:numFmt w:val="lowerRoman"/>
      <w:lvlText w:val="%9."/>
      <w:lvlJc w:val="right"/>
      <w:pPr>
        <w:ind w:left="6192" w:hanging="180"/>
      </w:pPr>
    </w:lvl>
  </w:abstractNum>
  <w:abstractNum w:abstractNumId="1" w15:restartNumberingAfterBreak="0">
    <w:nsid w:val="42945C1F"/>
    <w:multiLevelType w:val="hybridMultilevel"/>
    <w:tmpl w:val="C1764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7AA6B4F"/>
    <w:multiLevelType w:val="multilevel"/>
    <w:tmpl w:val="E6D28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57996454">
    <w:abstractNumId w:val="1"/>
  </w:num>
  <w:num w:numId="2" w16cid:durableId="1374646883">
    <w:abstractNumId w:val="2"/>
  </w:num>
  <w:num w:numId="3" w16cid:durableId="8190760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249F"/>
    <w:rsid w:val="00000212"/>
    <w:rsid w:val="000033F2"/>
    <w:rsid w:val="00007EE7"/>
    <w:rsid w:val="00011158"/>
    <w:rsid w:val="00012265"/>
    <w:rsid w:val="000146C4"/>
    <w:rsid w:val="000201D4"/>
    <w:rsid w:val="00024385"/>
    <w:rsid w:val="00025AC4"/>
    <w:rsid w:val="000311B1"/>
    <w:rsid w:val="00031503"/>
    <w:rsid w:val="000426FA"/>
    <w:rsid w:val="000429D9"/>
    <w:rsid w:val="000433BC"/>
    <w:rsid w:val="0004477D"/>
    <w:rsid w:val="00047E38"/>
    <w:rsid w:val="00050173"/>
    <w:rsid w:val="00050801"/>
    <w:rsid w:val="00051D2F"/>
    <w:rsid w:val="00051DDE"/>
    <w:rsid w:val="000536D2"/>
    <w:rsid w:val="00053CFC"/>
    <w:rsid w:val="000571AD"/>
    <w:rsid w:val="0006079C"/>
    <w:rsid w:val="000652EB"/>
    <w:rsid w:val="00066AAC"/>
    <w:rsid w:val="000708B1"/>
    <w:rsid w:val="00071002"/>
    <w:rsid w:val="00073812"/>
    <w:rsid w:val="000763AD"/>
    <w:rsid w:val="000767BD"/>
    <w:rsid w:val="00083384"/>
    <w:rsid w:val="00086BA1"/>
    <w:rsid w:val="00087BE6"/>
    <w:rsid w:val="00091446"/>
    <w:rsid w:val="00096387"/>
    <w:rsid w:val="0009733D"/>
    <w:rsid w:val="000A639D"/>
    <w:rsid w:val="000A6BB8"/>
    <w:rsid w:val="000B096C"/>
    <w:rsid w:val="000B0E37"/>
    <w:rsid w:val="000C27D7"/>
    <w:rsid w:val="000D0507"/>
    <w:rsid w:val="000D10D1"/>
    <w:rsid w:val="000D1BC8"/>
    <w:rsid w:val="000D60A1"/>
    <w:rsid w:val="000E14B4"/>
    <w:rsid w:val="000F07CD"/>
    <w:rsid w:val="000F4705"/>
    <w:rsid w:val="000F61C9"/>
    <w:rsid w:val="000F6703"/>
    <w:rsid w:val="00102A88"/>
    <w:rsid w:val="00113816"/>
    <w:rsid w:val="00114144"/>
    <w:rsid w:val="001157D4"/>
    <w:rsid w:val="001201DF"/>
    <w:rsid w:val="00120EDA"/>
    <w:rsid w:val="001230AA"/>
    <w:rsid w:val="00123A56"/>
    <w:rsid w:val="00135791"/>
    <w:rsid w:val="001362CB"/>
    <w:rsid w:val="00140067"/>
    <w:rsid w:val="00140C6F"/>
    <w:rsid w:val="00146B44"/>
    <w:rsid w:val="00147EE8"/>
    <w:rsid w:val="00156DBE"/>
    <w:rsid w:val="001573F1"/>
    <w:rsid w:val="001606A2"/>
    <w:rsid w:val="001612F7"/>
    <w:rsid w:val="001622BC"/>
    <w:rsid w:val="00162BFE"/>
    <w:rsid w:val="00164212"/>
    <w:rsid w:val="0016561D"/>
    <w:rsid w:val="001734C0"/>
    <w:rsid w:val="00174728"/>
    <w:rsid w:val="001751C8"/>
    <w:rsid w:val="00175E83"/>
    <w:rsid w:val="00177929"/>
    <w:rsid w:val="00181A1A"/>
    <w:rsid w:val="00183B07"/>
    <w:rsid w:val="001840FF"/>
    <w:rsid w:val="001846EE"/>
    <w:rsid w:val="00184C54"/>
    <w:rsid w:val="00184E67"/>
    <w:rsid w:val="001865B5"/>
    <w:rsid w:val="001879B2"/>
    <w:rsid w:val="001919B1"/>
    <w:rsid w:val="00191CF3"/>
    <w:rsid w:val="001961F5"/>
    <w:rsid w:val="00196D77"/>
    <w:rsid w:val="001A195B"/>
    <w:rsid w:val="001A4596"/>
    <w:rsid w:val="001A4E28"/>
    <w:rsid w:val="001A589B"/>
    <w:rsid w:val="001B1BB3"/>
    <w:rsid w:val="001C5534"/>
    <w:rsid w:val="001D45A6"/>
    <w:rsid w:val="001D52EB"/>
    <w:rsid w:val="001D7717"/>
    <w:rsid w:val="001D7D78"/>
    <w:rsid w:val="001E0915"/>
    <w:rsid w:val="001E1973"/>
    <w:rsid w:val="001E27E5"/>
    <w:rsid w:val="001E753A"/>
    <w:rsid w:val="001F3DD9"/>
    <w:rsid w:val="001F4C88"/>
    <w:rsid w:val="001F51D3"/>
    <w:rsid w:val="001F6437"/>
    <w:rsid w:val="00202DE7"/>
    <w:rsid w:val="00204C52"/>
    <w:rsid w:val="00205C27"/>
    <w:rsid w:val="00206CCE"/>
    <w:rsid w:val="0021272A"/>
    <w:rsid w:val="00213725"/>
    <w:rsid w:val="00214818"/>
    <w:rsid w:val="00217009"/>
    <w:rsid w:val="0021722D"/>
    <w:rsid w:val="002217BF"/>
    <w:rsid w:val="002244FF"/>
    <w:rsid w:val="00230EDD"/>
    <w:rsid w:val="00232528"/>
    <w:rsid w:val="00232837"/>
    <w:rsid w:val="002358C1"/>
    <w:rsid w:val="002417F5"/>
    <w:rsid w:val="00243C89"/>
    <w:rsid w:val="00243FA4"/>
    <w:rsid w:val="0024624E"/>
    <w:rsid w:val="0024672F"/>
    <w:rsid w:val="002476E5"/>
    <w:rsid w:val="00250F0B"/>
    <w:rsid w:val="002512A5"/>
    <w:rsid w:val="0025136B"/>
    <w:rsid w:val="002517A2"/>
    <w:rsid w:val="00252C59"/>
    <w:rsid w:val="00253691"/>
    <w:rsid w:val="00254733"/>
    <w:rsid w:val="00254D27"/>
    <w:rsid w:val="0025624A"/>
    <w:rsid w:val="0026171E"/>
    <w:rsid w:val="00263E8F"/>
    <w:rsid w:val="0026440D"/>
    <w:rsid w:val="00265EBF"/>
    <w:rsid w:val="00272F8A"/>
    <w:rsid w:val="00272FF3"/>
    <w:rsid w:val="002732CD"/>
    <w:rsid w:val="00281525"/>
    <w:rsid w:val="00282C96"/>
    <w:rsid w:val="00286E51"/>
    <w:rsid w:val="00287EB6"/>
    <w:rsid w:val="002916E5"/>
    <w:rsid w:val="00292708"/>
    <w:rsid w:val="00292BA3"/>
    <w:rsid w:val="00294397"/>
    <w:rsid w:val="0029453F"/>
    <w:rsid w:val="0029786F"/>
    <w:rsid w:val="002A0679"/>
    <w:rsid w:val="002A1F9B"/>
    <w:rsid w:val="002A3311"/>
    <w:rsid w:val="002A7907"/>
    <w:rsid w:val="002B1482"/>
    <w:rsid w:val="002B4D49"/>
    <w:rsid w:val="002B61D7"/>
    <w:rsid w:val="002B6831"/>
    <w:rsid w:val="002C0655"/>
    <w:rsid w:val="002C2814"/>
    <w:rsid w:val="002C65A8"/>
    <w:rsid w:val="002C71AD"/>
    <w:rsid w:val="002D642E"/>
    <w:rsid w:val="002D70FE"/>
    <w:rsid w:val="002D7423"/>
    <w:rsid w:val="002E4125"/>
    <w:rsid w:val="002E421D"/>
    <w:rsid w:val="002F0DCF"/>
    <w:rsid w:val="002F1771"/>
    <w:rsid w:val="002F5064"/>
    <w:rsid w:val="002F68A3"/>
    <w:rsid w:val="002F7E6F"/>
    <w:rsid w:val="0030222D"/>
    <w:rsid w:val="003038CE"/>
    <w:rsid w:val="0030498F"/>
    <w:rsid w:val="00306C80"/>
    <w:rsid w:val="00310480"/>
    <w:rsid w:val="003116F5"/>
    <w:rsid w:val="00312563"/>
    <w:rsid w:val="00313C69"/>
    <w:rsid w:val="00314F61"/>
    <w:rsid w:val="00315035"/>
    <w:rsid w:val="003161DA"/>
    <w:rsid w:val="00316258"/>
    <w:rsid w:val="003262F7"/>
    <w:rsid w:val="00327FF3"/>
    <w:rsid w:val="0033341D"/>
    <w:rsid w:val="00336FE8"/>
    <w:rsid w:val="003400D9"/>
    <w:rsid w:val="00341260"/>
    <w:rsid w:val="0034373A"/>
    <w:rsid w:val="00345986"/>
    <w:rsid w:val="003461C2"/>
    <w:rsid w:val="0035062D"/>
    <w:rsid w:val="003506E6"/>
    <w:rsid w:val="0035240F"/>
    <w:rsid w:val="003550F7"/>
    <w:rsid w:val="003552B8"/>
    <w:rsid w:val="00355D0C"/>
    <w:rsid w:val="003572C8"/>
    <w:rsid w:val="00360E55"/>
    <w:rsid w:val="0036787B"/>
    <w:rsid w:val="00370C3D"/>
    <w:rsid w:val="00373667"/>
    <w:rsid w:val="00375082"/>
    <w:rsid w:val="00375E41"/>
    <w:rsid w:val="00377214"/>
    <w:rsid w:val="003813F0"/>
    <w:rsid w:val="00385A6C"/>
    <w:rsid w:val="00387AF5"/>
    <w:rsid w:val="00391FA0"/>
    <w:rsid w:val="003942EB"/>
    <w:rsid w:val="003949B0"/>
    <w:rsid w:val="00394D44"/>
    <w:rsid w:val="00395F5E"/>
    <w:rsid w:val="003966D6"/>
    <w:rsid w:val="00396BFA"/>
    <w:rsid w:val="003A4E7A"/>
    <w:rsid w:val="003A6294"/>
    <w:rsid w:val="003C189A"/>
    <w:rsid w:val="003C1E38"/>
    <w:rsid w:val="003C3B0C"/>
    <w:rsid w:val="003C3F7F"/>
    <w:rsid w:val="003C588A"/>
    <w:rsid w:val="003C5FC6"/>
    <w:rsid w:val="003C7C58"/>
    <w:rsid w:val="003D02BB"/>
    <w:rsid w:val="003D0A6C"/>
    <w:rsid w:val="003D31A1"/>
    <w:rsid w:val="003D4658"/>
    <w:rsid w:val="003D4C72"/>
    <w:rsid w:val="003E4C8A"/>
    <w:rsid w:val="003E596E"/>
    <w:rsid w:val="003E6DAE"/>
    <w:rsid w:val="003E7F90"/>
    <w:rsid w:val="003F0A71"/>
    <w:rsid w:val="003F2695"/>
    <w:rsid w:val="003F2B18"/>
    <w:rsid w:val="003F32F6"/>
    <w:rsid w:val="003F7BDF"/>
    <w:rsid w:val="00400D80"/>
    <w:rsid w:val="00401BA7"/>
    <w:rsid w:val="00402EA7"/>
    <w:rsid w:val="004140DA"/>
    <w:rsid w:val="00414BD5"/>
    <w:rsid w:val="00416932"/>
    <w:rsid w:val="004177DA"/>
    <w:rsid w:val="00425DE3"/>
    <w:rsid w:val="00426902"/>
    <w:rsid w:val="004337E2"/>
    <w:rsid w:val="00436925"/>
    <w:rsid w:val="004373C5"/>
    <w:rsid w:val="0044434F"/>
    <w:rsid w:val="004443F4"/>
    <w:rsid w:val="00444867"/>
    <w:rsid w:val="00447595"/>
    <w:rsid w:val="00453D28"/>
    <w:rsid w:val="004548EC"/>
    <w:rsid w:val="004555EB"/>
    <w:rsid w:val="004561EA"/>
    <w:rsid w:val="00456C12"/>
    <w:rsid w:val="004611FC"/>
    <w:rsid w:val="0046284B"/>
    <w:rsid w:val="00463A8F"/>
    <w:rsid w:val="00463B54"/>
    <w:rsid w:val="004732B4"/>
    <w:rsid w:val="00473A69"/>
    <w:rsid w:val="0047646F"/>
    <w:rsid w:val="004804B2"/>
    <w:rsid w:val="004871B7"/>
    <w:rsid w:val="00487322"/>
    <w:rsid w:val="00491254"/>
    <w:rsid w:val="004919EA"/>
    <w:rsid w:val="00493398"/>
    <w:rsid w:val="00496120"/>
    <w:rsid w:val="004971F0"/>
    <w:rsid w:val="004A4398"/>
    <w:rsid w:val="004A6C5B"/>
    <w:rsid w:val="004B1182"/>
    <w:rsid w:val="004B1F68"/>
    <w:rsid w:val="004B27C4"/>
    <w:rsid w:val="004B4FB7"/>
    <w:rsid w:val="004B529B"/>
    <w:rsid w:val="004C3F5A"/>
    <w:rsid w:val="004C6745"/>
    <w:rsid w:val="004C6892"/>
    <w:rsid w:val="004D5114"/>
    <w:rsid w:val="004D6E73"/>
    <w:rsid w:val="004D754D"/>
    <w:rsid w:val="004E0204"/>
    <w:rsid w:val="004E291C"/>
    <w:rsid w:val="004E48C8"/>
    <w:rsid w:val="004E4BD1"/>
    <w:rsid w:val="004F0724"/>
    <w:rsid w:val="004F0860"/>
    <w:rsid w:val="004F37E0"/>
    <w:rsid w:val="00500BD9"/>
    <w:rsid w:val="00511906"/>
    <w:rsid w:val="00515BB1"/>
    <w:rsid w:val="00516983"/>
    <w:rsid w:val="00516AEB"/>
    <w:rsid w:val="005201EB"/>
    <w:rsid w:val="00521AF5"/>
    <w:rsid w:val="00522819"/>
    <w:rsid w:val="00524F36"/>
    <w:rsid w:val="00527000"/>
    <w:rsid w:val="00527F17"/>
    <w:rsid w:val="00532D3F"/>
    <w:rsid w:val="0053454F"/>
    <w:rsid w:val="00534FFD"/>
    <w:rsid w:val="00536B71"/>
    <w:rsid w:val="00541485"/>
    <w:rsid w:val="005424B0"/>
    <w:rsid w:val="005451D8"/>
    <w:rsid w:val="00546A2D"/>
    <w:rsid w:val="00551A3D"/>
    <w:rsid w:val="0055348D"/>
    <w:rsid w:val="00556312"/>
    <w:rsid w:val="00556EC3"/>
    <w:rsid w:val="00560540"/>
    <w:rsid w:val="00562397"/>
    <w:rsid w:val="00563327"/>
    <w:rsid w:val="00564F52"/>
    <w:rsid w:val="005668C3"/>
    <w:rsid w:val="00567436"/>
    <w:rsid w:val="005705FE"/>
    <w:rsid w:val="00571062"/>
    <w:rsid w:val="005770E0"/>
    <w:rsid w:val="00580B6E"/>
    <w:rsid w:val="00583261"/>
    <w:rsid w:val="005839B5"/>
    <w:rsid w:val="00583FF6"/>
    <w:rsid w:val="005861B5"/>
    <w:rsid w:val="00587A6E"/>
    <w:rsid w:val="00594CAA"/>
    <w:rsid w:val="005A1334"/>
    <w:rsid w:val="005A3921"/>
    <w:rsid w:val="005A4861"/>
    <w:rsid w:val="005A72A5"/>
    <w:rsid w:val="005A7FFD"/>
    <w:rsid w:val="005B021F"/>
    <w:rsid w:val="005B2C95"/>
    <w:rsid w:val="005B2E35"/>
    <w:rsid w:val="005B3EC1"/>
    <w:rsid w:val="005B5088"/>
    <w:rsid w:val="005B5DAF"/>
    <w:rsid w:val="005B6CED"/>
    <w:rsid w:val="005C327D"/>
    <w:rsid w:val="005C39AC"/>
    <w:rsid w:val="005C777F"/>
    <w:rsid w:val="005D2CFA"/>
    <w:rsid w:val="005D3163"/>
    <w:rsid w:val="005D37E4"/>
    <w:rsid w:val="005D5E1E"/>
    <w:rsid w:val="005D7A20"/>
    <w:rsid w:val="005E2657"/>
    <w:rsid w:val="005E28D5"/>
    <w:rsid w:val="005E2C6A"/>
    <w:rsid w:val="005E3FE0"/>
    <w:rsid w:val="005E42BC"/>
    <w:rsid w:val="005E558D"/>
    <w:rsid w:val="005E7CC7"/>
    <w:rsid w:val="005F2056"/>
    <w:rsid w:val="005F2DB8"/>
    <w:rsid w:val="005F3D3C"/>
    <w:rsid w:val="005F52BC"/>
    <w:rsid w:val="006047E9"/>
    <w:rsid w:val="00610943"/>
    <w:rsid w:val="006149A6"/>
    <w:rsid w:val="00614B93"/>
    <w:rsid w:val="00625BBA"/>
    <w:rsid w:val="0062647D"/>
    <w:rsid w:val="00630092"/>
    <w:rsid w:val="00632454"/>
    <w:rsid w:val="00635390"/>
    <w:rsid w:val="006360E2"/>
    <w:rsid w:val="00637DA2"/>
    <w:rsid w:val="00640FED"/>
    <w:rsid w:val="00642A6D"/>
    <w:rsid w:val="006472D4"/>
    <w:rsid w:val="00654A1B"/>
    <w:rsid w:val="0066043C"/>
    <w:rsid w:val="00664964"/>
    <w:rsid w:val="00666BC4"/>
    <w:rsid w:val="00667B74"/>
    <w:rsid w:val="00667B9D"/>
    <w:rsid w:val="00672F8A"/>
    <w:rsid w:val="00673269"/>
    <w:rsid w:val="0067625F"/>
    <w:rsid w:val="00681581"/>
    <w:rsid w:val="0068292E"/>
    <w:rsid w:val="00683B21"/>
    <w:rsid w:val="00684100"/>
    <w:rsid w:val="006853E7"/>
    <w:rsid w:val="00685420"/>
    <w:rsid w:val="00685BD5"/>
    <w:rsid w:val="00685EA4"/>
    <w:rsid w:val="006866FD"/>
    <w:rsid w:val="00687094"/>
    <w:rsid w:val="0069076F"/>
    <w:rsid w:val="00690905"/>
    <w:rsid w:val="00690CA9"/>
    <w:rsid w:val="006923C3"/>
    <w:rsid w:val="00692A2E"/>
    <w:rsid w:val="0069372F"/>
    <w:rsid w:val="006944D3"/>
    <w:rsid w:val="00696548"/>
    <w:rsid w:val="006A1F92"/>
    <w:rsid w:val="006A21AE"/>
    <w:rsid w:val="006A6B05"/>
    <w:rsid w:val="006B7238"/>
    <w:rsid w:val="006C0A69"/>
    <w:rsid w:val="006C6833"/>
    <w:rsid w:val="006D2648"/>
    <w:rsid w:val="006D3975"/>
    <w:rsid w:val="006E0AEA"/>
    <w:rsid w:val="006E0C58"/>
    <w:rsid w:val="006E19E1"/>
    <w:rsid w:val="006F14E6"/>
    <w:rsid w:val="007024A7"/>
    <w:rsid w:val="00702FBE"/>
    <w:rsid w:val="00703011"/>
    <w:rsid w:val="00707559"/>
    <w:rsid w:val="00716B6C"/>
    <w:rsid w:val="0072080C"/>
    <w:rsid w:val="00720A78"/>
    <w:rsid w:val="00720C25"/>
    <w:rsid w:val="0072226C"/>
    <w:rsid w:val="007242F0"/>
    <w:rsid w:val="00725F3C"/>
    <w:rsid w:val="007273C2"/>
    <w:rsid w:val="0074150C"/>
    <w:rsid w:val="00753FD7"/>
    <w:rsid w:val="00754275"/>
    <w:rsid w:val="00755C1C"/>
    <w:rsid w:val="00757772"/>
    <w:rsid w:val="007629F7"/>
    <w:rsid w:val="00766E69"/>
    <w:rsid w:val="00767073"/>
    <w:rsid w:val="00770C7D"/>
    <w:rsid w:val="007735F2"/>
    <w:rsid w:val="00773EDF"/>
    <w:rsid w:val="00775D77"/>
    <w:rsid w:val="00781517"/>
    <w:rsid w:val="00781941"/>
    <w:rsid w:val="0078634D"/>
    <w:rsid w:val="007907F6"/>
    <w:rsid w:val="00791903"/>
    <w:rsid w:val="00792FA7"/>
    <w:rsid w:val="00793D4A"/>
    <w:rsid w:val="007A2602"/>
    <w:rsid w:val="007A5E45"/>
    <w:rsid w:val="007B7681"/>
    <w:rsid w:val="007C18D1"/>
    <w:rsid w:val="007C1B30"/>
    <w:rsid w:val="007C3BAE"/>
    <w:rsid w:val="007C454A"/>
    <w:rsid w:val="007C64F4"/>
    <w:rsid w:val="007D5450"/>
    <w:rsid w:val="007D7EFB"/>
    <w:rsid w:val="007E2599"/>
    <w:rsid w:val="007E311D"/>
    <w:rsid w:val="007E551B"/>
    <w:rsid w:val="007E6702"/>
    <w:rsid w:val="007E7976"/>
    <w:rsid w:val="007E7CA0"/>
    <w:rsid w:val="007F267D"/>
    <w:rsid w:val="007F32B6"/>
    <w:rsid w:val="007F4DDD"/>
    <w:rsid w:val="007F5647"/>
    <w:rsid w:val="00800D12"/>
    <w:rsid w:val="00803724"/>
    <w:rsid w:val="00804FA5"/>
    <w:rsid w:val="00813865"/>
    <w:rsid w:val="0081456E"/>
    <w:rsid w:val="00816337"/>
    <w:rsid w:val="00824D7B"/>
    <w:rsid w:val="008262EE"/>
    <w:rsid w:val="008303F2"/>
    <w:rsid w:val="00831047"/>
    <w:rsid w:val="00832463"/>
    <w:rsid w:val="008338A5"/>
    <w:rsid w:val="00834AE6"/>
    <w:rsid w:val="00836030"/>
    <w:rsid w:val="0083754F"/>
    <w:rsid w:val="008520E8"/>
    <w:rsid w:val="0085589C"/>
    <w:rsid w:val="008604F9"/>
    <w:rsid w:val="00863060"/>
    <w:rsid w:val="00864E81"/>
    <w:rsid w:val="00865709"/>
    <w:rsid w:val="008679D1"/>
    <w:rsid w:val="00876B1D"/>
    <w:rsid w:val="008822A4"/>
    <w:rsid w:val="00882DA3"/>
    <w:rsid w:val="0088350D"/>
    <w:rsid w:val="00884136"/>
    <w:rsid w:val="00885148"/>
    <w:rsid w:val="0088622D"/>
    <w:rsid w:val="0088714F"/>
    <w:rsid w:val="00891F15"/>
    <w:rsid w:val="008935F5"/>
    <w:rsid w:val="00894E32"/>
    <w:rsid w:val="0089543F"/>
    <w:rsid w:val="008966E5"/>
    <w:rsid w:val="008A003B"/>
    <w:rsid w:val="008A4EE2"/>
    <w:rsid w:val="008A5942"/>
    <w:rsid w:val="008C0303"/>
    <w:rsid w:val="008C0A5B"/>
    <w:rsid w:val="008C32B4"/>
    <w:rsid w:val="008D3D75"/>
    <w:rsid w:val="008D65FA"/>
    <w:rsid w:val="008E0AD6"/>
    <w:rsid w:val="008E34BD"/>
    <w:rsid w:val="008F4178"/>
    <w:rsid w:val="008F74DE"/>
    <w:rsid w:val="00900FB2"/>
    <w:rsid w:val="00903197"/>
    <w:rsid w:val="009034FC"/>
    <w:rsid w:val="0090422B"/>
    <w:rsid w:val="00915365"/>
    <w:rsid w:val="00920E76"/>
    <w:rsid w:val="00925102"/>
    <w:rsid w:val="009261B9"/>
    <w:rsid w:val="009272C2"/>
    <w:rsid w:val="0093173E"/>
    <w:rsid w:val="0093203B"/>
    <w:rsid w:val="009352AD"/>
    <w:rsid w:val="00936482"/>
    <w:rsid w:val="00937AE4"/>
    <w:rsid w:val="00942D6B"/>
    <w:rsid w:val="009437C9"/>
    <w:rsid w:val="00944B5E"/>
    <w:rsid w:val="009452FA"/>
    <w:rsid w:val="00946592"/>
    <w:rsid w:val="00950C85"/>
    <w:rsid w:val="0096357A"/>
    <w:rsid w:val="0097007B"/>
    <w:rsid w:val="009767BB"/>
    <w:rsid w:val="00976E94"/>
    <w:rsid w:val="0098092D"/>
    <w:rsid w:val="009827C7"/>
    <w:rsid w:val="00982BAF"/>
    <w:rsid w:val="00982BF7"/>
    <w:rsid w:val="00983540"/>
    <w:rsid w:val="00984ED3"/>
    <w:rsid w:val="00985150"/>
    <w:rsid w:val="00996BD4"/>
    <w:rsid w:val="009A085C"/>
    <w:rsid w:val="009A3581"/>
    <w:rsid w:val="009A6C88"/>
    <w:rsid w:val="009A70E4"/>
    <w:rsid w:val="009B1F60"/>
    <w:rsid w:val="009B57A2"/>
    <w:rsid w:val="009C24C0"/>
    <w:rsid w:val="009C38B6"/>
    <w:rsid w:val="009C55F2"/>
    <w:rsid w:val="009C6606"/>
    <w:rsid w:val="009C67C1"/>
    <w:rsid w:val="009C69B4"/>
    <w:rsid w:val="009D475B"/>
    <w:rsid w:val="009D4D25"/>
    <w:rsid w:val="009D58E7"/>
    <w:rsid w:val="009E0A87"/>
    <w:rsid w:val="009E1035"/>
    <w:rsid w:val="009E1E46"/>
    <w:rsid w:val="009E25C6"/>
    <w:rsid w:val="009E4078"/>
    <w:rsid w:val="009E463C"/>
    <w:rsid w:val="009E54BC"/>
    <w:rsid w:val="009E7126"/>
    <w:rsid w:val="009F11BF"/>
    <w:rsid w:val="009F11CE"/>
    <w:rsid w:val="009F1228"/>
    <w:rsid w:val="009F272D"/>
    <w:rsid w:val="009F3F49"/>
    <w:rsid w:val="009F4996"/>
    <w:rsid w:val="00A010D0"/>
    <w:rsid w:val="00A06024"/>
    <w:rsid w:val="00A10E9A"/>
    <w:rsid w:val="00A12631"/>
    <w:rsid w:val="00A127A6"/>
    <w:rsid w:val="00A13A75"/>
    <w:rsid w:val="00A16DBB"/>
    <w:rsid w:val="00A17C37"/>
    <w:rsid w:val="00A22573"/>
    <w:rsid w:val="00A26BAB"/>
    <w:rsid w:val="00A34FE9"/>
    <w:rsid w:val="00A41697"/>
    <w:rsid w:val="00A428FE"/>
    <w:rsid w:val="00A44C9E"/>
    <w:rsid w:val="00A462D3"/>
    <w:rsid w:val="00A46D40"/>
    <w:rsid w:val="00A50485"/>
    <w:rsid w:val="00A55F5B"/>
    <w:rsid w:val="00A62C4E"/>
    <w:rsid w:val="00A70CFB"/>
    <w:rsid w:val="00A75E94"/>
    <w:rsid w:val="00A821D0"/>
    <w:rsid w:val="00A82F5F"/>
    <w:rsid w:val="00A8320D"/>
    <w:rsid w:val="00A93ED3"/>
    <w:rsid w:val="00AA13EC"/>
    <w:rsid w:val="00AA51F9"/>
    <w:rsid w:val="00AA67B4"/>
    <w:rsid w:val="00AB067B"/>
    <w:rsid w:val="00AC256D"/>
    <w:rsid w:val="00AC4A92"/>
    <w:rsid w:val="00AC79DA"/>
    <w:rsid w:val="00AD01CB"/>
    <w:rsid w:val="00AD1324"/>
    <w:rsid w:val="00AD2755"/>
    <w:rsid w:val="00AE02B2"/>
    <w:rsid w:val="00AE2808"/>
    <w:rsid w:val="00AE442C"/>
    <w:rsid w:val="00AF3617"/>
    <w:rsid w:val="00AF49A7"/>
    <w:rsid w:val="00AF606B"/>
    <w:rsid w:val="00AF6CC3"/>
    <w:rsid w:val="00B0454A"/>
    <w:rsid w:val="00B05392"/>
    <w:rsid w:val="00B1025F"/>
    <w:rsid w:val="00B10906"/>
    <w:rsid w:val="00B12BE1"/>
    <w:rsid w:val="00B15388"/>
    <w:rsid w:val="00B16CCF"/>
    <w:rsid w:val="00B20DD8"/>
    <w:rsid w:val="00B21CB5"/>
    <w:rsid w:val="00B23EBC"/>
    <w:rsid w:val="00B24EA9"/>
    <w:rsid w:val="00B273A0"/>
    <w:rsid w:val="00B32DE5"/>
    <w:rsid w:val="00B3437A"/>
    <w:rsid w:val="00B40239"/>
    <w:rsid w:val="00B403A0"/>
    <w:rsid w:val="00B43749"/>
    <w:rsid w:val="00B446D6"/>
    <w:rsid w:val="00B45363"/>
    <w:rsid w:val="00B5006B"/>
    <w:rsid w:val="00B5208D"/>
    <w:rsid w:val="00B55BCB"/>
    <w:rsid w:val="00B631AF"/>
    <w:rsid w:val="00B63EA5"/>
    <w:rsid w:val="00B74777"/>
    <w:rsid w:val="00B7535C"/>
    <w:rsid w:val="00B76043"/>
    <w:rsid w:val="00B77613"/>
    <w:rsid w:val="00B832BF"/>
    <w:rsid w:val="00B85750"/>
    <w:rsid w:val="00B97AF1"/>
    <w:rsid w:val="00BA0831"/>
    <w:rsid w:val="00BA1152"/>
    <w:rsid w:val="00BA5A88"/>
    <w:rsid w:val="00BB36CB"/>
    <w:rsid w:val="00BC289B"/>
    <w:rsid w:val="00BD2A57"/>
    <w:rsid w:val="00BD409C"/>
    <w:rsid w:val="00BE25F7"/>
    <w:rsid w:val="00BE3699"/>
    <w:rsid w:val="00BE639D"/>
    <w:rsid w:val="00BF1D90"/>
    <w:rsid w:val="00BF3A66"/>
    <w:rsid w:val="00BF5A2B"/>
    <w:rsid w:val="00BF7760"/>
    <w:rsid w:val="00BF7F77"/>
    <w:rsid w:val="00C03C19"/>
    <w:rsid w:val="00C043F6"/>
    <w:rsid w:val="00C05EA1"/>
    <w:rsid w:val="00C060F7"/>
    <w:rsid w:val="00C12305"/>
    <w:rsid w:val="00C166C4"/>
    <w:rsid w:val="00C238B3"/>
    <w:rsid w:val="00C247CD"/>
    <w:rsid w:val="00C26349"/>
    <w:rsid w:val="00C26DB2"/>
    <w:rsid w:val="00C26E05"/>
    <w:rsid w:val="00C313E7"/>
    <w:rsid w:val="00C31ADA"/>
    <w:rsid w:val="00C3213A"/>
    <w:rsid w:val="00C33FF3"/>
    <w:rsid w:val="00C36F8A"/>
    <w:rsid w:val="00C3711A"/>
    <w:rsid w:val="00C408E0"/>
    <w:rsid w:val="00C41172"/>
    <w:rsid w:val="00C42317"/>
    <w:rsid w:val="00C447BE"/>
    <w:rsid w:val="00C456BD"/>
    <w:rsid w:val="00C47BD5"/>
    <w:rsid w:val="00C53AD9"/>
    <w:rsid w:val="00C559CB"/>
    <w:rsid w:val="00C56608"/>
    <w:rsid w:val="00C5675F"/>
    <w:rsid w:val="00C57D3C"/>
    <w:rsid w:val="00C6144D"/>
    <w:rsid w:val="00C63A10"/>
    <w:rsid w:val="00C63AEF"/>
    <w:rsid w:val="00C65AD7"/>
    <w:rsid w:val="00C66EAF"/>
    <w:rsid w:val="00C73F83"/>
    <w:rsid w:val="00C826C9"/>
    <w:rsid w:val="00C833C5"/>
    <w:rsid w:val="00C84912"/>
    <w:rsid w:val="00C904E0"/>
    <w:rsid w:val="00C93034"/>
    <w:rsid w:val="00C95FCE"/>
    <w:rsid w:val="00C977A0"/>
    <w:rsid w:val="00CA0384"/>
    <w:rsid w:val="00CA0393"/>
    <w:rsid w:val="00CA13E8"/>
    <w:rsid w:val="00CB0743"/>
    <w:rsid w:val="00CB0F71"/>
    <w:rsid w:val="00CB22B3"/>
    <w:rsid w:val="00CB31D6"/>
    <w:rsid w:val="00CB4855"/>
    <w:rsid w:val="00CC3455"/>
    <w:rsid w:val="00CC5AEA"/>
    <w:rsid w:val="00CC6BDE"/>
    <w:rsid w:val="00CD4A2D"/>
    <w:rsid w:val="00CD607A"/>
    <w:rsid w:val="00CD6996"/>
    <w:rsid w:val="00CE1DDC"/>
    <w:rsid w:val="00CE4D77"/>
    <w:rsid w:val="00CE7FD1"/>
    <w:rsid w:val="00CF0A2F"/>
    <w:rsid w:val="00CF5137"/>
    <w:rsid w:val="00D011E9"/>
    <w:rsid w:val="00D026CE"/>
    <w:rsid w:val="00D027ED"/>
    <w:rsid w:val="00D05581"/>
    <w:rsid w:val="00D06F4E"/>
    <w:rsid w:val="00D07970"/>
    <w:rsid w:val="00D07BE9"/>
    <w:rsid w:val="00D12567"/>
    <w:rsid w:val="00D130AE"/>
    <w:rsid w:val="00D14702"/>
    <w:rsid w:val="00D210FC"/>
    <w:rsid w:val="00D24CF2"/>
    <w:rsid w:val="00D25603"/>
    <w:rsid w:val="00D35261"/>
    <w:rsid w:val="00D3799D"/>
    <w:rsid w:val="00D408F6"/>
    <w:rsid w:val="00D43827"/>
    <w:rsid w:val="00D446EB"/>
    <w:rsid w:val="00D47189"/>
    <w:rsid w:val="00D51917"/>
    <w:rsid w:val="00D5591A"/>
    <w:rsid w:val="00D6249F"/>
    <w:rsid w:val="00D63843"/>
    <w:rsid w:val="00D6484B"/>
    <w:rsid w:val="00D66213"/>
    <w:rsid w:val="00D66853"/>
    <w:rsid w:val="00D73877"/>
    <w:rsid w:val="00D74A18"/>
    <w:rsid w:val="00D76C08"/>
    <w:rsid w:val="00D77B26"/>
    <w:rsid w:val="00D80C97"/>
    <w:rsid w:val="00D81A2E"/>
    <w:rsid w:val="00D81B08"/>
    <w:rsid w:val="00D81DF8"/>
    <w:rsid w:val="00D83610"/>
    <w:rsid w:val="00D856E6"/>
    <w:rsid w:val="00D90E22"/>
    <w:rsid w:val="00D934C0"/>
    <w:rsid w:val="00D9422B"/>
    <w:rsid w:val="00D94F71"/>
    <w:rsid w:val="00D9655C"/>
    <w:rsid w:val="00DA6C6B"/>
    <w:rsid w:val="00DB079C"/>
    <w:rsid w:val="00DB0855"/>
    <w:rsid w:val="00DB0C6A"/>
    <w:rsid w:val="00DB2BAB"/>
    <w:rsid w:val="00DB7274"/>
    <w:rsid w:val="00DB75DF"/>
    <w:rsid w:val="00DC335E"/>
    <w:rsid w:val="00DC4027"/>
    <w:rsid w:val="00DD4C1A"/>
    <w:rsid w:val="00DD60F9"/>
    <w:rsid w:val="00DE6BC3"/>
    <w:rsid w:val="00DE7D9E"/>
    <w:rsid w:val="00DF29D4"/>
    <w:rsid w:val="00DF3A21"/>
    <w:rsid w:val="00DF4B0C"/>
    <w:rsid w:val="00DF5EAF"/>
    <w:rsid w:val="00DF64E4"/>
    <w:rsid w:val="00E00B92"/>
    <w:rsid w:val="00E0271F"/>
    <w:rsid w:val="00E03E8F"/>
    <w:rsid w:val="00E052C6"/>
    <w:rsid w:val="00E1169F"/>
    <w:rsid w:val="00E14BD2"/>
    <w:rsid w:val="00E15B1D"/>
    <w:rsid w:val="00E1650D"/>
    <w:rsid w:val="00E17642"/>
    <w:rsid w:val="00E17ECB"/>
    <w:rsid w:val="00E22DDC"/>
    <w:rsid w:val="00E24C7B"/>
    <w:rsid w:val="00E26648"/>
    <w:rsid w:val="00E26B0A"/>
    <w:rsid w:val="00E31903"/>
    <w:rsid w:val="00E33E11"/>
    <w:rsid w:val="00E40CD6"/>
    <w:rsid w:val="00E40FFC"/>
    <w:rsid w:val="00E4152E"/>
    <w:rsid w:val="00E41D08"/>
    <w:rsid w:val="00E430BD"/>
    <w:rsid w:val="00E43A38"/>
    <w:rsid w:val="00E44C3A"/>
    <w:rsid w:val="00E44D86"/>
    <w:rsid w:val="00E50BFF"/>
    <w:rsid w:val="00E53E66"/>
    <w:rsid w:val="00E54457"/>
    <w:rsid w:val="00E57CFD"/>
    <w:rsid w:val="00E61179"/>
    <w:rsid w:val="00E628FD"/>
    <w:rsid w:val="00E63A96"/>
    <w:rsid w:val="00E63EE1"/>
    <w:rsid w:val="00E67AC1"/>
    <w:rsid w:val="00E716A5"/>
    <w:rsid w:val="00E717A8"/>
    <w:rsid w:val="00E73A4C"/>
    <w:rsid w:val="00E73DBB"/>
    <w:rsid w:val="00E742F7"/>
    <w:rsid w:val="00E93969"/>
    <w:rsid w:val="00EA5445"/>
    <w:rsid w:val="00EB2E1F"/>
    <w:rsid w:val="00EB3428"/>
    <w:rsid w:val="00EB72D0"/>
    <w:rsid w:val="00ED1A6F"/>
    <w:rsid w:val="00ED2893"/>
    <w:rsid w:val="00ED3B2D"/>
    <w:rsid w:val="00ED60F2"/>
    <w:rsid w:val="00ED75E6"/>
    <w:rsid w:val="00EE20C0"/>
    <w:rsid w:val="00EE25CB"/>
    <w:rsid w:val="00EE5FDD"/>
    <w:rsid w:val="00EE6FCE"/>
    <w:rsid w:val="00EE73B5"/>
    <w:rsid w:val="00EE7506"/>
    <w:rsid w:val="00EF79A1"/>
    <w:rsid w:val="00F00A65"/>
    <w:rsid w:val="00F00EFA"/>
    <w:rsid w:val="00F03223"/>
    <w:rsid w:val="00F037E7"/>
    <w:rsid w:val="00F0653D"/>
    <w:rsid w:val="00F1053A"/>
    <w:rsid w:val="00F12E5A"/>
    <w:rsid w:val="00F13021"/>
    <w:rsid w:val="00F17C4E"/>
    <w:rsid w:val="00F23FEB"/>
    <w:rsid w:val="00F25C79"/>
    <w:rsid w:val="00F300CA"/>
    <w:rsid w:val="00F30918"/>
    <w:rsid w:val="00F32B43"/>
    <w:rsid w:val="00F34297"/>
    <w:rsid w:val="00F34C0A"/>
    <w:rsid w:val="00F350DD"/>
    <w:rsid w:val="00F3669D"/>
    <w:rsid w:val="00F37F0F"/>
    <w:rsid w:val="00F41D80"/>
    <w:rsid w:val="00F424C1"/>
    <w:rsid w:val="00F47C94"/>
    <w:rsid w:val="00F50755"/>
    <w:rsid w:val="00F50819"/>
    <w:rsid w:val="00F51ABC"/>
    <w:rsid w:val="00F534B0"/>
    <w:rsid w:val="00F5459F"/>
    <w:rsid w:val="00F553A1"/>
    <w:rsid w:val="00F62B63"/>
    <w:rsid w:val="00F647E8"/>
    <w:rsid w:val="00F7133E"/>
    <w:rsid w:val="00F72C3B"/>
    <w:rsid w:val="00F74B78"/>
    <w:rsid w:val="00F81B6E"/>
    <w:rsid w:val="00F8697A"/>
    <w:rsid w:val="00F86F99"/>
    <w:rsid w:val="00FA062C"/>
    <w:rsid w:val="00FA08A1"/>
    <w:rsid w:val="00FA1DCC"/>
    <w:rsid w:val="00FA6552"/>
    <w:rsid w:val="00FA70B4"/>
    <w:rsid w:val="00FA7987"/>
    <w:rsid w:val="00FB10B0"/>
    <w:rsid w:val="00FB2631"/>
    <w:rsid w:val="00FB2FB9"/>
    <w:rsid w:val="00FB6A83"/>
    <w:rsid w:val="00FC2B0D"/>
    <w:rsid w:val="00FC416C"/>
    <w:rsid w:val="00FC6744"/>
    <w:rsid w:val="00FC67F2"/>
    <w:rsid w:val="00FD231C"/>
    <w:rsid w:val="00FD2572"/>
    <w:rsid w:val="00FD26F5"/>
    <w:rsid w:val="00FD7C54"/>
    <w:rsid w:val="00FE0FEE"/>
    <w:rsid w:val="00FE15DE"/>
    <w:rsid w:val="00FF2B88"/>
    <w:rsid w:val="00FF3BD9"/>
    <w:rsid w:val="00FF6268"/>
    <w:rsid w:val="00FF75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622816"/>
  <w15:chartTrackingRefBased/>
  <w15:docId w15:val="{60E25526-6C1C-44A8-BDBD-8EE0114E6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24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624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24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24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24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24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24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24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24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24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624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24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24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24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24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24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24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249F"/>
    <w:rPr>
      <w:rFonts w:eastAsiaTheme="majorEastAsia" w:cstheme="majorBidi"/>
      <w:color w:val="272727" w:themeColor="text1" w:themeTint="D8"/>
    </w:rPr>
  </w:style>
  <w:style w:type="paragraph" w:styleId="Title">
    <w:name w:val="Title"/>
    <w:basedOn w:val="Normal"/>
    <w:next w:val="Normal"/>
    <w:link w:val="TitleChar"/>
    <w:uiPriority w:val="10"/>
    <w:qFormat/>
    <w:rsid w:val="00D624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24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24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24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249F"/>
    <w:pPr>
      <w:spacing w:before="160"/>
      <w:jc w:val="center"/>
    </w:pPr>
    <w:rPr>
      <w:i/>
      <w:iCs/>
      <w:color w:val="404040" w:themeColor="text1" w:themeTint="BF"/>
    </w:rPr>
  </w:style>
  <w:style w:type="character" w:customStyle="1" w:styleId="QuoteChar">
    <w:name w:val="Quote Char"/>
    <w:basedOn w:val="DefaultParagraphFont"/>
    <w:link w:val="Quote"/>
    <w:uiPriority w:val="29"/>
    <w:rsid w:val="00D6249F"/>
    <w:rPr>
      <w:i/>
      <w:iCs/>
      <w:color w:val="404040" w:themeColor="text1" w:themeTint="BF"/>
    </w:rPr>
  </w:style>
  <w:style w:type="paragraph" w:styleId="ListParagraph">
    <w:name w:val="List Paragraph"/>
    <w:basedOn w:val="Normal"/>
    <w:uiPriority w:val="34"/>
    <w:qFormat/>
    <w:rsid w:val="00D6249F"/>
    <w:pPr>
      <w:ind w:left="720"/>
      <w:contextualSpacing/>
    </w:pPr>
  </w:style>
  <w:style w:type="character" w:styleId="IntenseEmphasis">
    <w:name w:val="Intense Emphasis"/>
    <w:basedOn w:val="DefaultParagraphFont"/>
    <w:uiPriority w:val="21"/>
    <w:qFormat/>
    <w:rsid w:val="00D6249F"/>
    <w:rPr>
      <w:i/>
      <w:iCs/>
      <w:color w:val="0F4761" w:themeColor="accent1" w:themeShade="BF"/>
    </w:rPr>
  </w:style>
  <w:style w:type="paragraph" w:styleId="IntenseQuote">
    <w:name w:val="Intense Quote"/>
    <w:basedOn w:val="Normal"/>
    <w:next w:val="Normal"/>
    <w:link w:val="IntenseQuoteChar"/>
    <w:uiPriority w:val="30"/>
    <w:qFormat/>
    <w:rsid w:val="00D624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249F"/>
    <w:rPr>
      <w:i/>
      <w:iCs/>
      <w:color w:val="0F4761" w:themeColor="accent1" w:themeShade="BF"/>
    </w:rPr>
  </w:style>
  <w:style w:type="character" w:styleId="IntenseReference">
    <w:name w:val="Intense Reference"/>
    <w:basedOn w:val="DefaultParagraphFont"/>
    <w:uiPriority w:val="32"/>
    <w:qFormat/>
    <w:rsid w:val="00D6249F"/>
    <w:rPr>
      <w:b/>
      <w:bCs/>
      <w:smallCaps/>
      <w:color w:val="0F4761" w:themeColor="accent1" w:themeShade="BF"/>
      <w:spacing w:val="5"/>
    </w:rPr>
  </w:style>
  <w:style w:type="paragraph" w:styleId="Bibliography">
    <w:name w:val="Bibliography"/>
    <w:basedOn w:val="Normal"/>
    <w:next w:val="Normal"/>
    <w:uiPriority w:val="37"/>
    <w:unhideWhenUsed/>
    <w:rsid w:val="00556312"/>
  </w:style>
  <w:style w:type="paragraph" w:styleId="NormalWeb">
    <w:name w:val="Normal (Web)"/>
    <w:basedOn w:val="Normal"/>
    <w:uiPriority w:val="99"/>
    <w:semiHidden/>
    <w:unhideWhenUsed/>
    <w:rsid w:val="00263E8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2417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17F5"/>
  </w:style>
  <w:style w:type="paragraph" w:styleId="Footer">
    <w:name w:val="footer"/>
    <w:basedOn w:val="Normal"/>
    <w:link w:val="FooterChar"/>
    <w:uiPriority w:val="99"/>
    <w:unhideWhenUsed/>
    <w:rsid w:val="002417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17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308</TotalTime>
  <Pages>22</Pages>
  <Words>8832</Words>
  <Characters>50343</Characters>
  <Application>Microsoft Office Word</Application>
  <DocSecurity>0</DocSecurity>
  <Lines>419</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 Johns (2100674)</dc:creator>
  <cp:keywords/>
  <dc:description/>
  <cp:lastModifiedBy>Ceri Johns (2100674)</cp:lastModifiedBy>
  <cp:revision>164</cp:revision>
  <cp:lastPrinted>2026-03-30T15:20:00Z</cp:lastPrinted>
  <dcterms:created xsi:type="dcterms:W3CDTF">2026-03-29T20:25:00Z</dcterms:created>
  <dcterms:modified xsi:type="dcterms:W3CDTF">2026-03-31T15:14:00Z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zotero-version="7.0.32"&gt;&lt;session id="SLCjr9ex"/&gt;&lt;style id="http://www.zotero.org/styles/elsevier-harvard" hasBibliography="1" bibliographyStyleHasBeenSet="1"/&gt;&lt;prefs&gt;&lt;pref name="fieldType" value="Field"/&gt;&lt;pref name="automaticJournal</vt:lpwstr>
  </property>
  <property fmtid="{D5CDD505-2E9C-101B-9397-08002B2CF9AE}" pid="3" name="ZOTERO_PREF_2">
    <vt:lpwstr>Abbreviations" value="true"/&gt;&lt;/prefs&gt;&lt;/data&gt;</vt:lpwstr>
  </property>
</Properties>
</file>