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E9B46" w14:textId="77777777" w:rsidR="00791C64" w:rsidRPr="002E0788" w:rsidRDefault="00791C64" w:rsidP="00245876">
      <w:pPr>
        <w:rPr>
          <w:rFonts w:ascii="Arial" w:hAnsi="Arial" w:cs="Arial"/>
        </w:rPr>
      </w:pPr>
    </w:p>
    <w:p w14:paraId="1F87FC52" w14:textId="3FB4CFF5" w:rsidR="008C5D49" w:rsidRPr="00FB7B6C" w:rsidRDefault="008C5D49">
      <w:pPr>
        <w:rPr>
          <w:rFonts w:ascii="Arial" w:hAnsi="Arial" w:cs="Arial"/>
        </w:rPr>
      </w:pPr>
      <w:r w:rsidRPr="00FB7B6C">
        <w:rPr>
          <w:rFonts w:ascii="Arial" w:hAnsi="Arial" w:cs="Arial"/>
        </w:rPr>
        <w:t xml:space="preserve">Module: introduction to physiology </w:t>
      </w:r>
    </w:p>
    <w:p w14:paraId="4BD37612" w14:textId="18A0A7D7" w:rsidR="008C5D49" w:rsidRPr="00FB7B6C" w:rsidRDefault="002E0788">
      <w:pPr>
        <w:rPr>
          <w:rFonts w:ascii="Arial" w:hAnsi="Arial" w:cs="Arial"/>
        </w:rPr>
      </w:pPr>
      <w:r w:rsidRPr="00FB7B6C">
        <w:rPr>
          <w:rFonts w:ascii="Arial" w:hAnsi="Arial" w:cs="Arial"/>
        </w:rPr>
        <w:t xml:space="preserve">Assignment title: </w:t>
      </w:r>
      <w:r w:rsidRPr="00FB7B6C">
        <w:rPr>
          <w:rFonts w:ascii="Arial" w:hAnsi="Arial" w:cs="Arial"/>
        </w:rPr>
        <w:t>Type 2 Diabetes Mellitus Case Study</w:t>
      </w:r>
    </w:p>
    <w:p w14:paraId="344B0FAF" w14:textId="5E4FB83C" w:rsidR="002E0788" w:rsidRPr="00FB7B6C" w:rsidRDefault="004D5BC2">
      <w:pPr>
        <w:rPr>
          <w:rFonts w:ascii="Arial" w:hAnsi="Arial" w:cs="Arial"/>
        </w:rPr>
      </w:pPr>
      <w:r w:rsidRPr="00FB7B6C">
        <w:rPr>
          <w:rFonts w:ascii="Arial" w:hAnsi="Arial" w:cs="Arial"/>
        </w:rPr>
        <w:t xml:space="preserve">Name: Hinna Hussain </w:t>
      </w:r>
    </w:p>
    <w:p w14:paraId="62F18968" w14:textId="62E00833" w:rsidR="004D5BC2" w:rsidRPr="00FB7B6C" w:rsidRDefault="004D5BC2">
      <w:pPr>
        <w:rPr>
          <w:rFonts w:ascii="Arial" w:hAnsi="Arial" w:cs="Arial"/>
        </w:rPr>
      </w:pPr>
      <w:r w:rsidRPr="00FB7B6C">
        <w:rPr>
          <w:rFonts w:ascii="Arial" w:hAnsi="Arial" w:cs="Arial"/>
        </w:rPr>
        <w:t>Student ID: 2419356</w:t>
      </w:r>
    </w:p>
    <w:p w14:paraId="4922A25F" w14:textId="77777777" w:rsidR="008C5D49" w:rsidRDefault="008C5D49">
      <w:pPr>
        <w:rPr>
          <w:rFonts w:ascii="Arial" w:hAnsi="Arial" w:cs="Arial"/>
          <w:b/>
          <w:bCs/>
        </w:rPr>
      </w:pPr>
      <w:r>
        <w:rPr>
          <w:rFonts w:ascii="Arial" w:hAnsi="Arial" w:cs="Arial"/>
          <w:b/>
          <w:bCs/>
        </w:rPr>
        <w:br w:type="page"/>
      </w:r>
    </w:p>
    <w:p w14:paraId="649EDD38" w14:textId="1102B6B6" w:rsidR="008C5D49" w:rsidRDefault="008C5D49">
      <w:pPr>
        <w:rPr>
          <w:rFonts w:ascii="Arial" w:hAnsi="Arial" w:cs="Arial"/>
          <w:b/>
          <w:bCs/>
        </w:rPr>
      </w:pPr>
    </w:p>
    <w:p w14:paraId="522898A5" w14:textId="56D70A19" w:rsidR="00245876" w:rsidRPr="00245876" w:rsidRDefault="00245876" w:rsidP="00245876">
      <w:pPr>
        <w:rPr>
          <w:rFonts w:ascii="Arial" w:hAnsi="Arial" w:cs="Arial"/>
          <w:b/>
          <w:bCs/>
        </w:rPr>
      </w:pPr>
      <w:r w:rsidRPr="00245876">
        <w:rPr>
          <w:rFonts w:ascii="Arial" w:hAnsi="Arial" w:cs="Arial"/>
          <w:b/>
          <w:bCs/>
        </w:rPr>
        <w:t>Introduction </w:t>
      </w:r>
    </w:p>
    <w:p w14:paraId="7A74DD7F" w14:textId="1F961E0C" w:rsidR="00245876" w:rsidRPr="00245876" w:rsidRDefault="00245876" w:rsidP="00245876">
      <w:pPr>
        <w:rPr>
          <w:rFonts w:ascii="Arial" w:hAnsi="Arial" w:cs="Arial"/>
        </w:rPr>
      </w:pPr>
      <w:r w:rsidRPr="00245876">
        <w:rPr>
          <w:rFonts w:ascii="Arial" w:hAnsi="Arial" w:cs="Arial"/>
        </w:rPr>
        <w:t>Type 2 Diabetes Mellitus (T2DM) is a metabolic disorder that is chronic in </w:t>
      </w:r>
      <w:r w:rsidRPr="00245876">
        <w:rPr>
          <w:rFonts w:ascii="Arial" w:hAnsi="Arial" w:cs="Arial"/>
        </w:rPr>
        <w:t>nature and</w:t>
      </w:r>
      <w:r w:rsidRPr="00245876">
        <w:rPr>
          <w:rFonts w:ascii="Arial" w:hAnsi="Arial" w:cs="Arial"/>
        </w:rPr>
        <w:t> is characterised by a persistent hyperglycaemia due to a relative combination of insulin resistance and failure of insulin secretion (American Diabetes Association (ADA), 2024; World Health Organization (WHO), 2023). Unlike type 1 diabetes, the onset of T2DM is gradual and is highly linked to factors that one can control, such as physical inactivity, weight and eating patterns (International Diabetes Federation (IDF), 2023). This report explores the physiology of glucose regulation, the cellular metabolism, mechanisms of monitoring and evidence-based lifestyle interventions. </w:t>
      </w:r>
    </w:p>
    <w:p w14:paraId="70625AB4" w14:textId="77777777" w:rsidR="00245876" w:rsidRPr="00245876" w:rsidRDefault="00245876" w:rsidP="00245876">
      <w:pPr>
        <w:rPr>
          <w:rFonts w:ascii="Arial" w:hAnsi="Arial" w:cs="Arial"/>
          <w:b/>
          <w:bCs/>
        </w:rPr>
      </w:pPr>
      <w:r w:rsidRPr="00245876">
        <w:rPr>
          <w:rFonts w:ascii="Arial" w:hAnsi="Arial" w:cs="Arial"/>
          <w:b/>
          <w:bCs/>
        </w:rPr>
        <w:t>Physiology of Blood Glucose Regulation </w:t>
      </w:r>
    </w:p>
    <w:p w14:paraId="083E981E" w14:textId="77777777" w:rsidR="00245876" w:rsidRPr="00245876" w:rsidRDefault="00245876" w:rsidP="00245876">
      <w:pPr>
        <w:rPr>
          <w:rFonts w:ascii="Arial" w:hAnsi="Arial" w:cs="Arial"/>
        </w:rPr>
      </w:pPr>
      <w:r w:rsidRPr="00245876">
        <w:rPr>
          <w:rFonts w:ascii="Arial" w:hAnsi="Arial" w:cs="Arial"/>
        </w:rPr>
        <w:t>Maintenance of blood glucose concentration is attained by a tightly coordinated endocrine regulation that is centred in the pancreas. The endocrine part of the pancreas consists of the islets of Langerhans, which are microscopic clusters of hormone-secreting cells that are scattered among the exocrine tissue (DeFronzo et al 2015; American Diabetes Association (ADA) 2024; Saltiel and Kahn 2001). Within these islets, beta (b) cells are mainly found in the centre and are responsible for synthesising insulin, whereas alpha (a) cells are located more peripherally within the islets where they are responsible for glucagon secretion (Rorsman and Ashcroft, 2018; ADA, 2024) as shown in Figure 1. This microanatomical arrangement promotes fast paracrine signalling between the cell types, as well as providing possibility to adjust hormonal secretion immediately in response to fluctuation in circulating glucose (Rorsman and Ashcroft 2018). The richness of the vasculature in the islets provides an additional assurance of prompt delivery of hormonal output to the systemic circulation and illustrates how the structure of the pancreas is directly related to its regulatory function (DeFronzo et al., 2015). </w:t>
      </w:r>
    </w:p>
    <w:p w14:paraId="645E5997" w14:textId="271FDF9B" w:rsidR="00245876" w:rsidRPr="00245876" w:rsidRDefault="00245876" w:rsidP="00245876">
      <w:pPr>
        <w:rPr>
          <w:rFonts w:ascii="Arial" w:hAnsi="Arial" w:cs="Arial"/>
        </w:rPr>
      </w:pPr>
      <w:r w:rsidRPr="00245876">
        <w:rPr>
          <w:rFonts w:ascii="Arial" w:hAnsi="Arial" w:cs="Arial"/>
          <w:b/>
          <w:bCs/>
          <w:i/>
          <w:iCs/>
        </w:rPr>
        <w:t>Figure 1</w:t>
      </w:r>
      <w:r w:rsidRPr="00245876">
        <w:rPr>
          <w:rFonts w:ascii="Arial" w:hAnsi="Arial" w:cs="Arial"/>
        </w:rPr>
        <w:t> </w:t>
      </w:r>
    </w:p>
    <w:p w14:paraId="129FD385" w14:textId="77777777" w:rsidR="00245876" w:rsidRPr="00245876" w:rsidRDefault="00245876" w:rsidP="00245876">
      <w:pPr>
        <w:rPr>
          <w:rFonts w:ascii="Arial" w:hAnsi="Arial" w:cs="Arial"/>
        </w:rPr>
      </w:pPr>
      <w:r w:rsidRPr="00245876">
        <w:rPr>
          <w:rFonts w:ascii="Arial" w:hAnsi="Arial" w:cs="Arial"/>
          <w:b/>
          <w:bCs/>
          <w:i/>
          <w:iCs/>
        </w:rPr>
        <w:t>Physiology of Blood Glucose Regulation</w:t>
      </w:r>
      <w:r w:rsidRPr="00245876">
        <w:rPr>
          <w:rFonts w:ascii="Arial" w:hAnsi="Arial" w:cs="Arial"/>
        </w:rPr>
        <w:t> </w:t>
      </w:r>
    </w:p>
    <w:p w14:paraId="18824ABE" w14:textId="7D6378E0" w:rsidR="00245876" w:rsidRPr="00245876" w:rsidRDefault="00245876" w:rsidP="00245876">
      <w:pPr>
        <w:rPr>
          <w:rFonts w:ascii="Arial" w:hAnsi="Arial" w:cs="Arial"/>
        </w:rPr>
      </w:pPr>
      <w:r w:rsidRPr="00245876">
        <w:rPr>
          <w:rFonts w:ascii="Arial" w:hAnsi="Arial" w:cs="Arial"/>
        </w:rPr>
        <w:lastRenderedPageBreak/>
        <w:drawing>
          <wp:inline distT="0" distB="0" distL="0" distR="0" wp14:anchorId="236E1BAE" wp14:editId="143CA9E0">
            <wp:extent cx="5731510" cy="3769995"/>
            <wp:effectExtent l="0" t="0" r="2540" b="1905"/>
            <wp:docPr id="2023472255" name="Picture 2" descr="A diagram of the structure of the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72255" name="Picture 2" descr="A diagram of the structure of the human bod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769995"/>
                    </a:xfrm>
                    <a:prstGeom prst="rect">
                      <a:avLst/>
                    </a:prstGeom>
                    <a:noFill/>
                    <a:ln>
                      <a:noFill/>
                    </a:ln>
                  </pic:spPr>
                </pic:pic>
              </a:graphicData>
            </a:graphic>
          </wp:inline>
        </w:drawing>
      </w:r>
      <w:r w:rsidRPr="00245876">
        <w:rPr>
          <w:rFonts w:ascii="Arial" w:hAnsi="Arial" w:cs="Arial"/>
        </w:rPr>
        <w:t> </w:t>
      </w:r>
    </w:p>
    <w:p w14:paraId="597A220E" w14:textId="77777777" w:rsidR="00245876" w:rsidRPr="00245876" w:rsidRDefault="00245876" w:rsidP="00245876">
      <w:pPr>
        <w:rPr>
          <w:rFonts w:ascii="Arial" w:hAnsi="Arial" w:cs="Arial"/>
        </w:rPr>
      </w:pPr>
      <w:r w:rsidRPr="00245876">
        <w:rPr>
          <w:rFonts w:ascii="Arial" w:hAnsi="Arial" w:cs="Arial"/>
        </w:rPr>
        <w:t>Insulin has a central anabolic role in the homeostasis of glucose. When blood sugar rises after consuming carbohydrates, there is then increased secretion of insulin by the v cells, which attach to receptors on skeletal muscle and adipose tissue, leading to translocation of GLT4 transporters to the cell membrane and the resultant uptake of glucose (Petersen and Shulman, 2018). In the hepatocytes, insulin facilitates glycogenesis and lipogenesis (DeFronzo et al., 2015; Taylor, 2019). Simultaneously, insulin decreases hepatic gluconeogenesis to decrease endogenous glucose production (Petersen and Shulman, 2018). Through these coordinated mechanisms, insulin reduces the glucose concentration in the blood and returns to normoglycaemia after feeding. </w:t>
      </w:r>
    </w:p>
    <w:p w14:paraId="3D79546B" w14:textId="77777777" w:rsidR="00245876" w:rsidRPr="00245876" w:rsidRDefault="00245876" w:rsidP="00245876">
      <w:pPr>
        <w:rPr>
          <w:rFonts w:ascii="Arial" w:hAnsi="Arial" w:cs="Arial"/>
        </w:rPr>
      </w:pPr>
      <w:r w:rsidRPr="00245876">
        <w:rPr>
          <w:rFonts w:ascii="Arial" w:hAnsi="Arial" w:cs="Arial"/>
        </w:rPr>
        <w:t>On the other hand, glucagon has a catabolic effect for the fasted states. Secreted in response to low blood glucose concentrations by cells, glucagon causes glycogenolysis and gluconeogenesis in the liver, producing more hepatic glucose output for maintenance of adequate plasma glucose concentrations for vital organs, especially the brain (ADA, 2024; Rorsman and Ashcroft, 2018). This reciprocal relationship between insulin and glucagon shows what is actually a dynamic negative feedback system in which elevated glucose concentration promotes insulin secretion and inhibits glucagon secretion, while the reverse scenario inhibits insulin secretion and promotes glucagon secretion (Rorsman and Ashcroft, 2018). </w:t>
      </w:r>
    </w:p>
    <w:p w14:paraId="72A864D6" w14:textId="77777777" w:rsidR="00245876" w:rsidRPr="00245876" w:rsidRDefault="00245876" w:rsidP="00245876">
      <w:pPr>
        <w:rPr>
          <w:rFonts w:ascii="Arial" w:hAnsi="Arial" w:cs="Arial"/>
        </w:rPr>
      </w:pPr>
      <w:r w:rsidRPr="00245876">
        <w:rPr>
          <w:rFonts w:ascii="Arial" w:hAnsi="Arial" w:cs="Arial"/>
        </w:rPr>
        <w:t xml:space="preserve">Importantly, however, glucose homeostasis is a dynamic state, not a static one. There are ongoing hormonal adjustments due to dietary intake, physical activity and metabolic requirement (Taylor, 2019; ADA, 2024; DeFronzo et al., 2015). The precise </w:t>
      </w:r>
      <w:r w:rsidRPr="00245876">
        <w:rPr>
          <w:rFonts w:ascii="Arial" w:hAnsi="Arial" w:cs="Arial"/>
        </w:rPr>
        <w:lastRenderedPageBreak/>
        <w:t>microarchitecture of the pancreatic islets and the integrated actions of insulin and glucagon offer examples of how structural organisation enables finely tuned physiological regulation and disruption of which is responsible for pathogenesis of Type 2 Diabetes Mellitus (Petersen and Shulman, 2018). </w:t>
      </w:r>
    </w:p>
    <w:p w14:paraId="41314906" w14:textId="77777777" w:rsidR="00245876" w:rsidRPr="00245876" w:rsidRDefault="00245876" w:rsidP="00245876">
      <w:pPr>
        <w:rPr>
          <w:rFonts w:ascii="Arial" w:hAnsi="Arial" w:cs="Arial"/>
          <w:b/>
          <w:bCs/>
        </w:rPr>
      </w:pPr>
      <w:r w:rsidRPr="00245876">
        <w:rPr>
          <w:rFonts w:ascii="Arial" w:hAnsi="Arial" w:cs="Arial"/>
          <w:b/>
          <w:bCs/>
        </w:rPr>
        <w:t>Cellular Metabolism: Oxygen and Glucose in ATP Production </w:t>
      </w:r>
    </w:p>
    <w:p w14:paraId="1ACB3895" w14:textId="77777777" w:rsidR="00245876" w:rsidRPr="00245876" w:rsidRDefault="00245876" w:rsidP="00245876">
      <w:pPr>
        <w:rPr>
          <w:rFonts w:ascii="Arial" w:hAnsi="Arial" w:cs="Arial"/>
        </w:rPr>
      </w:pPr>
      <w:r w:rsidRPr="00245876">
        <w:rPr>
          <w:rFonts w:ascii="Arial" w:hAnsi="Arial" w:cs="Arial"/>
        </w:rPr>
        <w:t>Cellular metabolism relies on the orderly intake of glucose and oxygen and releasing the energy they contain (adenosine triphosphate or ATP) as the main energy source of our body. Following stimulation by insulin, glucose enters the skeletal muscles and adipose tissue through the transporters inserts GLUT4, while the hepatocytes utilise the insulin-independent transporter such as GLUT2 to regulate the intracellular concentrations of glucose (American Diabetes Association (ADA), 2024; Saltiel and Kahn, 2001). Once within the cell, glucose occurs glycolysis within the cytoplasm to give pyruvate and a small yield of ATP. Pyruvate then enters the mitochondria, is transformed to acetyl-CoA and enters the Krebs cycle producing reduced electron carriers, namely, NDH and FADH2 (Nelson and Cox, 2021; Taylor, 2019). These carriers donate electrons to the electron transport chain during oxidative phosphorylation which requires electrons as final electron donor (molecular oxygen). The resulting proton gradient allows ATP synthase to synthesize the majority of the ATP produced by the cell as an example of the interdependence of glucose availability and oxygen supply for maintenance of energy production (Nelson and Cox, 2021). </w:t>
      </w:r>
    </w:p>
    <w:p w14:paraId="014677F6" w14:textId="77777777" w:rsidR="00245876" w:rsidRPr="00245876" w:rsidRDefault="00245876" w:rsidP="00245876">
      <w:pPr>
        <w:rPr>
          <w:rFonts w:ascii="Arial" w:hAnsi="Arial" w:cs="Arial"/>
        </w:rPr>
      </w:pPr>
      <w:r w:rsidRPr="00245876">
        <w:rPr>
          <w:rFonts w:ascii="Arial" w:hAnsi="Arial" w:cs="Arial"/>
        </w:rPr>
        <w:t>This metabolic pathway displays integration among several physiological systems. The digestive and endocrine system controls glucose uptake from food and insulin levels which forces the glucose molecules to enter cells, whereas the cardiovascular system ensures that glucose molecules travel through the bloodstream to the peripheral body tissues (DeFronzo et al., 2015; Zheng, Ley and Hu, 2018). Simultaneously, the respiratory system allows diffusion of oxygen in the lungs and the cardiovascular systems for oxygen to be bound to haemoglobin and distributed to metabolically active cells (Nelson and Cox, 2021; Zheng, Ley and Hu, 2018). Efficient generation of ATP is therefore reliant on well-driven coordination between endocrine signalling, pulmonary gas exchange and circulatory transport. </w:t>
      </w:r>
    </w:p>
    <w:p w14:paraId="0774C4F4" w14:textId="77777777" w:rsidR="00245876" w:rsidRPr="00245876" w:rsidRDefault="00245876" w:rsidP="00245876">
      <w:pPr>
        <w:rPr>
          <w:rFonts w:ascii="Arial" w:hAnsi="Arial" w:cs="Arial"/>
        </w:rPr>
      </w:pPr>
      <w:r w:rsidRPr="00245876">
        <w:rPr>
          <w:rFonts w:ascii="Arial" w:hAnsi="Arial" w:cs="Arial"/>
        </w:rPr>
        <w:t xml:space="preserve">In chronic hyperglycaemia the presence of excess intracellular glucose over time impacts on the function of mitochondria and increases the generation of reactive oxygen species, which is associated with oxidative stress (Brownlee, 2005; Zheng, Ley and Hu, 2018). In addition, chronic glucose exposure facilitates the development of advanced glycation end-products (AGEs), which contribute to the modification of the structure of proteins and disruption of good function of the endothelium (Brownlee, 2005). These processes damage vascular tissues leading to the enhanced and accelerated process of atherosclerosis and microvascular damage of organs like retina and kidneys. Thus, the dysregulated glucose </w:t>
      </w:r>
      <w:r w:rsidRPr="00245876">
        <w:rPr>
          <w:rFonts w:ascii="Arial" w:hAnsi="Arial" w:cs="Arial"/>
        </w:rPr>
        <w:lastRenderedPageBreak/>
        <w:t>metabolism goes beyond cellular energy imbalance to cause systemic vascular pathology, which underscores the precious role of metabolic homeostasis. </w:t>
      </w:r>
    </w:p>
    <w:p w14:paraId="25B47B0B" w14:textId="77777777" w:rsidR="00245876" w:rsidRPr="00245876" w:rsidRDefault="00245876" w:rsidP="00245876">
      <w:pPr>
        <w:rPr>
          <w:rFonts w:ascii="Arial" w:hAnsi="Arial" w:cs="Arial"/>
          <w:b/>
          <w:bCs/>
        </w:rPr>
      </w:pPr>
      <w:r w:rsidRPr="00245876">
        <w:rPr>
          <w:rFonts w:ascii="Arial" w:hAnsi="Arial" w:cs="Arial"/>
          <w:b/>
          <w:bCs/>
        </w:rPr>
        <w:t>Pathophysiology of Type 2 Diabetes </w:t>
      </w:r>
    </w:p>
    <w:p w14:paraId="17E10F08" w14:textId="27A222C7" w:rsidR="00245876" w:rsidRPr="00245876" w:rsidRDefault="00245876" w:rsidP="00245876">
      <w:pPr>
        <w:rPr>
          <w:rFonts w:ascii="Arial" w:hAnsi="Arial" w:cs="Arial"/>
        </w:rPr>
      </w:pPr>
      <w:r w:rsidRPr="00245876">
        <w:rPr>
          <w:rFonts w:ascii="Arial" w:hAnsi="Arial" w:cs="Arial"/>
        </w:rPr>
        <w:t>Type 2 Diabetes Mellitus (T2DM) occurs when normal glucose homeostasis has deteriorated into a state of insulin resistance associated with progressive pancreatic β-cell dysfunction (Samuel and Shulman, 2012). Insulin resistance affects skeletal muscle, liver and adipose tissue most and in these </w:t>
      </w:r>
      <w:r w:rsidRPr="00245876">
        <w:rPr>
          <w:rFonts w:ascii="Arial" w:hAnsi="Arial" w:cs="Arial"/>
        </w:rPr>
        <w:t>areas,</w:t>
      </w:r>
      <w:r w:rsidRPr="00245876">
        <w:rPr>
          <w:rFonts w:ascii="Arial" w:hAnsi="Arial" w:cs="Arial"/>
        </w:rPr>
        <w:t> insulin will have a limited effect, which in turn limits glucose uptake and raises endogenous glucose production (Kahn, Cooper and Del Prato, 2014). In skeletal muscle, faulty intracellular signalling pathways result in the restriction of translocation of GLUT4 transporters to the plasma membrane thereby restricting glucose entry into cells despite availability of insulin circulating in the blood (Czech, 2017). In the liver, lack of insulin sensitivity is manifested by inability to inhibit gluconeogenesis, which results in inappropriate hepatic glucose production even under fed conditions. Concurrently, adipose tissue dysfunction accounts for lipolysis which raises the concentration of free fatty acids in the blood and helps generate lipotoxicity, impairing insulin signalling and contributing to impaired performance of β-cells (Kahn, Cooper and Del Prato, 2014). </w:t>
      </w:r>
    </w:p>
    <w:p w14:paraId="300A6050" w14:textId="77777777" w:rsidR="00245876" w:rsidRPr="00245876" w:rsidRDefault="00245876" w:rsidP="00245876">
      <w:pPr>
        <w:rPr>
          <w:rFonts w:ascii="Arial" w:hAnsi="Arial" w:cs="Arial"/>
        </w:rPr>
      </w:pPr>
      <w:r w:rsidRPr="00245876">
        <w:rPr>
          <w:rFonts w:ascii="Arial" w:hAnsi="Arial" w:cs="Arial"/>
        </w:rPr>
        <w:t>With prolonged exposure to hyperglycaemia and a long-term metabolic stress, the integrity of the β-cell is compromised leading to the loss of insulin secretory capacity. Glucotoxicity and lipotoxicity cause mitochondrial dysfunction, oxidative stress and apoptosis in pancreatic islets with accelerating disease course (Prentki and Nolan, 2006; Donath and Shoelson, 2011). Adipose-derived inflammatory cytokines contribute to the systemic inflammation and aggravate insulin resistance, linking metabolic dysregulation to immune activation (Czech, 2017). Thus, among many conditions T2DM represents not a single defect, but a network of interrelated metabolic and endocrine system disturbances. </w:t>
      </w:r>
    </w:p>
    <w:p w14:paraId="191DBA50" w14:textId="77777777" w:rsidR="00245876" w:rsidRPr="00245876" w:rsidRDefault="00245876" w:rsidP="00245876">
      <w:pPr>
        <w:rPr>
          <w:rFonts w:ascii="Arial" w:hAnsi="Arial" w:cs="Arial"/>
        </w:rPr>
      </w:pPr>
      <w:r w:rsidRPr="00245876">
        <w:rPr>
          <w:rFonts w:ascii="Arial" w:hAnsi="Arial" w:cs="Arial"/>
        </w:rPr>
        <w:t>Persistent hyperglycaemia has detrimental effects on vascular endothelium, which forms the basis for the microvascular and macrovascular complications (Forbes and Cooper, 2013). In small vessels dysfunction of the endothelium, thickening of the capillary basement membrane and impaired autoregulation play a role in their genesis in diabetic retinopathy, nephropathy and peripheral neuropathy (Fowler, 2008). In the case of the major arteries, oxidative stress, dyslipidaemia and chronic inflammation cause a more rapid build-up of atherosclerotic plaques, which greatly increases the risk of myocardial infarction and stroke (Forbes and Cooper, 2013). Metabolic dysregulation causes one of the mechanisms of injury to the endothelium through impaired production of nitric oxide that leads to increased vascular permeability and pro-thrombotic states. Consequently, the pathophysiology of T2DM goes beyond the realm of impaired glucose control to systemic vascular injury thus illustrating how chronic metabolic imbalance disrupts structural and functional integrity in multiple organ systems. </w:t>
      </w:r>
    </w:p>
    <w:p w14:paraId="248157B5" w14:textId="77777777" w:rsidR="00245876" w:rsidRPr="00245876" w:rsidRDefault="00245876" w:rsidP="00245876">
      <w:pPr>
        <w:rPr>
          <w:rFonts w:ascii="Arial" w:hAnsi="Arial" w:cs="Arial"/>
          <w:b/>
          <w:bCs/>
        </w:rPr>
      </w:pPr>
      <w:r w:rsidRPr="00245876">
        <w:rPr>
          <w:rFonts w:ascii="Arial" w:hAnsi="Arial" w:cs="Arial"/>
          <w:b/>
          <w:bCs/>
        </w:rPr>
        <w:lastRenderedPageBreak/>
        <w:t>Monitoring and Tracking Blood Glucose </w:t>
      </w:r>
    </w:p>
    <w:p w14:paraId="110E8546" w14:textId="77777777" w:rsidR="00245876" w:rsidRPr="00245876" w:rsidRDefault="00245876" w:rsidP="00245876">
      <w:pPr>
        <w:rPr>
          <w:rFonts w:ascii="Arial" w:hAnsi="Arial" w:cs="Arial"/>
        </w:rPr>
      </w:pPr>
      <w:r w:rsidRPr="00245876">
        <w:rPr>
          <w:rFonts w:ascii="Arial" w:hAnsi="Arial" w:cs="Arial"/>
        </w:rPr>
        <w:t>Effective monitoring of blood glucose is fundamental to safe and individualised management of Type 2 Diabetes Mellitus and is a direct fulfilment of data use - learning outcome. Capillary blood glucose monitoring the immediate measurement of the level of circulating glucose based on a finger prick sample to assess the level of fasting blood glucose and after eating blood glucose (ADA, 2024; NICE, 2022). Fasting values for glucose are representative of hepatic glucose synthesis and undergone basal insulin activity, while gastrin postprandial values are the indicators of the status of insulinated glucose amounting for the right-hand and also the volume of dietary carb pulses (NICE, 2022). Together, these measurements can indicate in real-time about metabolic control and response to treatment. </w:t>
      </w:r>
    </w:p>
    <w:p w14:paraId="751B8756" w14:textId="5D15C0E5" w:rsidR="00245876" w:rsidRPr="00245876" w:rsidRDefault="00245876" w:rsidP="00245876">
      <w:pPr>
        <w:rPr>
          <w:rFonts w:ascii="Arial" w:hAnsi="Arial" w:cs="Arial"/>
        </w:rPr>
      </w:pPr>
      <w:r w:rsidRPr="00245876">
        <w:rPr>
          <w:rFonts w:ascii="Arial" w:hAnsi="Arial" w:cs="Arial"/>
        </w:rPr>
        <w:t xml:space="preserve">Glycated haemoglobin (HbA1c) is an indicator of the extent of haemoglobin that has irreversibly combined with </w:t>
      </w:r>
      <w:r w:rsidRPr="00245876">
        <w:rPr>
          <w:rFonts w:ascii="Arial" w:hAnsi="Arial" w:cs="Arial"/>
        </w:rPr>
        <w:t>glucose,</w:t>
      </w:r>
      <w:r w:rsidRPr="00245876">
        <w:rPr>
          <w:rFonts w:ascii="Arial" w:hAnsi="Arial" w:cs="Arial"/>
        </w:rPr>
        <w:t xml:space="preserve"> and it reflects the average glycaemic exposure over around 8-12 weeks, which corresponds to the lifespan of red blood cells (ADA, 2024; World Health Organization (WHO), 2011; Little et al., 2014). Recommended by the American Diabetes Association, persistent hyperglycaemia raises the level of non-enzymatic glycation resulting in elevated values of HbA1c. Monitoring of trends in HbA1c facilitates titration of medication, assessment of therapeutic efficacy and of deterioration prior to acute complications such as hyperglycaemic crises occurring (NICE, 2022; ADA, 2024). </w:t>
      </w:r>
    </w:p>
    <w:p w14:paraId="3C23D994" w14:textId="77777777" w:rsidR="00245876" w:rsidRPr="00245876" w:rsidRDefault="00245876" w:rsidP="00245876">
      <w:pPr>
        <w:rPr>
          <w:rFonts w:ascii="Arial" w:hAnsi="Arial" w:cs="Arial"/>
        </w:rPr>
      </w:pPr>
      <w:r w:rsidRPr="00245876">
        <w:rPr>
          <w:rFonts w:ascii="Arial" w:hAnsi="Arial" w:cs="Arial"/>
        </w:rPr>
        <w:t>However, there are limitations of HbA1c. Conditions that influence red blood cell turnover, such as anaemia or haemoglobinopathies can affect results and be less reliable (Little et al, 2014; WHO, 2011). Therefore, combining capillary monitoring with HbA1c assessment performs personalised diabetes care on a physiological basis. </w:t>
      </w:r>
    </w:p>
    <w:p w14:paraId="465ED137" w14:textId="77777777" w:rsidR="00245876" w:rsidRPr="00245876" w:rsidRDefault="00245876" w:rsidP="00245876">
      <w:pPr>
        <w:rPr>
          <w:rFonts w:ascii="Arial" w:hAnsi="Arial" w:cs="Arial"/>
          <w:b/>
          <w:bCs/>
        </w:rPr>
      </w:pPr>
      <w:r w:rsidRPr="00245876">
        <w:rPr>
          <w:rFonts w:ascii="Arial" w:hAnsi="Arial" w:cs="Arial"/>
          <w:b/>
          <w:bCs/>
        </w:rPr>
        <w:t>Evidence-Based Lifestyle Interventions </w:t>
      </w:r>
    </w:p>
    <w:p w14:paraId="3E8D0BA3" w14:textId="77777777" w:rsidR="00245876" w:rsidRPr="00245876" w:rsidRDefault="00245876" w:rsidP="00245876">
      <w:pPr>
        <w:rPr>
          <w:rFonts w:ascii="Arial" w:hAnsi="Arial" w:cs="Arial"/>
        </w:rPr>
      </w:pPr>
      <w:r w:rsidRPr="00245876">
        <w:rPr>
          <w:rFonts w:ascii="Arial" w:hAnsi="Arial" w:cs="Arial"/>
        </w:rPr>
        <w:t>Lifestyle modification in Type 2 Diabetes Mellitus (T2DM) must be understood through the physiological consequences for glucose metabolism and not as a general behavioural advice. Dietary composition has a direct effect on postprandial glycaemia and insulin demand (Augustin et al. 2015). Foods with a high glycaemic index (GI) are broken down quickly and are quickly absorbed, causing drastic rises in blood glucose and dramatic spikes in insulin secretion, which can worsen stress on b-cells over time (ADA, 2024). In contrast, when the GI and glycaemic load are low, this results in a slow absorption of glucose, blunts the peaks after meals and is associated with a low dose of insulin secretion necessary to bring glucose to normal. By stabilising glucose excursions, glucose is subsequently less volatile in the metabolism and therefore better glycaemic control is achieved. </w:t>
      </w:r>
    </w:p>
    <w:p w14:paraId="44045231" w14:textId="77777777" w:rsidR="00245876" w:rsidRPr="00245876" w:rsidRDefault="00245876" w:rsidP="00245876">
      <w:pPr>
        <w:rPr>
          <w:rFonts w:ascii="Arial" w:hAnsi="Arial" w:cs="Arial"/>
        </w:rPr>
      </w:pPr>
      <w:r w:rsidRPr="00245876">
        <w:rPr>
          <w:rFonts w:ascii="Arial" w:hAnsi="Arial" w:cs="Arial"/>
        </w:rPr>
        <w:t xml:space="preserve">Additionally, regular physical activity enhances insulin sensitivity at the cellular level. Muscle contraction is a stimulus of GLUT4 translocation at the cell membrane thereby increasing glucose uptake even in the presence of insulin resistance </w:t>
      </w:r>
      <w:r w:rsidRPr="00245876">
        <w:rPr>
          <w:rFonts w:ascii="Arial" w:hAnsi="Arial" w:cs="Arial"/>
        </w:rPr>
        <w:lastRenderedPageBreak/>
        <w:t>(Colberg et al., 2016; Stanford and Goodyear, 2014). Exercise also makes mitochondria more efficient and increases oxidative capacity and production of ATP, thereby decreasing the build-up of intracellular lipid intermediates that interfere with insulin signalling. Through these mechanisms, physical activity helps to reduce circulating glucose levels and reduces the need for exogenous pharmacotherapy. </w:t>
      </w:r>
    </w:p>
    <w:p w14:paraId="74D203CE" w14:textId="77777777" w:rsidR="00245876" w:rsidRPr="00245876" w:rsidRDefault="00245876" w:rsidP="00245876">
      <w:pPr>
        <w:rPr>
          <w:rFonts w:ascii="Arial" w:hAnsi="Arial" w:cs="Arial"/>
        </w:rPr>
      </w:pPr>
      <w:r w:rsidRPr="00245876">
        <w:rPr>
          <w:rFonts w:ascii="Arial" w:hAnsi="Arial" w:cs="Arial"/>
        </w:rPr>
        <w:t>Weight reduction, especially the loss of visceral body fat further enhances metabolic regulation. Excess visceral fat produces pro-inflammatory cytokines such as tumour necrosis factor-alpha and interleukin-6 which disrupt insulin receptor signalling pathways (Taylor, 2019). Reduction in adipose mass lowers inflammatory burden, improving hepatic insulin sensitivity and inappropriateness in glucose production and therefore bringing more closely to metabolic homeostasis (Stanford and Goodyear, 2014). </w:t>
      </w:r>
    </w:p>
    <w:p w14:paraId="37E8E627" w14:textId="77777777" w:rsidR="00245876" w:rsidRPr="00245876" w:rsidRDefault="00245876" w:rsidP="00245876">
      <w:pPr>
        <w:rPr>
          <w:rFonts w:ascii="Arial" w:hAnsi="Arial" w:cs="Arial"/>
        </w:rPr>
      </w:pPr>
      <w:r w:rsidRPr="00245876">
        <w:rPr>
          <w:rFonts w:ascii="Arial" w:hAnsi="Arial" w:cs="Arial"/>
        </w:rPr>
        <w:t>Smoking cessation is of vital importance for the protection of blood vessels. Tobacco exposure increases endothelial dysfunction, oxidative stress and nitric oxide bioavailability impairment that expedite atherosclerotic progress among the T2DM population ADA (2024). 2016-based guidelines with case series that Tobacco exposure promotes the progression and development of atherosclerotic and have been connected to shortness of breath. Tobacco exposure increases endothelial dysfunction, Oxidative stress and impaired nitric oxide bioavailability is accelerated atherosclerotic progression for those with T2DM (ADA, 2024; Colberg et al., 2016). Discontinuation enhances the responsiveness of vessels and mitigates the cardiovascular risk. Finally, stress management focuses on neuroendocrine effects on glucose metabolism. Chronic elevation of cortisol acts to stimulate hepatic gluconeogenesis and antagonise the action of insulin to produce hyperglycaemia (Taylor, 2019; ADA, 2024). Reducing stress-associated cortisol secretion is therefore helpful in promoting improved glycaemic stability. </w:t>
      </w:r>
    </w:p>
    <w:p w14:paraId="7CD24ACB" w14:textId="77777777" w:rsidR="00245876" w:rsidRPr="00245876" w:rsidRDefault="00245876" w:rsidP="00245876">
      <w:pPr>
        <w:rPr>
          <w:rFonts w:ascii="Arial" w:hAnsi="Arial" w:cs="Arial"/>
          <w:b/>
          <w:bCs/>
        </w:rPr>
      </w:pPr>
      <w:r w:rsidRPr="00245876">
        <w:rPr>
          <w:rFonts w:ascii="Arial" w:hAnsi="Arial" w:cs="Arial"/>
          <w:b/>
          <w:bCs/>
        </w:rPr>
        <w:t>Conclusion </w:t>
      </w:r>
    </w:p>
    <w:p w14:paraId="2A8C4BC7" w14:textId="77777777" w:rsidR="00245876" w:rsidRDefault="00245876" w:rsidP="00245876">
      <w:pPr>
        <w:rPr>
          <w:rFonts w:ascii="Arial" w:hAnsi="Arial" w:cs="Arial"/>
        </w:rPr>
      </w:pPr>
      <w:r w:rsidRPr="00245876">
        <w:rPr>
          <w:rFonts w:ascii="Arial" w:hAnsi="Arial" w:cs="Arial"/>
        </w:rPr>
        <w:t>In conclusion, essential knowledge of metabolic physiology forms the basis of good management of T2DM because it uncovers how the lack of insulin signalling and glucose use are not limited to isolated biochemical pathology but rather end up in vascular harm of the whole body. The paper also reveals that capillary glucose testing and HbA1c measurement are monitoring tools that render the physiological processes measurable, which prevents complications and allows early intervention. In addition, education enables people to perceive these signs and become actively involved in self-management. Overall, to manage T2DM, it is important to combine the endocrine, cardiovascular and cellular approaches in order to maintain long-term metabolic stability and enhancing overall health outcomes. </w:t>
      </w:r>
    </w:p>
    <w:p w14:paraId="426354C5" w14:textId="77777777" w:rsidR="00D84E4B" w:rsidRDefault="00D84E4B" w:rsidP="00245876">
      <w:pPr>
        <w:rPr>
          <w:rFonts w:ascii="Arial" w:hAnsi="Arial" w:cs="Arial"/>
        </w:rPr>
      </w:pPr>
    </w:p>
    <w:p w14:paraId="60337AF8" w14:textId="77777777" w:rsidR="00D84E4B" w:rsidRDefault="00D84E4B" w:rsidP="00D84E4B">
      <w:pPr>
        <w:rPr>
          <w:rFonts w:ascii="Arial" w:hAnsi="Arial" w:cs="Arial"/>
          <w:b/>
          <w:bCs/>
        </w:rPr>
      </w:pPr>
    </w:p>
    <w:p w14:paraId="7D410A55" w14:textId="77777777" w:rsidR="00D84E4B" w:rsidRDefault="00D84E4B" w:rsidP="00D84E4B">
      <w:pPr>
        <w:rPr>
          <w:rFonts w:ascii="Arial" w:hAnsi="Arial" w:cs="Arial"/>
          <w:b/>
          <w:bCs/>
        </w:rPr>
      </w:pPr>
    </w:p>
    <w:p w14:paraId="2CB65DC9" w14:textId="43364C33" w:rsidR="00D84E4B" w:rsidRPr="00D84E4B" w:rsidRDefault="00D84E4B" w:rsidP="00D84E4B">
      <w:pPr>
        <w:rPr>
          <w:rFonts w:ascii="Arial" w:hAnsi="Arial" w:cs="Arial"/>
          <w:b/>
          <w:bCs/>
        </w:rPr>
      </w:pPr>
      <w:r w:rsidRPr="00D84E4B">
        <w:rPr>
          <w:rFonts w:ascii="Arial" w:hAnsi="Arial" w:cs="Arial"/>
          <w:b/>
          <w:bCs/>
        </w:rPr>
        <w:lastRenderedPageBreak/>
        <w:t>References </w:t>
      </w:r>
    </w:p>
    <w:p w14:paraId="6B38A828" w14:textId="7A8BF587" w:rsidR="00D84E4B" w:rsidRPr="00D84E4B" w:rsidRDefault="00D84E4B" w:rsidP="00D84E4B">
      <w:pPr>
        <w:rPr>
          <w:rFonts w:ascii="Arial" w:hAnsi="Arial" w:cs="Arial"/>
        </w:rPr>
      </w:pPr>
      <w:r w:rsidRPr="00D84E4B">
        <w:rPr>
          <w:rFonts w:ascii="Arial" w:hAnsi="Arial" w:cs="Arial"/>
        </w:rPr>
        <w:t>American Diabetes Association (ADA) (2024) ‘Standards of Care in Diabetes—2024’, </w:t>
      </w:r>
      <w:r w:rsidRPr="00D84E4B">
        <w:rPr>
          <w:rFonts w:ascii="Arial" w:hAnsi="Arial" w:cs="Arial"/>
          <w:i/>
          <w:iCs/>
        </w:rPr>
        <w:t>Diabetes Care</w:t>
      </w:r>
      <w:r w:rsidRPr="00D84E4B">
        <w:rPr>
          <w:rFonts w:ascii="Arial" w:hAnsi="Arial" w:cs="Arial"/>
        </w:rPr>
        <w:t>, 47(Supplement 1). Available At: </w:t>
      </w:r>
      <w:hyperlink r:id="rId7" w:history="1">
        <w:r w:rsidR="003775BC" w:rsidRPr="00241EE3">
          <w:rPr>
            <w:rStyle w:val="Hyperlink"/>
            <w:rFonts w:ascii="Arial" w:hAnsi="Arial" w:cs="Arial"/>
          </w:rPr>
          <w:t>https://diabetesjournals.org/care/article/47/Supplement_1/S1/153952/Introduction-and-Methodology-Standards-of-Care-in</w:t>
        </w:r>
      </w:hyperlink>
      <w:r w:rsidR="003775BC">
        <w:rPr>
          <w:rFonts w:ascii="Arial" w:hAnsi="Arial" w:cs="Arial"/>
        </w:rPr>
        <w:t xml:space="preserve"> </w:t>
      </w:r>
    </w:p>
    <w:p w14:paraId="7797F2F3" w14:textId="02B1AB3F" w:rsidR="00D84E4B" w:rsidRPr="00D84E4B" w:rsidRDefault="00D84E4B" w:rsidP="00D84E4B">
      <w:pPr>
        <w:rPr>
          <w:rFonts w:ascii="Arial" w:hAnsi="Arial" w:cs="Arial"/>
        </w:rPr>
      </w:pPr>
      <w:r w:rsidRPr="00D84E4B">
        <w:rPr>
          <w:rFonts w:ascii="Arial" w:hAnsi="Arial" w:cs="Arial"/>
        </w:rPr>
        <w:t>Augustin, L.S.A., Kendall, C.W.C., Jenkins, D.J.A. et al. (2015) ‘Glycemic index, glycemic load and glycemic response: an International Scientific Consensus Summit’, </w:t>
      </w:r>
      <w:r w:rsidRPr="00D84E4B">
        <w:rPr>
          <w:rFonts w:ascii="Arial" w:hAnsi="Arial" w:cs="Arial"/>
          <w:i/>
          <w:iCs/>
        </w:rPr>
        <w:t>Nutrition, Metabolism and Cardiovascular Diseases</w:t>
      </w:r>
      <w:r w:rsidRPr="00D84E4B">
        <w:rPr>
          <w:rFonts w:ascii="Arial" w:hAnsi="Arial" w:cs="Arial"/>
        </w:rPr>
        <w:t>, 25(9), pp. 795–815. </w:t>
      </w:r>
      <w:hyperlink r:id="rId8" w:history="1">
        <w:r w:rsidR="003775BC" w:rsidRPr="00241EE3">
          <w:rPr>
            <w:rStyle w:val="Hyperlink"/>
            <w:rFonts w:ascii="Arial" w:hAnsi="Arial" w:cs="Arial"/>
          </w:rPr>
          <w:t>https://www.nmcd-journal.com/article/S0939-4753(15)00127-1/fulltext</w:t>
        </w:r>
      </w:hyperlink>
      <w:r w:rsidR="003775BC">
        <w:rPr>
          <w:rFonts w:ascii="Arial" w:hAnsi="Arial" w:cs="Arial"/>
        </w:rPr>
        <w:t xml:space="preserve"> </w:t>
      </w:r>
    </w:p>
    <w:p w14:paraId="1B504E30" w14:textId="543869D4" w:rsidR="00D84E4B" w:rsidRPr="00D84E4B" w:rsidRDefault="00D84E4B" w:rsidP="00D84E4B">
      <w:pPr>
        <w:rPr>
          <w:rFonts w:ascii="Arial" w:hAnsi="Arial" w:cs="Arial"/>
        </w:rPr>
      </w:pPr>
      <w:r w:rsidRPr="00D84E4B">
        <w:rPr>
          <w:rFonts w:ascii="Arial" w:hAnsi="Arial" w:cs="Arial"/>
        </w:rPr>
        <w:t>Brownlee, M. (2001) ‘Biochemistry and molecular cell biology of diabetic complications’, </w:t>
      </w:r>
      <w:r w:rsidRPr="00D84E4B">
        <w:rPr>
          <w:rFonts w:ascii="Arial" w:hAnsi="Arial" w:cs="Arial"/>
          <w:i/>
          <w:iCs/>
        </w:rPr>
        <w:t>Nature</w:t>
      </w:r>
      <w:r w:rsidRPr="00D84E4B">
        <w:rPr>
          <w:rFonts w:ascii="Arial" w:hAnsi="Arial" w:cs="Arial"/>
        </w:rPr>
        <w:t>, 414(6865), pp. 813–820. Available At:</w:t>
      </w:r>
      <w:r>
        <w:rPr>
          <w:rFonts w:ascii="Arial" w:hAnsi="Arial" w:cs="Arial"/>
        </w:rPr>
        <w:t xml:space="preserve"> </w:t>
      </w:r>
      <w:hyperlink r:id="rId9" w:history="1">
        <w:r w:rsidR="003775BC" w:rsidRPr="00241EE3">
          <w:rPr>
            <w:rStyle w:val="Hyperlink"/>
            <w:rFonts w:ascii="Arial" w:hAnsi="Arial" w:cs="Arial"/>
          </w:rPr>
          <w:t>https://www.nature.com/articles/414813a</w:t>
        </w:r>
      </w:hyperlink>
      <w:r w:rsidR="003775BC">
        <w:rPr>
          <w:rFonts w:ascii="Arial" w:hAnsi="Arial" w:cs="Arial"/>
        </w:rPr>
        <w:t xml:space="preserve"> </w:t>
      </w:r>
    </w:p>
    <w:p w14:paraId="72D44F4A" w14:textId="16CD0B2C" w:rsidR="00D84E4B" w:rsidRPr="00D84E4B" w:rsidRDefault="00D84E4B" w:rsidP="00D84E4B">
      <w:pPr>
        <w:rPr>
          <w:rFonts w:ascii="Arial" w:hAnsi="Arial" w:cs="Arial"/>
        </w:rPr>
      </w:pPr>
      <w:r w:rsidRPr="00D84E4B">
        <w:rPr>
          <w:rFonts w:ascii="Arial" w:hAnsi="Arial" w:cs="Arial"/>
        </w:rPr>
        <w:t>Brownlee, M. (2005) ‘The pathobiology of diabetic complications: a unifying mechanism’, </w:t>
      </w:r>
      <w:r w:rsidRPr="00D84E4B">
        <w:rPr>
          <w:rFonts w:ascii="Arial" w:hAnsi="Arial" w:cs="Arial"/>
          <w:i/>
          <w:iCs/>
        </w:rPr>
        <w:t>Diabetes</w:t>
      </w:r>
      <w:r w:rsidRPr="00D84E4B">
        <w:rPr>
          <w:rFonts w:ascii="Arial" w:hAnsi="Arial" w:cs="Arial"/>
        </w:rPr>
        <w:t>, 54(6), pp. 1615–1625. Available At: </w:t>
      </w:r>
      <w:hyperlink r:id="rId10" w:history="1">
        <w:r w:rsidR="000917D8" w:rsidRPr="00241EE3">
          <w:rPr>
            <w:rStyle w:val="Hyperlink"/>
            <w:rFonts w:ascii="Arial" w:hAnsi="Arial" w:cs="Arial"/>
          </w:rPr>
          <w:t>https://diabetesjournals.org/diabetes/article/54/6/1615/14015/The-Pathobiology-of-Diabetic-ComplicationsA</w:t>
        </w:r>
      </w:hyperlink>
      <w:r w:rsidR="003775BC">
        <w:rPr>
          <w:rFonts w:ascii="Arial" w:hAnsi="Arial" w:cs="Arial"/>
        </w:rPr>
        <w:t xml:space="preserve"> </w:t>
      </w:r>
    </w:p>
    <w:p w14:paraId="55F2D181" w14:textId="3E4626C2" w:rsidR="00D84E4B" w:rsidRPr="00D84E4B" w:rsidRDefault="00D84E4B" w:rsidP="00D84E4B">
      <w:pPr>
        <w:rPr>
          <w:rFonts w:ascii="Arial" w:hAnsi="Arial" w:cs="Arial"/>
        </w:rPr>
      </w:pPr>
      <w:r w:rsidRPr="00D84E4B">
        <w:rPr>
          <w:rFonts w:ascii="Arial" w:hAnsi="Arial" w:cs="Arial"/>
        </w:rPr>
        <w:t>Cherrington, A.D. (1999) ‘Control of glucose uptake and release by the liver in vivo’, </w:t>
      </w:r>
      <w:r w:rsidRPr="00D84E4B">
        <w:rPr>
          <w:rFonts w:ascii="Arial" w:hAnsi="Arial" w:cs="Arial"/>
          <w:i/>
          <w:iCs/>
        </w:rPr>
        <w:t>Diabetes</w:t>
      </w:r>
      <w:r w:rsidRPr="00D84E4B">
        <w:rPr>
          <w:rFonts w:ascii="Arial" w:hAnsi="Arial" w:cs="Arial"/>
        </w:rPr>
        <w:t>, 48(5), pp. 1198–1214. Available At:</w:t>
      </w:r>
      <w:r w:rsidR="000917D8">
        <w:rPr>
          <w:rFonts w:ascii="Arial" w:hAnsi="Arial" w:cs="Arial"/>
        </w:rPr>
        <w:t xml:space="preserve">  </w:t>
      </w:r>
      <w:hyperlink r:id="rId11" w:history="1">
        <w:r w:rsidR="000917D8" w:rsidRPr="00241EE3">
          <w:rPr>
            <w:rStyle w:val="Hyperlink"/>
            <w:rFonts w:ascii="Arial" w:hAnsi="Arial" w:cs="Arial"/>
          </w:rPr>
          <w:t>https://diabetesjournals.org/diabetes/article-abstract/48/5/1198/12265/Banting-Lecture-1997-Control-of-glucose-uptake-and?redirectedFrom=fulltext</w:t>
        </w:r>
      </w:hyperlink>
      <w:r w:rsidR="000917D8">
        <w:rPr>
          <w:rFonts w:ascii="Arial" w:hAnsi="Arial" w:cs="Arial"/>
        </w:rPr>
        <w:t xml:space="preserve"> </w:t>
      </w:r>
    </w:p>
    <w:p w14:paraId="5F5C1302" w14:textId="210E1D4B" w:rsidR="00D84E4B" w:rsidRPr="00D84E4B" w:rsidRDefault="00D84E4B" w:rsidP="00D84E4B">
      <w:pPr>
        <w:rPr>
          <w:rFonts w:ascii="Arial" w:hAnsi="Arial" w:cs="Arial"/>
        </w:rPr>
      </w:pPr>
      <w:r w:rsidRPr="00D84E4B">
        <w:rPr>
          <w:rFonts w:ascii="Arial" w:hAnsi="Arial" w:cs="Arial"/>
        </w:rPr>
        <w:t>Colberg, S.R., Sigal, R.J., Yardley, J.E. et al. (2016) ‘Physical activity/exercise and diabetes: a position statement’, </w:t>
      </w:r>
      <w:r w:rsidRPr="00D84E4B">
        <w:rPr>
          <w:rFonts w:ascii="Arial" w:hAnsi="Arial" w:cs="Arial"/>
          <w:i/>
          <w:iCs/>
        </w:rPr>
        <w:t>Diabetes Care</w:t>
      </w:r>
      <w:r w:rsidRPr="00D84E4B">
        <w:rPr>
          <w:rFonts w:ascii="Arial" w:hAnsi="Arial" w:cs="Arial"/>
        </w:rPr>
        <w:t>, 39(11), pp. 2065–2079. </w:t>
      </w:r>
      <w:hyperlink r:id="rId12" w:history="1">
        <w:r w:rsidR="000917D8" w:rsidRPr="00241EE3">
          <w:rPr>
            <w:rStyle w:val="Hyperlink"/>
            <w:rFonts w:ascii="Arial" w:hAnsi="Arial" w:cs="Arial"/>
          </w:rPr>
          <w:t>https://diabetesjournals.org/care/article/39/11/2065/37249/Physical-Activity-Exercise-and-Diabetes-A-Position</w:t>
        </w:r>
      </w:hyperlink>
      <w:r w:rsidR="000917D8">
        <w:rPr>
          <w:rFonts w:ascii="Arial" w:hAnsi="Arial" w:cs="Arial"/>
        </w:rPr>
        <w:t xml:space="preserve"> </w:t>
      </w:r>
    </w:p>
    <w:p w14:paraId="6A522910" w14:textId="23C1E585" w:rsidR="00D84E4B" w:rsidRPr="00D84E4B" w:rsidRDefault="00D84E4B" w:rsidP="00D84E4B">
      <w:pPr>
        <w:rPr>
          <w:rFonts w:ascii="Arial" w:hAnsi="Arial" w:cs="Arial"/>
        </w:rPr>
      </w:pPr>
      <w:r w:rsidRPr="00D84E4B">
        <w:rPr>
          <w:rFonts w:ascii="Arial" w:hAnsi="Arial" w:cs="Arial"/>
        </w:rPr>
        <w:t>Czech, M.P. (2017) ‘Insulin action and resistance in obesity and type 2 diabetes’, </w:t>
      </w:r>
      <w:r w:rsidRPr="00D84E4B">
        <w:rPr>
          <w:rFonts w:ascii="Arial" w:hAnsi="Arial" w:cs="Arial"/>
          <w:i/>
          <w:iCs/>
        </w:rPr>
        <w:t>Nature Medicine</w:t>
      </w:r>
      <w:r w:rsidRPr="00D84E4B">
        <w:rPr>
          <w:rFonts w:ascii="Arial" w:hAnsi="Arial" w:cs="Arial"/>
        </w:rPr>
        <w:t>, 23(7), pp. 804–814. Available At: </w:t>
      </w:r>
      <w:r w:rsidR="000917D8">
        <w:rPr>
          <w:rFonts w:ascii="Arial" w:hAnsi="Arial" w:cs="Arial"/>
        </w:rPr>
        <w:t xml:space="preserve"> </w:t>
      </w:r>
      <w:hyperlink r:id="rId13" w:history="1">
        <w:r w:rsidR="000917D8" w:rsidRPr="00241EE3">
          <w:rPr>
            <w:rStyle w:val="Hyperlink"/>
            <w:rFonts w:ascii="Arial" w:hAnsi="Arial" w:cs="Arial"/>
          </w:rPr>
          <w:t>https://www.nature.com/articles/nm.4350</w:t>
        </w:r>
      </w:hyperlink>
      <w:r w:rsidR="000917D8">
        <w:rPr>
          <w:rFonts w:ascii="Arial" w:hAnsi="Arial" w:cs="Arial"/>
        </w:rPr>
        <w:t xml:space="preserve"> </w:t>
      </w:r>
    </w:p>
    <w:p w14:paraId="6CFE35E2" w14:textId="180B9A44" w:rsidR="00D84E4B" w:rsidRPr="00D84E4B" w:rsidRDefault="00D84E4B" w:rsidP="00D84E4B">
      <w:pPr>
        <w:rPr>
          <w:rFonts w:ascii="Arial" w:hAnsi="Arial" w:cs="Arial"/>
        </w:rPr>
      </w:pPr>
      <w:r w:rsidRPr="00D84E4B">
        <w:rPr>
          <w:rFonts w:ascii="Arial" w:hAnsi="Arial" w:cs="Arial"/>
        </w:rPr>
        <w:t>DeFronzo, R.A., Ferrannini, E., Groop, L. et al. (2015) ‘Type 2 diabetes mellitus’, </w:t>
      </w:r>
      <w:r w:rsidRPr="00D84E4B">
        <w:rPr>
          <w:rFonts w:ascii="Arial" w:hAnsi="Arial" w:cs="Arial"/>
          <w:i/>
          <w:iCs/>
        </w:rPr>
        <w:t>Nature Reviews Disease Primers</w:t>
      </w:r>
      <w:r w:rsidRPr="00D84E4B">
        <w:rPr>
          <w:rFonts w:ascii="Arial" w:hAnsi="Arial" w:cs="Arial"/>
        </w:rPr>
        <w:t>, 11(14), 15-29. Available At: </w:t>
      </w:r>
      <w:r w:rsidR="000917D8" w:rsidRPr="000917D8">
        <w:rPr>
          <w:rFonts w:ascii="Arial" w:hAnsi="Arial" w:cs="Arial"/>
        </w:rPr>
        <w:t xml:space="preserve"> </w:t>
      </w:r>
      <w:hyperlink r:id="rId14" w:history="1">
        <w:r w:rsidR="000917D8" w:rsidRPr="00241EE3">
          <w:rPr>
            <w:rStyle w:val="Hyperlink"/>
            <w:rFonts w:ascii="Arial" w:hAnsi="Arial" w:cs="Arial"/>
          </w:rPr>
          <w:t>https://www.nature.com/articles/nrdp201519</w:t>
        </w:r>
      </w:hyperlink>
      <w:r w:rsidR="000917D8">
        <w:rPr>
          <w:rFonts w:ascii="Arial" w:hAnsi="Arial" w:cs="Arial"/>
        </w:rPr>
        <w:t xml:space="preserve"> </w:t>
      </w:r>
    </w:p>
    <w:p w14:paraId="6F660E98" w14:textId="16D5116F" w:rsidR="00D84E4B" w:rsidRPr="00D84E4B" w:rsidRDefault="00D84E4B" w:rsidP="00D84E4B">
      <w:pPr>
        <w:rPr>
          <w:rFonts w:ascii="Arial" w:hAnsi="Arial" w:cs="Arial"/>
        </w:rPr>
      </w:pPr>
      <w:r w:rsidRPr="00D84E4B">
        <w:rPr>
          <w:rFonts w:ascii="Arial" w:hAnsi="Arial" w:cs="Arial"/>
        </w:rPr>
        <w:t>Donath, M.Y. and Shoelson, S.E. (2011) ‘Type 2 diabetes as an inflammatory disease’, </w:t>
      </w:r>
      <w:r w:rsidRPr="00D84E4B">
        <w:rPr>
          <w:rFonts w:ascii="Arial" w:hAnsi="Arial" w:cs="Arial"/>
          <w:i/>
          <w:iCs/>
        </w:rPr>
        <w:t>Nature Reviews Immunology</w:t>
      </w:r>
      <w:r w:rsidRPr="00D84E4B">
        <w:rPr>
          <w:rFonts w:ascii="Arial" w:hAnsi="Arial" w:cs="Arial"/>
        </w:rPr>
        <w:t>, 11(2), pp. 98–107. Available At:</w:t>
      </w:r>
      <w:r w:rsidR="00C40DFF">
        <w:rPr>
          <w:rFonts w:ascii="Arial" w:hAnsi="Arial" w:cs="Arial"/>
        </w:rPr>
        <w:t xml:space="preserve">  </w:t>
      </w:r>
      <w:hyperlink r:id="rId15" w:history="1">
        <w:r w:rsidR="00C40DFF" w:rsidRPr="00241EE3">
          <w:rPr>
            <w:rStyle w:val="Hyperlink"/>
            <w:rFonts w:ascii="Arial" w:hAnsi="Arial" w:cs="Arial"/>
          </w:rPr>
          <w:t>https://www.nature.com/articles/nri2925</w:t>
        </w:r>
      </w:hyperlink>
      <w:r w:rsidR="00C40DFF">
        <w:rPr>
          <w:rFonts w:ascii="Arial" w:hAnsi="Arial" w:cs="Arial"/>
        </w:rPr>
        <w:t xml:space="preserve"> </w:t>
      </w:r>
      <w:r>
        <w:rPr>
          <w:rFonts w:ascii="Arial" w:hAnsi="Arial" w:cs="Arial"/>
        </w:rPr>
        <w:t xml:space="preserve"> </w:t>
      </w:r>
    </w:p>
    <w:p w14:paraId="394AC1D9" w14:textId="5B5A9B0F" w:rsidR="00D84E4B" w:rsidRPr="00D84E4B" w:rsidRDefault="00D84E4B" w:rsidP="00D84E4B">
      <w:pPr>
        <w:rPr>
          <w:rFonts w:ascii="Arial" w:hAnsi="Arial" w:cs="Arial"/>
        </w:rPr>
      </w:pPr>
      <w:r w:rsidRPr="00D84E4B">
        <w:rPr>
          <w:rFonts w:ascii="Arial" w:hAnsi="Arial" w:cs="Arial"/>
        </w:rPr>
        <w:t>Forbes, J.M. and Cooper, M.E. (2013) ‘Mechanisms of diabetic complications’, </w:t>
      </w:r>
      <w:r w:rsidRPr="00D84E4B">
        <w:rPr>
          <w:rFonts w:ascii="Arial" w:hAnsi="Arial" w:cs="Arial"/>
          <w:i/>
          <w:iCs/>
        </w:rPr>
        <w:t>Physiological Reviews</w:t>
      </w:r>
      <w:r w:rsidRPr="00D84E4B">
        <w:rPr>
          <w:rFonts w:ascii="Arial" w:hAnsi="Arial" w:cs="Arial"/>
        </w:rPr>
        <w:t>, 93(1), pp. 137–188. Available At: </w:t>
      </w:r>
      <w:hyperlink r:id="rId16" w:history="1">
        <w:r w:rsidR="00C40DFF" w:rsidRPr="00241EE3">
          <w:rPr>
            <w:rStyle w:val="Hyperlink"/>
            <w:rFonts w:ascii="Arial" w:hAnsi="Arial" w:cs="Arial"/>
          </w:rPr>
          <w:t>https://journals.physiology.org/doi/full/10.1152/physrev.00045.2011</w:t>
        </w:r>
      </w:hyperlink>
      <w:r w:rsidR="00C40DFF">
        <w:rPr>
          <w:rFonts w:ascii="Arial" w:hAnsi="Arial" w:cs="Arial"/>
        </w:rPr>
        <w:t xml:space="preserve"> </w:t>
      </w:r>
    </w:p>
    <w:p w14:paraId="03FB7994" w14:textId="6B41EA06" w:rsidR="00D84E4B" w:rsidRPr="00D84E4B" w:rsidRDefault="00D84E4B" w:rsidP="00D84E4B">
      <w:pPr>
        <w:rPr>
          <w:rFonts w:ascii="Arial" w:hAnsi="Arial" w:cs="Arial"/>
        </w:rPr>
      </w:pPr>
      <w:r w:rsidRPr="00D84E4B">
        <w:rPr>
          <w:rFonts w:ascii="Arial" w:hAnsi="Arial" w:cs="Arial"/>
        </w:rPr>
        <w:t>Fowler, M.J. (2008) ‘Microvascular and macrovascular complications of diabetes’, </w:t>
      </w:r>
      <w:r w:rsidRPr="00D84E4B">
        <w:rPr>
          <w:rFonts w:ascii="Arial" w:hAnsi="Arial" w:cs="Arial"/>
          <w:i/>
          <w:iCs/>
        </w:rPr>
        <w:t>Clinical Diabetes</w:t>
      </w:r>
      <w:r w:rsidRPr="00D84E4B">
        <w:rPr>
          <w:rFonts w:ascii="Arial" w:hAnsi="Arial" w:cs="Arial"/>
        </w:rPr>
        <w:t xml:space="preserve">, 26(2), pp. 77–82. Available </w:t>
      </w:r>
      <w:r w:rsidRPr="00D84E4B">
        <w:rPr>
          <w:rFonts w:ascii="Arial" w:hAnsi="Arial" w:cs="Arial"/>
        </w:rPr>
        <w:lastRenderedPageBreak/>
        <w:t>At:</w:t>
      </w:r>
      <w:r>
        <w:rPr>
          <w:rFonts w:ascii="Arial" w:hAnsi="Arial" w:cs="Arial"/>
        </w:rPr>
        <w:t xml:space="preserve"> </w:t>
      </w:r>
      <w:r w:rsidRPr="00D84E4B">
        <w:rPr>
          <w:rFonts w:ascii="Arial" w:hAnsi="Arial" w:cs="Arial"/>
        </w:rPr>
        <w:t> </w:t>
      </w:r>
      <w:hyperlink r:id="rId17" w:history="1">
        <w:r w:rsidR="00C40DFF" w:rsidRPr="00241EE3">
          <w:rPr>
            <w:rStyle w:val="Hyperlink"/>
            <w:rFonts w:ascii="Arial" w:hAnsi="Arial" w:cs="Arial"/>
          </w:rPr>
          <w:t>https://diabetesjournals.org/clinical/article-abstract/26/2/77/1823/Microvascular-and-Macrovascular-Complications-of?redirectedFrom=fulltext</w:t>
        </w:r>
      </w:hyperlink>
      <w:r w:rsidR="00C40DFF">
        <w:rPr>
          <w:rFonts w:ascii="Arial" w:hAnsi="Arial" w:cs="Arial"/>
        </w:rPr>
        <w:t xml:space="preserve"> </w:t>
      </w:r>
    </w:p>
    <w:p w14:paraId="6173CAC7" w14:textId="511A2704" w:rsidR="00D84E4B" w:rsidRPr="00D84E4B" w:rsidRDefault="00D84E4B" w:rsidP="00D84E4B">
      <w:pPr>
        <w:rPr>
          <w:rFonts w:ascii="Arial" w:hAnsi="Arial" w:cs="Arial"/>
        </w:rPr>
      </w:pPr>
      <w:r w:rsidRPr="00D84E4B">
        <w:rPr>
          <w:rFonts w:ascii="Arial" w:hAnsi="Arial" w:cs="Arial"/>
        </w:rPr>
        <w:t>Kahn, S.E., Cooper, M.E. and Del Prato, S. (2014) ‘Pathophysiology and treatment of type 2 diabetes’, </w:t>
      </w:r>
      <w:r w:rsidRPr="00D84E4B">
        <w:rPr>
          <w:rFonts w:ascii="Arial" w:hAnsi="Arial" w:cs="Arial"/>
          <w:i/>
          <w:iCs/>
        </w:rPr>
        <w:t>The Lancet</w:t>
      </w:r>
      <w:r w:rsidRPr="00D84E4B">
        <w:rPr>
          <w:rFonts w:ascii="Arial" w:hAnsi="Arial" w:cs="Arial"/>
        </w:rPr>
        <w:t>, 383(9922), pp. 1068–1083. Available At: </w:t>
      </w:r>
      <w:hyperlink r:id="rId18" w:history="1">
        <w:r w:rsidR="00C40DFF" w:rsidRPr="00241EE3">
          <w:rPr>
            <w:rStyle w:val="Hyperlink"/>
            <w:rFonts w:ascii="Arial" w:hAnsi="Arial" w:cs="Arial"/>
          </w:rPr>
          <w:t>https://www.thelancet.com/journals/lancet/article/PIIS0140-6736(13)62154-6/abstract</w:t>
        </w:r>
      </w:hyperlink>
      <w:r w:rsidR="00C40DFF">
        <w:rPr>
          <w:rFonts w:ascii="Arial" w:hAnsi="Arial" w:cs="Arial"/>
        </w:rPr>
        <w:t xml:space="preserve"> </w:t>
      </w:r>
    </w:p>
    <w:p w14:paraId="05204049" w14:textId="4A523251" w:rsidR="00D84E4B" w:rsidRPr="00D84E4B" w:rsidRDefault="00D84E4B" w:rsidP="00D84E4B">
      <w:pPr>
        <w:rPr>
          <w:rFonts w:ascii="Arial" w:hAnsi="Arial" w:cs="Arial"/>
        </w:rPr>
      </w:pPr>
      <w:r w:rsidRPr="00D84E4B">
        <w:rPr>
          <w:rFonts w:ascii="Arial" w:hAnsi="Arial" w:cs="Arial"/>
        </w:rPr>
        <w:t>National Institute for Health and Care Excellence (NICE) (2022) </w:t>
      </w:r>
      <w:r w:rsidRPr="00D84E4B">
        <w:rPr>
          <w:rFonts w:ascii="Arial" w:hAnsi="Arial" w:cs="Arial"/>
          <w:i/>
          <w:iCs/>
        </w:rPr>
        <w:t>Type 2 diabetes in adults: management (NG28)</w:t>
      </w:r>
      <w:r w:rsidRPr="00D84E4B">
        <w:rPr>
          <w:rFonts w:ascii="Arial" w:hAnsi="Arial" w:cs="Arial"/>
        </w:rPr>
        <w:t>. Available at: </w:t>
      </w:r>
      <w:hyperlink r:id="rId19" w:history="1">
        <w:r w:rsidR="00DA22EE" w:rsidRPr="00241EE3">
          <w:rPr>
            <w:rStyle w:val="Hyperlink"/>
            <w:rFonts w:ascii="Arial" w:hAnsi="Arial" w:cs="Arial"/>
          </w:rPr>
          <w:t>https://www.nice.org.uk/guidance/ng28</w:t>
        </w:r>
      </w:hyperlink>
      <w:r w:rsidR="00DA22EE">
        <w:rPr>
          <w:rFonts w:ascii="Arial" w:hAnsi="Arial" w:cs="Arial"/>
        </w:rPr>
        <w:t xml:space="preserve"> </w:t>
      </w:r>
      <w:r w:rsidRPr="00D84E4B">
        <w:rPr>
          <w:rFonts w:ascii="Arial" w:hAnsi="Arial" w:cs="Arial"/>
        </w:rPr>
        <w:t> </w:t>
      </w:r>
    </w:p>
    <w:p w14:paraId="414EEBCA" w14:textId="77777777" w:rsidR="00D84E4B" w:rsidRPr="00D84E4B" w:rsidRDefault="00D84E4B" w:rsidP="00D84E4B">
      <w:pPr>
        <w:rPr>
          <w:rFonts w:ascii="Arial" w:hAnsi="Arial" w:cs="Arial"/>
        </w:rPr>
      </w:pPr>
      <w:r w:rsidRPr="00D84E4B">
        <w:rPr>
          <w:rFonts w:ascii="Arial" w:hAnsi="Arial" w:cs="Arial"/>
        </w:rPr>
        <w:t>Nelson, D.L. and Cox, M.M. (2021) </w:t>
      </w:r>
      <w:r w:rsidRPr="00D84E4B">
        <w:rPr>
          <w:rFonts w:ascii="Arial" w:hAnsi="Arial" w:cs="Arial"/>
          <w:i/>
          <w:iCs/>
        </w:rPr>
        <w:t>Lehninger Principles of Biochemistry</w:t>
      </w:r>
      <w:r w:rsidRPr="00D84E4B">
        <w:rPr>
          <w:rFonts w:ascii="Arial" w:hAnsi="Arial" w:cs="Arial"/>
        </w:rPr>
        <w:t>. 8th edn. New York: W.H. Freeman. </w:t>
      </w:r>
    </w:p>
    <w:p w14:paraId="0BB871DD" w14:textId="619391C8" w:rsidR="00D84E4B" w:rsidRPr="00D84E4B" w:rsidRDefault="00D84E4B" w:rsidP="00D84E4B">
      <w:pPr>
        <w:rPr>
          <w:rFonts w:ascii="Arial" w:hAnsi="Arial" w:cs="Arial"/>
        </w:rPr>
      </w:pPr>
      <w:r w:rsidRPr="00D84E4B">
        <w:rPr>
          <w:rFonts w:ascii="Arial" w:hAnsi="Arial" w:cs="Arial"/>
        </w:rPr>
        <w:t>Petersen, M.C. and Shulman, G.I. (2018) ‘Mechanisms of insulin action and insulin resistance’, </w:t>
      </w:r>
      <w:r w:rsidRPr="00D84E4B">
        <w:rPr>
          <w:rFonts w:ascii="Arial" w:hAnsi="Arial" w:cs="Arial"/>
          <w:i/>
          <w:iCs/>
        </w:rPr>
        <w:t>Physiological Reviews</w:t>
      </w:r>
      <w:r w:rsidRPr="00D84E4B">
        <w:rPr>
          <w:rFonts w:ascii="Arial" w:hAnsi="Arial" w:cs="Arial"/>
        </w:rPr>
        <w:t>, 98(4), pp. 2133–2223. Available At: </w:t>
      </w:r>
      <w:hyperlink r:id="rId20" w:history="1">
        <w:r w:rsidR="00DA22EE" w:rsidRPr="00241EE3">
          <w:rPr>
            <w:rStyle w:val="Hyperlink"/>
            <w:rFonts w:ascii="Arial" w:hAnsi="Arial" w:cs="Arial"/>
          </w:rPr>
          <w:t>https://journals.physiology.org/doi/full/10.1152/physrev.00063.2017</w:t>
        </w:r>
      </w:hyperlink>
      <w:r w:rsidR="00DA22EE">
        <w:rPr>
          <w:rFonts w:ascii="Arial" w:hAnsi="Arial" w:cs="Arial"/>
        </w:rPr>
        <w:t xml:space="preserve"> </w:t>
      </w:r>
    </w:p>
    <w:p w14:paraId="3DF4D7B8" w14:textId="60955B43" w:rsidR="00D84E4B" w:rsidRPr="00D84E4B" w:rsidRDefault="00D84E4B" w:rsidP="00D84E4B">
      <w:pPr>
        <w:rPr>
          <w:rFonts w:ascii="Arial" w:hAnsi="Arial" w:cs="Arial"/>
        </w:rPr>
      </w:pPr>
      <w:r w:rsidRPr="00D84E4B">
        <w:rPr>
          <w:rFonts w:ascii="Arial" w:hAnsi="Arial" w:cs="Arial"/>
        </w:rPr>
        <w:t>Prentki, M. and Nolan, C.J. (2006) ‘Islet β cell failure in type 2 diabetes’, </w:t>
      </w:r>
      <w:r w:rsidRPr="00D84E4B">
        <w:rPr>
          <w:rFonts w:ascii="Arial" w:hAnsi="Arial" w:cs="Arial"/>
          <w:i/>
          <w:iCs/>
        </w:rPr>
        <w:t>Journal of Clinical Investigation</w:t>
      </w:r>
      <w:r w:rsidRPr="00D84E4B">
        <w:rPr>
          <w:rFonts w:ascii="Arial" w:hAnsi="Arial" w:cs="Arial"/>
        </w:rPr>
        <w:t>, 116(7), pp. 1802–1812. Available At: </w:t>
      </w:r>
      <w:hyperlink r:id="rId21" w:history="1">
        <w:r w:rsidR="0045386C" w:rsidRPr="00241EE3">
          <w:rPr>
            <w:rStyle w:val="Hyperlink"/>
            <w:rFonts w:ascii="Arial" w:hAnsi="Arial" w:cs="Arial"/>
          </w:rPr>
          <w:t>https://www.jci.org/articles/view/29103</w:t>
        </w:r>
      </w:hyperlink>
      <w:r w:rsidR="0045386C">
        <w:rPr>
          <w:rFonts w:ascii="Arial" w:hAnsi="Arial" w:cs="Arial"/>
        </w:rPr>
        <w:t xml:space="preserve"> </w:t>
      </w:r>
    </w:p>
    <w:p w14:paraId="75047CAA" w14:textId="60044736" w:rsidR="00D84E4B" w:rsidRPr="00D84E4B" w:rsidRDefault="00D84E4B" w:rsidP="00D84E4B">
      <w:pPr>
        <w:rPr>
          <w:rFonts w:ascii="Arial" w:hAnsi="Arial" w:cs="Arial"/>
        </w:rPr>
      </w:pPr>
      <w:r w:rsidRPr="00D84E4B">
        <w:rPr>
          <w:rFonts w:ascii="Arial" w:hAnsi="Arial" w:cs="Arial"/>
        </w:rPr>
        <w:t>Rorsman, P. and Ashcroft, F.M. (2018) ‘Pancreatic β-cell electrical activity and insulin secretion’, </w:t>
      </w:r>
      <w:r w:rsidRPr="00D84E4B">
        <w:rPr>
          <w:rFonts w:ascii="Arial" w:hAnsi="Arial" w:cs="Arial"/>
          <w:i/>
          <w:iCs/>
        </w:rPr>
        <w:t>Nature Reviews Endocrinology</w:t>
      </w:r>
      <w:r w:rsidRPr="00D84E4B">
        <w:rPr>
          <w:rFonts w:ascii="Arial" w:hAnsi="Arial" w:cs="Arial"/>
        </w:rPr>
        <w:t>, 14(6), pp. 348–361. Available At: </w:t>
      </w:r>
      <w:r w:rsidR="0045386C">
        <w:rPr>
          <w:rFonts w:ascii="Arial" w:hAnsi="Arial" w:cs="Arial"/>
        </w:rPr>
        <w:t xml:space="preserve"> </w:t>
      </w:r>
      <w:hyperlink r:id="rId22" w:history="1">
        <w:r w:rsidR="0045386C" w:rsidRPr="00241EE3">
          <w:rPr>
            <w:rStyle w:val="Hyperlink"/>
            <w:rFonts w:ascii="Arial" w:hAnsi="Arial" w:cs="Arial"/>
          </w:rPr>
          <w:t>https://journals.physiology.org/doi/full/10.1152/physrev.00008.2017</w:t>
        </w:r>
      </w:hyperlink>
      <w:r w:rsidR="0045386C">
        <w:rPr>
          <w:rFonts w:ascii="Arial" w:hAnsi="Arial" w:cs="Arial"/>
        </w:rPr>
        <w:t xml:space="preserve"> </w:t>
      </w:r>
    </w:p>
    <w:p w14:paraId="482F8942" w14:textId="77958780" w:rsidR="00D84E4B" w:rsidRPr="00D84E4B" w:rsidRDefault="00D84E4B" w:rsidP="00D84E4B">
      <w:pPr>
        <w:rPr>
          <w:rFonts w:ascii="Arial" w:hAnsi="Arial" w:cs="Arial"/>
        </w:rPr>
      </w:pPr>
      <w:r w:rsidRPr="00D84E4B">
        <w:rPr>
          <w:rFonts w:ascii="Arial" w:hAnsi="Arial" w:cs="Arial"/>
        </w:rPr>
        <w:t>Saltiel, A.R. and Kahn, C.R. (2001) ‘Insulin signalling and the regulation of glucose and lipid metabolism’, </w:t>
      </w:r>
      <w:r w:rsidRPr="00D84E4B">
        <w:rPr>
          <w:rFonts w:ascii="Arial" w:hAnsi="Arial" w:cs="Arial"/>
          <w:i/>
          <w:iCs/>
        </w:rPr>
        <w:t>Nature</w:t>
      </w:r>
      <w:r w:rsidRPr="00D84E4B">
        <w:rPr>
          <w:rFonts w:ascii="Arial" w:hAnsi="Arial" w:cs="Arial"/>
        </w:rPr>
        <w:t>, 414(6865), pp. 799–806. Available At: </w:t>
      </w:r>
      <w:hyperlink r:id="rId23" w:history="1">
        <w:r w:rsidR="0045386C" w:rsidRPr="00241EE3">
          <w:rPr>
            <w:rStyle w:val="Hyperlink"/>
            <w:rFonts w:ascii="Arial" w:hAnsi="Arial" w:cs="Arial"/>
          </w:rPr>
          <w:t>https://www.nature.com/articles/414799a</w:t>
        </w:r>
      </w:hyperlink>
      <w:r w:rsidR="0045386C">
        <w:rPr>
          <w:rFonts w:ascii="Arial" w:hAnsi="Arial" w:cs="Arial"/>
        </w:rPr>
        <w:t xml:space="preserve"> </w:t>
      </w:r>
    </w:p>
    <w:p w14:paraId="62B17A6C" w14:textId="3C4814BB" w:rsidR="00D84E4B" w:rsidRPr="00D84E4B" w:rsidRDefault="00D84E4B" w:rsidP="00D84E4B">
      <w:pPr>
        <w:rPr>
          <w:rFonts w:ascii="Arial" w:hAnsi="Arial" w:cs="Arial"/>
        </w:rPr>
      </w:pPr>
      <w:r w:rsidRPr="00D84E4B">
        <w:rPr>
          <w:rFonts w:ascii="Arial" w:hAnsi="Arial" w:cs="Arial"/>
        </w:rPr>
        <w:t>Samuel, V.T. and Shulman, G.I. (2012) ‘Mechanisms for insulin resistance’, </w:t>
      </w:r>
      <w:r w:rsidRPr="00D84E4B">
        <w:rPr>
          <w:rFonts w:ascii="Arial" w:hAnsi="Arial" w:cs="Arial"/>
          <w:i/>
          <w:iCs/>
        </w:rPr>
        <w:t>Cell</w:t>
      </w:r>
      <w:r w:rsidRPr="00D84E4B">
        <w:rPr>
          <w:rFonts w:ascii="Arial" w:hAnsi="Arial" w:cs="Arial"/>
        </w:rPr>
        <w:t>, 148(5), pp. 852–871.</w:t>
      </w:r>
      <w:r w:rsidR="0045386C">
        <w:rPr>
          <w:rFonts w:ascii="Arial" w:hAnsi="Arial" w:cs="Arial"/>
        </w:rPr>
        <w:t xml:space="preserve"> </w:t>
      </w:r>
      <w:hyperlink r:id="rId24" w:history="1">
        <w:r w:rsidR="0045386C" w:rsidRPr="00241EE3">
          <w:rPr>
            <w:rStyle w:val="Hyperlink"/>
            <w:rFonts w:ascii="Arial" w:hAnsi="Arial" w:cs="Arial"/>
          </w:rPr>
          <w:t>https://www.cell.com/cell/fulltext/S0092-8674(12)00217-6?_returnURL=https%3A%2F%2Flinkinghub.elsevier.com%2Fretrieve%2Fpii%2FS0092867412002176%3Fshowall%3Dtrue</w:t>
        </w:r>
      </w:hyperlink>
      <w:r w:rsidR="0045386C">
        <w:rPr>
          <w:rFonts w:ascii="Arial" w:hAnsi="Arial" w:cs="Arial"/>
        </w:rPr>
        <w:t xml:space="preserve"> </w:t>
      </w:r>
    </w:p>
    <w:p w14:paraId="4DB26C15" w14:textId="4DA4190C" w:rsidR="00D84E4B" w:rsidRPr="00D84E4B" w:rsidRDefault="00D84E4B" w:rsidP="00D84E4B">
      <w:pPr>
        <w:rPr>
          <w:rFonts w:ascii="Arial" w:hAnsi="Arial" w:cs="Arial"/>
        </w:rPr>
      </w:pPr>
      <w:r w:rsidRPr="00D84E4B">
        <w:rPr>
          <w:rFonts w:ascii="Arial" w:hAnsi="Arial" w:cs="Arial"/>
        </w:rPr>
        <w:t>Stanford, K.I. and Goodyear, L.J. (2014) ‘Exercise and type 2 diabetes: molecular mechanisms regulating glucose uptake in skeletal muscle’, </w:t>
      </w:r>
      <w:r w:rsidRPr="00D84E4B">
        <w:rPr>
          <w:rFonts w:ascii="Arial" w:hAnsi="Arial" w:cs="Arial"/>
          <w:i/>
          <w:iCs/>
        </w:rPr>
        <w:t>Advances in Physiology Education</w:t>
      </w:r>
      <w:r w:rsidRPr="00D84E4B">
        <w:rPr>
          <w:rFonts w:ascii="Arial" w:hAnsi="Arial" w:cs="Arial"/>
        </w:rPr>
        <w:t>, 38(4), pp. 308</w:t>
      </w:r>
      <w:r w:rsidR="0045386C">
        <w:rPr>
          <w:rFonts w:ascii="Arial" w:hAnsi="Arial" w:cs="Arial"/>
        </w:rPr>
        <w:t>-</w:t>
      </w:r>
      <w:r w:rsidRPr="00D84E4B">
        <w:rPr>
          <w:rFonts w:ascii="Arial" w:hAnsi="Arial" w:cs="Arial"/>
        </w:rPr>
        <w:t>314. </w:t>
      </w:r>
      <w:hyperlink r:id="rId25" w:history="1">
        <w:r w:rsidR="0045386C" w:rsidRPr="00241EE3">
          <w:rPr>
            <w:rStyle w:val="Hyperlink"/>
            <w:rFonts w:ascii="Arial" w:hAnsi="Arial" w:cs="Arial"/>
          </w:rPr>
          <w:t>https://journals.physiology.org/doi/full/10.1152/advan.00080.2014</w:t>
        </w:r>
      </w:hyperlink>
      <w:r w:rsidR="0045386C">
        <w:rPr>
          <w:rFonts w:ascii="Arial" w:hAnsi="Arial" w:cs="Arial"/>
        </w:rPr>
        <w:t xml:space="preserve"> </w:t>
      </w:r>
    </w:p>
    <w:p w14:paraId="50E93C37" w14:textId="7844AF86" w:rsidR="00D84E4B" w:rsidRPr="00D84E4B" w:rsidRDefault="00D84E4B" w:rsidP="00D84E4B">
      <w:pPr>
        <w:rPr>
          <w:rFonts w:ascii="Arial" w:hAnsi="Arial" w:cs="Arial"/>
        </w:rPr>
      </w:pPr>
      <w:r w:rsidRPr="00D84E4B">
        <w:rPr>
          <w:rFonts w:ascii="Arial" w:hAnsi="Arial" w:cs="Arial"/>
        </w:rPr>
        <w:t>Taylor, R. (2019) ‘Type 2 diabetes: etiology and reversibility’, </w:t>
      </w:r>
      <w:r w:rsidRPr="00D84E4B">
        <w:rPr>
          <w:rFonts w:ascii="Arial" w:hAnsi="Arial" w:cs="Arial"/>
          <w:i/>
          <w:iCs/>
        </w:rPr>
        <w:t>Diabetes Care</w:t>
      </w:r>
      <w:r w:rsidRPr="00D84E4B">
        <w:rPr>
          <w:rFonts w:ascii="Arial" w:hAnsi="Arial" w:cs="Arial"/>
        </w:rPr>
        <w:t>, 42(5), pp. 847–854. Available At:</w:t>
      </w:r>
      <w:r w:rsidR="0045386C">
        <w:rPr>
          <w:rFonts w:ascii="Arial" w:hAnsi="Arial" w:cs="Arial"/>
        </w:rPr>
        <w:t xml:space="preserve"> </w:t>
      </w:r>
      <w:hyperlink r:id="rId26" w:history="1">
        <w:r w:rsidR="0045386C" w:rsidRPr="00241EE3">
          <w:rPr>
            <w:rStyle w:val="Hyperlink"/>
            <w:rFonts w:ascii="Arial" w:hAnsi="Arial" w:cs="Arial"/>
          </w:rPr>
          <w:t>https://diabetesjournals.org/care/article/42/5/e82/40505/Response-to-Comment-on-Mulukutla-et-al</w:t>
        </w:r>
      </w:hyperlink>
      <w:r w:rsidR="0045386C">
        <w:rPr>
          <w:rFonts w:ascii="Arial" w:hAnsi="Arial" w:cs="Arial"/>
        </w:rPr>
        <w:t xml:space="preserve"> </w:t>
      </w:r>
    </w:p>
    <w:p w14:paraId="1EB7FAFA" w14:textId="530F861F" w:rsidR="00D84E4B" w:rsidRPr="00D84E4B" w:rsidRDefault="00D84E4B" w:rsidP="00D84E4B">
      <w:pPr>
        <w:rPr>
          <w:rFonts w:ascii="Arial" w:hAnsi="Arial" w:cs="Arial"/>
        </w:rPr>
      </w:pPr>
      <w:r w:rsidRPr="00D84E4B">
        <w:rPr>
          <w:rFonts w:ascii="Arial" w:hAnsi="Arial" w:cs="Arial"/>
        </w:rPr>
        <w:t>Taylor, R. (2019) ‘Type 2 diabetes: etiology and reversibility’, </w:t>
      </w:r>
      <w:r w:rsidRPr="00D84E4B">
        <w:rPr>
          <w:rFonts w:ascii="Arial" w:hAnsi="Arial" w:cs="Arial"/>
          <w:i/>
          <w:iCs/>
        </w:rPr>
        <w:t>Diabetes Care</w:t>
      </w:r>
      <w:r w:rsidRPr="00D84E4B">
        <w:rPr>
          <w:rFonts w:ascii="Arial" w:hAnsi="Arial" w:cs="Arial"/>
        </w:rPr>
        <w:t>, 42(5), pp. 847–854.</w:t>
      </w:r>
      <w:r w:rsidR="0045386C">
        <w:rPr>
          <w:rFonts w:ascii="Arial" w:hAnsi="Arial" w:cs="Arial"/>
        </w:rPr>
        <w:t xml:space="preserve"> </w:t>
      </w:r>
      <w:r>
        <w:rPr>
          <w:rFonts w:ascii="Arial" w:hAnsi="Arial" w:cs="Arial"/>
        </w:rPr>
        <w:t xml:space="preserve"> </w:t>
      </w:r>
      <w:r w:rsidRPr="00D84E4B">
        <w:rPr>
          <w:rFonts w:ascii="Arial" w:hAnsi="Arial" w:cs="Arial"/>
        </w:rPr>
        <w:t> </w:t>
      </w:r>
      <w:hyperlink r:id="rId27" w:history="1">
        <w:r w:rsidR="0045386C" w:rsidRPr="00241EE3">
          <w:rPr>
            <w:rStyle w:val="Hyperlink"/>
            <w:rFonts w:ascii="Arial" w:hAnsi="Arial" w:cs="Arial"/>
          </w:rPr>
          <w:t>https://diabetesjournals.org/care/article/42/5/e82/40505/Response-to-Comment-on-Mulukutla-et-al</w:t>
        </w:r>
      </w:hyperlink>
      <w:r w:rsidR="0045386C">
        <w:rPr>
          <w:rFonts w:ascii="Arial" w:hAnsi="Arial" w:cs="Arial"/>
        </w:rPr>
        <w:t xml:space="preserve"> </w:t>
      </w:r>
    </w:p>
    <w:p w14:paraId="1323F901" w14:textId="7EDA90DA" w:rsidR="00D84E4B" w:rsidRPr="00D84E4B" w:rsidRDefault="00D84E4B" w:rsidP="00D84E4B">
      <w:pPr>
        <w:rPr>
          <w:rFonts w:ascii="Arial" w:hAnsi="Arial" w:cs="Arial"/>
        </w:rPr>
      </w:pPr>
      <w:r w:rsidRPr="00D84E4B">
        <w:rPr>
          <w:rFonts w:ascii="Arial" w:hAnsi="Arial" w:cs="Arial"/>
        </w:rPr>
        <w:lastRenderedPageBreak/>
        <w:t>World Health Organization (WHO) (2011) </w:t>
      </w:r>
      <w:r w:rsidRPr="00D84E4B">
        <w:rPr>
          <w:rFonts w:ascii="Arial" w:hAnsi="Arial" w:cs="Arial"/>
          <w:i/>
          <w:iCs/>
        </w:rPr>
        <w:t>Use of glycated haemoglobin (HbA1c) in the diagnosis of diabetes mellitus</w:t>
      </w:r>
      <w:r w:rsidRPr="00D84E4B">
        <w:rPr>
          <w:rFonts w:ascii="Arial" w:hAnsi="Arial" w:cs="Arial"/>
        </w:rPr>
        <w:t>. Geneva: WHO. Available at: </w:t>
      </w:r>
      <w:hyperlink r:id="rId28" w:history="1">
        <w:r w:rsidR="0045386C" w:rsidRPr="00241EE3">
          <w:rPr>
            <w:rStyle w:val="Hyperlink"/>
            <w:rFonts w:ascii="Arial" w:hAnsi="Arial" w:cs="Arial"/>
          </w:rPr>
          <w:t>https://iris.who.int/items/5a8940ad-d4a9-4e79-a273-b7f97dc1d086</w:t>
        </w:r>
      </w:hyperlink>
      <w:r w:rsidR="0045386C">
        <w:rPr>
          <w:rFonts w:ascii="Arial" w:hAnsi="Arial" w:cs="Arial"/>
        </w:rPr>
        <w:t xml:space="preserve"> </w:t>
      </w:r>
    </w:p>
    <w:p w14:paraId="661446F8" w14:textId="512AF614" w:rsidR="00D84E4B" w:rsidRPr="00D84E4B" w:rsidRDefault="00D84E4B" w:rsidP="00D84E4B">
      <w:pPr>
        <w:rPr>
          <w:rFonts w:ascii="Arial" w:hAnsi="Arial" w:cs="Arial"/>
        </w:rPr>
      </w:pPr>
      <w:r w:rsidRPr="00D84E4B">
        <w:rPr>
          <w:rFonts w:ascii="Arial" w:hAnsi="Arial" w:cs="Arial"/>
        </w:rPr>
        <w:t>Zheng, Y., Ley, S.H. and Hu, F.B. (2018) ‘Global aetiology and epidemiology of type 2 diabetes mellitus and its complications’, </w:t>
      </w:r>
      <w:r w:rsidRPr="00D84E4B">
        <w:rPr>
          <w:rFonts w:ascii="Arial" w:hAnsi="Arial" w:cs="Arial"/>
          <w:i/>
          <w:iCs/>
        </w:rPr>
        <w:t>Nature Reviews Endocrinology</w:t>
      </w:r>
      <w:r w:rsidRPr="00D84E4B">
        <w:rPr>
          <w:rFonts w:ascii="Arial" w:hAnsi="Arial" w:cs="Arial"/>
        </w:rPr>
        <w:t>, 14(2), pp. 88–98. Available At: </w:t>
      </w:r>
      <w:hyperlink r:id="rId29" w:history="1">
        <w:r w:rsidR="00FF41CE" w:rsidRPr="00241EE3">
          <w:rPr>
            <w:rStyle w:val="Hyperlink"/>
            <w:rFonts w:ascii="Arial" w:hAnsi="Arial" w:cs="Arial"/>
          </w:rPr>
          <w:t>https://www.nature.com/articles/nrendo.2017.151</w:t>
        </w:r>
      </w:hyperlink>
      <w:r w:rsidR="00FF41CE">
        <w:rPr>
          <w:rFonts w:ascii="Arial" w:hAnsi="Arial" w:cs="Arial"/>
        </w:rPr>
        <w:t xml:space="preserve"> </w:t>
      </w:r>
    </w:p>
    <w:p w14:paraId="65D2507C" w14:textId="77777777" w:rsidR="00D84E4B" w:rsidRPr="00245876" w:rsidRDefault="00D84E4B" w:rsidP="00245876">
      <w:pPr>
        <w:rPr>
          <w:rFonts w:ascii="Arial" w:hAnsi="Arial" w:cs="Arial"/>
        </w:rPr>
      </w:pPr>
    </w:p>
    <w:p w14:paraId="6E77EED2" w14:textId="77777777" w:rsidR="00245876" w:rsidRDefault="00245876"/>
    <w:sectPr w:rsidR="0024587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2902C" w14:textId="77777777" w:rsidR="00D433E7" w:rsidRDefault="00D433E7" w:rsidP="00851342">
      <w:pPr>
        <w:spacing w:after="0" w:line="240" w:lineRule="auto"/>
      </w:pPr>
      <w:r>
        <w:separator/>
      </w:r>
    </w:p>
  </w:endnote>
  <w:endnote w:type="continuationSeparator" w:id="0">
    <w:p w14:paraId="13D14D20" w14:textId="77777777" w:rsidR="00D433E7" w:rsidRDefault="00D433E7" w:rsidP="00851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644230"/>
      <w:docPartObj>
        <w:docPartGallery w:val="Page Numbers (Bottom of Page)"/>
        <w:docPartUnique/>
      </w:docPartObj>
    </w:sdtPr>
    <w:sdtContent>
      <w:p w14:paraId="2ECDA48B" w14:textId="606F348C" w:rsidR="00851342" w:rsidRDefault="00851342">
        <w:pPr>
          <w:pStyle w:val="Footer"/>
          <w:jc w:val="right"/>
        </w:pPr>
        <w:r>
          <w:fldChar w:fldCharType="begin"/>
        </w:r>
        <w:r>
          <w:instrText>PAGE   \* MERGEFORMAT</w:instrText>
        </w:r>
        <w:r>
          <w:fldChar w:fldCharType="separate"/>
        </w:r>
        <w:r>
          <w:t>2</w:t>
        </w:r>
        <w:r>
          <w:fldChar w:fldCharType="end"/>
        </w:r>
      </w:p>
    </w:sdtContent>
  </w:sdt>
  <w:p w14:paraId="1739999E" w14:textId="77777777" w:rsidR="00851342" w:rsidRDefault="00851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8A0FB" w14:textId="77777777" w:rsidR="00D433E7" w:rsidRDefault="00D433E7" w:rsidP="00851342">
      <w:pPr>
        <w:spacing w:after="0" w:line="240" w:lineRule="auto"/>
      </w:pPr>
      <w:r>
        <w:separator/>
      </w:r>
    </w:p>
  </w:footnote>
  <w:footnote w:type="continuationSeparator" w:id="0">
    <w:p w14:paraId="194CDD84" w14:textId="77777777" w:rsidR="00D433E7" w:rsidRDefault="00D433E7" w:rsidP="008513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76"/>
    <w:rsid w:val="000917D8"/>
    <w:rsid w:val="00245876"/>
    <w:rsid w:val="002E0788"/>
    <w:rsid w:val="003775BC"/>
    <w:rsid w:val="0045386C"/>
    <w:rsid w:val="004D5BC2"/>
    <w:rsid w:val="00791C64"/>
    <w:rsid w:val="00851342"/>
    <w:rsid w:val="008C5D49"/>
    <w:rsid w:val="009F3101"/>
    <w:rsid w:val="00C40DFF"/>
    <w:rsid w:val="00D433E7"/>
    <w:rsid w:val="00D84E4B"/>
    <w:rsid w:val="00DA22EE"/>
    <w:rsid w:val="00FB7B6C"/>
    <w:rsid w:val="00FF4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7783E"/>
  <w15:chartTrackingRefBased/>
  <w15:docId w15:val="{886AD12C-B1D9-41AC-85CF-73E1C6BC9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876"/>
    <w:rPr>
      <w:rFonts w:eastAsiaTheme="majorEastAsia" w:cstheme="majorBidi"/>
      <w:color w:val="272727" w:themeColor="text1" w:themeTint="D8"/>
    </w:rPr>
  </w:style>
  <w:style w:type="paragraph" w:styleId="Title">
    <w:name w:val="Title"/>
    <w:basedOn w:val="Normal"/>
    <w:next w:val="Normal"/>
    <w:link w:val="TitleChar"/>
    <w:uiPriority w:val="10"/>
    <w:qFormat/>
    <w:rsid w:val="00245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876"/>
    <w:pPr>
      <w:spacing w:before="160"/>
      <w:jc w:val="center"/>
    </w:pPr>
    <w:rPr>
      <w:i/>
      <w:iCs/>
      <w:color w:val="404040" w:themeColor="text1" w:themeTint="BF"/>
    </w:rPr>
  </w:style>
  <w:style w:type="character" w:customStyle="1" w:styleId="QuoteChar">
    <w:name w:val="Quote Char"/>
    <w:basedOn w:val="DefaultParagraphFont"/>
    <w:link w:val="Quote"/>
    <w:uiPriority w:val="29"/>
    <w:rsid w:val="00245876"/>
    <w:rPr>
      <w:i/>
      <w:iCs/>
      <w:color w:val="404040" w:themeColor="text1" w:themeTint="BF"/>
    </w:rPr>
  </w:style>
  <w:style w:type="paragraph" w:styleId="ListParagraph">
    <w:name w:val="List Paragraph"/>
    <w:basedOn w:val="Normal"/>
    <w:uiPriority w:val="34"/>
    <w:qFormat/>
    <w:rsid w:val="00245876"/>
    <w:pPr>
      <w:ind w:left="720"/>
      <w:contextualSpacing/>
    </w:pPr>
  </w:style>
  <w:style w:type="character" w:styleId="IntenseEmphasis">
    <w:name w:val="Intense Emphasis"/>
    <w:basedOn w:val="DefaultParagraphFont"/>
    <w:uiPriority w:val="21"/>
    <w:qFormat/>
    <w:rsid w:val="00245876"/>
    <w:rPr>
      <w:i/>
      <w:iCs/>
      <w:color w:val="0F4761" w:themeColor="accent1" w:themeShade="BF"/>
    </w:rPr>
  </w:style>
  <w:style w:type="paragraph" w:styleId="IntenseQuote">
    <w:name w:val="Intense Quote"/>
    <w:basedOn w:val="Normal"/>
    <w:next w:val="Normal"/>
    <w:link w:val="IntenseQuoteChar"/>
    <w:uiPriority w:val="30"/>
    <w:qFormat/>
    <w:rsid w:val="00245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876"/>
    <w:rPr>
      <w:i/>
      <w:iCs/>
      <w:color w:val="0F4761" w:themeColor="accent1" w:themeShade="BF"/>
    </w:rPr>
  </w:style>
  <w:style w:type="character" w:styleId="IntenseReference">
    <w:name w:val="Intense Reference"/>
    <w:basedOn w:val="DefaultParagraphFont"/>
    <w:uiPriority w:val="32"/>
    <w:qFormat/>
    <w:rsid w:val="00245876"/>
    <w:rPr>
      <w:b/>
      <w:bCs/>
      <w:smallCaps/>
      <w:color w:val="0F4761" w:themeColor="accent1" w:themeShade="BF"/>
      <w:spacing w:val="5"/>
    </w:rPr>
  </w:style>
  <w:style w:type="character" w:styleId="Hyperlink">
    <w:name w:val="Hyperlink"/>
    <w:basedOn w:val="DefaultParagraphFont"/>
    <w:uiPriority w:val="99"/>
    <w:unhideWhenUsed/>
    <w:rsid w:val="00D84E4B"/>
    <w:rPr>
      <w:color w:val="467886" w:themeColor="hyperlink"/>
      <w:u w:val="single"/>
    </w:rPr>
  </w:style>
  <w:style w:type="character" w:styleId="UnresolvedMention">
    <w:name w:val="Unresolved Mention"/>
    <w:basedOn w:val="DefaultParagraphFont"/>
    <w:uiPriority w:val="99"/>
    <w:semiHidden/>
    <w:unhideWhenUsed/>
    <w:rsid w:val="00D84E4B"/>
    <w:rPr>
      <w:color w:val="605E5C"/>
      <w:shd w:val="clear" w:color="auto" w:fill="E1DFDD"/>
    </w:rPr>
  </w:style>
  <w:style w:type="character" w:styleId="FollowedHyperlink">
    <w:name w:val="FollowedHyperlink"/>
    <w:basedOn w:val="DefaultParagraphFont"/>
    <w:uiPriority w:val="99"/>
    <w:semiHidden/>
    <w:unhideWhenUsed/>
    <w:rsid w:val="00D84E4B"/>
    <w:rPr>
      <w:color w:val="96607D" w:themeColor="followedHyperlink"/>
      <w:u w:val="single"/>
    </w:rPr>
  </w:style>
  <w:style w:type="paragraph" w:styleId="Header">
    <w:name w:val="header"/>
    <w:basedOn w:val="Normal"/>
    <w:link w:val="HeaderChar"/>
    <w:uiPriority w:val="99"/>
    <w:unhideWhenUsed/>
    <w:rsid w:val="00851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342"/>
  </w:style>
  <w:style w:type="paragraph" w:styleId="Footer">
    <w:name w:val="footer"/>
    <w:basedOn w:val="Normal"/>
    <w:link w:val="FooterChar"/>
    <w:uiPriority w:val="99"/>
    <w:unhideWhenUsed/>
    <w:rsid w:val="00851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d-journal.com/article/S0939-4753(15)00127-1/fulltext" TargetMode="External"/><Relationship Id="rId13" Type="http://schemas.openxmlformats.org/officeDocument/2006/relationships/hyperlink" Target="https://www.nature.com/articles/nm.4350" TargetMode="External"/><Relationship Id="rId18" Type="http://schemas.openxmlformats.org/officeDocument/2006/relationships/hyperlink" Target="https://www.thelancet.com/journals/lancet/article/PIIS0140-6736(13)62154-6/abstract" TargetMode="External"/><Relationship Id="rId26" Type="http://schemas.openxmlformats.org/officeDocument/2006/relationships/hyperlink" Target="https://diabetesjournals.org/care/article/42/5/e82/40505/Response-to-Comment-on-Mulukutla-et-al" TargetMode="External"/><Relationship Id="rId3" Type="http://schemas.openxmlformats.org/officeDocument/2006/relationships/webSettings" Target="webSettings.xml"/><Relationship Id="rId21" Type="http://schemas.openxmlformats.org/officeDocument/2006/relationships/hyperlink" Target="https://www.jci.org/articles/view/29103" TargetMode="External"/><Relationship Id="rId7" Type="http://schemas.openxmlformats.org/officeDocument/2006/relationships/hyperlink" Target="https://diabetesjournals.org/care/article/47/Supplement_1/S1/153952/Introduction-and-Methodology-Standards-of-Care-in" TargetMode="External"/><Relationship Id="rId12" Type="http://schemas.openxmlformats.org/officeDocument/2006/relationships/hyperlink" Target="https://diabetesjournals.org/care/article/39/11/2065/37249/Physical-Activity-Exercise-and-Diabetes-A-Position" TargetMode="External"/><Relationship Id="rId17" Type="http://schemas.openxmlformats.org/officeDocument/2006/relationships/hyperlink" Target="https://diabetesjournals.org/clinical/article-abstract/26/2/77/1823/Microvascular-and-Macrovascular-Complications-of?redirectedFrom=fulltext" TargetMode="External"/><Relationship Id="rId25" Type="http://schemas.openxmlformats.org/officeDocument/2006/relationships/hyperlink" Target="https://journals.physiology.org/doi/full/10.1152/advan.00080.2014" TargetMode="External"/><Relationship Id="rId2" Type="http://schemas.openxmlformats.org/officeDocument/2006/relationships/settings" Target="settings.xml"/><Relationship Id="rId16" Type="http://schemas.openxmlformats.org/officeDocument/2006/relationships/hyperlink" Target="https://journals.physiology.org/doi/full/10.1152/physrev.00045.2011" TargetMode="External"/><Relationship Id="rId20" Type="http://schemas.openxmlformats.org/officeDocument/2006/relationships/hyperlink" Target="https://journals.physiology.org/doi/full/10.1152/physrev.00063.2017" TargetMode="External"/><Relationship Id="rId29" Type="http://schemas.openxmlformats.org/officeDocument/2006/relationships/hyperlink" Target="https://www.nature.com/articles/nrendo.2017.15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abetesjournals.org/diabetes/article-abstract/48/5/1198/12265/Banting-Lecture-1997-Control-of-glucose-uptake-and?redirectedFrom=fulltext" TargetMode="External"/><Relationship Id="rId24" Type="http://schemas.openxmlformats.org/officeDocument/2006/relationships/hyperlink" Target="https://www.cell.com/cell/fulltext/S0092-8674(12)00217-6?_returnURL=https%3A%2F%2Flinkinghub.elsevier.com%2Fretrieve%2Fpii%2FS0092867412002176%3Fshowall%3Dtru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ature.com/articles/nri2925" TargetMode="External"/><Relationship Id="rId23" Type="http://schemas.openxmlformats.org/officeDocument/2006/relationships/hyperlink" Target="https://www.nature.com/articles/414799a" TargetMode="External"/><Relationship Id="rId28" Type="http://schemas.openxmlformats.org/officeDocument/2006/relationships/hyperlink" Target="https://iris.who.int/items/5a8940ad-d4a9-4e79-a273-b7f97dc1d086" TargetMode="External"/><Relationship Id="rId10" Type="http://schemas.openxmlformats.org/officeDocument/2006/relationships/hyperlink" Target="https://diabetesjournals.org/diabetes/article/54/6/1615/14015/The-Pathobiology-of-Diabetic-ComplicationsA" TargetMode="External"/><Relationship Id="rId19" Type="http://schemas.openxmlformats.org/officeDocument/2006/relationships/hyperlink" Target="https://www.nice.org.uk/guidance/ng28"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ature.com/articles/414813a" TargetMode="External"/><Relationship Id="rId14" Type="http://schemas.openxmlformats.org/officeDocument/2006/relationships/hyperlink" Target="https://www.nature.com/articles/nrdp201519" TargetMode="External"/><Relationship Id="rId22" Type="http://schemas.openxmlformats.org/officeDocument/2006/relationships/hyperlink" Target="https://journals.physiology.org/doi/full/10.1152/physrev.00008.2017" TargetMode="External"/><Relationship Id="rId27" Type="http://schemas.openxmlformats.org/officeDocument/2006/relationships/hyperlink" Target="https://diabetesjournals.org/care/article/42/5/e82/40505/Response-to-Comment-on-Mulukutla-et-a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TotalTime>
  <Pages>10</Pages>
  <Words>3485</Words>
  <Characters>19867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6</cp:revision>
  <dcterms:created xsi:type="dcterms:W3CDTF">2026-02-22T15:00:00Z</dcterms:created>
  <dcterms:modified xsi:type="dcterms:W3CDTF">2026-02-22T16:43:00Z</dcterms:modified>
</cp:coreProperties>
</file>