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6A34E">
      <w:pPr>
        <w:jc w:val="center"/>
        <w:rPr>
          <w:rFonts w:ascii="Times New Roman" w:hAnsi="Times New Roman"/>
          <w:b/>
          <w:sz w:val="36"/>
        </w:rPr>
      </w:pPr>
    </w:p>
    <w:p w14:paraId="B4452543">
      <w:pPr>
        <w:jc w:val="center"/>
        <w:rPr>
          <w:rFonts w:ascii="Times New Roman" w:hAnsi="Times New Roman"/>
          <w:b/>
          <w:sz w:val="36"/>
        </w:rPr>
      </w:pPr>
    </w:p>
    <w:p w14:paraId="3192EF93">
      <w:pPr>
        <w:jc w:val="center"/>
      </w:pPr>
      <w:r>
        <w:rPr>
          <w:rFonts w:ascii="Times New Roman" w:hAnsi="Times New Roman"/>
          <w:b/>
          <w:sz w:val="36"/>
        </w:rPr>
        <w:t>TYPE 2 DIABETES:</w:t>
      </w:r>
      <w:r>
        <w:rPr>
          <w:rFonts w:ascii="Times New Roman" w:hAnsi="Times New Roman"/>
          <w:b/>
          <w:sz w:val="36"/>
        </w:rPr>
        <w:br w:type="textWrapping"/>
      </w:r>
      <w:r>
        <w:rPr>
          <w:rFonts w:ascii="Times New Roman" w:hAnsi="Times New Roman"/>
          <w:b/>
          <w:sz w:val="36"/>
        </w:rPr>
        <w:t>BLOOD GLUCOSE REGULATION, MONITORING</w:t>
      </w:r>
      <w:r>
        <w:rPr>
          <w:rFonts w:ascii="Times New Roman" w:hAnsi="Times New Roman"/>
          <w:b/>
          <w:sz w:val="36"/>
        </w:rPr>
        <w:br w:type="textWrapping"/>
      </w:r>
      <w:r>
        <w:rPr>
          <w:rFonts w:ascii="Times New Roman" w:hAnsi="Times New Roman"/>
          <w:b/>
          <w:sz w:val="36"/>
        </w:rPr>
        <w:t>AND LIFESTYLE MANAGEMENT</w:t>
      </w:r>
    </w:p>
    <w:p w14:paraId="0E849FB6">
      <w:pPr>
        <w:jc w:val="center"/>
      </w:pPr>
      <w:r>
        <w:rPr>
          <w:b/>
        </w:rPr>
        <w:br w:type="textWrapping"/>
      </w:r>
      <w:r>
        <w:rPr>
          <w:b/>
        </w:rPr>
        <w:t>Case Study 1 – Practice Nursing Report</w:t>
      </w:r>
    </w:p>
    <w:p w14:paraId="1F239C22">
      <w:pPr>
        <w:jc w:val="center"/>
      </w:pPr>
      <w:r>
        <w:t>Student Name:Yvonne Annan</w:t>
      </w:r>
    </w:p>
    <w:p w14:paraId="C402CCBF">
      <w:pPr>
        <w:jc w:val="center"/>
      </w:pPr>
      <w:r>
        <w:t xml:space="preserve">Student ID: </w:t>
      </w:r>
    </w:p>
    <w:p w14:paraId="DD9523C7">
      <w:pPr>
        <w:jc w:val="center"/>
      </w:pPr>
      <w:r>
        <w:t xml:space="preserve">Course/Programme: </w:t>
      </w:r>
      <w:r>
        <w:rPr>
          <w:lang w:val="en-US"/>
        </w:rPr>
        <w:t>Physiology</w:t>
      </w:r>
    </w:p>
    <w:p w14:paraId="10C77AAD">
      <w:pPr>
        <w:jc w:val="center"/>
      </w:pPr>
    </w:p>
    <w:p w14:paraId="D8FC3629">
      <w:pPr>
        <w:jc w:val="left"/>
      </w:pPr>
    </w:p>
    <w:p w14:paraId="56B3B49E">
      <w:r>
        <w:br w:type="page"/>
      </w:r>
    </w:p>
    <w:p w14:paraId="97E45055">
      <w:pPr>
        <w:jc w:val="center"/>
      </w:pPr>
      <w:r>
        <w:rPr>
          <w:b/>
          <w:sz w:val="32"/>
        </w:rPr>
        <w:t>TABLE OF CONTENTS</w:t>
      </w:r>
    </w:p>
    <w:p w14:paraId="A080500C">
      <w:pPr>
        <w:numPr>
          <w:ilvl w:val="0"/>
          <w:numId w:val="0"/>
        </w:numPr>
        <w:rPr>
          <w:lang w:val="en-US"/>
        </w:rPr>
      </w:pPr>
      <w:r>
        <w:rPr>
          <w:lang w:val="en-US"/>
        </w:rPr>
        <w:t>1.0    Introduction...........................................................................................................3</w:t>
      </w:r>
    </w:p>
    <w:p w14:paraId="5DD758D8">
      <w:pPr>
        <w:numPr>
          <w:ilvl w:val="0"/>
          <w:numId w:val="0"/>
        </w:numPr>
        <w:rPr>
          <w:lang w:val="en-US"/>
        </w:rPr>
      </w:pPr>
      <w:r>
        <w:rPr>
          <w:lang w:val="en-US"/>
        </w:rPr>
        <w:t>2.0   How Blood Sugar Levels Are Maintained at a Safe and Effective Level............3</w:t>
      </w:r>
    </w:p>
    <w:p w14:paraId="B9CDC98E">
      <w:pPr>
        <w:numPr>
          <w:ilvl w:val="0"/>
          <w:numId w:val="0"/>
        </w:numPr>
        <w:rPr>
          <w:lang w:val="en-US"/>
        </w:rPr>
      </w:pPr>
      <w:r>
        <w:rPr>
          <w:lang w:val="en-US"/>
        </w:rPr>
        <w:t>3.0 How Oxygen and Glucose Are Used to Produce Energy  Through Cell Metabolism....5</w:t>
      </w:r>
    </w:p>
    <w:p w14:paraId="AB79B614">
      <w:pPr>
        <w:numPr>
          <w:ilvl w:val="0"/>
          <w:numId w:val="0"/>
        </w:numPr>
        <w:rPr>
          <w:lang w:val="en-US"/>
        </w:rPr>
      </w:pPr>
      <w:r>
        <w:rPr>
          <w:lang w:val="en-US"/>
        </w:rPr>
        <w:t>4.0 How Recording and Tracking Blood Sugar Helps Individuals with Type 2 Diabetes....5</w:t>
      </w:r>
    </w:p>
    <w:p w14:paraId="95AEBDCC">
      <w:pPr>
        <w:numPr>
          <w:ilvl w:val="0"/>
          <w:numId w:val="0"/>
        </w:numPr>
        <w:rPr>
          <w:lang w:val="en-US"/>
        </w:rPr>
      </w:pPr>
      <w:r>
        <w:rPr>
          <w:lang w:val="en-US"/>
        </w:rPr>
        <w:t>5.0 Evidence-Based Recommendations on How Lifestyle Changes Could Improve the Condition..................................................................................................................................6</w:t>
      </w:r>
    </w:p>
    <w:p w14:paraId="DD26F738">
      <w:pPr>
        <w:numPr>
          <w:ilvl w:val="0"/>
          <w:numId w:val="0"/>
        </w:numPr>
        <w:rPr>
          <w:lang w:val="en-US"/>
        </w:rPr>
      </w:pPr>
      <w:r>
        <w:rPr>
          <w:lang w:val="en-US"/>
        </w:rPr>
        <w:t>6.0. Conclusion.......................................................................................................................6</w:t>
      </w:r>
    </w:p>
    <w:p w14:paraId="5D4AA262">
      <w:pPr>
        <w:numPr>
          <w:ilvl w:val="0"/>
          <w:numId w:val="0"/>
        </w:numPr>
        <w:rPr>
          <w:lang w:val="en-US"/>
        </w:rPr>
      </w:pPr>
      <w:r>
        <w:rPr>
          <w:lang w:val="en-US"/>
        </w:rPr>
        <w:t>References..............................................................................................................................7</w:t>
      </w:r>
    </w:p>
    <w:p w14:paraId="79A23476">
      <w:pPr>
        <w:numPr>
          <w:ilvl w:val="0"/>
          <w:numId w:val="0"/>
        </w:numPr>
      </w:pPr>
    </w:p>
    <w:p w14:paraId="4866913B">
      <w:pPr>
        <w:pStyle w:val="2"/>
      </w:pPr>
    </w:p>
    <w:p w14:paraId="6C3245A8">
      <w:pPr>
        <w:pStyle w:val="2"/>
      </w:pPr>
    </w:p>
    <w:p w14:paraId="1047F716">
      <w:pPr>
        <w:numPr>
          <w:ilvl w:val="0"/>
          <w:numId w:val="0"/>
        </w:numPr>
      </w:pPr>
    </w:p>
    <w:p w14:paraId="A9A61851">
      <w:pPr>
        <w:numPr>
          <w:ilvl w:val="0"/>
          <w:numId w:val="0"/>
        </w:numPr>
      </w:pPr>
    </w:p>
    <w:p w14:paraId="18BF0B2C">
      <w:pPr>
        <w:numPr>
          <w:ilvl w:val="0"/>
          <w:numId w:val="0"/>
        </w:numPr>
      </w:pPr>
    </w:p>
    <w:p w14:paraId="BB4A4B52">
      <w:pPr>
        <w:pStyle w:val="2"/>
      </w:pPr>
    </w:p>
    <w:p w14:paraId="9B2EAD12">
      <w:pPr>
        <w:numPr>
          <w:ilvl w:val="0"/>
          <w:numId w:val="0"/>
        </w:numPr>
      </w:pPr>
    </w:p>
    <w:p w14:paraId="9F0C37E8">
      <w:pPr>
        <w:numPr>
          <w:ilvl w:val="0"/>
          <w:numId w:val="0"/>
        </w:numPr>
      </w:pPr>
    </w:p>
    <w:p w14:paraId="872DCC2C">
      <w:pPr>
        <w:numPr>
          <w:ilvl w:val="0"/>
          <w:numId w:val="0"/>
        </w:numPr>
      </w:pPr>
    </w:p>
    <w:p w14:paraId="89B9B82B">
      <w:pPr>
        <w:numPr>
          <w:ilvl w:val="0"/>
          <w:numId w:val="0"/>
        </w:numPr>
      </w:pPr>
    </w:p>
    <w:p w14:paraId="823B6C8E">
      <w:pPr>
        <w:pStyle w:val="2"/>
      </w:pPr>
      <w:r>
        <w:rPr>
          <w:lang w:val="en-US"/>
        </w:rPr>
        <w:t xml:space="preserve">1.0 </w:t>
      </w:r>
      <w:r>
        <w:t xml:space="preserve"> Introduction</w:t>
      </w:r>
    </w:p>
    <w:p w14:paraId="541AF519">
      <w:pPr>
        <w:jc w:val="both"/>
      </w:pPr>
      <w:r>
        <w:t>Diabetes mellitus is a lifelong metabolic condition in which blood sugar stays persistently high, a state called hyperglycaemia. It occurs mainly in two forms. In type 1 diabetes, the immune system attacks and destroys the insulin-producing beta cells of the pancreas, so the body makes no insulin at all. Type 2 diabetes (T2D) works differently: the tissues respond poorly to insulin (insulin resistance) while the beta cells slowly lose their ability to function. Insulin is still made in T2D, but the tissues become less responsive to it, and over time the amount produced can no longer keep glucose within a healthy range (Lee, Park and Choi, 2022).</w:t>
      </w:r>
    </w:p>
    <w:p w14:paraId="CEAA3FBB">
      <w:pPr>
        <w:jc w:val="both"/>
      </w:pPr>
      <w:r>
        <w:t>T2D does not arise from one cause. It develops from several linked risk factors, including older age, inherited susceptibility, a family history of diabetes, obesity (especially fat around the abdomen), inactivity, a poor diet and smoking. Environmental conditions, socioeconomic circumstances and other metabolic disorders can contribute too. A recent review highlights how genetic, dietary, environmental, microbiome and metabolic influences interact in the development of T2D (Singh et al., 2024).</w:t>
      </w:r>
    </w:p>
    <w:p w14:paraId="8CDC81E6">
      <w:pPr>
        <w:jc w:val="both"/>
      </w:pPr>
      <w:r>
        <w:t>The condition matters because long-standing high blood sugar can damage the heart, kidneys, eyes, nerves and other body systems. Its global burden is also growing: an estimated 589 million adults aged 20 to 79 were living with diabetes in 2024, most of them with type 2 (Sun et al., 2025). Primary care therefore has an important part to play in teaching patients about their condition, encouraging suitable glucose monitoring and helping them make lifestyle changes they can maintain.</w:t>
      </w:r>
    </w:p>
    <w:p w14:paraId="1814C5FB">
      <w:pPr>
        <w:pStyle w:val="2"/>
      </w:pPr>
      <w:r>
        <w:rPr>
          <w:lang w:val="en-US"/>
        </w:rPr>
        <w:t xml:space="preserve">2.0 </w:t>
      </w:r>
      <w:r>
        <w:t xml:space="preserve"> How Blood Sugar Levels Are Maintained at a Safe and Effective Level</w:t>
      </w:r>
    </w:p>
    <w:p w14:paraId="1C423AA7">
      <w:pPr>
        <w:jc w:val="both"/>
      </w:pPr>
      <w:r>
        <w:t>Several organs and hormones work together to keep blood glucose within a safe range, including the pancreas, liver, skeletal muscle and adipose tissue. After a meal containing carbohydrate, glucose passes from the gut into the blood. The rise in blood glucose signals the pancreatic beta cells to release insulin. Insulin helps insulin-sensitive tissues such as skeletal muscle and adipose tissue take up and use glucose, and it prompts the liver and muscles to store glucose as glycogen. It also reduces the amount of glucose the liver releases (Lee, Park and Choi, 2022).</w:t>
      </w:r>
    </w:p>
    <w:p w14:paraId="54508CB0">
      <w:pPr>
        <w:jc w:val="both"/>
      </w:pPr>
      <w:r>
        <w:t>The liver acts as both a store and a supplier of glucose. When glucose is plentiful, insulin drives glycogenesis, the conversion of glucose into glycogen for storage. Between meals, blood glucose falls and insulin secretion drops, while the pancreatic alpha cells release more glucagon. Glucagon triggers glycogenolysis, the breakdown of glycogen in the liver, and gluconeogenesis, the production of new glucose from sources such as glycerol and amino acids (Habegger, 2022).</w:t>
      </w:r>
    </w:p>
    <w:p w14:paraId="1678DB03">
      <w:pPr>
        <w:jc w:val="both"/>
      </w:pPr>
      <w:r>
        <w:t>This balance between insulin and glucagon helps prevent blood glucose from rising too high or falling dangerously low. Adrenaline, cortisol and growth hormone contribute as well, particularly during fasting, stress or low blood glucose. The liver constantly adjusts how much glucose it releases in response to nutritional and hormonal signals (Habegger, 2022).</w:t>
      </w:r>
    </w:p>
    <w:p w14:paraId="FEC87DE8">
      <w:pPr>
        <w:jc w:val="both"/>
      </w:pPr>
      <w:r>
        <w:t>In T2D this control system breaks down. Because of insulin resistance, muscle, adipose tissue and the liver respond less well to insulin, so less glucose is taken up while the liver continues to release too much. At first the pancreas makes up for this by secreting extra insulin, but beta-cell function can decline with time. The result is persistently raised blood glucose, both during fasting and after meals (Lee, Park and Choi, 2022).</w:t>
      </w:r>
    </w:p>
    <w:p w14:paraId="2AFCB7F9">
      <w:pPr>
        <w:jc w:val="both"/>
      </w:pPr>
      <w:r>
        <w:t>Glycated haemoglobin (HbA1c) is especially useful for judging long-term control, since it reflects average blood glucose over roughly the previous two to three months. Checking blood glucose directly, when clinically appropriate, adds information about day-to-day changes and helps patients see how food, exercise, medication and other behaviours affect their levels.</w:t>
      </w:r>
    </w:p>
    <w:p w14:paraId="EC4B661F">
      <w:pPr>
        <w:pStyle w:val="2"/>
      </w:pPr>
      <w:r>
        <w:rPr>
          <w:lang w:val="en-US"/>
        </w:rPr>
        <w:t xml:space="preserve">3.0  </w:t>
      </w:r>
      <w:r>
        <w:t>How Oxygen and Glucose Are Used to Produce Energy Through Cell Metabolism</w:t>
      </w:r>
    </w:p>
    <w:p w14:paraId="9EF23F03">
      <w:pPr>
        <w:jc w:val="both"/>
      </w:pPr>
      <w:r>
        <w:t>Glucose is a key fuel for the body's cells. After entering a cell, it is broken down by glycolysis in the cytoplasm, which splits one six-carbon glucose molecule into two molecules of pyruvate. This step also yields a small amount of ATP directly and produces NADH, the reduced form of NAD (Su, Villard and Manneville, 2023).</w:t>
      </w:r>
    </w:p>
    <w:p w14:paraId="6E589365">
      <w:pPr>
        <w:jc w:val="both"/>
      </w:pPr>
      <w:r>
        <w:t>When oxygen is available, pyruvate moves into the mitochondria and is converted to acetyl-CoA, which then feeds into the tricarboxylic acid (TCA) cycle, also known as the Krebs cycle. The cycle generates NADH and FADH₂, which deliver high-energy electrons to the mitochondrial electron transport chain. As the electrons pass along the chain, a proton gradient builds up across the mitochondrial membrane. ATP synthase uses that gradient to make ATP from ADP and inorganic phosphate, providing energy for many cell activities (Su, Villard and Manneville, 2023).</w:t>
      </w:r>
    </w:p>
    <w:p w14:paraId="AEB82396">
      <w:pPr>
        <w:jc w:val="both"/>
      </w:pPr>
      <w:r>
        <w:t>Oxygen is essential for the final stage, oxidative phosphorylation, because it is the last electron acceptor in the chain. Aerobic respiration produces far more ATP from each glucose molecule than glycolysis alone. When oxygen supply is insufficient, cells rely more on anaerobic glycolysis, in which pyruvate is turned into lactate. This allows glycolysis to carry on, but at the cost of much lower ATP output (Su, Villard and Manneville, 2023).</w:t>
      </w:r>
    </w:p>
    <w:p w14:paraId="D39C6D64">
      <w:pPr>
        <w:jc w:val="both"/>
      </w:pPr>
      <w:r>
        <w:t>In summary, the pathway runs as follows: glucose → glycolysis → pyruvate → acetyl-CoA → TCA cycle → electron transport chain + oxygen → ATP + carbon dioxide + water. Cells then use the ATP for essential work such as muscle contraction, active transport of ions, maintaining cell membranes and building cellular components.</w:t>
      </w:r>
    </w:p>
    <w:p w14:paraId="D25CF9DF">
      <w:pPr>
        <w:pStyle w:val="2"/>
      </w:pPr>
      <w:r>
        <w:rPr>
          <w:lang w:val="en-US"/>
        </w:rPr>
        <w:t xml:space="preserve">4.0  </w:t>
      </w:r>
      <w:r>
        <w:t>How Recording and Tracking Blood Sugar Helps Individuals with Type 2 Diabetes</w:t>
      </w:r>
    </w:p>
    <w:p w14:paraId="ADA81213">
      <w:pPr>
        <w:jc w:val="both"/>
      </w:pPr>
      <w:r>
        <w:t>Recording blood glucose helps patients see how their levels respond to everyday activities. Depending on the treatment plan, self-monitoring might involve testing fasting, pre-meal or post-meal glucose, or testing when symptoms of low or high blood sugar appear. The aim is not just to collect numbers; readings are most useful when considered alongside diet, physical activity, medication and symptoms.</w:t>
      </w:r>
    </w:p>
    <w:p w14:paraId="3BC256AC">
      <w:pPr>
        <w:jc w:val="both"/>
      </w:pPr>
      <w:r>
        <w:t>Structured self-monitoring can bring to light patterns that would otherwise go unnoticed. A patient may find, for example, that readings are regularly higher after certain meals or lower after being active.</w:t>
      </w:r>
    </w:p>
    <w:p w14:paraId="75EF5530">
      <w:pPr>
        <w:jc w:val="both"/>
      </w:pPr>
      <w:r>
        <w:t>The evidence suggests structured self-monitoring brings a modest improvement in HbA1c for adults with type 2 diabetes who do not use insulin. A 2023 systematic review and meta-analysis of 5,372 participants found a small improvement in HbA1c and in confidence with self-managing diabetes, although the authors pointed out inconsistencies and weaknesses in the evidence (Holmes-Truscott et al., 2023). A further meta-analysis suggested that self-monitoring works best when it is part of a structured management plan, not simply measuring glucose and doing nothing with the result (Zou et al., 2023).</w:t>
      </w:r>
    </w:p>
    <w:p w14:paraId="E6A59EAD">
      <w:pPr>
        <w:jc w:val="both"/>
      </w:pPr>
      <w:r>
        <w:t>Patients should therefore keep to the monitoring schedule agreed with their healthcare provider. Testing too often without a clear reason can cause unnecessary worry and cost, whereas testing too little may mean important patterns are missed. Results should be interpreted together with HbA1c and the person's overall treatment.</w:t>
      </w:r>
    </w:p>
    <w:p w14:paraId="70C2311E">
      <w:pPr>
        <w:pStyle w:val="2"/>
      </w:pPr>
      <w:r>
        <w:rPr>
          <w:lang w:val="en-US"/>
        </w:rPr>
        <w:t xml:space="preserve">5.0  </w:t>
      </w:r>
      <w:r>
        <w:t>Evidence-Based Recommendations on How Lifestyle Changes Could Improve the Condition</w:t>
      </w:r>
    </w:p>
    <w:p w14:paraId="3CE9A269">
      <w:pPr>
        <w:pStyle w:val="3"/>
      </w:pPr>
      <w:r>
        <w:t>Diet</w:t>
      </w:r>
    </w:p>
    <w:p w14:paraId="4DF1D2C7">
      <w:pPr>
        <w:jc w:val="both"/>
        <w:rPr>
          <w:rFonts w:hint="default"/>
          <w:lang w:val="en-GB"/>
        </w:rPr>
      </w:pPr>
      <w:r>
        <w:t>Diet is central to managing type 2 diabetes, but the focus should be on an eating pattern a person can maintain rather than on short-lived, highly restrictive diets. The emphasis is on eating more vegetables, whole grains, legumes, high-fibre foods and healthy fats, and cutting back on refined carbohydrates, processed foods and sugary drinks. Attention to portion size and total energy intake is also important, especially for people who are carrying excess weight.</w:t>
      </w:r>
    </w:p>
    <w:p w14:paraId="1F773AF4">
      <w:pPr>
        <w:jc w:val="both"/>
      </w:pPr>
      <w:bookmarkStart w:id="0" w:name="_GoBack"/>
      <w:bookmarkEnd w:id="0"/>
      <w:r>
        <w:t>No single diet suits everyone with T2D. A large network meta-analysis of 42 studies with almost 5,000 participants found that several different dietary approaches lowered blood glucose, although the strength of the evidence differed between diets (Jing et al., 2023). Another review noted that Mediterranean, plant-based, low-carbohydrate and low-glycaemic-index diets can each benefit different aspects of cardiometabolic health, with some supported by stronger evidence than others (Dyson et al., 2023).</w:t>
      </w:r>
    </w:p>
    <w:p w14:paraId="FBC2FB3C">
      <w:pPr>
        <w:jc w:val="both"/>
      </w:pPr>
      <w:r>
        <w:t>The Mediterranean diet has particularly good support in T2D. It centres on vegetables, fruit, pulses, whole grains, nuts, fish and healthy fats. A 2024 meta-analysis reported improvements in blood glucose, body mass index and blood pressure among people following it (Zheng et al., 2024). Even so, dietary advice should be individualised, taking account of food preferences, affordability, medication and nutritional goals. Most importantly, the changes chosen should be ones the person can sustain in the long term.</w:t>
      </w:r>
    </w:p>
    <w:p w14:paraId="5D7C48CC">
      <w:pPr>
        <w:pStyle w:val="3"/>
      </w:pPr>
      <w:r>
        <w:t>Physical Activity</w:t>
      </w:r>
    </w:p>
    <w:p w14:paraId="A7903792">
      <w:pPr>
        <w:jc w:val="both"/>
      </w:pPr>
      <w:r>
        <w:t>Regular physical activity increases glucose uptake by skeletal muscle and improves insulin sensitivity. Exercise can therefore improve blood sugar control even when little weight is lost. People should build up their activity gradually, with their fitness, age, any complications and advice from healthcare professionals in mind.</w:t>
      </w:r>
    </w:p>
    <w:p w14:paraId="9AA4F290">
      <w:pPr>
        <w:jc w:val="both"/>
      </w:pPr>
    </w:p>
    <w:p w14:paraId="DC746D92">
      <w:pPr>
        <w:jc w:val="both"/>
      </w:pPr>
      <w:r>
        <w:t>Current research supports both aerobic and resistance exercise. A systematic review and meta-analysis by Asfaw and Dagne (2022) showed that physical activity can improve glucose control in people with diabetes. Memelink et al. (2023), in another systematic review, found that adding exercise to a calorie-restricted diet gave extra benefits for body weight, glycaemic control and cardiorespiratory fitness in adults who were overweight or had type 2 diabetes. Where possible, adults should aim for regular moderate-intensity activity that includes both aerobic and strength training, and should limit long periods of sitting.</w:t>
      </w:r>
    </w:p>
    <w:p w14:paraId="E8E09537">
      <w:pPr>
        <w:pStyle w:val="3"/>
      </w:pPr>
      <w:r>
        <w:t>Weight Management</w:t>
      </w:r>
    </w:p>
    <w:p w14:paraId="D1C96420">
      <w:pPr>
        <w:jc w:val="both"/>
      </w:pPr>
      <w:r>
        <w:t>For patients with excess weight, gradual weight loss can improve insulin sensitivity and blood sugar control. Weight management should be approached without judgement, and small, sustainable changes are often more realistic than drastic dietary restriction. Lifestyle intervention research links weight loss with better glucose regulation (Jayedi et al., 2024).</w:t>
      </w:r>
    </w:p>
    <w:p w14:paraId="8AB03695">
      <w:pPr>
        <w:pStyle w:val="3"/>
      </w:pPr>
      <w:r>
        <w:t>Smoking Cessation</w:t>
      </w:r>
    </w:p>
    <w:p w14:paraId="D545D14E">
      <w:pPr>
        <w:jc w:val="both"/>
      </w:pPr>
      <w:r>
        <w:t>Smoking needs to be addressed because it is associated with worse metabolic and cardiovascular outcomes in people with diabetes. Smokers should be offered evidence-based support to stop, combining behavioural advice with suitable medication where appropriate. Research is still examining how stopping smoking relates to weight change and diabetes risk, but quitting remains an important step towards better overall health (Yu et al., 2026).</w:t>
      </w:r>
    </w:p>
    <w:p w14:paraId="B2696640">
      <w:pPr>
        <w:jc w:val="both"/>
      </w:pPr>
      <w:r>
        <w:t>Lifestyle advice must also be realistic and centred on the individual. Diabetes education that stresses self-management, together with goal setting, monitoring and regular follow-up, can help patients build this knowledge into their daily routines.</w:t>
      </w:r>
    </w:p>
    <w:p w14:paraId="65327538">
      <w:pPr>
        <w:pStyle w:val="2"/>
      </w:pPr>
      <w:r>
        <w:rPr>
          <w:lang w:val="en-US"/>
        </w:rPr>
        <w:t xml:space="preserve">6.0  </w:t>
      </w:r>
      <w:r>
        <w:t>Conclusion</w:t>
      </w:r>
    </w:p>
    <w:p w14:paraId="60AA5738">
      <w:pPr>
        <w:jc w:val="both"/>
      </w:pPr>
      <w:r>
        <w:t>Type 2 diabetes arises from a mix of metabolic processes and lifestyle factors, chiefly insulin resistance and the gradual failure of beta cells. Insulin, glucagon, the liver, muscle and fat tissue all contribute to regulating blood sugar. Glucose is a vital fuel that is converted to ATP through glycolysis, the citric acid cycle and oxidative phosphorylation, with oxygen allowing efficient energy production under aerobic conditions.</w:t>
      </w:r>
    </w:p>
    <w:p w14:paraId="9AADBD5E">
      <w:pPr>
        <w:jc w:val="both"/>
      </w:pPr>
    </w:p>
    <w:p w14:paraId="38DADC41">
      <w:pPr>
        <w:jc w:val="both"/>
      </w:pPr>
      <w:r>
        <w:t>For people with type 2 diabetes, checking glucose when it is needed can reveal trends and support informed self-care, although monitoring works best alongside education and guidance from healthcare professionals. The research supports sustained improvements in diet, regular exercise, weight control and stopping smoking. As a practice nurse, giving clear information and helping patients set realistic goals can build their confidence and involvement in managing their diabetes.</w:t>
      </w:r>
    </w:p>
    <w:p w14:paraId="04549297">
      <w:r>
        <w:br w:type="page"/>
      </w:r>
    </w:p>
    <w:p w14:paraId="E8B5A867">
      <w:pPr>
        <w:pStyle w:val="2"/>
      </w:pPr>
      <w:r>
        <w:rPr>
          <w:lang w:val="en-US"/>
        </w:rPr>
        <w:t xml:space="preserve">References </w:t>
      </w:r>
    </w:p>
    <w:p w14:paraId="5A598E6F">
      <w:pPr>
        <w:ind w:left="360" w:hanging="360"/>
        <w:jc w:val="both"/>
      </w:pPr>
      <w:r>
        <w:t>Asfaw, M.S. and Dagne, W.K. (2022) ‘Physical activity can improve diabetes patients' glucose control: A systematic review and meta-analysis’, Heliyon, 8(12), e12267. doi:10.1016/j.heliyon.2022.e12267.</w:t>
      </w:r>
    </w:p>
    <w:p w14:paraId="8B1947FF">
      <w:pPr>
        <w:ind w:left="360" w:hanging="360"/>
        <w:jc w:val="both"/>
      </w:pPr>
      <w:r>
        <w:t>Dyson, P.A. et al. (2023) ‘Dietary patterns and cardiometabolic outcomes in type 2 diabetes: an umbrella review’.</w:t>
      </w:r>
    </w:p>
    <w:p w14:paraId="329EC4B0">
      <w:pPr>
        <w:ind w:left="360" w:hanging="360"/>
        <w:jc w:val="both"/>
      </w:pPr>
      <w:r>
        <w:t>Habegger, K.M. (2022) ‘Cross talk between insulin and glucagon receptor signaling in the hepatocyte’, Diabetes, 71(9), pp.1842–1851. doi:10.2337/dbi22-0002.</w:t>
      </w:r>
    </w:p>
    <w:p w14:paraId="6481C9FD">
      <w:pPr>
        <w:ind w:left="360" w:hanging="360"/>
        <w:jc w:val="both"/>
      </w:pPr>
      <w:r>
        <w:t>Holmes-Truscott, E., Baptista, S., Ling, M. et al. (2023) ‘The impact of structured self-monitoring of blood glucose on clinical, behavioral, and psychosocial outcomes among adults with non-insulin-treated type 2 diabetes: a systematic review and meta-analysis’, Frontiers in Clinical Diabetes and Healthcare, 4, 1177030. doi:10.3389/fcdhc.2023.1177030.</w:t>
      </w:r>
    </w:p>
    <w:p w14:paraId="B8EFAF91">
      <w:pPr>
        <w:ind w:left="360" w:hanging="360"/>
        <w:jc w:val="both"/>
      </w:pPr>
      <w:r>
        <w:t>Jayedi, A., Soltani, S., Emadi, A. et al. (2024) ‘Efficacy of lifestyle weight loss interventions on regression to normoglycemia and progression to type 2 diabetes in individuals with prediabetes: a systematic review and pairwise and dose-response meta-analyses’, American Journal of Clinical Nutrition, 120(5), pp.1043–1052. doi:10.1016/j.ajcnut.2024.08.031.</w:t>
      </w:r>
    </w:p>
    <w:p w14:paraId="D301D385">
      <w:pPr>
        <w:ind w:left="360" w:hanging="360"/>
        <w:jc w:val="both"/>
      </w:pPr>
      <w:r>
        <w:t>Jing, T., Zhang, S., Bai, M. et al. (2023) ‘Effect of dietary approaches on glycemic control in patients with type 2 diabetes: a systematic review with network meta-analysis of randomized trials’, Nutrients, 15(14), 3156. doi:10.3390/nu15143156.</w:t>
      </w:r>
    </w:p>
    <w:p w14:paraId="5A4CA922">
      <w:pPr>
        <w:ind w:left="360" w:hanging="360"/>
        <w:jc w:val="both"/>
      </w:pPr>
      <w:r>
        <w:t>Lee, S-H., Park, S-Y. and Choi, C-S. (2022) ‘Insulin resistance: from mechanisms to therapeutic strategies’, Diabetes &amp; Metabolism Journal, 46(1), pp.15–37. doi:10.4093/dmj.2021.0280.</w:t>
      </w:r>
    </w:p>
    <w:p w14:paraId="8C909C54">
      <w:pPr>
        <w:ind w:left="360" w:hanging="360"/>
        <w:jc w:val="both"/>
      </w:pPr>
      <w:r>
        <w:t>Memelink, R.G., Hummel, M., Hijlkema, A. et al. (2023) ‘Additional effects of exercise to hypocaloric diet on body weight, body composition, glycaemic control and cardio-respiratory fitness in adults with overweight or obesity and type 2 diabetes: a systematic review and meta-analysis’, Diabetic Medicine, 40(7), e15096. doi:10.1111/dme.15096.</w:t>
      </w:r>
    </w:p>
    <w:p w14:paraId="0C1D3197">
      <w:pPr>
        <w:ind w:left="360" w:hanging="360"/>
        <w:jc w:val="both"/>
      </w:pPr>
      <w:r>
        <w:t>Singh, S., Kriti, M., Anamika, K.S. et al. (2024) ‘Deciphering the complex interplay of risk factors in type 2 diabetes mellitus: a comprehensive review’, Metabolism Open, 22, 100287. doi:10.1016/j.metop.2024.100287.</w:t>
      </w:r>
    </w:p>
    <w:p w14:paraId="5D94B4E0">
      <w:pPr>
        <w:ind w:left="360" w:hanging="360"/>
        <w:jc w:val="both"/>
      </w:pPr>
      <w:r>
        <w:t>Su, É., Villard, C. and Manneville, J-B. (2023) ‘Mitochondria: at the crossroads between mechanobiology and cell metabolism’, Biology of the Cell, 115(9), e2300010. doi:10.1111/boc.202300010.</w:t>
      </w:r>
    </w:p>
    <w:p w14:paraId="1F905475">
      <w:pPr>
        <w:ind w:left="360" w:hanging="360"/>
        <w:jc w:val="both"/>
      </w:pPr>
      <w:r>
        <w:t>Sun, H. et al. (2025) ‘IDF Diabetes Atlas: global estimates of diabetes prevalence for 2024 and projections for 2050’.</w:t>
      </w:r>
    </w:p>
    <w:p w14:paraId="37E7EADF">
      <w:pPr>
        <w:ind w:left="360" w:hanging="360"/>
        <w:jc w:val="both"/>
      </w:pPr>
      <w:r>
        <w:t>Yu, Y., Li, Y., Nguyen, T.T. et al. (2026) ‘Association between smoking cessation and risk for type 2 diabetes, stratified by post-cessation weight change: a systematic review and meta-analysis’, Preventive Medicine, 202, 108429. doi:10.1016/j.ypmed.2025.108429.</w:t>
      </w:r>
    </w:p>
    <w:p w14:paraId="2E459321">
      <w:pPr>
        <w:ind w:left="360" w:hanging="360"/>
        <w:jc w:val="both"/>
      </w:pPr>
      <w:r>
        <w:t>Zheng, X., Zhang, W., Wan, X. et al. (2024) ‘The effects of Mediterranean diet on cardiovascular risk factors, glycemic control and weight loss in patients with type 2 diabetes: a meta-analysis’, BMC Nutrition, 10, 59. doi:10.1186/s40795-024-00836-y.</w:t>
      </w:r>
    </w:p>
    <w:p w14:paraId="EFE115B1">
      <w:pPr>
        <w:ind w:left="360" w:hanging="360"/>
        <w:jc w:val="both"/>
      </w:pPr>
      <w:r>
        <w:t>Zou, Y., Zhao, S., Li, G. and Zhang, C. (2023) ‘The efficacy and frequency of self-monitoring of blood glucose in non-insulin-treated T2D patients: a systematic review and meta-analysis’, Journal of General Internal Medicine, 38(3), pp.755–764. doi:10.1007/s11606-022-07864-z.</w:t>
      </w:r>
    </w:p>
    <w:sectPr>
      <w:headerReference r:id="rId5" w:type="default"/>
      <w:footerReference r:id="rId6" w:type="default"/>
      <w:pgSz w:w="12240" w:h="15840"/>
      <w:pgMar w:top="1440" w:right="1440" w:bottom="1440" w:left="1440" w:header="720" w:footer="720"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imSun">
    <w:panose1 w:val="02010600030101010101"/>
    <w:charset w:val="7A"/>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Yu Gothic">
    <w:panose1 w:val="020B0400000000000000"/>
    <w:charset w:val="80"/>
    <w:family w:val="auto"/>
    <w:pitch w:val="default"/>
    <w:sig w:usb0="E00002FF" w:usb1="2AC7FDFF" w:usb2="00000016" w:usb3="00000000" w:csb0="200200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41DA">
    <w:pPr>
      <w:pStyle w:val="19"/>
      <w:jc w:val="right"/>
    </w:pPr>
    <w:r>
      <w:fldChar w:fldCharType="begin"/>
    </w:r>
    <w:r>
      <w:instrText xml:space="preserve">PAGE</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D95EC">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31"/>
      <w:lvlText w:val="%1."/>
      <w:lvlJc w:val="left"/>
      <w:pPr>
        <w:tabs>
          <w:tab w:val="left" w:pos="1080"/>
        </w:tabs>
        <w:ind w:left="1080" w:hanging="360"/>
      </w:pPr>
    </w:lvl>
  </w:abstractNum>
  <w:abstractNum w:abstractNumId="1">
    <w:nsid w:val="00000003"/>
    <w:multiLevelType w:val="singleLevel"/>
    <w:tmpl w:val="00000003"/>
    <w:lvl w:ilvl="0" w:tentative="0">
      <w:start w:val="1"/>
      <w:numFmt w:val="decimal"/>
      <w:pStyle w:val="30"/>
      <w:lvlText w:val="%1."/>
      <w:lvlJc w:val="left"/>
      <w:pPr>
        <w:tabs>
          <w:tab w:val="left" w:pos="720"/>
        </w:tabs>
        <w:ind w:left="720" w:hanging="360"/>
      </w:pPr>
    </w:lvl>
  </w:abstractNum>
  <w:abstractNum w:abstractNumId="2">
    <w:nsid w:val="00000005"/>
    <w:multiLevelType w:val="singleLevel"/>
    <w:tmpl w:val="00000005"/>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00000006"/>
    <w:multiLevelType w:val="singleLevel"/>
    <w:tmpl w:val="00000006"/>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00000007"/>
    <w:multiLevelType w:val="singleLevel"/>
    <w:tmpl w:val="00000007"/>
    <w:lvl w:ilvl="0" w:tentative="0">
      <w:start w:val="1"/>
      <w:numFmt w:val="decimal"/>
      <w:pStyle w:val="29"/>
      <w:lvlText w:val="%1."/>
      <w:lvlJc w:val="left"/>
      <w:pPr>
        <w:tabs>
          <w:tab w:val="left" w:pos="360"/>
        </w:tabs>
        <w:ind w:left="360" w:hanging="360"/>
      </w:pPr>
    </w:lvl>
  </w:abstractNum>
  <w:abstractNum w:abstractNumId="5">
    <w:nsid w:val="00000008"/>
    <w:multiLevelType w:val="singleLevel"/>
    <w:tmpl w:val="00000008"/>
    <w:lvl w:ilvl="0" w:tentative="0">
      <w:start w:val="1"/>
      <w:numFmt w:val="bullet"/>
      <w:pStyle w:val="23"/>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F9667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mbria" w:hAnsi="Cambria" w:eastAsia="ＭＳ 明朝"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99" w:semiHidden="0" w:name="macro"/>
    <w:lsdException w:unhideWhenUsed="0" w:uiPriority="0"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0" w:semiHidden="0" w:name="List 4"/>
    <w:lsdException w:unhideWhenUsed="0" w:uiPriority="0" w:semiHidden="0" w:name="List 5"/>
    <w:lsdException w:unhideWhenUsed="0" w:uiPriority="99" w:semiHidden="0" w:name="List Bullet 2"/>
    <w:lsdException w:unhideWhenUsed="0" w:uiPriority="99" w:semiHidden="0" w:name="List Bullet 3"/>
    <w:lsdException w:unhideWhenUsed="0" w:uiPriority="0" w:semiHidden="0" w:name="List Bullet 4"/>
    <w:lsdException w:unhideWhenUsed="0" w:uiPriority="0" w:semiHidden="0" w:name="List Bullet 5"/>
    <w:lsdException w:unhideWhenUsed="0" w:uiPriority="99" w:semiHidden="0" w:name="List Number 2"/>
    <w:lsdException w:unhideWhenUsed="0" w:uiPriority="99"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1" w:semiHidden="0" w:name="Default Paragraph Font"/>
    <w:lsdException w:qFormat="1" w:unhideWhenUsed="0" w:uiPriority="99" w:semiHidden="0" w:name="Body Text"/>
    <w:lsdException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pPr>
    <w:rPr>
      <w:rFonts w:ascii="Times New Roman" w:hAnsi="Times New Roman" w:eastAsia="ＭＳ 明朝" w:cs="SimSun"/>
      <w:sz w:val="24"/>
      <w:szCs w:val="22"/>
      <w:lang w:val="en-US" w:eastAsia="en-US" w:bidi="ar-SA"/>
    </w:rPr>
  </w:style>
  <w:style w:type="paragraph" w:styleId="2">
    <w:name w:val="heading 1"/>
    <w:basedOn w:val="1"/>
    <w:next w:val="1"/>
    <w:link w:val="138"/>
    <w:qFormat/>
    <w:uiPriority w:val="9"/>
    <w:pPr>
      <w:keepNext/>
      <w:keepLines/>
      <w:spacing w:before="480" w:after="0"/>
      <w:outlineLvl w:val="0"/>
    </w:pPr>
    <w:rPr>
      <w:rFonts w:ascii="Calibri" w:hAnsi="Calibri" w:eastAsia="MS Gothic" w:cs="SimSun"/>
      <w:b/>
      <w:bCs/>
      <w:color w:val="365F91"/>
      <w:sz w:val="28"/>
      <w:szCs w:val="28"/>
    </w:rPr>
  </w:style>
  <w:style w:type="paragraph" w:styleId="3">
    <w:name w:val="heading 2"/>
    <w:basedOn w:val="1"/>
    <w:next w:val="1"/>
    <w:link w:val="139"/>
    <w:qFormat/>
    <w:uiPriority w:val="9"/>
    <w:pPr>
      <w:keepNext/>
      <w:keepLines/>
      <w:spacing w:before="200" w:after="0"/>
      <w:outlineLvl w:val="1"/>
    </w:pPr>
    <w:rPr>
      <w:rFonts w:ascii="Calibri" w:hAnsi="Calibri" w:eastAsia="MS Gothic" w:cs="SimSun"/>
      <w:b/>
      <w:bCs/>
      <w:color w:val="4F81BD"/>
      <w:sz w:val="24"/>
      <w:szCs w:val="26"/>
    </w:rPr>
  </w:style>
  <w:style w:type="paragraph" w:styleId="4">
    <w:name w:val="heading 3"/>
    <w:basedOn w:val="1"/>
    <w:next w:val="1"/>
    <w:link w:val="140"/>
    <w:qFormat/>
    <w:uiPriority w:val="9"/>
    <w:pPr>
      <w:keepNext/>
      <w:keepLines/>
      <w:spacing w:before="200" w:after="0"/>
      <w:outlineLvl w:val="2"/>
    </w:pPr>
    <w:rPr>
      <w:rFonts w:ascii="Calibri" w:hAnsi="Calibri" w:eastAsia="MS Gothic" w:cs="SimSun"/>
      <w:b/>
      <w:bCs/>
      <w:color w:val="4F81BD"/>
    </w:rPr>
  </w:style>
  <w:style w:type="paragraph" w:styleId="5">
    <w:name w:val="heading 4"/>
    <w:basedOn w:val="1"/>
    <w:next w:val="1"/>
    <w:link w:val="150"/>
    <w:qFormat/>
    <w:uiPriority w:val="9"/>
    <w:pPr>
      <w:keepNext/>
      <w:keepLines/>
      <w:spacing w:before="200" w:after="0"/>
      <w:outlineLvl w:val="3"/>
    </w:pPr>
    <w:rPr>
      <w:rFonts w:ascii="Calibri" w:hAnsi="Calibri" w:eastAsia="MS Gothic" w:cs="SimSun"/>
      <w:b/>
      <w:bCs/>
      <w:i/>
      <w:iCs/>
      <w:color w:val="4F81BD"/>
    </w:rPr>
  </w:style>
  <w:style w:type="paragraph" w:styleId="6">
    <w:name w:val="heading 5"/>
    <w:basedOn w:val="1"/>
    <w:next w:val="1"/>
    <w:link w:val="151"/>
    <w:qFormat/>
    <w:uiPriority w:val="9"/>
    <w:pPr>
      <w:keepNext/>
      <w:keepLines/>
      <w:spacing w:before="200" w:after="0"/>
      <w:outlineLvl w:val="4"/>
    </w:pPr>
    <w:rPr>
      <w:rFonts w:ascii="Calibri" w:hAnsi="Calibri" w:eastAsia="MS Gothic" w:cs="SimSun"/>
      <w:color w:val="243F60"/>
    </w:rPr>
  </w:style>
  <w:style w:type="paragraph" w:styleId="7">
    <w:name w:val="heading 6"/>
    <w:basedOn w:val="1"/>
    <w:next w:val="1"/>
    <w:link w:val="152"/>
    <w:qFormat/>
    <w:uiPriority w:val="9"/>
    <w:pPr>
      <w:keepNext/>
      <w:keepLines/>
      <w:spacing w:before="200" w:after="0"/>
      <w:outlineLvl w:val="5"/>
    </w:pPr>
    <w:rPr>
      <w:rFonts w:ascii="Calibri" w:hAnsi="Calibri" w:eastAsia="MS Gothic" w:cs="SimSun"/>
      <w:i/>
      <w:iCs/>
      <w:color w:val="243F60"/>
    </w:rPr>
  </w:style>
  <w:style w:type="paragraph" w:styleId="8">
    <w:name w:val="heading 7"/>
    <w:basedOn w:val="1"/>
    <w:next w:val="1"/>
    <w:link w:val="153"/>
    <w:qFormat/>
    <w:uiPriority w:val="9"/>
    <w:pPr>
      <w:keepNext/>
      <w:keepLines/>
      <w:spacing w:before="200" w:after="0"/>
      <w:outlineLvl w:val="6"/>
    </w:pPr>
    <w:rPr>
      <w:rFonts w:ascii="Calibri" w:hAnsi="Calibri" w:eastAsia="MS Gothic" w:cs="SimSun"/>
      <w:i/>
      <w:iCs/>
      <w:color w:val="404040"/>
    </w:rPr>
  </w:style>
  <w:style w:type="paragraph" w:styleId="9">
    <w:name w:val="heading 8"/>
    <w:basedOn w:val="1"/>
    <w:next w:val="1"/>
    <w:link w:val="154"/>
    <w:qFormat/>
    <w:uiPriority w:val="9"/>
    <w:pPr>
      <w:keepNext/>
      <w:keepLines/>
      <w:spacing w:before="200" w:after="0"/>
      <w:outlineLvl w:val="7"/>
    </w:pPr>
    <w:rPr>
      <w:rFonts w:ascii="Calibri" w:hAnsi="Calibri" w:eastAsia="MS Gothic" w:cs="SimSun"/>
      <w:color w:val="4F81BD"/>
      <w:sz w:val="20"/>
      <w:szCs w:val="20"/>
    </w:rPr>
  </w:style>
  <w:style w:type="paragraph" w:styleId="10">
    <w:name w:val="heading 9"/>
    <w:basedOn w:val="1"/>
    <w:next w:val="1"/>
    <w:link w:val="155"/>
    <w:qFormat/>
    <w:uiPriority w:val="9"/>
    <w:pPr>
      <w:keepNext/>
      <w:keepLines/>
      <w:spacing w:before="200" w:after="0"/>
      <w:outlineLvl w:val="8"/>
    </w:pPr>
    <w:rPr>
      <w:rFonts w:ascii="Calibri" w:hAnsi="Calibri" w:eastAsia="MS Gothic" w:cs="SimSun"/>
      <w:i/>
      <w:iCs/>
      <w:color w:val="404040"/>
      <w:sz w:val="20"/>
      <w:szCs w:val="20"/>
    </w:rPr>
  </w:style>
  <w:style w:type="character" w:default="1" w:styleId="11">
    <w:name w:val="Default Paragraph Font"/>
    <w:uiPriority w:val="1"/>
  </w:style>
  <w:style w:type="table" w:default="1" w:styleId="12">
    <w:name w:val="Normal Table"/>
    <w:qFormat/>
    <w:uiPriority w:val="99"/>
    <w:tblPr>
      <w:tblCellMar>
        <w:top w:w="0" w:type="dxa"/>
        <w:left w:w="108" w:type="dxa"/>
        <w:bottom w:w="0" w:type="dxa"/>
        <w:right w:w="108" w:type="dxa"/>
      </w:tblCellMar>
    </w:tblPr>
  </w:style>
  <w:style w:type="paragraph" w:styleId="13">
    <w:name w:val="Body Text"/>
    <w:basedOn w:val="1"/>
    <w:link w:val="144"/>
    <w:qFormat/>
    <w:uiPriority w:val="99"/>
    <w:pPr>
      <w:spacing w:after="120"/>
    </w:pPr>
  </w:style>
  <w:style w:type="paragraph" w:styleId="14">
    <w:name w:val="Body Text 2"/>
    <w:basedOn w:val="1"/>
    <w:link w:val="145"/>
    <w:qFormat/>
    <w:uiPriority w:val="99"/>
    <w:pPr>
      <w:spacing w:after="120" w:line="480" w:lineRule="auto"/>
    </w:pPr>
  </w:style>
  <w:style w:type="paragraph" w:styleId="15">
    <w:name w:val="Body Text 3"/>
    <w:basedOn w:val="1"/>
    <w:link w:val="146"/>
    <w:uiPriority w:val="99"/>
    <w:pPr>
      <w:spacing w:after="120"/>
    </w:pPr>
    <w:rPr>
      <w:sz w:val="16"/>
      <w:szCs w:val="16"/>
    </w:rPr>
  </w:style>
  <w:style w:type="paragraph" w:styleId="16">
    <w:name w:val="caption"/>
    <w:basedOn w:val="1"/>
    <w:next w:val="1"/>
    <w:qFormat/>
    <w:uiPriority w:val="35"/>
    <w:pPr>
      <w:spacing w:line="240" w:lineRule="auto"/>
    </w:pPr>
    <w:rPr>
      <w:b/>
      <w:bCs/>
      <w:color w:val="4F81BD"/>
      <w:sz w:val="18"/>
      <w:szCs w:val="18"/>
    </w:rPr>
  </w:style>
  <w:style w:type="character" w:styleId="17">
    <w:name w:val="Emphasis"/>
    <w:basedOn w:val="11"/>
    <w:qFormat/>
    <w:uiPriority w:val="20"/>
    <w:rPr>
      <w:i/>
      <w:iCs/>
    </w:rPr>
  </w:style>
  <w:style w:type="paragraph" w:styleId="18">
    <w:name w:val="footer"/>
    <w:basedOn w:val="1"/>
    <w:link w:val="136"/>
    <w:uiPriority w:val="99"/>
    <w:pPr>
      <w:tabs>
        <w:tab w:val="center" w:pos="4680"/>
        <w:tab w:val="right" w:pos="9360"/>
      </w:tabs>
      <w:spacing w:after="0" w:line="240" w:lineRule="auto"/>
    </w:pPr>
  </w:style>
  <w:style w:type="paragraph" w:styleId="19">
    <w:name w:val="header"/>
    <w:basedOn w:val="1"/>
    <w:link w:val="135"/>
    <w:uiPriority w:val="99"/>
    <w:pPr>
      <w:tabs>
        <w:tab w:val="center" w:pos="4680"/>
        <w:tab w:val="right" w:pos="9360"/>
      </w:tabs>
      <w:spacing w:after="0" w:line="240" w:lineRule="auto"/>
    </w:pPr>
  </w:style>
  <w:style w:type="paragraph" w:styleId="20">
    <w:name w:val="List"/>
    <w:basedOn w:val="1"/>
    <w:uiPriority w:val="99"/>
    <w:pPr>
      <w:ind w:left="360" w:hanging="360"/>
      <w:contextualSpacing/>
    </w:pPr>
  </w:style>
  <w:style w:type="paragraph" w:styleId="21">
    <w:name w:val="List 2"/>
    <w:basedOn w:val="1"/>
    <w:uiPriority w:val="99"/>
    <w:pPr>
      <w:ind w:left="720" w:hanging="360"/>
      <w:contextualSpacing/>
    </w:pPr>
  </w:style>
  <w:style w:type="paragraph" w:styleId="22">
    <w:name w:val="List 3"/>
    <w:basedOn w:val="1"/>
    <w:uiPriority w:val="99"/>
    <w:pPr>
      <w:ind w:left="1080" w:hanging="360"/>
      <w:contextualSpacing/>
    </w:pPr>
  </w:style>
  <w:style w:type="paragraph" w:styleId="23">
    <w:name w:val="List Bullet"/>
    <w:basedOn w:val="1"/>
    <w:uiPriority w:val="99"/>
    <w:pPr>
      <w:numPr>
        <w:ilvl w:val="0"/>
        <w:numId w:val="1"/>
      </w:numPr>
      <w:contextualSpacing/>
    </w:pPr>
  </w:style>
  <w:style w:type="paragraph" w:styleId="24">
    <w:name w:val="List Bullet 2"/>
    <w:basedOn w:val="1"/>
    <w:uiPriority w:val="99"/>
    <w:pPr>
      <w:numPr>
        <w:ilvl w:val="0"/>
        <w:numId w:val="2"/>
      </w:numPr>
      <w:contextualSpacing/>
    </w:pPr>
  </w:style>
  <w:style w:type="paragraph" w:styleId="25">
    <w:name w:val="List Bullet 3"/>
    <w:basedOn w:val="1"/>
    <w:uiPriority w:val="99"/>
    <w:pPr>
      <w:numPr>
        <w:ilvl w:val="0"/>
        <w:numId w:val="3"/>
      </w:numPr>
      <w:contextualSpacing/>
    </w:pPr>
  </w:style>
  <w:style w:type="paragraph" w:styleId="26">
    <w:name w:val="List Continue"/>
    <w:basedOn w:val="1"/>
    <w:uiPriority w:val="99"/>
    <w:pPr>
      <w:spacing w:after="120"/>
      <w:ind w:left="360"/>
      <w:contextualSpacing/>
    </w:pPr>
  </w:style>
  <w:style w:type="paragraph" w:styleId="27">
    <w:name w:val="List Continue 2"/>
    <w:basedOn w:val="1"/>
    <w:uiPriority w:val="99"/>
    <w:pPr>
      <w:spacing w:after="120"/>
      <w:ind w:left="720"/>
      <w:contextualSpacing/>
    </w:pPr>
  </w:style>
  <w:style w:type="paragraph" w:styleId="28">
    <w:name w:val="List Continue 3"/>
    <w:basedOn w:val="1"/>
    <w:uiPriority w:val="99"/>
    <w:pPr>
      <w:spacing w:after="120"/>
      <w:ind w:left="1080"/>
      <w:contextualSpacing/>
    </w:pPr>
  </w:style>
  <w:style w:type="paragraph" w:styleId="29">
    <w:name w:val="List Number"/>
    <w:basedOn w:val="1"/>
    <w:uiPriority w:val="99"/>
    <w:pPr>
      <w:numPr>
        <w:ilvl w:val="0"/>
        <w:numId w:val="4"/>
      </w:numPr>
      <w:contextualSpacing/>
    </w:pPr>
  </w:style>
  <w:style w:type="paragraph" w:styleId="30">
    <w:name w:val="List Number 2"/>
    <w:basedOn w:val="1"/>
    <w:uiPriority w:val="99"/>
    <w:pPr>
      <w:numPr>
        <w:ilvl w:val="0"/>
        <w:numId w:val="5"/>
      </w:numPr>
      <w:contextualSpacing/>
    </w:pPr>
  </w:style>
  <w:style w:type="paragraph" w:styleId="31">
    <w:name w:val="List Number 3"/>
    <w:basedOn w:val="1"/>
    <w:uiPriority w:val="99"/>
    <w:pPr>
      <w:numPr>
        <w:ilvl w:val="0"/>
        <w:numId w:val="6"/>
      </w:numPr>
      <w:contextualSpacing/>
    </w:pPr>
  </w:style>
  <w:style w:type="paragraph" w:styleId="32">
    <w:name w:val="macro"/>
    <w:link w:val="147"/>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ＭＳ 明朝" w:cs="SimSun"/>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pPr>
      <w:numPr>
        <w:ilvl w:val="1"/>
        <w:numId w:val="0"/>
      </w:numPr>
    </w:pPr>
    <w:rPr>
      <w:rFonts w:ascii="Calibri" w:hAnsi="Calibri" w:eastAsia="MS Gothic" w:cs="SimSun"/>
      <w:i/>
      <w:iCs/>
      <w:color w:val="4F81BD"/>
      <w:spacing w:val="15"/>
      <w:sz w:val="24"/>
      <w:szCs w:val="24"/>
    </w:rPr>
  </w:style>
  <w:style w:type="table" w:styleId="35">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sz="8" w:space="4"/>
      </w:pBdr>
      <w:spacing w:after="300" w:line="240" w:lineRule="auto"/>
      <w:contextualSpacing/>
    </w:pPr>
    <w:rPr>
      <w:rFonts w:ascii="Calibri" w:hAnsi="Calibri" w:eastAsia="MS Gothic" w:cs="SimSun"/>
      <w:color w:val="17365D"/>
      <w:spacing w:val="5"/>
      <w:kern w:val="28"/>
      <w:sz w:val="52"/>
      <w:szCs w:val="52"/>
    </w:rPr>
  </w:style>
  <w:style w:type="table" w:styleId="37">
    <w:name w:val="Light Shading"/>
    <w:basedOn w:val="12"/>
    <w:uiPriority w:val="60"/>
    <w:pPr>
      <w:spacing w:after="0" w:line="240" w:lineRule="auto"/>
    </w:pPr>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8">
    <w:name w:val="Light Shading Accent 1"/>
    <w:basedOn w:val="12"/>
    <w:uiPriority w:val="60"/>
    <w:pPr>
      <w:spacing w:after="0" w:line="240" w:lineRule="auto"/>
    </w:pPr>
    <w:rPr>
      <w:color w:val="365F91"/>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39">
    <w:name w:val="Light Shading Accent 2"/>
    <w:basedOn w:val="12"/>
    <w:uiPriority w:val="60"/>
    <w:pPr>
      <w:spacing w:after="0" w:line="240" w:lineRule="auto"/>
    </w:pPr>
    <w:rPr>
      <w:color w:val="943634"/>
    </w:rPr>
    <w:tblPr>
      <w:tblBorders>
        <w:top w:val="single" w:color="C0504D" w:sz="8" w:space="0"/>
        <w:bottom w:val="single" w:color="C0504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40">
    <w:name w:val="Light Shading Accent 3"/>
    <w:basedOn w:val="12"/>
    <w:uiPriority w:val="60"/>
    <w:pPr>
      <w:spacing w:after="0" w:line="240" w:lineRule="auto"/>
    </w:pPr>
    <w:rPr>
      <w:color w:val="76923C"/>
    </w:rPr>
    <w:tblPr>
      <w:tblBorders>
        <w:top w:val="single" w:color="9BBB59" w:sz="8" w:space="0"/>
        <w:bottom w:val="single" w:color="9BBB59"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41">
    <w:name w:val="Light Shading Accent 4"/>
    <w:basedOn w:val="12"/>
    <w:uiPriority w:val="60"/>
    <w:pPr>
      <w:spacing w:after="0" w:line="240" w:lineRule="auto"/>
    </w:pPr>
    <w:rPr>
      <w:color w:val="5F497A"/>
    </w:rPr>
    <w:tblPr>
      <w:tblBorders>
        <w:top w:val="single" w:color="8064A2" w:sz="8" w:space="0"/>
        <w:bottom w:val="single" w:color="8064A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42">
    <w:name w:val="Light Shading Accent 5"/>
    <w:basedOn w:val="12"/>
    <w:uiPriority w:val="60"/>
    <w:pPr>
      <w:spacing w:after="0" w:line="240" w:lineRule="auto"/>
    </w:pPr>
    <w:rPr>
      <w:color w:val="31849B"/>
    </w:rPr>
    <w:tblPr>
      <w:tblBorders>
        <w:top w:val="single" w:color="4BACC6" w:sz="8" w:space="0"/>
        <w:bottom w:val="single" w:color="4BACC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43">
    <w:name w:val="Light Shading Accent 6"/>
    <w:basedOn w:val="12"/>
    <w:uiPriority w:val="60"/>
    <w:pPr>
      <w:spacing w:after="0" w:line="240" w:lineRule="auto"/>
    </w:pPr>
    <w:rPr>
      <w:color w:val="E36C0A"/>
    </w:rPr>
    <w:tblPr>
      <w:tblBorders>
        <w:top w:val="single" w:color="F79646" w:sz="8" w:space="0"/>
        <w:bottom w:val="single" w:color="F7964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44">
    <w:name w:val="Light List"/>
    <w:basedOn w:val="12"/>
    <w:uiPriority w:val="61"/>
    <w:pPr>
      <w:spacing w:after="0" w:line="240" w:lineRule="auto"/>
    </w:p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45">
    <w:name w:val="Light List Accent 1"/>
    <w:basedOn w:val="12"/>
    <w:uiPriority w:val="61"/>
    <w:pPr>
      <w:spacing w:after="0" w:line="240" w:lineRule="auto"/>
    </w:p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46">
    <w:name w:val="Light List Accent 2"/>
    <w:basedOn w:val="12"/>
    <w:uiPriority w:val="61"/>
    <w:pPr>
      <w:spacing w:after="0" w:line="240" w:lineRule="auto"/>
    </w:p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47">
    <w:name w:val="Light List Accent 3"/>
    <w:basedOn w:val="12"/>
    <w:uiPriority w:val="61"/>
    <w:pPr>
      <w:spacing w:after="0" w:line="240" w:lineRule="auto"/>
    </w:p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48">
    <w:name w:val="Light List Accent 4"/>
    <w:basedOn w:val="12"/>
    <w:uiPriority w:val="61"/>
    <w:pPr>
      <w:spacing w:after="0" w:line="240" w:lineRule="auto"/>
    </w:p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49">
    <w:name w:val="Light List Accent 5"/>
    <w:basedOn w:val="12"/>
    <w:uiPriority w:val="61"/>
    <w:pPr>
      <w:spacing w:after="0" w:line="240" w:lineRule="auto"/>
    </w:p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50">
    <w:name w:val="Light List Accent 6"/>
    <w:basedOn w:val="12"/>
    <w:uiPriority w:val="61"/>
    <w:pPr>
      <w:spacing w:after="0" w:line="240" w:lineRule="auto"/>
    </w:p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51">
    <w:name w:val="Light Grid"/>
    <w:basedOn w:val="12"/>
    <w:uiPriority w:val="62"/>
    <w:pPr>
      <w:spacing w:after="0" w:line="240" w:lineRule="auto"/>
    </w:p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52">
    <w:name w:val="Light Grid Accent 1"/>
    <w:basedOn w:val="12"/>
    <w:uiPriority w:val="62"/>
    <w:pPr>
      <w:spacing w:after="0" w:line="240" w:lineRule="auto"/>
    </w:p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53">
    <w:name w:val="Light Grid Accent 2"/>
    <w:basedOn w:val="12"/>
    <w:uiPriority w:val="62"/>
    <w:pPr>
      <w:spacing w:after="0" w:line="240" w:lineRule="auto"/>
    </w:p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54">
    <w:name w:val="Light Grid Accent 3"/>
    <w:basedOn w:val="12"/>
    <w:uiPriority w:val="62"/>
    <w:pPr>
      <w:spacing w:after="0" w:line="240" w:lineRule="auto"/>
    </w:p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55">
    <w:name w:val="Light Grid Accent 4"/>
    <w:basedOn w:val="12"/>
    <w:uiPriority w:val="62"/>
    <w:pPr>
      <w:spacing w:after="0" w:line="240" w:lineRule="auto"/>
    </w:p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56">
    <w:name w:val="Light Grid Accent 5"/>
    <w:basedOn w:val="12"/>
    <w:uiPriority w:val="62"/>
    <w:pPr>
      <w:spacing w:after="0" w:line="240" w:lineRule="auto"/>
    </w:p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57">
    <w:name w:val="Light Grid Accent 6"/>
    <w:basedOn w:val="12"/>
    <w:qFormat/>
    <w:uiPriority w:val="62"/>
    <w:pPr>
      <w:spacing w:after="0" w:line="240" w:lineRule="auto"/>
    </w:p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SimSu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libri" w:hAnsi="Calibri" w:eastAsia="MS Gothic" w:cs="SimSu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libri" w:hAnsi="Calibri" w:eastAsia="MS Gothic" w:cs="SimSun"/>
        <w:b/>
        <w:bCs/>
      </w:rPr>
    </w:tblStylePr>
    <w:tblStylePr w:type="lastCol">
      <w:rPr>
        <w:rFonts w:ascii="Calibri" w:hAnsi="Calibri" w:eastAsia="MS Gothic" w:cs="SimSu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58">
    <w:name w:val="Medium Shading 1"/>
    <w:basedOn w:val="12"/>
    <w:uiPriority w:val="63"/>
    <w:pPr>
      <w:spacing w:after="0" w:line="240" w:lineRule="auto"/>
    </w:pPr>
    <w:tblPr>
      <w:tblBorders>
        <w:top w:val="single" w:color="404040" w:sz="8" w:space="0"/>
        <w:left w:val="single" w:color="404040" w:sz="8" w:space="0"/>
        <w:bottom w:val="single" w:color="404040" w:sz="8" w:space="0"/>
        <w:right w:val="single" w:color="404040" w:sz="8" w:space="0"/>
        <w:insideH w:val="single" w:color="404040"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59">
    <w:name w:val="Medium Shading 1 Accent 1"/>
    <w:basedOn w:val="12"/>
    <w:qFormat/>
    <w:uiPriority w:val="63"/>
    <w:pPr>
      <w:spacing w:after="0" w:line="240" w:lineRule="auto"/>
    </w:pPr>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60">
    <w:name w:val="Medium Shading 1 Accent 2"/>
    <w:basedOn w:val="12"/>
    <w:qFormat/>
    <w:uiPriority w:val="63"/>
    <w:pPr>
      <w:spacing w:after="0" w:line="240" w:lineRule="auto"/>
    </w:pPr>
    <w:tblPr>
      <w:tblBorders>
        <w:top w:val="single" w:color="CF7B79" w:sz="8" w:space="0"/>
        <w:left w:val="single" w:color="CF7B79" w:sz="8" w:space="0"/>
        <w:bottom w:val="single" w:color="CF7B79" w:sz="8" w:space="0"/>
        <w:right w:val="single" w:color="CF7B79" w:sz="8" w:space="0"/>
        <w:insideH w:val="single" w:color="CF7B7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61">
    <w:name w:val="Medium Shading 1 Accent 3"/>
    <w:basedOn w:val="12"/>
    <w:qFormat/>
    <w:uiPriority w:val="63"/>
    <w:pPr>
      <w:spacing w:after="0" w:line="240" w:lineRule="auto"/>
    </w:pPr>
    <w:tblPr>
      <w:tblBorders>
        <w:top w:val="single" w:color="B3CC82" w:sz="8" w:space="0"/>
        <w:left w:val="single" w:color="B3CC82" w:sz="8" w:space="0"/>
        <w:bottom w:val="single" w:color="B3CC82" w:sz="8" w:space="0"/>
        <w:right w:val="single" w:color="B3CC82" w:sz="8" w:space="0"/>
        <w:insideH w:val="single" w:color="B3CC8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62">
    <w:name w:val="Medium Shading 1 Accent 4"/>
    <w:basedOn w:val="12"/>
    <w:qFormat/>
    <w:uiPriority w:val="63"/>
    <w:pPr>
      <w:spacing w:after="0" w:line="240" w:lineRule="auto"/>
    </w:pPr>
    <w:tblPr>
      <w:tblBorders>
        <w:top w:val="single" w:color="9F8AB9" w:sz="8" w:space="0"/>
        <w:left w:val="single" w:color="9F8AB9" w:sz="8" w:space="0"/>
        <w:bottom w:val="single" w:color="9F8AB9" w:sz="8" w:space="0"/>
        <w:right w:val="single" w:color="9F8AB9" w:sz="8" w:space="0"/>
        <w:insideH w:val="single" w:color="9F8AB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63">
    <w:name w:val="Medium Shading 1 Accent 5"/>
    <w:basedOn w:val="12"/>
    <w:qFormat/>
    <w:uiPriority w:val="63"/>
    <w:pPr>
      <w:spacing w:after="0" w:line="240" w:lineRule="auto"/>
    </w:pPr>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64">
    <w:name w:val="Medium Shading 1 Accent 6"/>
    <w:basedOn w:val="12"/>
    <w:qFormat/>
    <w:uiPriority w:val="63"/>
    <w:pPr>
      <w:spacing w:after="0" w:line="240" w:lineRule="auto"/>
    </w:pPr>
    <w:tblPr>
      <w:tblBorders>
        <w:top w:val="single" w:color="F9B074" w:sz="8" w:space="0"/>
        <w:left w:val="single" w:color="F9B074" w:sz="8" w:space="0"/>
        <w:bottom w:val="single" w:color="F9B074" w:sz="8" w:space="0"/>
        <w:right w:val="single" w:color="F9B074" w:sz="8" w:space="0"/>
        <w:insideH w:val="single" w:color="F9B07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65">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qFormat/>
    <w:uiPriority w:val="65"/>
    <w:pPr>
      <w:spacing w:after="0" w:line="240" w:lineRule="auto"/>
    </w:pPr>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73">
    <w:name w:val="Medium List 1 Accent 1"/>
    <w:basedOn w:val="12"/>
    <w:qFormat/>
    <w:uiPriority w:val="65"/>
    <w:pPr>
      <w:spacing w:after="0" w:line="240" w:lineRule="auto"/>
    </w:pPr>
    <w:rPr>
      <w:color w:val="000000"/>
    </w:rPr>
    <w:tblPr>
      <w:tblBorders>
        <w:top w:val="single" w:color="4F81BD" w:sz="8" w:space="0"/>
        <w:bottom w:val="single" w:color="4F81BD"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74">
    <w:name w:val="Medium List 1 Accent 2"/>
    <w:basedOn w:val="12"/>
    <w:qFormat/>
    <w:uiPriority w:val="65"/>
    <w:pPr>
      <w:spacing w:after="0" w:line="240" w:lineRule="auto"/>
    </w:pPr>
    <w:rPr>
      <w:color w:val="000000"/>
    </w:rPr>
    <w:tblPr>
      <w:tblBorders>
        <w:top w:val="single" w:color="C0504D" w:sz="8" w:space="0"/>
        <w:bottom w:val="single" w:color="C0504D"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75">
    <w:name w:val="Medium List 1 Accent 3"/>
    <w:basedOn w:val="12"/>
    <w:qFormat/>
    <w:uiPriority w:val="65"/>
    <w:pPr>
      <w:spacing w:after="0" w:line="240" w:lineRule="auto"/>
    </w:pPr>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76">
    <w:name w:val="Medium List 1 Accent 4"/>
    <w:basedOn w:val="12"/>
    <w:qFormat/>
    <w:uiPriority w:val="65"/>
    <w:pPr>
      <w:spacing w:after="0" w:line="240" w:lineRule="auto"/>
    </w:pPr>
    <w:rPr>
      <w:color w:val="000000"/>
    </w:rPr>
    <w:tblPr>
      <w:tblBorders>
        <w:top w:val="single" w:color="8064A2" w:sz="8" w:space="0"/>
        <w:bottom w:val="single" w:color="8064A2"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77">
    <w:name w:val="Medium List 1 Accent 5"/>
    <w:basedOn w:val="12"/>
    <w:qFormat/>
    <w:uiPriority w:val="65"/>
    <w:pPr>
      <w:spacing w:after="0" w:line="240" w:lineRule="auto"/>
    </w:pPr>
    <w:rPr>
      <w:color w:val="000000"/>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78">
    <w:name w:val="Medium List 1 Accent 6"/>
    <w:basedOn w:val="12"/>
    <w:qFormat/>
    <w:uiPriority w:val="65"/>
    <w:pPr>
      <w:spacing w:after="0" w:line="240" w:lineRule="auto"/>
    </w:pPr>
    <w:rPr>
      <w:color w:val="000000"/>
    </w:rPr>
    <w:tblPr>
      <w:tblBorders>
        <w:top w:val="single" w:color="F79646" w:sz="8" w:space="0"/>
        <w:bottom w:val="single" w:color="F79646" w:sz="8" w:space="0"/>
      </w:tblBorders>
      <w:tblCellMar>
        <w:top w:w="0" w:type="dxa"/>
        <w:left w:w="108" w:type="dxa"/>
        <w:bottom w:w="0" w:type="dxa"/>
        <w:right w:w="108" w:type="dxa"/>
      </w:tblCellMar>
    </w:tblPr>
    <w:tblStylePr w:type="firstRow">
      <w:rPr>
        <w:rFonts w:ascii="Calibri" w:hAnsi="Calibri" w:eastAsia="MS Gothic" w:cs="SimSu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79">
    <w:name w:val="Medium List 2"/>
    <w:basedOn w:val="12"/>
    <w:qFormat/>
    <w:uiPriority w:val="66"/>
    <w:pPr>
      <w:spacing w:after="0" w:line="240" w:lineRule="auto"/>
    </w:pPr>
    <w:rPr>
      <w:rFonts w:ascii="Calibri" w:hAnsi="Calibri" w:eastAsia="MS Gothic" w:cs="SimSun"/>
      <w:color w:val="000000"/>
    </w:r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80">
    <w:name w:val="Medium List 2 Accent 1"/>
    <w:basedOn w:val="12"/>
    <w:qFormat/>
    <w:uiPriority w:val="66"/>
    <w:pPr>
      <w:spacing w:after="0" w:line="240" w:lineRule="auto"/>
    </w:pPr>
    <w:rPr>
      <w:rFonts w:ascii="Calibri" w:hAnsi="Calibri" w:eastAsia="MS Gothic" w:cs="SimSun"/>
      <w:color w:val="000000"/>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81">
    <w:name w:val="Medium List 2 Accent 2"/>
    <w:basedOn w:val="12"/>
    <w:qFormat/>
    <w:uiPriority w:val="66"/>
    <w:pPr>
      <w:spacing w:after="0" w:line="240" w:lineRule="auto"/>
    </w:pPr>
    <w:rPr>
      <w:rFonts w:ascii="Calibri" w:hAnsi="Calibri" w:eastAsia="MS Gothic" w:cs="SimSun"/>
      <w:color w:val="000000"/>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82">
    <w:name w:val="Medium List 2 Accent 3"/>
    <w:basedOn w:val="12"/>
    <w:qFormat/>
    <w:uiPriority w:val="66"/>
    <w:pPr>
      <w:spacing w:after="0" w:line="240" w:lineRule="auto"/>
    </w:pPr>
    <w:rPr>
      <w:rFonts w:ascii="Calibri" w:hAnsi="Calibri" w:eastAsia="MS Gothic" w:cs="SimSun"/>
      <w:color w:val="000000"/>
    </w:r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83">
    <w:name w:val="Medium List 2 Accent 4"/>
    <w:basedOn w:val="12"/>
    <w:qFormat/>
    <w:uiPriority w:val="66"/>
    <w:pPr>
      <w:spacing w:after="0" w:line="240" w:lineRule="auto"/>
    </w:pPr>
    <w:rPr>
      <w:rFonts w:ascii="Calibri" w:hAnsi="Calibri" w:eastAsia="MS Gothic" w:cs="SimSun"/>
      <w:color w:val="000000"/>
    </w:r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84">
    <w:name w:val="Medium List 2 Accent 5"/>
    <w:basedOn w:val="12"/>
    <w:qFormat/>
    <w:uiPriority w:val="66"/>
    <w:pPr>
      <w:spacing w:after="0" w:line="240" w:lineRule="auto"/>
    </w:pPr>
    <w:rPr>
      <w:rFonts w:ascii="Calibri" w:hAnsi="Calibri" w:eastAsia="MS Gothic" w:cs="SimSun"/>
      <w:color w:val="000000"/>
    </w:r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85">
    <w:name w:val="Medium List 2 Accent 6"/>
    <w:basedOn w:val="12"/>
    <w:qFormat/>
    <w:uiPriority w:val="66"/>
    <w:pPr>
      <w:spacing w:after="0" w:line="240" w:lineRule="auto"/>
    </w:pPr>
    <w:rPr>
      <w:rFonts w:ascii="Calibri" w:hAnsi="Calibri" w:eastAsia="MS Gothic" w:cs="SimSun"/>
      <w:color w:val="000000"/>
    </w:r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86">
    <w:name w:val="Medium Grid 1"/>
    <w:basedOn w:val="12"/>
    <w:qFormat/>
    <w:uiPriority w:val="67"/>
    <w:pPr>
      <w:spacing w:after="0" w:line="240" w:lineRule="auto"/>
    </w:pPr>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87">
    <w:name w:val="Medium Grid 1 Accent 1"/>
    <w:basedOn w:val="12"/>
    <w:qFormat/>
    <w:uiPriority w:val="67"/>
    <w:pPr>
      <w:spacing w:after="0" w:line="240" w:lineRule="auto"/>
    </w:pPr>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88">
    <w:name w:val="Medium Grid 1 Accent 2"/>
    <w:basedOn w:val="12"/>
    <w:qFormat/>
    <w:uiPriority w:val="67"/>
    <w:pPr>
      <w:spacing w:after="0" w:line="240" w:lineRule="auto"/>
    </w:p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89">
    <w:name w:val="Medium Grid 1 Accent 3"/>
    <w:basedOn w:val="12"/>
    <w:qFormat/>
    <w:uiPriority w:val="67"/>
    <w:pPr>
      <w:spacing w:after="0" w:line="240" w:lineRule="auto"/>
    </w:pPr>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90">
    <w:name w:val="Medium Grid 1 Accent 4"/>
    <w:basedOn w:val="12"/>
    <w:qFormat/>
    <w:uiPriority w:val="67"/>
    <w:pPr>
      <w:spacing w:after="0" w:line="240" w:lineRule="auto"/>
    </w:pPr>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91">
    <w:name w:val="Medium Grid 1 Accent 5"/>
    <w:basedOn w:val="12"/>
    <w:qFormat/>
    <w:uiPriority w:val="67"/>
    <w:pPr>
      <w:spacing w:after="0" w:line="240" w:lineRule="auto"/>
    </w:pPr>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92">
    <w:name w:val="Medium Grid 1 Accent 6"/>
    <w:basedOn w:val="12"/>
    <w:qFormat/>
    <w:uiPriority w:val="67"/>
    <w:pPr>
      <w:spacing w:after="0" w:line="240" w:lineRule="auto"/>
    </w:pPr>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93">
    <w:name w:val="Medium Grid 2"/>
    <w:basedOn w:val="12"/>
    <w:qFormat/>
    <w:uiPriority w:val="68"/>
    <w:pPr>
      <w:spacing w:after="0" w:line="240" w:lineRule="auto"/>
    </w:pPr>
    <w:rPr>
      <w:rFonts w:ascii="Calibri" w:hAnsi="Calibri" w:eastAsia="MS Gothic" w:cs="SimSu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94">
    <w:name w:val="Medium Grid 2 Accent 1"/>
    <w:basedOn w:val="12"/>
    <w:qFormat/>
    <w:uiPriority w:val="68"/>
    <w:pPr>
      <w:spacing w:after="0" w:line="240" w:lineRule="auto"/>
    </w:pPr>
    <w:rPr>
      <w:rFonts w:ascii="Calibri" w:hAnsi="Calibri" w:eastAsia="MS Gothic" w:cs="SimSu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95">
    <w:name w:val="Medium Grid 2 Accent 2"/>
    <w:basedOn w:val="12"/>
    <w:qFormat/>
    <w:uiPriority w:val="68"/>
    <w:pPr>
      <w:spacing w:after="0" w:line="240" w:lineRule="auto"/>
    </w:pPr>
    <w:rPr>
      <w:rFonts w:ascii="Calibri" w:hAnsi="Calibri" w:eastAsia="MS Gothic" w:cs="SimSu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96">
    <w:name w:val="Medium Grid 2 Accent 3"/>
    <w:basedOn w:val="12"/>
    <w:qFormat/>
    <w:uiPriority w:val="68"/>
    <w:pPr>
      <w:spacing w:after="0" w:line="240" w:lineRule="auto"/>
    </w:pPr>
    <w:rPr>
      <w:rFonts w:ascii="Calibri" w:hAnsi="Calibri" w:eastAsia="MS Gothic" w:cs="SimSu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97">
    <w:name w:val="Medium Grid 2 Accent 4"/>
    <w:basedOn w:val="12"/>
    <w:qFormat/>
    <w:uiPriority w:val="68"/>
    <w:pPr>
      <w:spacing w:after="0" w:line="240" w:lineRule="auto"/>
    </w:pPr>
    <w:rPr>
      <w:rFonts w:ascii="Calibri" w:hAnsi="Calibri" w:eastAsia="MS Gothic" w:cs="SimSu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98">
    <w:name w:val="Medium Grid 2 Accent 5"/>
    <w:basedOn w:val="12"/>
    <w:qFormat/>
    <w:uiPriority w:val="68"/>
    <w:pPr>
      <w:spacing w:after="0" w:line="240" w:lineRule="auto"/>
    </w:pPr>
    <w:rPr>
      <w:rFonts w:ascii="Calibri" w:hAnsi="Calibri" w:eastAsia="MS Gothic" w:cs="SimSu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99">
    <w:name w:val="Medium Grid 2 Accent 6"/>
    <w:basedOn w:val="12"/>
    <w:qFormat/>
    <w:uiPriority w:val="68"/>
    <w:pPr>
      <w:spacing w:after="0" w:line="240" w:lineRule="auto"/>
    </w:pPr>
    <w:rPr>
      <w:rFonts w:ascii="Calibri" w:hAnsi="Calibri" w:eastAsia="MS Gothic" w:cs="SimSu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00">
    <w:name w:val="Medium Grid 3"/>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01">
    <w:name w:val="Medium Grid 3 Accent 1"/>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02">
    <w:name w:val="Medium Grid 3 Accent 2"/>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03">
    <w:name w:val="Medium Grid 3 Accent 3"/>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104">
    <w:name w:val="Medium Grid 3 Accent 4"/>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105">
    <w:name w:val="Medium Grid 3 Accent 5"/>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106">
    <w:name w:val="Medium Grid 3 Accent 6"/>
    <w:basedOn w:val="12"/>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107">
    <w:name w:val="Dark List"/>
    <w:basedOn w:val="12"/>
    <w:qFormat/>
    <w:uiPriority w:val="70"/>
    <w:pPr>
      <w:spacing w:after="0" w:line="240" w:lineRule="auto"/>
    </w:pPr>
    <w:rPr>
      <w:color w:val="FFFFFF"/>
    </w:rPr>
    <w:tblPr>
      <w:tblCellMar>
        <w:top w:w="0" w:type="dxa"/>
        <w:left w:w="108" w:type="dxa"/>
        <w:bottom w:w="0" w:type="dxa"/>
        <w:right w:w="108" w:type="dxa"/>
      </w:tblCellMar>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108">
    <w:name w:val="Dark List Accent 1"/>
    <w:basedOn w:val="12"/>
    <w:qFormat/>
    <w:uiPriority w:val="70"/>
    <w:pPr>
      <w:spacing w:after="0" w:line="240" w:lineRule="auto"/>
    </w:pPr>
    <w:rPr>
      <w:color w:val="FFFFFF"/>
    </w:rPr>
    <w:tblPr>
      <w:tblCellMar>
        <w:top w:w="0" w:type="dxa"/>
        <w:left w:w="108" w:type="dxa"/>
        <w:bottom w:w="0" w:type="dxa"/>
        <w:right w:w="108" w:type="dxa"/>
      </w:tblCellMar>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109">
    <w:name w:val="Dark List Accent 2"/>
    <w:basedOn w:val="12"/>
    <w:uiPriority w:val="70"/>
    <w:pPr>
      <w:spacing w:after="0" w:line="240" w:lineRule="auto"/>
    </w:pPr>
    <w:rPr>
      <w:color w:val="FFFFFF"/>
    </w:rPr>
    <w:tblPr>
      <w:tblCellMar>
        <w:top w:w="0" w:type="dxa"/>
        <w:left w:w="108" w:type="dxa"/>
        <w:bottom w:w="0" w:type="dxa"/>
        <w:right w:w="108" w:type="dxa"/>
      </w:tblCellMar>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110">
    <w:name w:val="Dark List Accent 3"/>
    <w:basedOn w:val="12"/>
    <w:qFormat/>
    <w:uiPriority w:val="70"/>
    <w:pPr>
      <w:spacing w:after="0" w:line="240" w:lineRule="auto"/>
    </w:pPr>
    <w:rPr>
      <w:color w:val="FFFFFF"/>
    </w:rPr>
    <w:tblPr>
      <w:tblCellMar>
        <w:top w:w="0" w:type="dxa"/>
        <w:left w:w="108" w:type="dxa"/>
        <w:bottom w:w="0" w:type="dxa"/>
        <w:right w:w="108" w:type="dxa"/>
      </w:tblCellMar>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111">
    <w:name w:val="Dark List Accent 4"/>
    <w:basedOn w:val="12"/>
    <w:qFormat/>
    <w:uiPriority w:val="70"/>
    <w:pPr>
      <w:spacing w:after="0" w:line="240" w:lineRule="auto"/>
    </w:pPr>
    <w:rPr>
      <w:color w:val="FFFFFF"/>
    </w:rPr>
    <w:tblPr>
      <w:tblCellMar>
        <w:top w:w="0" w:type="dxa"/>
        <w:left w:w="108" w:type="dxa"/>
        <w:bottom w:w="0" w:type="dxa"/>
        <w:right w:w="108" w:type="dxa"/>
      </w:tblCellMar>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112">
    <w:name w:val="Dark List Accent 5"/>
    <w:basedOn w:val="12"/>
    <w:qFormat/>
    <w:uiPriority w:val="70"/>
    <w:pPr>
      <w:spacing w:after="0" w:line="240" w:lineRule="auto"/>
    </w:pPr>
    <w:rPr>
      <w:color w:val="FFFFFF"/>
    </w:rPr>
    <w:tblPr>
      <w:tblCellMar>
        <w:top w:w="0" w:type="dxa"/>
        <w:left w:w="108" w:type="dxa"/>
        <w:bottom w:w="0" w:type="dxa"/>
        <w:right w:w="108" w:type="dxa"/>
      </w:tblCellMar>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113">
    <w:name w:val="Dark List Accent 6"/>
    <w:basedOn w:val="12"/>
    <w:qFormat/>
    <w:uiPriority w:val="70"/>
    <w:pPr>
      <w:spacing w:after="0" w:line="240" w:lineRule="auto"/>
    </w:pPr>
    <w:rPr>
      <w:color w:val="FFFFFF"/>
    </w:rPr>
    <w:tblPr>
      <w:tblCellMar>
        <w:top w:w="0" w:type="dxa"/>
        <w:left w:w="108" w:type="dxa"/>
        <w:bottom w:w="0" w:type="dxa"/>
        <w:right w:w="108" w:type="dxa"/>
      </w:tblCellMar>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114">
    <w:name w:val="Colorful Shading"/>
    <w:basedOn w:val="12"/>
    <w:uiPriority w:val="71"/>
    <w:pPr>
      <w:spacing w:after="0" w:line="240" w:lineRule="auto"/>
    </w:pPr>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115">
    <w:name w:val="Colorful Shading Accent 1"/>
    <w:basedOn w:val="12"/>
    <w:uiPriority w:val="71"/>
    <w:pPr>
      <w:spacing w:after="0" w:line="240" w:lineRule="auto"/>
    </w:pPr>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116">
    <w:name w:val="Colorful Shading Accent 2"/>
    <w:basedOn w:val="12"/>
    <w:uiPriority w:val="71"/>
    <w:pPr>
      <w:spacing w:after="0" w:line="240" w:lineRule="auto"/>
    </w:pPr>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117">
    <w:name w:val="Colorful Shading Accent 3"/>
    <w:basedOn w:val="12"/>
    <w:uiPriority w:val="71"/>
    <w:pPr>
      <w:spacing w:after="0" w:line="240" w:lineRule="auto"/>
    </w:pPr>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18">
    <w:name w:val="Colorful Shading Accent 4"/>
    <w:basedOn w:val="12"/>
    <w:uiPriority w:val="71"/>
    <w:pPr>
      <w:spacing w:after="0" w:line="240" w:lineRule="auto"/>
    </w:pPr>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CellMar>
        <w:top w:w="0" w:type="dxa"/>
        <w:left w:w="108" w:type="dxa"/>
        <w:bottom w:w="0" w:type="dxa"/>
        <w:right w:w="108" w:type="dxa"/>
      </w:tblCellMar>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119">
    <w:name w:val="Colorful Shading Accent 5"/>
    <w:basedOn w:val="12"/>
    <w:uiPriority w:val="71"/>
    <w:pPr>
      <w:spacing w:after="0" w:line="240" w:lineRule="auto"/>
    </w:pPr>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120">
    <w:name w:val="Colorful Shading Accent 6"/>
    <w:basedOn w:val="12"/>
    <w:uiPriority w:val="71"/>
    <w:pPr>
      <w:spacing w:after="0" w:line="240" w:lineRule="auto"/>
    </w:pPr>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121">
    <w:name w:val="Colorful List"/>
    <w:basedOn w:val="12"/>
    <w:uiPriority w:val="72"/>
    <w:pPr>
      <w:spacing w:after="0" w:line="240" w:lineRule="auto"/>
    </w:pPr>
    <w:rPr>
      <w:color w:val="000000"/>
    </w:rPr>
    <w:tblPr>
      <w:tblCellMar>
        <w:top w:w="0" w:type="dxa"/>
        <w:left w:w="108" w:type="dxa"/>
        <w:bottom w:w="0" w:type="dxa"/>
        <w:right w:w="108" w:type="dxa"/>
      </w:tblCellMar>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122">
    <w:name w:val="Colorful List Accent 1"/>
    <w:basedOn w:val="12"/>
    <w:uiPriority w:val="72"/>
    <w:pPr>
      <w:spacing w:after="0" w:line="240" w:lineRule="auto"/>
    </w:pPr>
    <w:rPr>
      <w:color w:val="000000"/>
    </w:rPr>
    <w:tblPr>
      <w:tblCellMar>
        <w:top w:w="0" w:type="dxa"/>
        <w:left w:w="108" w:type="dxa"/>
        <w:bottom w:w="0" w:type="dxa"/>
        <w:right w:w="108" w:type="dxa"/>
      </w:tblCellMar>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23">
    <w:name w:val="Colorful List Accent 2"/>
    <w:basedOn w:val="12"/>
    <w:uiPriority w:val="72"/>
    <w:pPr>
      <w:spacing w:after="0" w:line="240" w:lineRule="auto"/>
    </w:pPr>
    <w:rPr>
      <w:color w:val="000000"/>
    </w:rPr>
    <w:tblPr>
      <w:tblCellMar>
        <w:top w:w="0" w:type="dxa"/>
        <w:left w:w="108" w:type="dxa"/>
        <w:bottom w:w="0" w:type="dxa"/>
        <w:right w:w="108" w:type="dxa"/>
      </w:tblCellMar>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124">
    <w:name w:val="Colorful List Accent 3"/>
    <w:basedOn w:val="12"/>
    <w:uiPriority w:val="72"/>
    <w:pPr>
      <w:spacing w:after="0" w:line="240" w:lineRule="auto"/>
    </w:pPr>
    <w:rPr>
      <w:color w:val="000000"/>
    </w:rPr>
    <w:tblPr>
      <w:tblCellMar>
        <w:top w:w="0" w:type="dxa"/>
        <w:left w:w="108" w:type="dxa"/>
        <w:bottom w:w="0" w:type="dxa"/>
        <w:right w:w="108" w:type="dxa"/>
      </w:tblCellMar>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125">
    <w:name w:val="Colorful List Accent 4"/>
    <w:basedOn w:val="12"/>
    <w:uiPriority w:val="72"/>
    <w:pPr>
      <w:spacing w:after="0" w:line="240" w:lineRule="auto"/>
    </w:pPr>
    <w:rPr>
      <w:color w:val="000000"/>
    </w:rPr>
    <w:tblPr>
      <w:tblCellMar>
        <w:top w:w="0" w:type="dxa"/>
        <w:left w:w="108" w:type="dxa"/>
        <w:bottom w:w="0" w:type="dxa"/>
        <w:right w:w="108" w:type="dxa"/>
      </w:tblCellMar>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126">
    <w:name w:val="Colorful List Accent 5"/>
    <w:basedOn w:val="12"/>
    <w:uiPriority w:val="72"/>
    <w:pPr>
      <w:spacing w:after="0" w:line="240" w:lineRule="auto"/>
    </w:pPr>
    <w:rPr>
      <w:color w:val="000000"/>
    </w:rPr>
    <w:tblPr>
      <w:tblCellMar>
        <w:top w:w="0" w:type="dxa"/>
        <w:left w:w="108" w:type="dxa"/>
        <w:bottom w:w="0" w:type="dxa"/>
        <w:right w:w="108" w:type="dxa"/>
      </w:tblCellMar>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127">
    <w:name w:val="Colorful List Accent 6"/>
    <w:basedOn w:val="12"/>
    <w:uiPriority w:val="72"/>
    <w:pPr>
      <w:spacing w:after="0" w:line="240" w:lineRule="auto"/>
    </w:pPr>
    <w:rPr>
      <w:color w:val="000000"/>
    </w:rPr>
    <w:tblPr>
      <w:tblCellMar>
        <w:top w:w="0" w:type="dxa"/>
        <w:left w:w="108" w:type="dxa"/>
        <w:bottom w:w="0" w:type="dxa"/>
        <w:right w:w="108" w:type="dxa"/>
      </w:tblCellMar>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128">
    <w:name w:val="Colorful Grid"/>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129">
    <w:name w:val="Colorful Grid Accent 1"/>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130">
    <w:name w:val="Colorful Grid Accent 2"/>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131">
    <w:name w:val="Colorful Grid Accent 3"/>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132">
    <w:name w:val="Colorful Grid Accent 4"/>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133">
    <w:name w:val="Colorful Grid Accent 5"/>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134">
    <w:name w:val="Colorful Grid Accent 6"/>
    <w:basedOn w:val="12"/>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35">
    <w:name w:val="Header Char_8e1b1f63-3d80-4962-a5aa-bb52bb760b73"/>
    <w:basedOn w:val="11"/>
    <w:link w:val="19"/>
    <w:uiPriority w:val="99"/>
  </w:style>
  <w:style w:type="character" w:customStyle="1" w:styleId="136">
    <w:name w:val="Footer Char_3dd6a709-003e-490d-9597-6d834572c7be"/>
    <w:basedOn w:val="11"/>
    <w:link w:val="18"/>
    <w:uiPriority w:val="99"/>
  </w:style>
  <w:style w:type="paragraph" w:styleId="137">
    <w:name w:val="No Spacing"/>
    <w:qFormat/>
    <w:uiPriority w:val="1"/>
    <w:pPr>
      <w:spacing w:after="0" w:line="240" w:lineRule="auto"/>
    </w:pPr>
    <w:rPr>
      <w:rFonts w:ascii="Cambria" w:hAnsi="Cambria" w:eastAsia="ＭＳ 明朝" w:cs="SimSun"/>
      <w:sz w:val="22"/>
      <w:szCs w:val="22"/>
      <w:lang w:val="en-US" w:eastAsia="en-US" w:bidi="ar-SA"/>
    </w:rPr>
  </w:style>
  <w:style w:type="character" w:customStyle="1" w:styleId="138">
    <w:name w:val="Heading 1 Char_a082d85b-3f08-4b79-b1f1-5dc457e782dd"/>
    <w:basedOn w:val="11"/>
    <w:link w:val="2"/>
    <w:uiPriority w:val="9"/>
    <w:rPr>
      <w:rFonts w:ascii="Calibri" w:hAnsi="Calibri" w:eastAsia="MS Gothic" w:cs="SimSun"/>
      <w:b/>
      <w:bCs/>
      <w:color w:val="365F91"/>
      <w:sz w:val="28"/>
      <w:szCs w:val="28"/>
    </w:rPr>
  </w:style>
  <w:style w:type="character" w:customStyle="1" w:styleId="139">
    <w:name w:val="Heading 2 Char_5969c4ac-3788-4e7e-8d68-7f49f2e49020"/>
    <w:basedOn w:val="11"/>
    <w:link w:val="3"/>
    <w:uiPriority w:val="9"/>
    <w:rPr>
      <w:rFonts w:ascii="Calibri" w:hAnsi="Calibri" w:eastAsia="MS Gothic" w:cs="SimSun"/>
      <w:b/>
      <w:bCs/>
      <w:color w:val="4F81BD"/>
      <w:sz w:val="26"/>
      <w:szCs w:val="26"/>
    </w:rPr>
  </w:style>
  <w:style w:type="character" w:customStyle="1" w:styleId="140">
    <w:name w:val="Heading 3 Char_f77cff82-be96-46c8-b394-963b3fa4d98d"/>
    <w:basedOn w:val="11"/>
    <w:link w:val="4"/>
    <w:uiPriority w:val="9"/>
    <w:rPr>
      <w:rFonts w:ascii="Calibri" w:hAnsi="Calibri" w:eastAsia="MS Gothic" w:cs="SimSun"/>
      <w:b/>
      <w:bCs/>
      <w:color w:val="4F81BD"/>
    </w:rPr>
  </w:style>
  <w:style w:type="character" w:customStyle="1" w:styleId="141">
    <w:name w:val="Title Char_642f9aa8-21b0-4944-9754-aaf169d940f3"/>
    <w:basedOn w:val="11"/>
    <w:link w:val="36"/>
    <w:qFormat/>
    <w:uiPriority w:val="10"/>
    <w:rPr>
      <w:rFonts w:ascii="Calibri" w:hAnsi="Calibri" w:eastAsia="MS Gothic" w:cs="SimSun"/>
      <w:color w:val="17365D"/>
      <w:spacing w:val="5"/>
      <w:kern w:val="28"/>
      <w:sz w:val="52"/>
      <w:szCs w:val="52"/>
    </w:rPr>
  </w:style>
  <w:style w:type="character" w:customStyle="1" w:styleId="142">
    <w:name w:val="Subtitle Char"/>
    <w:basedOn w:val="11"/>
    <w:link w:val="34"/>
    <w:uiPriority w:val="11"/>
    <w:rPr>
      <w:rFonts w:ascii="Calibri" w:hAnsi="Calibri" w:eastAsia="MS Gothic" w:cs="SimSun"/>
      <w:i/>
      <w:iCs/>
      <w:color w:val="4F81BD"/>
      <w:spacing w:val="15"/>
      <w:sz w:val="24"/>
      <w:szCs w:val="24"/>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uiPriority w:val="99"/>
  </w:style>
  <w:style w:type="character" w:customStyle="1" w:styleId="146">
    <w:name w:val="Body Text 3 Char"/>
    <w:basedOn w:val="11"/>
    <w:link w:val="15"/>
    <w:uiPriority w:val="99"/>
    <w:rPr>
      <w:sz w:val="16"/>
      <w:szCs w:val="16"/>
    </w:rPr>
  </w:style>
  <w:style w:type="character" w:customStyle="1" w:styleId="147">
    <w:name w:val="Macro Text Char"/>
    <w:basedOn w:val="11"/>
    <w:link w:val="32"/>
    <w:uiPriority w:val="99"/>
    <w:rPr>
      <w:rFonts w:ascii="Courier" w:hAnsi="Courier"/>
      <w:sz w:val="20"/>
      <w:szCs w:val="20"/>
    </w:rPr>
  </w:style>
  <w:style w:type="paragraph" w:styleId="148">
    <w:name w:val="Quote"/>
    <w:basedOn w:val="1"/>
    <w:next w:val="1"/>
    <w:link w:val="149"/>
    <w:qFormat/>
    <w:uiPriority w:val="29"/>
    <w:rPr>
      <w:i/>
      <w:iCs/>
      <w:color w:val="000000"/>
    </w:rPr>
  </w:style>
  <w:style w:type="character" w:customStyle="1" w:styleId="149">
    <w:name w:val="Quote Char_3eecbe6a-bf24-40fc-a4c0-716a9a849503"/>
    <w:basedOn w:val="11"/>
    <w:link w:val="148"/>
    <w:uiPriority w:val="29"/>
    <w:rPr>
      <w:i/>
      <w:iCs/>
      <w:color w:val="000000"/>
    </w:rPr>
  </w:style>
  <w:style w:type="character" w:customStyle="1" w:styleId="150">
    <w:name w:val="Heading 4 Char_36617fbc-e405-4adc-846d-d3f239a058d8"/>
    <w:basedOn w:val="11"/>
    <w:link w:val="5"/>
    <w:uiPriority w:val="9"/>
    <w:rPr>
      <w:rFonts w:ascii="Calibri" w:hAnsi="Calibri" w:eastAsia="MS Gothic" w:cs="SimSun"/>
      <w:b/>
      <w:bCs/>
      <w:i/>
      <w:iCs/>
      <w:color w:val="4F81BD"/>
    </w:rPr>
  </w:style>
  <w:style w:type="character" w:customStyle="1" w:styleId="151">
    <w:name w:val="Heading 5 Char_098f25d9-0ed2-4ac6-a97f-a2c525ac0177"/>
    <w:basedOn w:val="11"/>
    <w:link w:val="6"/>
    <w:uiPriority w:val="9"/>
    <w:rPr>
      <w:rFonts w:ascii="Calibri" w:hAnsi="Calibri" w:eastAsia="MS Gothic" w:cs="SimSun"/>
      <w:color w:val="243F60"/>
    </w:rPr>
  </w:style>
  <w:style w:type="character" w:customStyle="1" w:styleId="152">
    <w:name w:val="Heading 6 Char_af757a28-20a4-496f-bc82-2edac3f8d923"/>
    <w:basedOn w:val="11"/>
    <w:link w:val="7"/>
    <w:uiPriority w:val="9"/>
    <w:rPr>
      <w:rFonts w:ascii="Calibri" w:hAnsi="Calibri" w:eastAsia="MS Gothic" w:cs="SimSun"/>
      <w:i/>
      <w:iCs/>
      <w:color w:val="243F60"/>
    </w:rPr>
  </w:style>
  <w:style w:type="character" w:customStyle="1" w:styleId="153">
    <w:name w:val="Heading 7 Char_251b9485-37e9-4b59-8dd5-d48ebcb7fb3f"/>
    <w:basedOn w:val="11"/>
    <w:link w:val="8"/>
    <w:uiPriority w:val="9"/>
    <w:rPr>
      <w:rFonts w:ascii="Calibri" w:hAnsi="Calibri" w:eastAsia="MS Gothic" w:cs="SimSun"/>
      <w:i/>
      <w:iCs/>
      <w:color w:val="404040"/>
    </w:rPr>
  </w:style>
  <w:style w:type="character" w:customStyle="1" w:styleId="154">
    <w:name w:val="Heading 8 Char_742f8ab3-b1bd-494c-b048-1df599575d69"/>
    <w:basedOn w:val="11"/>
    <w:link w:val="9"/>
    <w:uiPriority w:val="9"/>
    <w:rPr>
      <w:rFonts w:ascii="Calibri" w:hAnsi="Calibri" w:eastAsia="MS Gothic" w:cs="SimSun"/>
      <w:color w:val="4F81BD"/>
      <w:sz w:val="20"/>
      <w:szCs w:val="20"/>
    </w:rPr>
  </w:style>
  <w:style w:type="character" w:customStyle="1" w:styleId="155">
    <w:name w:val="Heading 9 Char_18e26819-8176-42b9-bd2f-f1edbd2add0c"/>
    <w:basedOn w:val="11"/>
    <w:link w:val="10"/>
    <w:uiPriority w:val="9"/>
    <w:rPr>
      <w:rFonts w:ascii="Calibri" w:hAnsi="Calibri" w:eastAsia="MS Gothic" w:cs="SimSun"/>
      <w:i/>
      <w:iCs/>
      <w:color w:val="404040"/>
      <w:sz w:val="20"/>
      <w:szCs w:val="20"/>
    </w:rPr>
  </w:style>
  <w:style w:type="paragraph" w:styleId="156">
    <w:name w:val="Intense Quote"/>
    <w:basedOn w:val="1"/>
    <w:next w:val="1"/>
    <w:link w:val="157"/>
    <w:qFormat/>
    <w:uiPriority w:val="30"/>
    <w:pPr>
      <w:pBdr>
        <w:bottom w:val="single" w:color="4F81BD" w:sz="4" w:space="4"/>
      </w:pBdr>
      <w:spacing w:before="200" w:after="280"/>
      <w:ind w:left="936" w:right="936"/>
    </w:pPr>
    <w:rPr>
      <w:b/>
      <w:bCs/>
      <w:i/>
      <w:iCs/>
      <w:color w:val="4F81BD"/>
    </w:rPr>
  </w:style>
  <w:style w:type="character" w:customStyle="1" w:styleId="157">
    <w:name w:val="Intense Quote Char_d868c3b7-e0d5-4ce1-a2d2-b72ffffbf98a"/>
    <w:basedOn w:val="11"/>
    <w:link w:val="156"/>
    <w:uiPriority w:val="30"/>
    <w:rPr>
      <w:b/>
      <w:bCs/>
      <w:i/>
      <w:iCs/>
      <w:color w:val="4F81BD"/>
    </w:rPr>
  </w:style>
  <w:style w:type="character" w:customStyle="1" w:styleId="158">
    <w:name w:val="Subtle Emphasis"/>
    <w:basedOn w:val="11"/>
    <w:qFormat/>
    <w:uiPriority w:val="19"/>
    <w:rPr>
      <w:i/>
      <w:iCs/>
      <w:color w:val="808080"/>
    </w:rPr>
  </w:style>
  <w:style w:type="character" w:customStyle="1" w:styleId="159">
    <w:name w:val="Intense Emphasis"/>
    <w:basedOn w:val="11"/>
    <w:qFormat/>
    <w:uiPriority w:val="21"/>
    <w:rPr>
      <w:b/>
      <w:bCs/>
      <w:i/>
      <w:iCs/>
      <w:color w:val="4F81BD"/>
    </w:rPr>
  </w:style>
  <w:style w:type="character" w:customStyle="1" w:styleId="160">
    <w:name w:val="Subtle Reference"/>
    <w:basedOn w:val="11"/>
    <w:qFormat/>
    <w:uiPriority w:val="31"/>
    <w:rPr>
      <w:smallCaps/>
      <w:color w:val="C0504D"/>
      <w:u w:val="single"/>
    </w:rPr>
  </w:style>
  <w:style w:type="character" w:customStyle="1" w:styleId="161">
    <w:name w:val="Intense Reference"/>
    <w:basedOn w:val="11"/>
    <w:qFormat/>
    <w:uiPriority w:val="32"/>
    <w:rPr>
      <w:b/>
      <w:bCs/>
      <w:smallCaps/>
      <w:color w:val="C0504D"/>
      <w:spacing w:val="5"/>
      <w:u w:val="single"/>
    </w:rPr>
  </w:style>
  <w:style w:type="character" w:customStyle="1" w:styleId="162">
    <w:name w:val="Book Title"/>
    <w:basedOn w:val="11"/>
    <w:qFormat/>
    <w:uiPriority w:val="33"/>
    <w:rPr>
      <w:b/>
      <w:bCs/>
      <w:smallCaps/>
      <w:spacing w:val="5"/>
    </w:rPr>
  </w:style>
  <w:style w:type="paragraph" w:customStyle="1" w:styleId="163">
    <w:name w:val="TOC Heading"/>
    <w:basedOn w:val="2"/>
    <w:next w:val="1"/>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2478</Words>
  <Characters>15493</Characters>
  <Paragraphs>87</Paragraphs>
  <TotalTime>91</TotalTime>
  <ScaleCrop>false</ScaleCrop>
  <LinksUpToDate>false</LinksUpToDate>
  <CharactersWithSpaces>17918</CharactersWithSpaces>
  <Application>WPS Office_12.1.0.28099_F1E327BC-269C-435d-A152-05C5408002CA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OWENVIKKY</cp:lastModifiedBy>
  <dcterms:modified xsi:type="dcterms:W3CDTF">2026-10-19T19:40:50Z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b123d6a5080b4bdd9f564c163ae89c7a</vt:lpwstr>
  </property>
  <property fmtid="{D5CDD505-2E9C-101B-9397-08002B2CF9AE}" pid="3" name="KSOTemplateDocerSaveRecord">
    <vt:lpwstr>eyJoZGlkIjoiZWYwZTg2MmU2M2I0YjZiYjBhNjUyNmU3YTA1YzE4MDkifQ==</vt:lpwstr>
  </property>
  <property fmtid="{D5CDD505-2E9C-101B-9397-08002B2CF9AE}" pid="4" name="KSOProductBuildVer">
    <vt:lpwstr>1033-12.1.0.28099</vt:lpwstr>
  </property>
</Properties>
</file>