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0804C0" w14:textId="77777777" w:rsidR="000C6930" w:rsidRDefault="000C6930" w:rsidP="000C6930">
      <w:pPr>
        <w:jc w:val="center"/>
        <w:rPr>
          <w:b/>
          <w:bCs/>
          <w:sz w:val="36"/>
          <w:szCs w:val="36"/>
        </w:rPr>
      </w:pPr>
    </w:p>
    <w:p w14:paraId="54CADD26" w14:textId="77777777" w:rsidR="000C6930" w:rsidRDefault="000C6930" w:rsidP="000C6930">
      <w:pPr>
        <w:jc w:val="center"/>
        <w:rPr>
          <w:b/>
          <w:bCs/>
          <w:sz w:val="36"/>
          <w:szCs w:val="36"/>
        </w:rPr>
      </w:pPr>
    </w:p>
    <w:p w14:paraId="6CEECFDF" w14:textId="77777777" w:rsidR="000C6930" w:rsidRDefault="000C6930" w:rsidP="000C6930">
      <w:pPr>
        <w:jc w:val="center"/>
        <w:rPr>
          <w:b/>
          <w:bCs/>
          <w:sz w:val="36"/>
          <w:szCs w:val="36"/>
        </w:rPr>
      </w:pPr>
    </w:p>
    <w:p w14:paraId="2192AA7F" w14:textId="77777777" w:rsidR="000C6930" w:rsidRDefault="000C6930" w:rsidP="000C6930">
      <w:pPr>
        <w:jc w:val="center"/>
        <w:rPr>
          <w:b/>
          <w:bCs/>
          <w:sz w:val="36"/>
          <w:szCs w:val="36"/>
        </w:rPr>
      </w:pPr>
    </w:p>
    <w:p w14:paraId="7CC6ED94" w14:textId="20A97FA5" w:rsidR="000C6930" w:rsidRPr="00CD53C2" w:rsidRDefault="000C6930" w:rsidP="000C6930">
      <w:pPr>
        <w:jc w:val="center"/>
        <w:rPr>
          <w:b/>
          <w:bCs/>
          <w:sz w:val="36"/>
          <w:szCs w:val="36"/>
        </w:rPr>
      </w:pPr>
      <w:r w:rsidRPr="00CD53C2">
        <w:rPr>
          <w:b/>
          <w:bCs/>
          <w:sz w:val="36"/>
          <w:szCs w:val="36"/>
        </w:rPr>
        <w:t>Module Code and Title: LCBB5004 Managing People</w:t>
      </w:r>
    </w:p>
    <w:p w14:paraId="76953236" w14:textId="1E18410C" w:rsidR="000C6930" w:rsidRPr="00CD53C2" w:rsidRDefault="000C6930" w:rsidP="000C6930">
      <w:pPr>
        <w:jc w:val="center"/>
        <w:rPr>
          <w:b/>
          <w:bCs/>
          <w:sz w:val="36"/>
          <w:szCs w:val="36"/>
        </w:rPr>
      </w:pPr>
      <w:r w:rsidRPr="00CD53C2">
        <w:rPr>
          <w:b/>
          <w:bCs/>
          <w:sz w:val="36"/>
          <w:szCs w:val="36"/>
        </w:rPr>
        <w:t>Module Leader:</w:t>
      </w:r>
      <w:r w:rsidR="00B77719">
        <w:rPr>
          <w:b/>
          <w:bCs/>
          <w:sz w:val="36"/>
          <w:szCs w:val="36"/>
        </w:rPr>
        <w:t xml:space="preserve">Dr </w:t>
      </w:r>
      <w:proofErr w:type="spellStart"/>
      <w:r w:rsidR="008528EC">
        <w:rPr>
          <w:b/>
          <w:bCs/>
          <w:sz w:val="36"/>
          <w:szCs w:val="36"/>
        </w:rPr>
        <w:t>Aderemi</w:t>
      </w:r>
      <w:proofErr w:type="spellEnd"/>
      <w:r w:rsidR="008528EC">
        <w:rPr>
          <w:b/>
          <w:bCs/>
          <w:sz w:val="36"/>
          <w:szCs w:val="36"/>
        </w:rPr>
        <w:t xml:space="preserve"> </w:t>
      </w:r>
      <w:proofErr w:type="spellStart"/>
      <w:r w:rsidR="000B2CA7">
        <w:rPr>
          <w:b/>
          <w:bCs/>
          <w:sz w:val="36"/>
          <w:szCs w:val="36"/>
        </w:rPr>
        <w:t>Ojebode</w:t>
      </w:r>
      <w:proofErr w:type="spellEnd"/>
    </w:p>
    <w:p w14:paraId="54B42DBD" w14:textId="77777777" w:rsidR="000C6930" w:rsidRPr="00CD53C2" w:rsidRDefault="000C6930" w:rsidP="000C6930">
      <w:pPr>
        <w:jc w:val="center"/>
        <w:rPr>
          <w:b/>
          <w:bCs/>
          <w:sz w:val="36"/>
          <w:szCs w:val="36"/>
        </w:rPr>
      </w:pPr>
      <w:r w:rsidRPr="00CD53C2">
        <w:rPr>
          <w:b/>
          <w:bCs/>
          <w:sz w:val="36"/>
          <w:szCs w:val="36"/>
        </w:rPr>
        <w:t>Assignment Type: Report</w:t>
      </w:r>
    </w:p>
    <w:p w14:paraId="1F4B89B3" w14:textId="77777777" w:rsidR="000C6930" w:rsidRPr="00CD53C2" w:rsidRDefault="000C6930" w:rsidP="000C6930">
      <w:pPr>
        <w:jc w:val="center"/>
        <w:rPr>
          <w:b/>
          <w:bCs/>
          <w:sz w:val="36"/>
          <w:szCs w:val="36"/>
        </w:rPr>
      </w:pPr>
      <w:r w:rsidRPr="00CD53C2">
        <w:rPr>
          <w:b/>
          <w:bCs/>
          <w:sz w:val="36"/>
          <w:szCs w:val="36"/>
        </w:rPr>
        <w:t>Student Name: Raducu Voinic</w:t>
      </w:r>
    </w:p>
    <w:p w14:paraId="31C75147" w14:textId="5811C268" w:rsidR="008D6C8B" w:rsidRDefault="000C6930" w:rsidP="000C6930">
      <w:pPr>
        <w:jc w:val="center"/>
        <w:rPr>
          <w:b/>
        </w:rPr>
      </w:pPr>
      <w:r w:rsidRPr="00CD53C2">
        <w:rPr>
          <w:b/>
          <w:bCs/>
          <w:sz w:val="36"/>
          <w:szCs w:val="36"/>
        </w:rPr>
        <w:t>Student I</w:t>
      </w:r>
      <w:r w:rsidR="00070CD4">
        <w:rPr>
          <w:b/>
          <w:bCs/>
          <w:sz w:val="36"/>
          <w:szCs w:val="36"/>
        </w:rPr>
        <w:t>D</w:t>
      </w:r>
      <w:r w:rsidRPr="00CD53C2">
        <w:rPr>
          <w:b/>
          <w:bCs/>
          <w:sz w:val="36"/>
          <w:szCs w:val="36"/>
        </w:rPr>
        <w:t>:</w:t>
      </w:r>
      <w:r w:rsidR="000B2CA7">
        <w:rPr>
          <w:b/>
          <w:bCs/>
          <w:sz w:val="36"/>
          <w:szCs w:val="36"/>
        </w:rPr>
        <w:t>2241286</w:t>
      </w:r>
      <w:r w:rsidR="008D6C8B">
        <w:rPr>
          <w:b/>
        </w:rPr>
        <w:br w:type="page"/>
      </w:r>
    </w:p>
    <w:p w14:paraId="00000002" w14:textId="7EEEFF5B" w:rsidR="00C542E3" w:rsidRPr="008A7138" w:rsidRDefault="00000000" w:rsidP="008A7138">
      <w:pPr>
        <w:jc w:val="center"/>
      </w:pPr>
      <w:r>
        <w:rPr>
          <w:b/>
        </w:rPr>
        <w:lastRenderedPageBreak/>
        <w:t>Executive Summary</w:t>
      </w:r>
    </w:p>
    <w:p w14:paraId="3E797362" w14:textId="3ED7FF35" w:rsidR="00E54DE7" w:rsidRDefault="00000000" w:rsidP="008D6C8B">
      <w:r>
        <w:t>The HR departments</w:t>
      </w:r>
      <w:r w:rsidR="001638B9">
        <w:t xml:space="preserve"> of the</w:t>
      </w:r>
      <w:r>
        <w:t xml:space="preserve"> organisations should focus on implementing flexible working to enhance employee satisfaction. Considering this, the following report has elaborated on the benefits of flexible working along with necessary considerations for VialTech before its implementation. </w:t>
      </w:r>
      <w:r w:rsidR="008D6C8B">
        <w:t xml:space="preserve">A reconfiguring payment structure with respect to implementing a flexible working place has been analysed in this report. Equity and fairness practice, performance-based payment and others have been discussed in this section. For increasing employee engagement, the </w:t>
      </w:r>
      <w:proofErr w:type="spellStart"/>
      <w:r w:rsidR="008D6C8B">
        <w:t>Fombrun</w:t>
      </w:r>
      <w:proofErr w:type="spellEnd"/>
      <w:r w:rsidR="008D6C8B">
        <w:t xml:space="preserve"> Model has been implemented and justified properly. </w:t>
      </w:r>
    </w:p>
    <w:p w14:paraId="5E95E201" w14:textId="77777777" w:rsidR="00E54DE7" w:rsidRDefault="00E54DE7">
      <w:r>
        <w:br w:type="page"/>
      </w:r>
    </w:p>
    <w:sdt>
      <w:sdtPr>
        <w:rPr>
          <w:rFonts w:ascii="Times New Roman" w:eastAsia="Times New Roman" w:hAnsi="Times New Roman" w:cs="Times New Roman"/>
          <w:color w:val="auto"/>
          <w:sz w:val="24"/>
          <w:szCs w:val="24"/>
          <w:lang w:val="en-GB"/>
        </w:rPr>
        <w:id w:val="1599604131"/>
        <w:docPartObj>
          <w:docPartGallery w:val="Table of Contents"/>
          <w:docPartUnique/>
        </w:docPartObj>
      </w:sdtPr>
      <w:sdtEndPr>
        <w:rPr>
          <w:b/>
          <w:bCs/>
          <w:noProof/>
        </w:rPr>
      </w:sdtEndPr>
      <w:sdtContent>
        <w:p w14:paraId="48E90899" w14:textId="74A316BE" w:rsidR="00E54DE7" w:rsidRDefault="00E54DE7">
          <w:pPr>
            <w:pStyle w:val="TOCHeading"/>
          </w:pPr>
          <w:r>
            <w:t>Table of Contents</w:t>
          </w:r>
        </w:p>
        <w:p w14:paraId="1E09D3AE" w14:textId="2EA0B4AA" w:rsidR="00E54DE7" w:rsidRDefault="00E54DE7">
          <w:pPr>
            <w:pStyle w:val="TOC1"/>
            <w:tabs>
              <w:tab w:val="right" w:leader="dot" w:pos="9019"/>
            </w:tabs>
            <w:rPr>
              <w:noProof/>
            </w:rPr>
          </w:pPr>
          <w:r>
            <w:fldChar w:fldCharType="begin"/>
          </w:r>
          <w:r>
            <w:instrText xml:space="preserve"> TOC \o "1-3" \h \z \u </w:instrText>
          </w:r>
          <w:r>
            <w:fldChar w:fldCharType="separate"/>
          </w:r>
          <w:hyperlink w:anchor="_Toc172635584" w:history="1">
            <w:r w:rsidRPr="00253576">
              <w:rPr>
                <w:rStyle w:val="Hyperlink"/>
                <w:noProof/>
              </w:rPr>
              <w:t>Introduction</w:t>
            </w:r>
            <w:r>
              <w:rPr>
                <w:noProof/>
                <w:webHidden/>
              </w:rPr>
              <w:tab/>
            </w:r>
            <w:r>
              <w:rPr>
                <w:noProof/>
                <w:webHidden/>
              </w:rPr>
              <w:fldChar w:fldCharType="begin"/>
            </w:r>
            <w:r>
              <w:rPr>
                <w:noProof/>
                <w:webHidden/>
              </w:rPr>
              <w:instrText xml:space="preserve"> PAGEREF _Toc172635584 \h </w:instrText>
            </w:r>
            <w:r>
              <w:rPr>
                <w:noProof/>
                <w:webHidden/>
              </w:rPr>
            </w:r>
            <w:r>
              <w:rPr>
                <w:noProof/>
                <w:webHidden/>
              </w:rPr>
              <w:fldChar w:fldCharType="separate"/>
            </w:r>
            <w:r>
              <w:rPr>
                <w:noProof/>
                <w:webHidden/>
              </w:rPr>
              <w:t>4</w:t>
            </w:r>
            <w:r>
              <w:rPr>
                <w:noProof/>
                <w:webHidden/>
              </w:rPr>
              <w:fldChar w:fldCharType="end"/>
            </w:r>
          </w:hyperlink>
        </w:p>
        <w:p w14:paraId="7A0A7C5F" w14:textId="790F7A70" w:rsidR="00E54DE7" w:rsidRDefault="00000000">
          <w:pPr>
            <w:pStyle w:val="TOC2"/>
            <w:tabs>
              <w:tab w:val="right" w:leader="dot" w:pos="9019"/>
            </w:tabs>
            <w:rPr>
              <w:noProof/>
            </w:rPr>
          </w:pPr>
          <w:hyperlink w:anchor="_Toc172635585" w:history="1">
            <w:r w:rsidR="00E54DE7" w:rsidRPr="00253576">
              <w:rPr>
                <w:rStyle w:val="Hyperlink"/>
                <w:noProof/>
              </w:rPr>
              <w:t>Overview of the Organisation</w:t>
            </w:r>
            <w:r w:rsidR="00E54DE7">
              <w:rPr>
                <w:noProof/>
                <w:webHidden/>
              </w:rPr>
              <w:tab/>
            </w:r>
            <w:r w:rsidR="00E54DE7">
              <w:rPr>
                <w:noProof/>
                <w:webHidden/>
              </w:rPr>
              <w:fldChar w:fldCharType="begin"/>
            </w:r>
            <w:r w:rsidR="00E54DE7">
              <w:rPr>
                <w:noProof/>
                <w:webHidden/>
              </w:rPr>
              <w:instrText xml:space="preserve"> PAGEREF _Toc172635585 \h </w:instrText>
            </w:r>
            <w:r w:rsidR="00E54DE7">
              <w:rPr>
                <w:noProof/>
                <w:webHidden/>
              </w:rPr>
            </w:r>
            <w:r w:rsidR="00E54DE7">
              <w:rPr>
                <w:noProof/>
                <w:webHidden/>
              </w:rPr>
              <w:fldChar w:fldCharType="separate"/>
            </w:r>
            <w:r w:rsidR="00E54DE7">
              <w:rPr>
                <w:noProof/>
                <w:webHidden/>
              </w:rPr>
              <w:t>5</w:t>
            </w:r>
            <w:r w:rsidR="00E54DE7">
              <w:rPr>
                <w:noProof/>
                <w:webHidden/>
              </w:rPr>
              <w:fldChar w:fldCharType="end"/>
            </w:r>
          </w:hyperlink>
        </w:p>
        <w:p w14:paraId="7F523142" w14:textId="6C22F809" w:rsidR="00E54DE7" w:rsidRDefault="00000000">
          <w:pPr>
            <w:pStyle w:val="TOC2"/>
            <w:tabs>
              <w:tab w:val="right" w:leader="dot" w:pos="9019"/>
            </w:tabs>
            <w:rPr>
              <w:noProof/>
            </w:rPr>
          </w:pPr>
          <w:hyperlink w:anchor="_Toc172635586" w:history="1">
            <w:r w:rsidR="00E54DE7" w:rsidRPr="00253576">
              <w:rPr>
                <w:rStyle w:val="Hyperlink"/>
                <w:noProof/>
              </w:rPr>
              <w:t>Benefits of implementing a flexible working strategy</w:t>
            </w:r>
            <w:r w:rsidR="00E54DE7">
              <w:rPr>
                <w:noProof/>
                <w:webHidden/>
              </w:rPr>
              <w:tab/>
            </w:r>
            <w:r w:rsidR="00E54DE7">
              <w:rPr>
                <w:noProof/>
                <w:webHidden/>
              </w:rPr>
              <w:fldChar w:fldCharType="begin"/>
            </w:r>
            <w:r w:rsidR="00E54DE7">
              <w:rPr>
                <w:noProof/>
                <w:webHidden/>
              </w:rPr>
              <w:instrText xml:space="preserve"> PAGEREF _Toc172635586 \h </w:instrText>
            </w:r>
            <w:r w:rsidR="00E54DE7">
              <w:rPr>
                <w:noProof/>
                <w:webHidden/>
              </w:rPr>
            </w:r>
            <w:r w:rsidR="00E54DE7">
              <w:rPr>
                <w:noProof/>
                <w:webHidden/>
              </w:rPr>
              <w:fldChar w:fldCharType="separate"/>
            </w:r>
            <w:r w:rsidR="00E54DE7">
              <w:rPr>
                <w:noProof/>
                <w:webHidden/>
              </w:rPr>
              <w:t>6</w:t>
            </w:r>
            <w:r w:rsidR="00E54DE7">
              <w:rPr>
                <w:noProof/>
                <w:webHidden/>
              </w:rPr>
              <w:fldChar w:fldCharType="end"/>
            </w:r>
          </w:hyperlink>
        </w:p>
        <w:p w14:paraId="0F38AEC9" w14:textId="10000F64" w:rsidR="00E54DE7" w:rsidRDefault="00000000">
          <w:pPr>
            <w:pStyle w:val="TOC2"/>
            <w:tabs>
              <w:tab w:val="right" w:leader="dot" w:pos="9019"/>
            </w:tabs>
            <w:rPr>
              <w:noProof/>
            </w:rPr>
          </w:pPr>
          <w:hyperlink w:anchor="_Toc172635587" w:history="1">
            <w:r w:rsidR="00E54DE7" w:rsidRPr="00253576">
              <w:rPr>
                <w:rStyle w:val="Hyperlink"/>
                <w:noProof/>
              </w:rPr>
              <w:t>Considerations by this organisation before implementing flexible working</w:t>
            </w:r>
            <w:r w:rsidR="00E54DE7">
              <w:rPr>
                <w:noProof/>
                <w:webHidden/>
              </w:rPr>
              <w:tab/>
            </w:r>
            <w:r w:rsidR="00E54DE7">
              <w:rPr>
                <w:noProof/>
                <w:webHidden/>
              </w:rPr>
              <w:fldChar w:fldCharType="begin"/>
            </w:r>
            <w:r w:rsidR="00E54DE7">
              <w:rPr>
                <w:noProof/>
                <w:webHidden/>
              </w:rPr>
              <w:instrText xml:space="preserve"> PAGEREF _Toc172635587 \h </w:instrText>
            </w:r>
            <w:r w:rsidR="00E54DE7">
              <w:rPr>
                <w:noProof/>
                <w:webHidden/>
              </w:rPr>
            </w:r>
            <w:r w:rsidR="00E54DE7">
              <w:rPr>
                <w:noProof/>
                <w:webHidden/>
              </w:rPr>
              <w:fldChar w:fldCharType="separate"/>
            </w:r>
            <w:r w:rsidR="00E54DE7">
              <w:rPr>
                <w:noProof/>
                <w:webHidden/>
              </w:rPr>
              <w:t>8</w:t>
            </w:r>
            <w:r w:rsidR="00E54DE7">
              <w:rPr>
                <w:noProof/>
                <w:webHidden/>
              </w:rPr>
              <w:fldChar w:fldCharType="end"/>
            </w:r>
          </w:hyperlink>
        </w:p>
        <w:p w14:paraId="0C960799" w14:textId="6EC80E04" w:rsidR="00E54DE7" w:rsidRDefault="00000000">
          <w:pPr>
            <w:pStyle w:val="TOC2"/>
            <w:tabs>
              <w:tab w:val="right" w:leader="dot" w:pos="9019"/>
            </w:tabs>
            <w:rPr>
              <w:noProof/>
            </w:rPr>
          </w:pPr>
          <w:hyperlink w:anchor="_Toc172635588" w:history="1">
            <w:r w:rsidR="00E54DE7" w:rsidRPr="00253576">
              <w:rPr>
                <w:rStyle w:val="Hyperlink"/>
                <w:noProof/>
              </w:rPr>
              <w:t>Reconfiguring pay structure after implementing flexible working</w:t>
            </w:r>
            <w:r w:rsidR="00E54DE7">
              <w:rPr>
                <w:noProof/>
                <w:webHidden/>
              </w:rPr>
              <w:tab/>
            </w:r>
            <w:r w:rsidR="00E54DE7">
              <w:rPr>
                <w:noProof/>
                <w:webHidden/>
              </w:rPr>
              <w:fldChar w:fldCharType="begin"/>
            </w:r>
            <w:r w:rsidR="00E54DE7">
              <w:rPr>
                <w:noProof/>
                <w:webHidden/>
              </w:rPr>
              <w:instrText xml:space="preserve"> PAGEREF _Toc172635588 \h </w:instrText>
            </w:r>
            <w:r w:rsidR="00E54DE7">
              <w:rPr>
                <w:noProof/>
                <w:webHidden/>
              </w:rPr>
            </w:r>
            <w:r w:rsidR="00E54DE7">
              <w:rPr>
                <w:noProof/>
                <w:webHidden/>
              </w:rPr>
              <w:fldChar w:fldCharType="separate"/>
            </w:r>
            <w:r w:rsidR="00E54DE7">
              <w:rPr>
                <w:noProof/>
                <w:webHidden/>
              </w:rPr>
              <w:t>10</w:t>
            </w:r>
            <w:r w:rsidR="00E54DE7">
              <w:rPr>
                <w:noProof/>
                <w:webHidden/>
              </w:rPr>
              <w:fldChar w:fldCharType="end"/>
            </w:r>
          </w:hyperlink>
        </w:p>
        <w:p w14:paraId="72AE435C" w14:textId="24E1BE61" w:rsidR="00E54DE7" w:rsidRDefault="00000000">
          <w:pPr>
            <w:pStyle w:val="TOC2"/>
            <w:tabs>
              <w:tab w:val="right" w:leader="dot" w:pos="9019"/>
            </w:tabs>
            <w:rPr>
              <w:noProof/>
            </w:rPr>
          </w:pPr>
          <w:hyperlink w:anchor="_Toc172635589" w:history="1">
            <w:r w:rsidR="00E54DE7" w:rsidRPr="00253576">
              <w:rPr>
                <w:rStyle w:val="Hyperlink"/>
                <w:noProof/>
              </w:rPr>
              <w:t>Strategies to Promote Employee Engagement</w:t>
            </w:r>
            <w:r w:rsidR="00E54DE7">
              <w:rPr>
                <w:noProof/>
                <w:webHidden/>
              </w:rPr>
              <w:tab/>
            </w:r>
            <w:r w:rsidR="00E54DE7">
              <w:rPr>
                <w:noProof/>
                <w:webHidden/>
              </w:rPr>
              <w:fldChar w:fldCharType="begin"/>
            </w:r>
            <w:r w:rsidR="00E54DE7">
              <w:rPr>
                <w:noProof/>
                <w:webHidden/>
              </w:rPr>
              <w:instrText xml:space="preserve"> PAGEREF _Toc172635589 \h </w:instrText>
            </w:r>
            <w:r w:rsidR="00E54DE7">
              <w:rPr>
                <w:noProof/>
                <w:webHidden/>
              </w:rPr>
            </w:r>
            <w:r w:rsidR="00E54DE7">
              <w:rPr>
                <w:noProof/>
                <w:webHidden/>
              </w:rPr>
              <w:fldChar w:fldCharType="separate"/>
            </w:r>
            <w:r w:rsidR="00E54DE7">
              <w:rPr>
                <w:noProof/>
                <w:webHidden/>
              </w:rPr>
              <w:t>12</w:t>
            </w:r>
            <w:r w:rsidR="00E54DE7">
              <w:rPr>
                <w:noProof/>
                <w:webHidden/>
              </w:rPr>
              <w:fldChar w:fldCharType="end"/>
            </w:r>
          </w:hyperlink>
        </w:p>
        <w:p w14:paraId="225B04E7" w14:textId="45CA76DB" w:rsidR="00E54DE7" w:rsidRDefault="00000000">
          <w:pPr>
            <w:pStyle w:val="TOC2"/>
            <w:tabs>
              <w:tab w:val="right" w:leader="dot" w:pos="9019"/>
            </w:tabs>
            <w:rPr>
              <w:noProof/>
            </w:rPr>
          </w:pPr>
          <w:hyperlink w:anchor="_Toc172635590" w:history="1">
            <w:r w:rsidR="00E54DE7" w:rsidRPr="00253576">
              <w:rPr>
                <w:rStyle w:val="Hyperlink"/>
                <w:noProof/>
              </w:rPr>
              <w:t>Recommendations for VialTech</w:t>
            </w:r>
            <w:r w:rsidR="00E54DE7">
              <w:rPr>
                <w:noProof/>
                <w:webHidden/>
              </w:rPr>
              <w:tab/>
            </w:r>
            <w:r w:rsidR="00E54DE7">
              <w:rPr>
                <w:noProof/>
                <w:webHidden/>
              </w:rPr>
              <w:fldChar w:fldCharType="begin"/>
            </w:r>
            <w:r w:rsidR="00E54DE7">
              <w:rPr>
                <w:noProof/>
                <w:webHidden/>
              </w:rPr>
              <w:instrText xml:space="preserve"> PAGEREF _Toc172635590 \h </w:instrText>
            </w:r>
            <w:r w:rsidR="00E54DE7">
              <w:rPr>
                <w:noProof/>
                <w:webHidden/>
              </w:rPr>
            </w:r>
            <w:r w:rsidR="00E54DE7">
              <w:rPr>
                <w:noProof/>
                <w:webHidden/>
              </w:rPr>
              <w:fldChar w:fldCharType="separate"/>
            </w:r>
            <w:r w:rsidR="00E54DE7">
              <w:rPr>
                <w:noProof/>
                <w:webHidden/>
              </w:rPr>
              <w:t>14</w:t>
            </w:r>
            <w:r w:rsidR="00E54DE7">
              <w:rPr>
                <w:noProof/>
                <w:webHidden/>
              </w:rPr>
              <w:fldChar w:fldCharType="end"/>
            </w:r>
          </w:hyperlink>
        </w:p>
        <w:p w14:paraId="18D7DBBA" w14:textId="47D09DBD" w:rsidR="00E54DE7" w:rsidRDefault="00000000">
          <w:pPr>
            <w:pStyle w:val="TOC1"/>
            <w:tabs>
              <w:tab w:val="right" w:leader="dot" w:pos="9019"/>
            </w:tabs>
            <w:rPr>
              <w:noProof/>
            </w:rPr>
          </w:pPr>
          <w:hyperlink w:anchor="_Toc172635591" w:history="1">
            <w:r w:rsidR="00E54DE7" w:rsidRPr="00253576">
              <w:rPr>
                <w:rStyle w:val="Hyperlink"/>
                <w:noProof/>
              </w:rPr>
              <w:t>Conclusion</w:t>
            </w:r>
            <w:r w:rsidR="00E54DE7">
              <w:rPr>
                <w:noProof/>
                <w:webHidden/>
              </w:rPr>
              <w:tab/>
            </w:r>
            <w:r w:rsidR="00E54DE7">
              <w:rPr>
                <w:noProof/>
                <w:webHidden/>
              </w:rPr>
              <w:fldChar w:fldCharType="begin"/>
            </w:r>
            <w:r w:rsidR="00E54DE7">
              <w:rPr>
                <w:noProof/>
                <w:webHidden/>
              </w:rPr>
              <w:instrText xml:space="preserve"> PAGEREF _Toc172635591 \h </w:instrText>
            </w:r>
            <w:r w:rsidR="00E54DE7">
              <w:rPr>
                <w:noProof/>
                <w:webHidden/>
              </w:rPr>
            </w:r>
            <w:r w:rsidR="00E54DE7">
              <w:rPr>
                <w:noProof/>
                <w:webHidden/>
              </w:rPr>
              <w:fldChar w:fldCharType="separate"/>
            </w:r>
            <w:r w:rsidR="00E54DE7">
              <w:rPr>
                <w:noProof/>
                <w:webHidden/>
              </w:rPr>
              <w:t>15</w:t>
            </w:r>
            <w:r w:rsidR="00E54DE7">
              <w:rPr>
                <w:noProof/>
                <w:webHidden/>
              </w:rPr>
              <w:fldChar w:fldCharType="end"/>
            </w:r>
          </w:hyperlink>
        </w:p>
        <w:p w14:paraId="2C151ED3" w14:textId="30981EA8" w:rsidR="00E54DE7" w:rsidRDefault="00000000">
          <w:pPr>
            <w:pStyle w:val="TOC1"/>
            <w:tabs>
              <w:tab w:val="right" w:leader="dot" w:pos="9019"/>
            </w:tabs>
            <w:rPr>
              <w:noProof/>
            </w:rPr>
          </w:pPr>
          <w:hyperlink w:anchor="_Toc172635592" w:history="1">
            <w:r w:rsidR="00E54DE7" w:rsidRPr="00253576">
              <w:rPr>
                <w:rStyle w:val="Hyperlink"/>
                <w:noProof/>
              </w:rPr>
              <w:t>References</w:t>
            </w:r>
            <w:r w:rsidR="00E54DE7">
              <w:rPr>
                <w:noProof/>
                <w:webHidden/>
              </w:rPr>
              <w:tab/>
            </w:r>
            <w:r w:rsidR="00E54DE7">
              <w:rPr>
                <w:noProof/>
                <w:webHidden/>
              </w:rPr>
              <w:fldChar w:fldCharType="begin"/>
            </w:r>
            <w:r w:rsidR="00E54DE7">
              <w:rPr>
                <w:noProof/>
                <w:webHidden/>
              </w:rPr>
              <w:instrText xml:space="preserve"> PAGEREF _Toc172635592 \h </w:instrText>
            </w:r>
            <w:r w:rsidR="00E54DE7">
              <w:rPr>
                <w:noProof/>
                <w:webHidden/>
              </w:rPr>
            </w:r>
            <w:r w:rsidR="00E54DE7">
              <w:rPr>
                <w:noProof/>
                <w:webHidden/>
              </w:rPr>
              <w:fldChar w:fldCharType="separate"/>
            </w:r>
            <w:r w:rsidR="00E54DE7">
              <w:rPr>
                <w:noProof/>
                <w:webHidden/>
              </w:rPr>
              <w:t>16</w:t>
            </w:r>
            <w:r w:rsidR="00E54DE7">
              <w:rPr>
                <w:noProof/>
                <w:webHidden/>
              </w:rPr>
              <w:fldChar w:fldCharType="end"/>
            </w:r>
          </w:hyperlink>
        </w:p>
        <w:p w14:paraId="2EFBC2AE" w14:textId="56DCEDFE" w:rsidR="00E54DE7" w:rsidRDefault="00E54DE7">
          <w:r>
            <w:rPr>
              <w:b/>
              <w:bCs/>
              <w:noProof/>
            </w:rPr>
            <w:fldChar w:fldCharType="end"/>
          </w:r>
        </w:p>
      </w:sdtContent>
    </w:sdt>
    <w:p w14:paraId="717C7015" w14:textId="77777777" w:rsidR="008D6C8B" w:rsidRDefault="008D6C8B" w:rsidP="00E54DE7"/>
    <w:p w14:paraId="00000003" w14:textId="544C3B29" w:rsidR="00C542E3" w:rsidRDefault="00C542E3"/>
    <w:p w14:paraId="603CE80E" w14:textId="77777777" w:rsidR="008A7138" w:rsidRDefault="008A7138">
      <w:pPr>
        <w:rPr>
          <w:b/>
          <w:sz w:val="28"/>
          <w:szCs w:val="28"/>
        </w:rPr>
      </w:pPr>
      <w:bookmarkStart w:id="0" w:name="_iyebwnk10pxm" w:colFirst="0" w:colLast="0"/>
      <w:bookmarkEnd w:id="0"/>
      <w:r>
        <w:br w:type="page"/>
      </w:r>
    </w:p>
    <w:p w14:paraId="00000004" w14:textId="2C33F4A3" w:rsidR="00C542E3" w:rsidRDefault="00000000">
      <w:pPr>
        <w:pStyle w:val="Heading1"/>
      </w:pPr>
      <w:bookmarkStart w:id="1" w:name="_Toc172635584"/>
      <w:r>
        <w:lastRenderedPageBreak/>
        <w:t>Introduction</w:t>
      </w:r>
      <w:bookmarkEnd w:id="1"/>
      <w:r>
        <w:t xml:space="preserve"> </w:t>
      </w:r>
    </w:p>
    <w:p w14:paraId="00000005" w14:textId="77777777" w:rsidR="00C542E3" w:rsidRDefault="00000000">
      <w:r>
        <w:t xml:space="preserve">Employee management is a crucial aspect of organisations which is handled by the human resource department. The following report aims to strengthen the understanding of the chosen organisation, VialTech. Flexible working arrangements have gained robust significance in contemporary business settings. With respect to that, the positive impacts of flexible working strategies will be evaluated in this report. Several factors will be assessed, and these need to be considered by the organisation before the implementation of flexible working. Understanding the reconfiguration of the payment structure after the strategic implementation will also be discussed in this report. Moreover, this concise write-up will explain strategies to enhance employee engagement along with necessary recommendations. </w:t>
      </w:r>
    </w:p>
    <w:p w14:paraId="03D0BB41" w14:textId="77777777" w:rsidR="008A7138" w:rsidRDefault="008A7138">
      <w:pPr>
        <w:rPr>
          <w:b/>
          <w:sz w:val="26"/>
          <w:szCs w:val="26"/>
        </w:rPr>
      </w:pPr>
      <w:bookmarkStart w:id="2" w:name="_n6zardeuepf9" w:colFirst="0" w:colLast="0"/>
      <w:bookmarkEnd w:id="2"/>
      <w:r>
        <w:br w:type="page"/>
      </w:r>
    </w:p>
    <w:p w14:paraId="00000006" w14:textId="322D02CA" w:rsidR="00C542E3" w:rsidRDefault="00000000">
      <w:pPr>
        <w:pStyle w:val="Heading2"/>
      </w:pPr>
      <w:bookmarkStart w:id="3" w:name="_Toc172635585"/>
      <w:r>
        <w:lastRenderedPageBreak/>
        <w:t>Overview of the Organisation</w:t>
      </w:r>
      <w:bookmarkEnd w:id="3"/>
      <w:r>
        <w:t xml:space="preserve"> </w:t>
      </w:r>
    </w:p>
    <w:p w14:paraId="00000007" w14:textId="2E9C5B3E" w:rsidR="00C542E3" w:rsidRDefault="00000000">
      <w:r>
        <w:t>VialTech is a technology-based company that operates in the United Kingdom. It specialises in providing diagnostic support and assistance to healthcare organisations like the NHS. Basically, the organisation conducts various types of diagnostic tests for the NHS and other private patients using cutting-edge medical technologies. VialTech was founded in the year 2015, focusing on assisting the healthcare sector in the United Kingdom. Concerning that, the utilisation of emerging devices and software enables the organisation to enhance the patient care facilities and streamline the overall operations of healthcare. In addition to that, VialTech strictly emphasises its research and development aspects to improve the customer experience and its performance</w:t>
      </w:r>
      <w:sdt>
        <w:sdtPr>
          <w:id w:val="-506143149"/>
          <w:citation/>
        </w:sdtPr>
        <w:sdtContent>
          <w:r w:rsidR="008A7138">
            <w:fldChar w:fldCharType="begin"/>
          </w:r>
          <w:r w:rsidR="008A7138">
            <w:rPr>
              <w:lang w:val="en-US"/>
            </w:rPr>
            <w:instrText xml:space="preserve"> CITATION Via24 \l 1033 </w:instrText>
          </w:r>
          <w:r w:rsidR="008A7138">
            <w:fldChar w:fldCharType="separate"/>
          </w:r>
          <w:r w:rsidR="008A7138">
            <w:rPr>
              <w:noProof/>
              <w:lang w:val="en-US"/>
            </w:rPr>
            <w:t xml:space="preserve"> </w:t>
          </w:r>
          <w:r w:rsidR="008A7138" w:rsidRPr="008A7138">
            <w:rPr>
              <w:noProof/>
              <w:lang w:val="en-US"/>
            </w:rPr>
            <w:t>(Vialtech, 2024)</w:t>
          </w:r>
          <w:r w:rsidR="008A7138">
            <w:fldChar w:fldCharType="end"/>
          </w:r>
        </w:sdtContent>
      </w:sdt>
      <w:r>
        <w:t xml:space="preserve">.  </w:t>
      </w:r>
    </w:p>
    <w:p w14:paraId="65AFBB5C" w14:textId="77777777" w:rsidR="008A7138" w:rsidRDefault="008A7138">
      <w:pPr>
        <w:rPr>
          <w:b/>
          <w:sz w:val="26"/>
          <w:szCs w:val="26"/>
        </w:rPr>
      </w:pPr>
      <w:bookmarkStart w:id="4" w:name="_z7s2uq324v66" w:colFirst="0" w:colLast="0"/>
      <w:bookmarkEnd w:id="4"/>
      <w:r>
        <w:br w:type="page"/>
      </w:r>
    </w:p>
    <w:p w14:paraId="00000008" w14:textId="79AC651B" w:rsidR="00C542E3" w:rsidRDefault="00000000">
      <w:pPr>
        <w:pStyle w:val="Heading2"/>
      </w:pPr>
      <w:bookmarkStart w:id="5" w:name="_Toc172635586"/>
      <w:r>
        <w:lastRenderedPageBreak/>
        <w:t>Benefits of implementing a flexible working strategy</w:t>
      </w:r>
      <w:bookmarkEnd w:id="5"/>
      <w:r>
        <w:t xml:space="preserve"> </w:t>
      </w:r>
    </w:p>
    <w:p w14:paraId="00000009" w14:textId="77777777" w:rsidR="00C542E3" w:rsidRDefault="00000000">
      <w:r>
        <w:t xml:space="preserve">The implementation of flexible working methods and approaches is highly beneficial for VialTech. This can enhance the organisational policies and procedures by enhancing the people management aspect of the human resource department in various ways. </w:t>
      </w:r>
    </w:p>
    <w:p w14:paraId="0000000A" w14:textId="77777777" w:rsidR="00C542E3" w:rsidRDefault="00000000">
      <w:pPr>
        <w:rPr>
          <w:b/>
          <w:i/>
          <w:u w:val="single"/>
        </w:rPr>
      </w:pPr>
      <w:r>
        <w:rPr>
          <w:b/>
          <w:i/>
          <w:u w:val="single"/>
        </w:rPr>
        <w:t xml:space="preserve">Boosting employee satisfaction and retention </w:t>
      </w:r>
    </w:p>
    <w:p w14:paraId="0000000B" w14:textId="13CF6575" w:rsidR="00C542E3" w:rsidRDefault="00000000">
      <w:r>
        <w:t>There are various types of strategies to promote flexible working arrangements such as establishing flexible working schedules, remote working facilities, reducing workloads and many others. Using this strategy, VialTech can gain a significant enhancement in its employee satisfaction level and retention rate. Employees can make a proper balance between their personal lives and professional responsibilities, leading them to minimise workplace stress and anxiety. With the help of this, the organisation can also become enabled to retain top talent by fulfilling their basic and comprehensive needs</w:t>
      </w:r>
      <w:sdt>
        <w:sdtPr>
          <w:id w:val="-885873679"/>
          <w:citation/>
        </w:sdtPr>
        <w:sdtContent>
          <w:r w:rsidR="008A7138">
            <w:fldChar w:fldCharType="begin"/>
          </w:r>
          <w:r w:rsidR="008A7138">
            <w:rPr>
              <w:lang w:val="en-US"/>
            </w:rPr>
            <w:instrText xml:space="preserve"> CITATION ROB22 \l 1033 </w:instrText>
          </w:r>
          <w:r w:rsidR="008A7138">
            <w:fldChar w:fldCharType="separate"/>
          </w:r>
          <w:r w:rsidR="008A7138">
            <w:rPr>
              <w:noProof/>
              <w:lang w:val="en-US"/>
            </w:rPr>
            <w:t xml:space="preserve"> </w:t>
          </w:r>
          <w:r w:rsidR="008A7138" w:rsidRPr="008A7138">
            <w:rPr>
              <w:noProof/>
              <w:lang w:val="en-US"/>
            </w:rPr>
            <w:t>(HALF, 2022)</w:t>
          </w:r>
          <w:r w:rsidR="008A7138">
            <w:fldChar w:fldCharType="end"/>
          </w:r>
        </w:sdtContent>
      </w:sdt>
      <w:r>
        <w:t xml:space="preserve">. </w:t>
      </w:r>
    </w:p>
    <w:p w14:paraId="0000000C" w14:textId="77777777" w:rsidR="00C542E3" w:rsidRDefault="00000000">
      <w:pPr>
        <w:rPr>
          <w:b/>
          <w:i/>
          <w:u w:val="single"/>
        </w:rPr>
      </w:pPr>
      <w:r>
        <w:rPr>
          <w:b/>
          <w:i/>
          <w:u w:val="single"/>
        </w:rPr>
        <w:t>Increased business productivity</w:t>
      </w:r>
    </w:p>
    <w:p w14:paraId="0000000D" w14:textId="77777777" w:rsidR="00C542E3" w:rsidRDefault="00000000">
      <w:r>
        <w:t xml:space="preserve">VialTech can generate a significant range of business productivity through implementing flexible working arrangements. Employees who are allowed to work flexibly within justified working hours and policies are more likely to perform in a better way. they are highly motivated within the workplace which can elevate their performance and the business productivity of the organisation. A high level of motivation and encouragement also helps employees work in complex and critical situations, resulting in greater performance. </w:t>
      </w:r>
    </w:p>
    <w:p w14:paraId="0000000E" w14:textId="77777777" w:rsidR="00C542E3" w:rsidRDefault="00000000">
      <w:pPr>
        <w:rPr>
          <w:b/>
          <w:i/>
          <w:u w:val="single"/>
        </w:rPr>
      </w:pPr>
      <w:r>
        <w:rPr>
          <w:b/>
          <w:i/>
          <w:u w:val="single"/>
        </w:rPr>
        <w:t xml:space="preserve">Minimised the rate of absenteeism </w:t>
      </w:r>
    </w:p>
    <w:p w14:paraId="0000000F" w14:textId="77777777" w:rsidR="00C542E3" w:rsidRDefault="00000000">
      <w:r>
        <w:t xml:space="preserve">Flexible working hours and strategies are highly beneficial for VialTech in terms of reducing the rate of employee absenteeism. Within a flexible working method, employees perceive more happiness and enjoy freedom within their workplace. Employees are also provided with the work-from-home facility, which also contributes positively to the reduction of their </w:t>
      </w:r>
      <w:r>
        <w:lastRenderedPageBreak/>
        <w:t>absenteeism rate. Apart from that, the organisation is also enabled to oversee the health issues and benefits of employees more effectively by offering flexibility (</w:t>
      </w:r>
      <w:r>
        <w:rPr>
          <w:color w:val="222222"/>
          <w:highlight w:val="white"/>
        </w:rPr>
        <w:t>Shifrin and Michel, 2022</w:t>
      </w:r>
      <w:r>
        <w:t xml:space="preserve">). </w:t>
      </w:r>
    </w:p>
    <w:p w14:paraId="00000010" w14:textId="77777777" w:rsidR="00C542E3" w:rsidRDefault="00000000">
      <w:pPr>
        <w:rPr>
          <w:b/>
          <w:i/>
          <w:u w:val="single"/>
        </w:rPr>
      </w:pPr>
      <w:r>
        <w:rPr>
          <w:b/>
          <w:i/>
          <w:u w:val="single"/>
        </w:rPr>
        <w:t xml:space="preserve">Enhanced work-life balance </w:t>
      </w:r>
    </w:p>
    <w:p w14:paraId="00000011" w14:textId="77777777" w:rsidR="00C542E3" w:rsidRDefault="00000000">
      <w:r>
        <w:t>One of the most crucial benefits of flexible working strategies is the promotion of enhanced work-life balance for employees within VialTech. With respect to that, by promoting and offering a flexible working facility, the organisation can enable employees to maintain a comprehensive balance between their personal life and professional life in a more effective way. As a result, the job satisfaction, engagement and motivation of employees can be increased within the organisation, leading to the cultivation of a large number of productivity and enhancement of their performance as well (</w:t>
      </w:r>
      <w:r>
        <w:rPr>
          <w:color w:val="222222"/>
          <w:highlight w:val="white"/>
        </w:rPr>
        <w:t>White and Maniam, 2020</w:t>
      </w:r>
      <w:r>
        <w:t xml:space="preserve">). </w:t>
      </w:r>
    </w:p>
    <w:p w14:paraId="058DF182" w14:textId="77777777" w:rsidR="008A7138" w:rsidRDefault="008A7138">
      <w:pPr>
        <w:rPr>
          <w:b/>
          <w:sz w:val="26"/>
          <w:szCs w:val="26"/>
        </w:rPr>
      </w:pPr>
      <w:bookmarkStart w:id="6" w:name="_g48ijgu77s9" w:colFirst="0" w:colLast="0"/>
      <w:bookmarkEnd w:id="6"/>
      <w:r>
        <w:br w:type="page"/>
      </w:r>
    </w:p>
    <w:p w14:paraId="00000012" w14:textId="21B3B0AF" w:rsidR="00C542E3" w:rsidRDefault="00000000">
      <w:pPr>
        <w:pStyle w:val="Heading2"/>
      </w:pPr>
      <w:bookmarkStart w:id="7" w:name="_Toc172635587"/>
      <w:r>
        <w:lastRenderedPageBreak/>
        <w:t>Considerations by this organisation before implementing flexible working</w:t>
      </w:r>
      <w:bookmarkEnd w:id="7"/>
      <w:r>
        <w:t xml:space="preserve"> </w:t>
      </w:r>
    </w:p>
    <w:p w14:paraId="00000013" w14:textId="77777777" w:rsidR="00C542E3" w:rsidRDefault="00000000">
      <w:r>
        <w:t xml:space="preserve">VialTech should consider some crucial factors and elements before establishing and executing flexible working for staff. The human resource department of the company is highly responsible for considering those factors in order to ensure a seamless transformation and employee benefits within the firm. These specific factors also possess significant implications for the organisation and its employees. </w:t>
      </w:r>
    </w:p>
    <w:p w14:paraId="00000014" w14:textId="77777777" w:rsidR="00C542E3" w:rsidRDefault="00000000">
      <w:pPr>
        <w:rPr>
          <w:b/>
          <w:i/>
          <w:u w:val="single"/>
        </w:rPr>
      </w:pPr>
      <w:r>
        <w:rPr>
          <w:b/>
          <w:i/>
          <w:u w:val="single"/>
        </w:rPr>
        <w:t xml:space="preserve">Evaluation of workplace responsibilities and job roles </w:t>
      </w:r>
    </w:p>
    <w:p w14:paraId="00000015" w14:textId="77777777" w:rsidR="00C542E3" w:rsidRDefault="00000000">
      <w:r>
        <w:t>One of the prime responsibilities of the human resource department is to determine the most suitable roles and responsibilities which necessitate flexible working within VialTech. Before the implementation of flexible working strategies, evaluating the organisational responsibilities is important for the HR department in terms of allocating specific tasks. For example, sometimes, there are some work and responsibilities white are not suitable for the remote working mode or flexible hours. Thus, the Hr managers of VialTech should consider this factor while allocating tasks and defining the roles and responsibilities of employees (</w:t>
      </w:r>
      <w:proofErr w:type="spellStart"/>
      <w:r>
        <w:rPr>
          <w:color w:val="222222"/>
          <w:highlight w:val="white"/>
        </w:rPr>
        <w:t>Austin-Egole</w:t>
      </w:r>
      <w:proofErr w:type="spellEnd"/>
      <w:r>
        <w:rPr>
          <w:color w:val="222222"/>
          <w:highlight w:val="white"/>
        </w:rPr>
        <w:t xml:space="preserve"> et al., 2020</w:t>
      </w:r>
      <w:r>
        <w:t xml:space="preserve">). </w:t>
      </w:r>
    </w:p>
    <w:p w14:paraId="00000016" w14:textId="77777777" w:rsidR="00C542E3" w:rsidRDefault="00000000">
      <w:pPr>
        <w:rPr>
          <w:b/>
          <w:i/>
          <w:u w:val="single"/>
        </w:rPr>
      </w:pPr>
      <w:r>
        <w:rPr>
          <w:b/>
          <w:i/>
          <w:u w:val="single"/>
        </w:rPr>
        <w:t xml:space="preserve">Clear communication and training </w:t>
      </w:r>
    </w:p>
    <w:p w14:paraId="00000017" w14:textId="77777777" w:rsidR="00C542E3" w:rsidRDefault="00000000">
      <w:r>
        <w:t xml:space="preserve">Having a clear line of organisational communication is important for VialTech in terms of delivering flexibility across departments along with crucial information. With respect to that, arranging and conducting training is important for the organisation before the implementation of flexible working. This will help the organisation to make employees understand the rules, policies and significance of flexible working. The conduction of training and learning programmes will be helpful for the organisation in terms of introducing new and emerging technologies to the employees which they can utilise for the accomplishment of their daily tasks and responsibilities. This will lead employees to effectively collaborate with others even in a remote working mode. </w:t>
      </w:r>
    </w:p>
    <w:p w14:paraId="00000018" w14:textId="77777777" w:rsidR="00C542E3" w:rsidRDefault="00000000">
      <w:pPr>
        <w:rPr>
          <w:b/>
          <w:i/>
          <w:u w:val="single"/>
        </w:rPr>
      </w:pPr>
      <w:r>
        <w:rPr>
          <w:b/>
          <w:i/>
          <w:u w:val="single"/>
        </w:rPr>
        <w:lastRenderedPageBreak/>
        <w:t>Technological integration and infrastructure</w:t>
      </w:r>
    </w:p>
    <w:p w14:paraId="00000019" w14:textId="77777777" w:rsidR="00C542E3" w:rsidRDefault="00000000">
      <w:r>
        <w:t>Cutting-edge technologies play a pivotal role in enhancing the facilities and benefits of flexible working within VialTech. Technological adoption and the development of the infrastructure are extremely important for the organisation in terms of collaborating with employees in remote working mode, practising healthcare tests using software, conducting virtual meetings and many others. Adopting adequate upgrade measures is also important for the human resource department in order to ensure its long-term benefits and organisational success (</w:t>
      </w:r>
      <w:r>
        <w:rPr>
          <w:color w:val="222222"/>
          <w:highlight w:val="white"/>
        </w:rPr>
        <w:t>Yu et al., 2019</w:t>
      </w:r>
      <w:r>
        <w:t xml:space="preserve">). </w:t>
      </w:r>
    </w:p>
    <w:p w14:paraId="179BBC27" w14:textId="77777777" w:rsidR="008D6C8B" w:rsidRDefault="008D6C8B">
      <w:bookmarkStart w:id="8" w:name="_22m0vfj97rom" w:colFirst="0" w:colLast="0"/>
      <w:bookmarkEnd w:id="8"/>
      <w:r>
        <w:br w:type="page"/>
      </w:r>
    </w:p>
    <w:p w14:paraId="26459D64" w14:textId="77777777" w:rsidR="008D6C8B" w:rsidRDefault="008D6C8B" w:rsidP="008D6C8B">
      <w:pPr>
        <w:pStyle w:val="Heading2"/>
      </w:pPr>
      <w:bookmarkStart w:id="9" w:name="_Toc172635588"/>
      <w:r>
        <w:lastRenderedPageBreak/>
        <w:t>Reconfiguring pay structure after implementing flexible working</w:t>
      </w:r>
      <w:bookmarkEnd w:id="9"/>
      <w:r>
        <w:t xml:space="preserve"> </w:t>
      </w:r>
    </w:p>
    <w:p w14:paraId="57B3C04C" w14:textId="77777777" w:rsidR="008D6C8B" w:rsidRDefault="008D6C8B" w:rsidP="008D6C8B">
      <w:pPr>
        <w:rPr>
          <w:b/>
          <w:i/>
          <w:u w:val="single"/>
        </w:rPr>
      </w:pPr>
      <w:r>
        <w:rPr>
          <w:b/>
          <w:i/>
          <w:u w:val="single"/>
        </w:rPr>
        <w:t>Equity and fairness</w:t>
      </w:r>
    </w:p>
    <w:p w14:paraId="25E4FB94" w14:textId="77777777" w:rsidR="008D6C8B" w:rsidRDefault="008D6C8B" w:rsidP="008D6C8B">
      <w:r>
        <w:t xml:space="preserve">To ensure fairness, </w:t>
      </w:r>
      <w:proofErr w:type="spellStart"/>
      <w:r>
        <w:t>Vialtech</w:t>
      </w:r>
      <w:proofErr w:type="spellEnd"/>
      <w:r>
        <w:t xml:space="preserve"> must effectively establish a consistent payment structure among all employees regardless of the working location. The compensation should be focused on the roles and responsibilities rather than the working environment. The regular review would significantly help them to maintain equitable payment along with addressing any kind of disparities between the on-site as well as remote employees</w:t>
      </w:r>
      <w:sdt>
        <w:sdtPr>
          <w:id w:val="2081713424"/>
          <w:citation/>
        </w:sdtPr>
        <w:sdtContent>
          <w:r>
            <w:fldChar w:fldCharType="begin"/>
          </w:r>
          <w:r>
            <w:instrText xml:space="preserve"> CITATION Adr22 \l 2057 </w:instrText>
          </w:r>
          <w:r>
            <w:fldChar w:fldCharType="separate"/>
          </w:r>
          <w:r>
            <w:rPr>
              <w:noProof/>
            </w:rPr>
            <w:t xml:space="preserve"> </w:t>
          </w:r>
          <w:r w:rsidRPr="00CD53C2">
            <w:rPr>
              <w:noProof/>
            </w:rPr>
            <w:t>(Cacoveanu, 2022)</w:t>
          </w:r>
          <w:r>
            <w:fldChar w:fldCharType="end"/>
          </w:r>
        </w:sdtContent>
      </w:sdt>
      <w:r>
        <w:t xml:space="preserve">. </w:t>
      </w:r>
    </w:p>
    <w:p w14:paraId="5C9419AE" w14:textId="77777777" w:rsidR="008D6C8B" w:rsidRDefault="008D6C8B" w:rsidP="008D6C8B">
      <w:pPr>
        <w:rPr>
          <w:b/>
          <w:i/>
          <w:u w:val="single"/>
        </w:rPr>
      </w:pPr>
      <w:r>
        <w:rPr>
          <w:b/>
          <w:i/>
          <w:u w:val="single"/>
        </w:rPr>
        <w:t xml:space="preserve">Performance-based payment </w:t>
      </w:r>
    </w:p>
    <w:p w14:paraId="38AA1BE7" w14:textId="77777777" w:rsidR="008D6C8B" w:rsidRDefault="008D6C8B" w:rsidP="008D6C8B">
      <w:r>
        <w:t xml:space="preserve">Implementing a flexible working model within the workplace offers an influx of opportunities to link the payment more effectively to the performance of the employees. In relation to this, implementing a metric-based model within the workplace would help the firm evaluate the progression. This apparently allows VialTech to provide rewards among their potential employees according to the outcome and productivity. </w:t>
      </w:r>
    </w:p>
    <w:p w14:paraId="70FD31C6" w14:textId="77777777" w:rsidR="008D6C8B" w:rsidRDefault="008D6C8B" w:rsidP="008D6C8B">
      <w:pPr>
        <w:rPr>
          <w:b/>
          <w:i/>
          <w:u w:val="single"/>
        </w:rPr>
      </w:pPr>
      <w:r>
        <w:rPr>
          <w:b/>
          <w:i/>
          <w:u w:val="single"/>
        </w:rPr>
        <w:t>Allowance and benefits</w:t>
      </w:r>
    </w:p>
    <w:p w14:paraId="3C6B765C" w14:textId="77777777" w:rsidR="008D6C8B" w:rsidRDefault="008D6C8B" w:rsidP="008D6C8B">
      <w:r>
        <w:t xml:space="preserve">A flexible working environment effectively needs allowances and adjustments along with proper benefits. Regarding this, internet subsidies, home office stipends, and providing required equipment can provide support to their employees. On the other hand, travel allowances may also be mitigated. This system allows the employees to properly maintain a high-performance level regardless of any kind of situation within the workplace. </w:t>
      </w:r>
    </w:p>
    <w:p w14:paraId="01A883F6" w14:textId="77777777" w:rsidR="008D6C8B" w:rsidRDefault="008D6C8B" w:rsidP="008D6C8B">
      <w:pPr>
        <w:rPr>
          <w:b/>
          <w:i/>
          <w:u w:val="single"/>
        </w:rPr>
      </w:pPr>
      <w:r>
        <w:rPr>
          <w:b/>
          <w:i/>
          <w:u w:val="single"/>
        </w:rPr>
        <w:t>Compliance and legal issues</w:t>
      </w:r>
    </w:p>
    <w:p w14:paraId="38DB345B" w14:textId="77777777" w:rsidR="008D6C8B" w:rsidRDefault="008D6C8B" w:rsidP="008D6C8B">
      <w:r>
        <w:t>VialTech should consider a payment structure that effectively complies with labour laws and regulations. They should be concerned about providing them with flexible working hours and overtime. The legal counsel may offer help to navigate those complexities that effectively ensure that all the lawful adjustments would safeguard the company from creating any kind of possible disputes within the effective business practices</w:t>
      </w:r>
      <w:sdt>
        <w:sdtPr>
          <w:id w:val="-1788426253"/>
          <w:citation/>
        </w:sdtPr>
        <w:sdtContent>
          <w:r>
            <w:fldChar w:fldCharType="begin"/>
          </w:r>
          <w:r>
            <w:instrText xml:space="preserve"> CITATION Loo21 \l 2057 </w:instrText>
          </w:r>
          <w:r>
            <w:fldChar w:fldCharType="separate"/>
          </w:r>
          <w:r>
            <w:rPr>
              <w:noProof/>
            </w:rPr>
            <w:t xml:space="preserve"> </w:t>
          </w:r>
          <w:r w:rsidRPr="00CD53C2">
            <w:rPr>
              <w:noProof/>
            </w:rPr>
            <w:t>(Loomly, 2021)</w:t>
          </w:r>
          <w:r>
            <w:fldChar w:fldCharType="end"/>
          </w:r>
        </w:sdtContent>
      </w:sdt>
      <w:r>
        <w:t xml:space="preserve">. </w:t>
      </w:r>
    </w:p>
    <w:p w14:paraId="4C74658B" w14:textId="77777777" w:rsidR="008D6C8B" w:rsidRDefault="008D6C8B" w:rsidP="008D6C8B">
      <w:pPr>
        <w:rPr>
          <w:b/>
          <w:i/>
          <w:u w:val="single"/>
        </w:rPr>
      </w:pPr>
      <w:r>
        <w:rPr>
          <w:b/>
          <w:i/>
          <w:u w:val="single"/>
        </w:rPr>
        <w:lastRenderedPageBreak/>
        <w:t xml:space="preserve">Transparent communication </w:t>
      </w:r>
    </w:p>
    <w:p w14:paraId="28686CAD" w14:textId="77777777" w:rsidR="008D6C8B" w:rsidRDefault="008D6C8B" w:rsidP="008D6C8B">
      <w:r>
        <w:t xml:space="preserve">Maintaining open and transparent communication within the workplace along with the payment structure is the most crucial aspect of the organisation. In relation to this VialTech should effectively engage with the employees by conducting relevant meetings. Listening to their opinions and making strategies accordingly would also help the firm to maintain transparency within the workplace. </w:t>
      </w:r>
    </w:p>
    <w:p w14:paraId="0F16F568" w14:textId="77777777" w:rsidR="008D6C8B" w:rsidRDefault="008D6C8B">
      <w:pPr>
        <w:rPr>
          <w:b/>
          <w:sz w:val="26"/>
          <w:szCs w:val="26"/>
        </w:rPr>
      </w:pPr>
      <w:bookmarkStart w:id="10" w:name="_hvnveqqgxw81" w:colFirst="0" w:colLast="0"/>
      <w:bookmarkEnd w:id="10"/>
      <w:r>
        <w:br w:type="page"/>
      </w:r>
    </w:p>
    <w:p w14:paraId="491DE0E5" w14:textId="324B555F" w:rsidR="008D6C8B" w:rsidRDefault="008D6C8B" w:rsidP="008D6C8B">
      <w:pPr>
        <w:pStyle w:val="Heading2"/>
      </w:pPr>
      <w:bookmarkStart w:id="11" w:name="_Toc172635589"/>
      <w:r>
        <w:lastRenderedPageBreak/>
        <w:t>Strategies to Promote Employee Engagement</w:t>
      </w:r>
      <w:bookmarkEnd w:id="11"/>
      <w:r>
        <w:t xml:space="preserve"> </w:t>
      </w:r>
    </w:p>
    <w:p w14:paraId="1A4985F0" w14:textId="381C1394" w:rsidR="008D6C8B" w:rsidRDefault="008D6C8B" w:rsidP="008D6C8B">
      <w:pPr>
        <w:rPr>
          <w:b/>
          <w:i/>
          <w:u w:val="single"/>
        </w:rPr>
      </w:pPr>
      <w:proofErr w:type="spellStart"/>
      <w:r>
        <w:rPr>
          <w:b/>
          <w:i/>
          <w:u w:val="single"/>
        </w:rPr>
        <w:t>Fombrun</w:t>
      </w:r>
      <w:proofErr w:type="spellEnd"/>
      <w:r>
        <w:rPr>
          <w:b/>
          <w:i/>
          <w:u w:val="single"/>
        </w:rPr>
        <w:t xml:space="preserve"> Model for increasing employee engagement  </w:t>
      </w:r>
    </w:p>
    <w:p w14:paraId="11A40C60" w14:textId="1BF724A4" w:rsidR="008D6C8B" w:rsidRDefault="008D6C8B" w:rsidP="008D6C8B">
      <w:r>
        <w:t xml:space="preserve">The </w:t>
      </w:r>
      <w:proofErr w:type="spellStart"/>
      <w:r>
        <w:t>Fombrun</w:t>
      </w:r>
      <w:proofErr w:type="spellEnd"/>
      <w:r>
        <w:t xml:space="preserve"> Model of HRM focuses on creating an interconnection among four key functions: appraisal, development, selection, and rewards. Utilising this model, VialTech can significantly promote employee engagement along with incorporating a flexible working culture</w:t>
      </w:r>
      <w:sdt>
        <w:sdtPr>
          <w:id w:val="-1950388424"/>
          <w:citation/>
        </w:sdtPr>
        <w:sdtContent>
          <w:r>
            <w:fldChar w:fldCharType="begin"/>
          </w:r>
          <w:r>
            <w:instrText xml:space="preserve"> CITATION Ale21 \l 2057 </w:instrText>
          </w:r>
          <w:r>
            <w:fldChar w:fldCharType="separate"/>
          </w:r>
          <w:r>
            <w:rPr>
              <w:noProof/>
            </w:rPr>
            <w:t xml:space="preserve"> </w:t>
          </w:r>
          <w:r w:rsidRPr="00CD53C2">
            <w:rPr>
              <w:noProof/>
            </w:rPr>
            <w:t>(Morris, 2021)</w:t>
          </w:r>
          <w:r>
            <w:fldChar w:fldCharType="end"/>
          </w:r>
        </w:sdtContent>
      </w:sdt>
      <w:r>
        <w:t xml:space="preserve">. </w:t>
      </w:r>
    </w:p>
    <w:p w14:paraId="5D7B7D97" w14:textId="77777777" w:rsidR="008D6C8B" w:rsidRDefault="008D6C8B" w:rsidP="008D6C8B">
      <w:pPr>
        <w:rPr>
          <w:b/>
        </w:rPr>
      </w:pPr>
      <w:r>
        <w:rPr>
          <w:b/>
        </w:rPr>
        <w:t xml:space="preserve">Selection </w:t>
      </w:r>
    </w:p>
    <w:p w14:paraId="658DE4F7" w14:textId="77777777" w:rsidR="008D6C8B" w:rsidRDefault="008D6C8B" w:rsidP="008D6C8B">
      <w:proofErr w:type="spellStart"/>
      <w:r>
        <w:t>Vialtech</w:t>
      </w:r>
      <w:proofErr w:type="spellEnd"/>
      <w:r>
        <w:t xml:space="preserve"> should focus on recruiting individuals who can prosperity explain their strong capability and understanding with respect to self-management. This is the most effective way to successfully implement a remote and flexible working environment. During the recruitment procedure, those employees can clearly communicate the commitment of VialTech in terms of implementing flexible working. </w:t>
      </w:r>
    </w:p>
    <w:p w14:paraId="0F95D324" w14:textId="77777777" w:rsidR="008D6C8B" w:rsidRDefault="008D6C8B" w:rsidP="008D6C8B">
      <w:pPr>
        <w:rPr>
          <w:b/>
        </w:rPr>
      </w:pPr>
      <w:r>
        <w:rPr>
          <w:b/>
        </w:rPr>
        <w:t>Appraisal</w:t>
      </w:r>
    </w:p>
    <w:p w14:paraId="01D1C5C7" w14:textId="77777777" w:rsidR="008D6C8B" w:rsidRDefault="008D6C8B" w:rsidP="008D6C8B">
      <w:r>
        <w:t xml:space="preserve">Implementing a regular performance reviewing team that can provide effective feedback and implement goal-setting sessions. This allows the firm to tailor their existing strategies in terms of implementing a successful remorse working environment and mitigating the challenges. Utilising effective technologies for increasing the facility with respect to providing facility to the employees and the managers. This effectively ensures that the remote workers would also receive the same kind of appraisal in comparison to the on-site workers.  </w:t>
      </w:r>
    </w:p>
    <w:p w14:paraId="679D1186" w14:textId="77777777" w:rsidR="008D6C8B" w:rsidRDefault="008D6C8B" w:rsidP="008D6C8B">
      <w:pPr>
        <w:rPr>
          <w:b/>
        </w:rPr>
      </w:pPr>
      <w:r>
        <w:rPr>
          <w:b/>
        </w:rPr>
        <w:t xml:space="preserve">Development </w:t>
      </w:r>
    </w:p>
    <w:p w14:paraId="0FB61E4C" w14:textId="77777777" w:rsidR="008D6C8B" w:rsidRDefault="008D6C8B" w:rsidP="008D6C8B">
      <w:r>
        <w:t xml:space="preserve">Conducting effective training programs for the existing employees to enhance their skills like time management, digital literacy along with virtual communication. This is intended to provide an influx opportunity to them and they may also offer relevant online courses. Those course and virtual workshop programs significantly allow their employees to foster their career growth even adapting to a flexible work environment. A clear career path would effectively </w:t>
      </w:r>
      <w:r>
        <w:lastRenderedPageBreak/>
        <w:t>create a clear progression path, especially for flexible and remote workers. This would also highlight possible growth opportunities within the firm VialTech. The employees would also feel motivated as well as invest their valuable time and engagement within the workplace (</w:t>
      </w:r>
      <w:r>
        <w:rPr>
          <w:color w:val="222222"/>
          <w:highlight w:val="white"/>
        </w:rPr>
        <w:t>Suomi et al., 2021</w:t>
      </w:r>
      <w:r>
        <w:t xml:space="preserve">). </w:t>
      </w:r>
    </w:p>
    <w:p w14:paraId="58B50134" w14:textId="77777777" w:rsidR="008D6C8B" w:rsidRDefault="008D6C8B" w:rsidP="008D6C8B">
      <w:pPr>
        <w:rPr>
          <w:b/>
        </w:rPr>
      </w:pPr>
      <w:r>
        <w:rPr>
          <w:b/>
        </w:rPr>
        <w:t xml:space="preserve">Rewards </w:t>
      </w:r>
    </w:p>
    <w:p w14:paraId="32FC1F8D" w14:textId="77777777" w:rsidR="008D6C8B" w:rsidRDefault="008D6C8B" w:rsidP="008D6C8B">
      <w:r>
        <w:t xml:space="preserve">Establishing a recognition program within the workplace would develop a robust recognition program that can significantly allow them to celebrate their achievements regardless they are working remotely. In this scenario, the organisation may organise a virtual award ceremony along with digital badges. In addition to this, they may also provide incentives according to the contributions and efforts of those employees. This initiative would significantly promote strong workplace engagement along with inclusivity. </w:t>
      </w:r>
    </w:p>
    <w:p w14:paraId="3F4FEA57" w14:textId="77777777" w:rsidR="008D6C8B" w:rsidRDefault="008D6C8B">
      <w:pPr>
        <w:rPr>
          <w:b/>
          <w:sz w:val="26"/>
          <w:szCs w:val="26"/>
        </w:rPr>
      </w:pPr>
      <w:bookmarkStart w:id="12" w:name="_tmat2gw5cew" w:colFirst="0" w:colLast="0"/>
      <w:bookmarkEnd w:id="12"/>
      <w:r>
        <w:br w:type="page"/>
      </w:r>
    </w:p>
    <w:p w14:paraId="0D534123" w14:textId="0905D1D7" w:rsidR="008D6C8B" w:rsidRDefault="008D6C8B" w:rsidP="008D6C8B">
      <w:pPr>
        <w:pStyle w:val="Heading2"/>
      </w:pPr>
      <w:bookmarkStart w:id="13" w:name="_Toc172635590"/>
      <w:r>
        <w:lastRenderedPageBreak/>
        <w:t>Recommendations for VialTech</w:t>
      </w:r>
      <w:bookmarkEnd w:id="13"/>
      <w:r>
        <w:t xml:space="preserve"> </w:t>
      </w:r>
    </w:p>
    <w:p w14:paraId="4DF6982E" w14:textId="77777777" w:rsidR="008D6C8B" w:rsidRDefault="008D6C8B" w:rsidP="008D6C8B">
      <w:pPr>
        <w:rPr>
          <w:b/>
          <w:i/>
          <w:u w:val="single"/>
        </w:rPr>
      </w:pPr>
      <w:r>
        <w:rPr>
          <w:b/>
          <w:i/>
          <w:u w:val="single"/>
        </w:rPr>
        <w:t xml:space="preserve">Develop an effective flexible working policy </w:t>
      </w:r>
    </w:p>
    <w:p w14:paraId="08390CF5" w14:textId="77777777" w:rsidR="008D6C8B" w:rsidRDefault="008D6C8B" w:rsidP="008D6C8B">
      <w:proofErr w:type="spellStart"/>
      <w:r>
        <w:t>Vialtech</w:t>
      </w:r>
      <w:proofErr w:type="spellEnd"/>
      <w:r>
        <w:t xml:space="preserve"> should conduct a flexible working policy that significantly demonstrates the expectations, qualifications and detailed guidelines for the employees. This policy may address significant requirements of their respective roles and responsibilities. The roles included lab assistance, administrators, customer-serving workers and others. Clear guidance would effectively focus on flexible working hours, communication protocols as well as accessibility. This would help and also ensure that all of those employees are properly trained and can significantly communicate the existing working model (</w:t>
      </w:r>
      <w:proofErr w:type="spellStart"/>
      <w:r>
        <w:rPr>
          <w:color w:val="222222"/>
          <w:highlight w:val="white"/>
        </w:rPr>
        <w:t>Angelici</w:t>
      </w:r>
      <w:proofErr w:type="spellEnd"/>
      <w:r>
        <w:rPr>
          <w:color w:val="222222"/>
          <w:highlight w:val="white"/>
        </w:rPr>
        <w:t xml:space="preserve"> and </w:t>
      </w:r>
      <w:proofErr w:type="spellStart"/>
      <w:r>
        <w:rPr>
          <w:color w:val="222222"/>
          <w:highlight w:val="white"/>
        </w:rPr>
        <w:t>Profeta</w:t>
      </w:r>
      <w:proofErr w:type="spellEnd"/>
      <w:r>
        <w:rPr>
          <w:color w:val="222222"/>
          <w:highlight w:val="white"/>
        </w:rPr>
        <w:t>, 2024</w:t>
      </w:r>
      <w:r>
        <w:t xml:space="preserve">). </w:t>
      </w:r>
    </w:p>
    <w:p w14:paraId="0FB2CA3B" w14:textId="77777777" w:rsidR="008D6C8B" w:rsidRDefault="008D6C8B" w:rsidP="008D6C8B">
      <w:pPr>
        <w:rPr>
          <w:b/>
          <w:i/>
          <w:u w:val="single"/>
        </w:rPr>
      </w:pPr>
      <w:r>
        <w:rPr>
          <w:b/>
          <w:i/>
          <w:u w:val="single"/>
        </w:rPr>
        <w:t xml:space="preserve">Investment in advancing technology and infrastructure </w:t>
      </w:r>
    </w:p>
    <w:p w14:paraId="5904E7E3" w14:textId="77777777" w:rsidR="008D6C8B" w:rsidRDefault="008D6C8B" w:rsidP="008D6C8B">
      <w:r>
        <w:t xml:space="preserve">This is strongly recommended that VialTech invest its resources within its existing technology as well as infrastructure. This significantly includes safeguarding their remote access with respect to the required systems. They should provide reliable communication tools as well as platforms for virtual communication. They must determine and maintain the confidentiality of the patients and regarding this strong cyber security measures should also be maintained. Furthermore, they must provide their employees required equipment such as laptops, internet access and others. </w:t>
      </w:r>
    </w:p>
    <w:p w14:paraId="2C40E0FC" w14:textId="77777777" w:rsidR="008D6C8B" w:rsidRDefault="008D6C8B" w:rsidP="008D6C8B">
      <w:pPr>
        <w:rPr>
          <w:b/>
          <w:i/>
          <w:u w:val="single"/>
        </w:rPr>
      </w:pPr>
      <w:r>
        <w:rPr>
          <w:b/>
          <w:i/>
          <w:u w:val="single"/>
        </w:rPr>
        <w:t xml:space="preserve">Reconfigure benefits and payment structure </w:t>
      </w:r>
    </w:p>
    <w:p w14:paraId="5003DE24" w14:textId="77777777" w:rsidR="008D6C8B" w:rsidRDefault="008D6C8B" w:rsidP="008D6C8B">
      <w:proofErr w:type="spellStart"/>
      <w:r>
        <w:t>Vialtech</w:t>
      </w:r>
      <w:proofErr w:type="spellEnd"/>
      <w:r>
        <w:t xml:space="preserve"> should reconsider its payment structure and provide effective benefits to its employees in terms of reflecting a flexible working model within the workplace. This significantly includes increasing the allowances, providing internet subsidies and also decreasing travelling allowances. Implementing a performance-based payment system within the workplace effectively may allow the firm to maintain transparency within the payment system. This apparently increases fairness and trust among the workforce.</w:t>
      </w:r>
    </w:p>
    <w:p w14:paraId="582B1D09" w14:textId="77777777" w:rsidR="008D6C8B" w:rsidRDefault="008D6C8B">
      <w:pPr>
        <w:rPr>
          <w:b/>
          <w:sz w:val="28"/>
          <w:szCs w:val="28"/>
        </w:rPr>
      </w:pPr>
      <w:bookmarkStart w:id="14" w:name="_ljl79nc46eup" w:colFirst="0" w:colLast="0"/>
      <w:bookmarkEnd w:id="14"/>
      <w:r>
        <w:br w:type="page"/>
      </w:r>
    </w:p>
    <w:p w14:paraId="3F6DE691" w14:textId="3148FD53" w:rsidR="008D6C8B" w:rsidRDefault="008D6C8B" w:rsidP="008D6C8B">
      <w:pPr>
        <w:pStyle w:val="Heading1"/>
      </w:pPr>
      <w:bookmarkStart w:id="15" w:name="_Toc172635591"/>
      <w:r>
        <w:lastRenderedPageBreak/>
        <w:t>Conclusion</w:t>
      </w:r>
      <w:bookmarkEnd w:id="15"/>
      <w:r>
        <w:t xml:space="preserve"> </w:t>
      </w:r>
    </w:p>
    <w:p w14:paraId="76331A32" w14:textId="1E9FCE8B" w:rsidR="008D6C8B" w:rsidRDefault="008D6C8B" w:rsidP="008D6C8B">
      <w:r>
        <w:t xml:space="preserve">Establishing flexibility within the workplace significantly increases the capability of the employees and also streamlines teamwork. Considering this, the above report has demonstrated the effectiveness of a flexible working environment. Diverse aspects of VialTech in implementing flexible working places have also been demonstrated. In relation to this, the organisation should promote performance-based payment and fair practice within the workplace. </w:t>
      </w:r>
      <w:r w:rsidR="00B44C76">
        <w:t>For</w:t>
      </w:r>
      <w:r>
        <w:t xml:space="preserve"> increas</w:t>
      </w:r>
      <w:r w:rsidR="00B44C76">
        <w:t>ing the</w:t>
      </w:r>
      <w:r w:rsidR="00011624">
        <w:t>ir</w:t>
      </w:r>
      <w:r>
        <w:t xml:space="preserve"> employee engagement</w:t>
      </w:r>
      <w:r w:rsidR="00B44C76">
        <w:t xml:space="preserve"> process</w:t>
      </w:r>
      <w:r>
        <w:t xml:space="preserve">, a </w:t>
      </w:r>
      <w:proofErr w:type="spellStart"/>
      <w:r>
        <w:t>Fombrun</w:t>
      </w:r>
      <w:proofErr w:type="spellEnd"/>
      <w:r>
        <w:t xml:space="preserve"> Model has been </w:t>
      </w:r>
      <w:r w:rsidR="00B44C76">
        <w:t>explained as a strategy for the firm in the above section</w:t>
      </w:r>
      <w:r>
        <w:t xml:space="preserve">. </w:t>
      </w:r>
    </w:p>
    <w:p w14:paraId="3533A13C" w14:textId="4685D727" w:rsidR="008A7138" w:rsidRDefault="008A7138">
      <w:pPr>
        <w:rPr>
          <w:b/>
          <w:sz w:val="28"/>
          <w:szCs w:val="28"/>
        </w:rPr>
      </w:pPr>
      <w:r>
        <w:br w:type="page"/>
      </w:r>
    </w:p>
    <w:p w14:paraId="0000001A" w14:textId="3176CA17" w:rsidR="00C542E3" w:rsidRDefault="00000000">
      <w:pPr>
        <w:pStyle w:val="Heading1"/>
      </w:pPr>
      <w:bookmarkStart w:id="16" w:name="_Toc172635592"/>
      <w:r>
        <w:lastRenderedPageBreak/>
        <w:t>References</w:t>
      </w:r>
      <w:bookmarkEnd w:id="16"/>
    </w:p>
    <w:p w14:paraId="39AD05F8" w14:textId="77777777" w:rsidR="0093199C" w:rsidRPr="008D6C8B" w:rsidRDefault="0093199C" w:rsidP="008D6C8B">
      <w:pPr>
        <w:rPr>
          <w:color w:val="222222"/>
          <w:highlight w:val="white"/>
        </w:rPr>
      </w:pPr>
      <w:proofErr w:type="spellStart"/>
      <w:r w:rsidRPr="008D6C8B">
        <w:rPr>
          <w:color w:val="222222"/>
          <w:highlight w:val="white"/>
        </w:rPr>
        <w:t>Angelici</w:t>
      </w:r>
      <w:proofErr w:type="spellEnd"/>
      <w:r w:rsidRPr="008D6C8B">
        <w:rPr>
          <w:color w:val="222222"/>
          <w:highlight w:val="white"/>
        </w:rPr>
        <w:t xml:space="preserve">, M. and Profeta, P., (2024). Smart working: work flexibility without constraints. </w:t>
      </w:r>
      <w:r w:rsidRPr="008D6C8B">
        <w:rPr>
          <w:i/>
          <w:color w:val="222222"/>
          <w:highlight w:val="white"/>
        </w:rPr>
        <w:t>Management Science</w:t>
      </w:r>
      <w:r w:rsidRPr="008D6C8B">
        <w:rPr>
          <w:color w:val="222222"/>
          <w:highlight w:val="white"/>
        </w:rPr>
        <w:t xml:space="preserve">, </w:t>
      </w:r>
      <w:r w:rsidRPr="008D6C8B">
        <w:rPr>
          <w:i/>
          <w:color w:val="222222"/>
          <w:highlight w:val="white"/>
        </w:rPr>
        <w:t>70</w:t>
      </w:r>
      <w:r w:rsidRPr="008D6C8B">
        <w:rPr>
          <w:color w:val="222222"/>
          <w:highlight w:val="white"/>
        </w:rPr>
        <w:t>(3), pp.1680-1705.</w:t>
      </w:r>
    </w:p>
    <w:p w14:paraId="3DCACF3D" w14:textId="77777777" w:rsidR="0093199C" w:rsidRPr="008D6C8B" w:rsidRDefault="0093199C" w:rsidP="008D6C8B">
      <w:pPr>
        <w:rPr>
          <w:color w:val="222222"/>
          <w:highlight w:val="white"/>
        </w:rPr>
      </w:pPr>
      <w:proofErr w:type="spellStart"/>
      <w:r w:rsidRPr="008D6C8B">
        <w:rPr>
          <w:color w:val="222222"/>
          <w:highlight w:val="white"/>
        </w:rPr>
        <w:t>Austin-Egole</w:t>
      </w:r>
      <w:proofErr w:type="spellEnd"/>
      <w:r w:rsidRPr="008D6C8B">
        <w:rPr>
          <w:color w:val="222222"/>
          <w:highlight w:val="white"/>
        </w:rPr>
        <w:t xml:space="preserve">, I.S., </w:t>
      </w:r>
      <w:proofErr w:type="spellStart"/>
      <w:r w:rsidRPr="008D6C8B">
        <w:rPr>
          <w:color w:val="222222"/>
          <w:highlight w:val="white"/>
        </w:rPr>
        <w:t>Iheriohanma</w:t>
      </w:r>
      <w:proofErr w:type="spellEnd"/>
      <w:r w:rsidRPr="008D6C8B">
        <w:rPr>
          <w:color w:val="222222"/>
          <w:highlight w:val="white"/>
        </w:rPr>
        <w:t xml:space="preserve">, E.B. and Nwokorie, C., (2020). Flexible working arrangements and organizational performance: An overview. </w:t>
      </w:r>
      <w:r w:rsidRPr="008D6C8B">
        <w:rPr>
          <w:i/>
          <w:color w:val="222222"/>
          <w:highlight w:val="white"/>
        </w:rPr>
        <w:t>IOSR Journal of Humanities and Social Science (IOSR-JHSS)</w:t>
      </w:r>
      <w:r w:rsidRPr="008D6C8B">
        <w:rPr>
          <w:color w:val="222222"/>
          <w:highlight w:val="white"/>
        </w:rPr>
        <w:t xml:space="preserve">, </w:t>
      </w:r>
      <w:r w:rsidRPr="008D6C8B">
        <w:rPr>
          <w:i/>
          <w:color w:val="222222"/>
          <w:highlight w:val="white"/>
        </w:rPr>
        <w:t>25</w:t>
      </w:r>
      <w:r w:rsidRPr="008D6C8B">
        <w:rPr>
          <w:color w:val="222222"/>
          <w:highlight w:val="white"/>
        </w:rPr>
        <w:t>(5), pp.50-59.</w:t>
      </w:r>
    </w:p>
    <w:p w14:paraId="287D3054" w14:textId="77777777" w:rsidR="0093199C" w:rsidRDefault="0093199C" w:rsidP="008D6C8B">
      <w:proofErr w:type="spellStart"/>
      <w:r>
        <w:t>Cacoveanu</w:t>
      </w:r>
      <w:proofErr w:type="spellEnd"/>
      <w:r>
        <w:t xml:space="preserve">, A., (2022). </w:t>
      </w:r>
      <w:r w:rsidRPr="008D6C8B">
        <w:rPr>
          <w:i/>
          <w:iCs/>
        </w:rPr>
        <w:t>Flexible Working Has Overtaken Salary as the Top Workplace Benefit.</w:t>
      </w:r>
      <w:r>
        <w:t xml:space="preserve"> [Online] Available at: https://www.yarooms.com/blog/a-major-shift-in-employee-expectations-flexible-working-has-overtaken-salary-as-the-top-workplace-benefit [Accessed 22 July 2024].</w:t>
      </w:r>
    </w:p>
    <w:p w14:paraId="65B3BFD5" w14:textId="77777777" w:rsidR="0093199C" w:rsidRPr="008D6C8B" w:rsidRDefault="0093199C" w:rsidP="008D6C8B">
      <w:pPr>
        <w:rPr>
          <w:color w:val="222222"/>
        </w:rPr>
      </w:pPr>
      <w:r w:rsidRPr="008D6C8B">
        <w:rPr>
          <w:color w:val="222222"/>
        </w:rPr>
        <w:t xml:space="preserve">HALF, R., (2022). </w:t>
      </w:r>
      <w:r w:rsidRPr="008D6C8B">
        <w:rPr>
          <w:i/>
          <w:iCs/>
          <w:color w:val="222222"/>
        </w:rPr>
        <w:t>5 benefits of flexible working for your employees.</w:t>
      </w:r>
      <w:r w:rsidRPr="008D6C8B">
        <w:rPr>
          <w:color w:val="222222"/>
        </w:rPr>
        <w:t xml:space="preserve"> [Online] Available at: https://www.roberthalf.com/gb/en/insights/management-tips/5-benefits-flexible-working-your-employees [Accessed 22 July 2024].</w:t>
      </w:r>
    </w:p>
    <w:p w14:paraId="3BD34CDC" w14:textId="77777777" w:rsidR="0093199C" w:rsidRDefault="0093199C" w:rsidP="008D6C8B">
      <w:proofErr w:type="spellStart"/>
      <w:r>
        <w:t>Loomly</w:t>
      </w:r>
      <w:proofErr w:type="spellEnd"/>
      <w:r>
        <w:t xml:space="preserve">, (2021). </w:t>
      </w:r>
      <w:r w:rsidRPr="008D6C8B">
        <w:rPr>
          <w:i/>
          <w:iCs/>
        </w:rPr>
        <w:t>Flexible Work: How to Harness the Power of the Hybrid Workplace</w:t>
      </w:r>
      <w:r>
        <w:t>. [Online] Available at: https://www.loomly.com/blog/flexible-work [Accessed 22 July 2024].</w:t>
      </w:r>
    </w:p>
    <w:p w14:paraId="34385EC7" w14:textId="77777777" w:rsidR="0093199C" w:rsidRDefault="0093199C" w:rsidP="008D6C8B">
      <w:r>
        <w:t xml:space="preserve">Morris, A., (2021). </w:t>
      </w:r>
      <w:proofErr w:type="spellStart"/>
      <w:r w:rsidRPr="008D6C8B">
        <w:rPr>
          <w:i/>
          <w:iCs/>
        </w:rPr>
        <w:t>Fombrun</w:t>
      </w:r>
      <w:proofErr w:type="spellEnd"/>
      <w:r w:rsidRPr="008D6C8B">
        <w:rPr>
          <w:i/>
          <w:iCs/>
        </w:rPr>
        <w:t xml:space="preserve"> Model of HRM – UPDATED 2022 – A Complete Guide</w:t>
      </w:r>
      <w:r>
        <w:t>. [Online] Available at: https://www.emexmag.com/fombrun-model-of-hrm-updated-2021-a-complete-guide/ [Accessed 22 July 2024].</w:t>
      </w:r>
    </w:p>
    <w:p w14:paraId="7198BD60" w14:textId="77777777" w:rsidR="0093199C" w:rsidRPr="008D6C8B" w:rsidRDefault="0093199C" w:rsidP="008D6C8B">
      <w:pPr>
        <w:rPr>
          <w:color w:val="222222"/>
          <w:highlight w:val="white"/>
        </w:rPr>
      </w:pPr>
      <w:r w:rsidRPr="008D6C8B">
        <w:rPr>
          <w:color w:val="222222"/>
          <w:highlight w:val="white"/>
        </w:rPr>
        <w:t xml:space="preserve">Shifrin, N.V. and Michel, J.S., (2022). Flexible work arrangements and employee health: A meta-analytic review. </w:t>
      </w:r>
      <w:r w:rsidRPr="008D6C8B">
        <w:rPr>
          <w:i/>
          <w:color w:val="222222"/>
          <w:highlight w:val="white"/>
        </w:rPr>
        <w:t>Work &amp; Stress</w:t>
      </w:r>
      <w:r w:rsidRPr="008D6C8B">
        <w:rPr>
          <w:color w:val="222222"/>
          <w:highlight w:val="white"/>
        </w:rPr>
        <w:t xml:space="preserve">, </w:t>
      </w:r>
      <w:r w:rsidRPr="008D6C8B">
        <w:rPr>
          <w:i/>
          <w:color w:val="222222"/>
          <w:highlight w:val="white"/>
        </w:rPr>
        <w:t>36</w:t>
      </w:r>
      <w:r w:rsidRPr="008D6C8B">
        <w:rPr>
          <w:color w:val="222222"/>
          <w:highlight w:val="white"/>
        </w:rPr>
        <w:t>(1), pp.60-85.</w:t>
      </w:r>
    </w:p>
    <w:p w14:paraId="0BA5F7DA" w14:textId="77777777" w:rsidR="0093199C" w:rsidRPr="008D6C8B" w:rsidRDefault="0093199C" w:rsidP="008D6C8B">
      <w:pPr>
        <w:rPr>
          <w:color w:val="222222"/>
          <w:highlight w:val="white"/>
        </w:rPr>
      </w:pPr>
      <w:r w:rsidRPr="008D6C8B">
        <w:rPr>
          <w:color w:val="222222"/>
          <w:highlight w:val="white"/>
        </w:rPr>
        <w:t xml:space="preserve">Suomi, K., </w:t>
      </w:r>
      <w:proofErr w:type="spellStart"/>
      <w:r w:rsidRPr="008D6C8B">
        <w:rPr>
          <w:color w:val="222222"/>
          <w:highlight w:val="white"/>
        </w:rPr>
        <w:t>Saraniemi</w:t>
      </w:r>
      <w:proofErr w:type="spellEnd"/>
      <w:r w:rsidRPr="008D6C8B">
        <w:rPr>
          <w:color w:val="222222"/>
          <w:highlight w:val="white"/>
        </w:rPr>
        <w:t xml:space="preserve">, S., </w:t>
      </w:r>
      <w:proofErr w:type="spellStart"/>
      <w:r w:rsidRPr="008D6C8B">
        <w:rPr>
          <w:color w:val="222222"/>
          <w:highlight w:val="white"/>
        </w:rPr>
        <w:t>Vähätalo</w:t>
      </w:r>
      <w:proofErr w:type="spellEnd"/>
      <w:r w:rsidRPr="008D6C8B">
        <w:rPr>
          <w:color w:val="222222"/>
          <w:highlight w:val="white"/>
        </w:rPr>
        <w:t xml:space="preserve">, M., Kallio, T.J. and </w:t>
      </w:r>
      <w:proofErr w:type="spellStart"/>
      <w:r w:rsidRPr="008D6C8B">
        <w:rPr>
          <w:color w:val="222222"/>
          <w:highlight w:val="white"/>
        </w:rPr>
        <w:t>Tevameri</w:t>
      </w:r>
      <w:proofErr w:type="spellEnd"/>
      <w:r w:rsidRPr="008D6C8B">
        <w:rPr>
          <w:color w:val="222222"/>
          <w:highlight w:val="white"/>
        </w:rPr>
        <w:t xml:space="preserve">, T., (2021). Employee engagement and internal branding: two sides of the same coin?. </w:t>
      </w:r>
      <w:r w:rsidRPr="008D6C8B">
        <w:rPr>
          <w:i/>
          <w:color w:val="222222"/>
          <w:highlight w:val="white"/>
        </w:rPr>
        <w:t>Corporate Reputation Review</w:t>
      </w:r>
      <w:r w:rsidRPr="008D6C8B">
        <w:rPr>
          <w:color w:val="222222"/>
          <w:highlight w:val="white"/>
        </w:rPr>
        <w:t xml:space="preserve">, </w:t>
      </w:r>
      <w:r w:rsidRPr="008D6C8B">
        <w:rPr>
          <w:i/>
          <w:color w:val="222222"/>
          <w:highlight w:val="white"/>
        </w:rPr>
        <w:t>24</w:t>
      </w:r>
      <w:r w:rsidRPr="008D6C8B">
        <w:rPr>
          <w:color w:val="222222"/>
          <w:highlight w:val="white"/>
        </w:rPr>
        <w:t>, pp.48-63.</w:t>
      </w:r>
    </w:p>
    <w:p w14:paraId="79220FED" w14:textId="77777777" w:rsidR="0093199C" w:rsidRPr="008D6C8B" w:rsidRDefault="0093199C" w:rsidP="008D6C8B">
      <w:pPr>
        <w:rPr>
          <w:color w:val="222222"/>
        </w:rPr>
      </w:pPr>
      <w:proofErr w:type="spellStart"/>
      <w:r w:rsidRPr="008D6C8B">
        <w:rPr>
          <w:color w:val="222222"/>
        </w:rPr>
        <w:t>Vialtech</w:t>
      </w:r>
      <w:proofErr w:type="spellEnd"/>
      <w:r w:rsidRPr="008D6C8B">
        <w:rPr>
          <w:color w:val="222222"/>
        </w:rPr>
        <w:t xml:space="preserve">, (2024). </w:t>
      </w:r>
      <w:r w:rsidRPr="008D6C8B">
        <w:rPr>
          <w:i/>
          <w:iCs/>
          <w:color w:val="222222"/>
        </w:rPr>
        <w:t>ABOUT US.</w:t>
      </w:r>
      <w:r w:rsidRPr="008D6C8B">
        <w:rPr>
          <w:color w:val="222222"/>
        </w:rPr>
        <w:t xml:space="preserve"> [Online] Available at: https://vialtech.ru/en/about-us/ [Accessed 22 July 2024].</w:t>
      </w:r>
    </w:p>
    <w:p w14:paraId="2AC9FDF8" w14:textId="77777777" w:rsidR="0093199C" w:rsidRDefault="0093199C" w:rsidP="008D6C8B">
      <w:r w:rsidRPr="008D6C8B">
        <w:rPr>
          <w:color w:val="222222"/>
          <w:highlight w:val="white"/>
        </w:rPr>
        <w:lastRenderedPageBreak/>
        <w:t xml:space="preserve">White, C. and Maniam, B., (2020). Flexible working arrangements, </w:t>
      </w:r>
      <w:proofErr w:type="spellStart"/>
      <w:r w:rsidRPr="008D6C8B">
        <w:rPr>
          <w:color w:val="222222"/>
          <w:highlight w:val="white"/>
        </w:rPr>
        <w:t>worklife</w:t>
      </w:r>
      <w:proofErr w:type="spellEnd"/>
      <w:r w:rsidRPr="008D6C8B">
        <w:rPr>
          <w:color w:val="222222"/>
          <w:highlight w:val="white"/>
        </w:rPr>
        <w:t xml:space="preserve"> balance, and working women. </w:t>
      </w:r>
      <w:r w:rsidRPr="008D6C8B">
        <w:rPr>
          <w:i/>
          <w:color w:val="222222"/>
          <w:highlight w:val="white"/>
        </w:rPr>
        <w:t>Journal of Business and Accounting</w:t>
      </w:r>
      <w:r w:rsidRPr="008D6C8B">
        <w:rPr>
          <w:color w:val="222222"/>
          <w:highlight w:val="white"/>
        </w:rPr>
        <w:t xml:space="preserve">, </w:t>
      </w:r>
      <w:r w:rsidRPr="008D6C8B">
        <w:rPr>
          <w:i/>
          <w:color w:val="222222"/>
          <w:highlight w:val="white"/>
        </w:rPr>
        <w:t>13</w:t>
      </w:r>
      <w:r w:rsidRPr="008D6C8B">
        <w:rPr>
          <w:color w:val="222222"/>
          <w:highlight w:val="white"/>
        </w:rPr>
        <w:t>(1), pp.59-73.</w:t>
      </w:r>
      <w:r>
        <w:t xml:space="preserve"> </w:t>
      </w:r>
    </w:p>
    <w:p w14:paraId="2220EB23" w14:textId="77777777" w:rsidR="0093199C" w:rsidRPr="008D6C8B" w:rsidRDefault="0093199C" w:rsidP="008D6C8B">
      <w:pPr>
        <w:rPr>
          <w:color w:val="222222"/>
          <w:highlight w:val="white"/>
        </w:rPr>
      </w:pPr>
      <w:r w:rsidRPr="008D6C8B">
        <w:rPr>
          <w:color w:val="222222"/>
          <w:highlight w:val="white"/>
        </w:rPr>
        <w:t xml:space="preserve">Yu, R., Burke, M. and Raad, N., (2019). Exploring impact of future flexible working model evolution on urban environment, economy and planning. </w:t>
      </w:r>
      <w:r w:rsidRPr="008D6C8B">
        <w:rPr>
          <w:i/>
          <w:color w:val="222222"/>
          <w:highlight w:val="white"/>
        </w:rPr>
        <w:t>Journal of Urban Management</w:t>
      </w:r>
      <w:r w:rsidRPr="008D6C8B">
        <w:rPr>
          <w:color w:val="222222"/>
          <w:highlight w:val="white"/>
        </w:rPr>
        <w:t xml:space="preserve">, </w:t>
      </w:r>
      <w:r w:rsidRPr="008D6C8B">
        <w:rPr>
          <w:i/>
          <w:color w:val="222222"/>
          <w:highlight w:val="white"/>
        </w:rPr>
        <w:t>8</w:t>
      </w:r>
      <w:r w:rsidRPr="008D6C8B">
        <w:rPr>
          <w:color w:val="222222"/>
          <w:highlight w:val="white"/>
        </w:rPr>
        <w:t>(3), pp.447-457.</w:t>
      </w:r>
    </w:p>
    <w:p w14:paraId="70B91EB7" w14:textId="77777777" w:rsidR="008D6C8B" w:rsidRPr="008A7138" w:rsidRDefault="008D6C8B" w:rsidP="008A7138">
      <w:pPr>
        <w:rPr>
          <w:color w:val="222222"/>
        </w:rPr>
      </w:pPr>
    </w:p>
    <w:p w14:paraId="40725A3E" w14:textId="77777777" w:rsidR="008A7138" w:rsidRDefault="008A7138">
      <w:pPr>
        <w:rPr>
          <w:color w:val="222222"/>
          <w:highlight w:val="white"/>
        </w:rPr>
      </w:pPr>
    </w:p>
    <w:sectPr w:rsidR="008A7138" w:rsidSect="008A7138">
      <w:headerReference w:type="default" r:id="rId8"/>
      <w:footerReference w:type="default" r:id="rId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4E0A43" w14:textId="77777777" w:rsidR="00E80D16" w:rsidRDefault="00E80D16" w:rsidP="008A7138">
      <w:pPr>
        <w:spacing w:line="240" w:lineRule="auto"/>
      </w:pPr>
      <w:r>
        <w:separator/>
      </w:r>
    </w:p>
  </w:endnote>
  <w:endnote w:type="continuationSeparator" w:id="0">
    <w:p w14:paraId="78E2070A" w14:textId="77777777" w:rsidR="00E80D16" w:rsidRDefault="00E80D16" w:rsidP="008A713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bCs/>
      </w:rPr>
      <w:id w:val="976960210"/>
      <w:docPartObj>
        <w:docPartGallery w:val="Page Numbers (Bottom of Page)"/>
        <w:docPartUnique/>
      </w:docPartObj>
    </w:sdtPr>
    <w:sdtContent>
      <w:sdt>
        <w:sdtPr>
          <w:rPr>
            <w:b/>
            <w:bCs/>
          </w:rPr>
          <w:id w:val="-1769616900"/>
          <w:docPartObj>
            <w:docPartGallery w:val="Page Numbers (Top of Page)"/>
            <w:docPartUnique/>
          </w:docPartObj>
        </w:sdtPr>
        <w:sdtContent>
          <w:p w14:paraId="71D8F08A" w14:textId="0F4D21FF" w:rsidR="008A7138" w:rsidRPr="00F9646D" w:rsidRDefault="008A7138">
            <w:pPr>
              <w:pStyle w:val="Footer"/>
              <w:jc w:val="right"/>
              <w:rPr>
                <w:b/>
                <w:bCs/>
              </w:rPr>
            </w:pPr>
            <w:r w:rsidRPr="00F9646D">
              <w:rPr>
                <w:b/>
                <w:bCs/>
              </w:rPr>
              <w:t xml:space="preserve">Page </w:t>
            </w:r>
            <w:r w:rsidRPr="00F9646D">
              <w:rPr>
                <w:b/>
                <w:bCs/>
              </w:rPr>
              <w:fldChar w:fldCharType="begin"/>
            </w:r>
            <w:r w:rsidRPr="00F9646D">
              <w:rPr>
                <w:b/>
                <w:bCs/>
              </w:rPr>
              <w:instrText xml:space="preserve"> PAGE </w:instrText>
            </w:r>
            <w:r w:rsidRPr="00F9646D">
              <w:rPr>
                <w:b/>
                <w:bCs/>
              </w:rPr>
              <w:fldChar w:fldCharType="separate"/>
            </w:r>
            <w:r w:rsidRPr="00F9646D">
              <w:rPr>
                <w:b/>
                <w:bCs/>
                <w:noProof/>
              </w:rPr>
              <w:t>2</w:t>
            </w:r>
            <w:r w:rsidRPr="00F9646D">
              <w:rPr>
                <w:b/>
                <w:bCs/>
              </w:rPr>
              <w:fldChar w:fldCharType="end"/>
            </w:r>
            <w:r w:rsidRPr="00F9646D">
              <w:rPr>
                <w:b/>
                <w:bCs/>
              </w:rPr>
              <w:t xml:space="preserve"> of </w:t>
            </w:r>
            <w:r w:rsidRPr="00F9646D">
              <w:rPr>
                <w:b/>
                <w:bCs/>
              </w:rPr>
              <w:fldChar w:fldCharType="begin"/>
            </w:r>
            <w:r w:rsidRPr="00F9646D">
              <w:rPr>
                <w:b/>
                <w:bCs/>
              </w:rPr>
              <w:instrText xml:space="preserve"> NUMPAGES  </w:instrText>
            </w:r>
            <w:r w:rsidRPr="00F9646D">
              <w:rPr>
                <w:b/>
                <w:bCs/>
              </w:rPr>
              <w:fldChar w:fldCharType="separate"/>
            </w:r>
            <w:r w:rsidRPr="00F9646D">
              <w:rPr>
                <w:b/>
                <w:bCs/>
                <w:noProof/>
              </w:rPr>
              <w:t>2</w:t>
            </w:r>
            <w:r w:rsidRPr="00F9646D">
              <w:rPr>
                <w:b/>
                <w:bCs/>
              </w:rPr>
              <w:fldChar w:fldCharType="end"/>
            </w:r>
          </w:p>
        </w:sdtContent>
      </w:sdt>
    </w:sdtContent>
  </w:sdt>
  <w:p w14:paraId="1C5DD851" w14:textId="77777777" w:rsidR="008A7138" w:rsidRDefault="008A71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2B6CE6" w14:textId="77777777" w:rsidR="00E80D16" w:rsidRDefault="00E80D16" w:rsidP="008A7138">
      <w:pPr>
        <w:spacing w:line="240" w:lineRule="auto"/>
      </w:pPr>
      <w:r>
        <w:separator/>
      </w:r>
    </w:p>
  </w:footnote>
  <w:footnote w:type="continuationSeparator" w:id="0">
    <w:p w14:paraId="6320169A" w14:textId="77777777" w:rsidR="00E80D16" w:rsidRDefault="00E80D16" w:rsidP="008A713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11B393" w14:textId="150C1F0D" w:rsidR="008A7138" w:rsidRPr="00F9646D" w:rsidRDefault="008A7138" w:rsidP="008A7138">
    <w:pPr>
      <w:pStyle w:val="Header"/>
      <w:ind w:left="4680" w:hanging="4680"/>
      <w:jc w:val="right"/>
      <w:rPr>
        <w:b/>
        <w:bCs/>
      </w:rPr>
    </w:pPr>
    <w:r w:rsidRPr="00F9646D">
      <w:rPr>
        <w:b/>
        <w:bCs/>
      </w:rPr>
      <w:t>Managing People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DA55CD"/>
    <w:multiLevelType w:val="hybridMultilevel"/>
    <w:tmpl w:val="BE0E93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DE163E5"/>
    <w:multiLevelType w:val="hybridMultilevel"/>
    <w:tmpl w:val="247043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4251506">
    <w:abstractNumId w:val="0"/>
  </w:num>
  <w:num w:numId="2" w16cid:durableId="8291715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1"/>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42E3"/>
    <w:rsid w:val="00011624"/>
    <w:rsid w:val="00070CD4"/>
    <w:rsid w:val="000A6EB8"/>
    <w:rsid w:val="000B2CA7"/>
    <w:rsid w:val="000C4352"/>
    <w:rsid w:val="000C6930"/>
    <w:rsid w:val="001638B9"/>
    <w:rsid w:val="001832AF"/>
    <w:rsid w:val="001F1E73"/>
    <w:rsid w:val="0021529C"/>
    <w:rsid w:val="0029257F"/>
    <w:rsid w:val="0035283A"/>
    <w:rsid w:val="003C5CA1"/>
    <w:rsid w:val="003F0B3C"/>
    <w:rsid w:val="0040460A"/>
    <w:rsid w:val="0052770A"/>
    <w:rsid w:val="0057663D"/>
    <w:rsid w:val="005F33F7"/>
    <w:rsid w:val="007D7788"/>
    <w:rsid w:val="008528EC"/>
    <w:rsid w:val="008A7138"/>
    <w:rsid w:val="008D6C8B"/>
    <w:rsid w:val="0093199C"/>
    <w:rsid w:val="00B44C76"/>
    <w:rsid w:val="00B45503"/>
    <w:rsid w:val="00B77719"/>
    <w:rsid w:val="00C14CCF"/>
    <w:rsid w:val="00C542E3"/>
    <w:rsid w:val="00E54DE7"/>
    <w:rsid w:val="00E80D16"/>
    <w:rsid w:val="00F652DE"/>
    <w:rsid w:val="00F9646D"/>
    <w:rsid w:val="00FC3B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740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8A7138"/>
    <w:pPr>
      <w:tabs>
        <w:tab w:val="center" w:pos="4680"/>
        <w:tab w:val="right" w:pos="9360"/>
      </w:tabs>
      <w:spacing w:line="240" w:lineRule="auto"/>
    </w:pPr>
  </w:style>
  <w:style w:type="character" w:customStyle="1" w:styleId="HeaderChar">
    <w:name w:val="Header Char"/>
    <w:basedOn w:val="DefaultParagraphFont"/>
    <w:link w:val="Header"/>
    <w:uiPriority w:val="99"/>
    <w:rsid w:val="008A7138"/>
  </w:style>
  <w:style w:type="paragraph" w:styleId="Footer">
    <w:name w:val="footer"/>
    <w:basedOn w:val="Normal"/>
    <w:link w:val="FooterChar"/>
    <w:uiPriority w:val="99"/>
    <w:unhideWhenUsed/>
    <w:rsid w:val="008A7138"/>
    <w:pPr>
      <w:tabs>
        <w:tab w:val="center" w:pos="4680"/>
        <w:tab w:val="right" w:pos="9360"/>
      </w:tabs>
      <w:spacing w:line="240" w:lineRule="auto"/>
    </w:pPr>
  </w:style>
  <w:style w:type="character" w:customStyle="1" w:styleId="FooterChar">
    <w:name w:val="Footer Char"/>
    <w:basedOn w:val="DefaultParagraphFont"/>
    <w:link w:val="Footer"/>
    <w:uiPriority w:val="99"/>
    <w:rsid w:val="008A7138"/>
  </w:style>
  <w:style w:type="character" w:customStyle="1" w:styleId="Heading1Char">
    <w:name w:val="Heading 1 Char"/>
    <w:basedOn w:val="DefaultParagraphFont"/>
    <w:link w:val="Heading1"/>
    <w:uiPriority w:val="9"/>
    <w:rsid w:val="008A7138"/>
    <w:rPr>
      <w:b/>
      <w:sz w:val="28"/>
      <w:szCs w:val="28"/>
    </w:rPr>
  </w:style>
  <w:style w:type="paragraph" w:styleId="Bibliography">
    <w:name w:val="Bibliography"/>
    <w:basedOn w:val="Normal"/>
    <w:next w:val="Normal"/>
    <w:uiPriority w:val="37"/>
    <w:unhideWhenUsed/>
    <w:rsid w:val="008A7138"/>
  </w:style>
  <w:style w:type="character" w:styleId="Hyperlink">
    <w:name w:val="Hyperlink"/>
    <w:basedOn w:val="DefaultParagraphFont"/>
    <w:uiPriority w:val="99"/>
    <w:unhideWhenUsed/>
    <w:rsid w:val="008A7138"/>
    <w:rPr>
      <w:color w:val="0000FF" w:themeColor="hyperlink"/>
      <w:u w:val="single"/>
    </w:rPr>
  </w:style>
  <w:style w:type="character" w:styleId="UnresolvedMention">
    <w:name w:val="Unresolved Mention"/>
    <w:basedOn w:val="DefaultParagraphFont"/>
    <w:uiPriority w:val="99"/>
    <w:semiHidden/>
    <w:unhideWhenUsed/>
    <w:rsid w:val="008A7138"/>
    <w:rPr>
      <w:color w:val="605E5C"/>
      <w:shd w:val="clear" w:color="auto" w:fill="E1DFDD"/>
    </w:rPr>
  </w:style>
  <w:style w:type="paragraph" w:styleId="ListParagraph">
    <w:name w:val="List Paragraph"/>
    <w:basedOn w:val="Normal"/>
    <w:uiPriority w:val="34"/>
    <w:qFormat/>
    <w:rsid w:val="008A7138"/>
    <w:pPr>
      <w:ind w:left="720"/>
      <w:contextualSpacing/>
    </w:pPr>
  </w:style>
  <w:style w:type="paragraph" w:styleId="TOCHeading">
    <w:name w:val="TOC Heading"/>
    <w:basedOn w:val="Heading1"/>
    <w:next w:val="Normal"/>
    <w:uiPriority w:val="39"/>
    <w:unhideWhenUsed/>
    <w:qFormat/>
    <w:rsid w:val="00E54DE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54DE7"/>
    <w:pPr>
      <w:spacing w:after="100"/>
    </w:pPr>
  </w:style>
  <w:style w:type="paragraph" w:styleId="TOC2">
    <w:name w:val="toc 2"/>
    <w:basedOn w:val="Normal"/>
    <w:next w:val="Normal"/>
    <w:autoRedefine/>
    <w:uiPriority w:val="39"/>
    <w:unhideWhenUsed/>
    <w:rsid w:val="00E54DE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613565">
      <w:bodyDiv w:val="1"/>
      <w:marLeft w:val="0"/>
      <w:marRight w:val="0"/>
      <w:marTop w:val="0"/>
      <w:marBottom w:val="0"/>
      <w:divBdr>
        <w:top w:val="none" w:sz="0" w:space="0" w:color="auto"/>
        <w:left w:val="none" w:sz="0" w:space="0" w:color="auto"/>
        <w:bottom w:val="none" w:sz="0" w:space="0" w:color="auto"/>
        <w:right w:val="none" w:sz="0" w:space="0" w:color="auto"/>
      </w:divBdr>
    </w:div>
    <w:div w:id="1461337946">
      <w:bodyDiv w:val="1"/>
      <w:marLeft w:val="0"/>
      <w:marRight w:val="0"/>
      <w:marTop w:val="0"/>
      <w:marBottom w:val="0"/>
      <w:divBdr>
        <w:top w:val="none" w:sz="0" w:space="0" w:color="auto"/>
        <w:left w:val="none" w:sz="0" w:space="0" w:color="auto"/>
        <w:bottom w:val="none" w:sz="0" w:space="0" w:color="auto"/>
        <w:right w:val="none" w:sz="0" w:space="0" w:color="auto"/>
      </w:divBdr>
    </w:div>
    <w:div w:id="16983832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Via24</b:Tag>
    <b:SourceType>InternetSite</b:SourceType>
    <b:Guid>{ECB37A25-4CF8-4C6A-9223-812CBA390792}</b:Guid>
    <b:Author>
      <b:Author>
        <b:Corporate>Vialtech</b:Corporate>
      </b:Author>
    </b:Author>
    <b:Title>ABOUT US</b:Title>
    <b:Year>2024</b:Year>
    <b:YearAccessed>2024</b:YearAccessed>
    <b:MonthAccessed>July</b:MonthAccessed>
    <b:DayAccessed>22</b:DayAccessed>
    <b:URL>https://vialtech.ru/en/about-us/</b:URL>
    <b:RefOrder>1</b:RefOrder>
  </b:Source>
  <b:Source>
    <b:Tag>ROB22</b:Tag>
    <b:SourceType>InternetSite</b:SourceType>
    <b:Guid>{3E1F4DE6-5D9D-483C-ABAF-5205148CE19C}</b:Guid>
    <b:Author>
      <b:Author>
        <b:NameList>
          <b:Person>
            <b:Last>HALF</b:Last>
            <b:First>ROBERT</b:First>
          </b:Person>
        </b:NameList>
      </b:Author>
    </b:Author>
    <b:Title>5 benefits of flexible working for your employees</b:Title>
    <b:Year>2022</b:Year>
    <b:YearAccessed>2024</b:YearAccessed>
    <b:MonthAccessed>July</b:MonthAccessed>
    <b:DayAccessed>22</b:DayAccessed>
    <b:URL>https://www.roberthalf.com/gb/en/insights/management-tips/5-benefits-flexible-working-your-employees</b:URL>
    <b:RefOrder>2</b:RefOrder>
  </b:Source>
  <b:Source>
    <b:Tag>Adr22</b:Tag>
    <b:SourceType>InternetSite</b:SourceType>
    <b:Guid>{1E8119E2-AA8F-45BD-AA0B-055D035F4928}</b:Guid>
    <b:Author>
      <b:Author>
        <b:NameList>
          <b:Person>
            <b:Last>Cacoveanu</b:Last>
            <b:First>Adriana</b:First>
          </b:Person>
        </b:NameList>
      </b:Author>
    </b:Author>
    <b:Title>Flexible Working Has Overtaken Salary as the Top Workplace Benefit</b:Title>
    <b:Year>2022</b:Year>
    <b:YearAccessed>2024</b:YearAccessed>
    <b:MonthAccessed>July </b:MonthAccessed>
    <b:DayAccessed>22</b:DayAccessed>
    <b:URL>https://www.yarooms.com/blog/a-major-shift-in-employee-expectations-flexible-working-has-overtaken-salary-as-the-top-workplace-benefit</b:URL>
    <b:RefOrder>1</b:RefOrder>
  </b:Source>
  <b:Source>
    <b:Tag>Loo21</b:Tag>
    <b:SourceType>InternetSite</b:SourceType>
    <b:Guid>{9C46D276-BEA1-4510-8A0C-DC852BA10818}</b:Guid>
    <b:Author>
      <b:Author>
        <b:Corporate>Loomly</b:Corporate>
      </b:Author>
    </b:Author>
    <b:Title>Flexible Work: How to Harness the Power of the Hybrid Workplace</b:Title>
    <b:Year>2021</b:Year>
    <b:YearAccessed>2024</b:YearAccessed>
    <b:MonthAccessed>July</b:MonthAccessed>
    <b:DayAccessed>22</b:DayAccessed>
    <b:URL>https://www.loomly.com/blog/flexible-work</b:URL>
    <b:RefOrder>2</b:RefOrder>
  </b:Source>
  <b:Source>
    <b:Tag>Ale21</b:Tag>
    <b:SourceType>InternetSite</b:SourceType>
    <b:Guid>{02578C52-7A83-4D6B-B3ED-CBE94B438667}</b:Guid>
    <b:Author>
      <b:Author>
        <b:NameList>
          <b:Person>
            <b:Last>Morris</b:Last>
            <b:First>Alex</b:First>
          </b:Person>
        </b:NameList>
      </b:Author>
    </b:Author>
    <b:Title>Fombrun Model of HRM – UPDATED 2022 – A Complete Guide</b:Title>
    <b:Year>2021</b:Year>
    <b:YearAccessed>2024</b:YearAccessed>
    <b:MonthAccessed>July</b:MonthAccessed>
    <b:DayAccessed>22</b:DayAccessed>
    <b:URL>https://www.emexmag.com/fombrun-model-of-hrm-updated-2021-a-complete-guide/</b:URL>
    <b:RefOrder>3</b:RefOrder>
  </b:Source>
</b:Sources>
</file>

<file path=customXml/itemProps1.xml><?xml version="1.0" encoding="utf-8"?>
<ds:datastoreItem xmlns:ds="http://schemas.openxmlformats.org/officeDocument/2006/customXml" ds:itemID="{B9710435-3A73-4D22-8F03-C530DCAE911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2740</Words>
  <Characters>15620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2024-07-23T07:52:00Z</dcterms:created>
  <dcterms:modified xsi:type="dcterms:W3CDTF">2024-07-29T06:03:00Z</dcterms:modified>
</cp:coreProperties>
</file>