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54B3" w:rsidRDefault="001C54B3" w:rsidP="007A4695">
      <w:pPr>
        <w:spacing w:line="360" w:lineRule="auto"/>
        <w:rPr>
          <w:rFonts w:ascii="Times New Roman" w:eastAsia="Times New Roman" w:hAnsi="Times New Roman" w:cs="Times New Roman"/>
          <w:b/>
          <w:sz w:val="32"/>
          <w:szCs w:val="32"/>
        </w:rPr>
      </w:pPr>
    </w:p>
    <w:p w:rsidR="001C54B3" w:rsidRDefault="001C54B3" w:rsidP="00735C33">
      <w:pPr>
        <w:spacing w:line="360" w:lineRule="auto"/>
        <w:jc w:val="center"/>
        <w:rPr>
          <w:rFonts w:ascii="Times New Roman" w:eastAsia="Times New Roman" w:hAnsi="Times New Roman" w:cs="Times New Roman"/>
          <w:b/>
          <w:sz w:val="32"/>
          <w:szCs w:val="32"/>
        </w:rPr>
      </w:pPr>
    </w:p>
    <w:p w:rsidR="001C54B3" w:rsidRDefault="001C54B3" w:rsidP="00735C33">
      <w:pPr>
        <w:spacing w:line="360" w:lineRule="auto"/>
        <w:jc w:val="center"/>
        <w:rPr>
          <w:rFonts w:ascii="Times New Roman" w:eastAsia="Times New Roman" w:hAnsi="Times New Roman" w:cs="Times New Roman"/>
          <w:b/>
          <w:sz w:val="32"/>
          <w:szCs w:val="32"/>
        </w:rPr>
      </w:pPr>
    </w:p>
    <w:p w:rsidR="001C54B3" w:rsidRDefault="001C54B3" w:rsidP="00735C33">
      <w:pPr>
        <w:spacing w:line="360" w:lineRule="auto"/>
        <w:jc w:val="center"/>
        <w:rPr>
          <w:rFonts w:ascii="Times New Roman" w:eastAsia="Times New Roman" w:hAnsi="Times New Roman" w:cs="Times New Roman"/>
          <w:b/>
          <w:sz w:val="32"/>
          <w:szCs w:val="32"/>
        </w:rPr>
      </w:pPr>
    </w:p>
    <w:p w:rsidR="001C54B3" w:rsidRDefault="001C54B3" w:rsidP="00735C33">
      <w:pPr>
        <w:spacing w:line="360" w:lineRule="auto"/>
        <w:jc w:val="center"/>
        <w:rPr>
          <w:rFonts w:ascii="Times New Roman" w:eastAsia="Times New Roman" w:hAnsi="Times New Roman" w:cs="Times New Roman"/>
          <w:b/>
          <w:sz w:val="32"/>
          <w:szCs w:val="32"/>
        </w:rPr>
      </w:pPr>
      <w:bookmarkStart w:id="0" w:name="_GoBack"/>
      <w:bookmarkEnd w:id="0"/>
    </w:p>
    <w:p w:rsidR="001C54B3" w:rsidRDefault="001C54B3" w:rsidP="00735C33">
      <w:pPr>
        <w:spacing w:line="360" w:lineRule="auto"/>
        <w:jc w:val="center"/>
        <w:rPr>
          <w:rFonts w:ascii="Times New Roman" w:eastAsia="Times New Roman" w:hAnsi="Times New Roman" w:cs="Times New Roman"/>
          <w:b/>
          <w:sz w:val="32"/>
          <w:szCs w:val="32"/>
        </w:rPr>
      </w:pPr>
    </w:p>
    <w:p w:rsidR="001C54B3" w:rsidRDefault="001C54B3" w:rsidP="00735C33">
      <w:pPr>
        <w:spacing w:line="360" w:lineRule="auto"/>
        <w:jc w:val="center"/>
        <w:rPr>
          <w:rFonts w:ascii="Times New Roman" w:eastAsia="Times New Roman" w:hAnsi="Times New Roman" w:cs="Times New Roman"/>
          <w:b/>
          <w:sz w:val="32"/>
          <w:szCs w:val="32"/>
        </w:rPr>
      </w:pPr>
    </w:p>
    <w:p w:rsidR="009728BB" w:rsidRDefault="009728BB" w:rsidP="009728BB">
      <w:pPr>
        <w:spacing w:line="360" w:lineRule="auto"/>
        <w:jc w:val="center"/>
        <w:rPr>
          <w:rFonts w:ascii="Times New Roman" w:eastAsia="Times New Roman" w:hAnsi="Times New Roman" w:cs="Times New Roman"/>
          <w:b/>
          <w:sz w:val="56"/>
          <w:szCs w:val="56"/>
        </w:rPr>
      </w:pPr>
      <w:r w:rsidRPr="00BD4126">
        <w:rPr>
          <w:rFonts w:ascii="Times New Roman" w:eastAsia="Times New Roman" w:hAnsi="Times New Roman" w:cs="Times New Roman"/>
          <w:b/>
          <w:sz w:val="56"/>
          <w:szCs w:val="56"/>
        </w:rPr>
        <w:t>FINANCIAL MANAGEMENT</w:t>
      </w:r>
    </w:p>
    <w:p w:rsidR="009728BB" w:rsidRPr="00181DCE" w:rsidRDefault="009728BB" w:rsidP="00735C33">
      <w:pPr>
        <w:spacing w:line="360" w:lineRule="auto"/>
        <w:jc w:val="center"/>
        <w:rPr>
          <w:rFonts w:ascii="Times New Roman" w:eastAsia="Times New Roman" w:hAnsi="Times New Roman" w:cs="Times New Roman"/>
          <w:b/>
          <w:i/>
          <w:sz w:val="32"/>
          <w:szCs w:val="32"/>
        </w:rPr>
      </w:pPr>
      <w:r w:rsidRPr="00181DCE">
        <w:rPr>
          <w:rFonts w:ascii="Times New Roman" w:eastAsia="Times New Roman" w:hAnsi="Times New Roman" w:cs="Times New Roman"/>
          <w:b/>
          <w:i/>
          <w:sz w:val="32"/>
          <w:szCs w:val="32"/>
        </w:rPr>
        <w:t>ASSIGNMENT TITLE - FINANCIAL MANAGEMENT</w:t>
      </w:r>
    </w:p>
    <w:p w:rsidR="009728BB" w:rsidRPr="00181DCE" w:rsidRDefault="009728BB" w:rsidP="00735C33">
      <w:pPr>
        <w:spacing w:line="360" w:lineRule="auto"/>
        <w:jc w:val="center"/>
        <w:rPr>
          <w:rFonts w:ascii="Times New Roman" w:eastAsia="Times New Roman" w:hAnsi="Times New Roman" w:cs="Times New Roman"/>
          <w:b/>
          <w:i/>
          <w:sz w:val="32"/>
          <w:szCs w:val="32"/>
        </w:rPr>
      </w:pPr>
      <w:r w:rsidRPr="00181DCE">
        <w:rPr>
          <w:rFonts w:ascii="Times New Roman" w:eastAsia="Times New Roman" w:hAnsi="Times New Roman" w:cs="Times New Roman"/>
          <w:b/>
          <w:i/>
          <w:sz w:val="32"/>
          <w:szCs w:val="32"/>
        </w:rPr>
        <w:t xml:space="preserve">STUDENT: MD ANOWAR HOSSAIN </w:t>
      </w:r>
    </w:p>
    <w:p w:rsidR="001C54B3" w:rsidRPr="00181DCE" w:rsidRDefault="009728BB" w:rsidP="00735C33">
      <w:pPr>
        <w:spacing w:line="360" w:lineRule="auto"/>
        <w:jc w:val="center"/>
        <w:rPr>
          <w:rFonts w:ascii="Times New Roman" w:eastAsia="Times New Roman" w:hAnsi="Times New Roman" w:cs="Times New Roman"/>
          <w:b/>
          <w:i/>
          <w:sz w:val="32"/>
          <w:szCs w:val="32"/>
        </w:rPr>
      </w:pPr>
      <w:r w:rsidRPr="00181DCE">
        <w:rPr>
          <w:rFonts w:ascii="Times New Roman" w:eastAsia="Times New Roman" w:hAnsi="Times New Roman" w:cs="Times New Roman"/>
          <w:b/>
          <w:i/>
          <w:sz w:val="32"/>
          <w:szCs w:val="32"/>
        </w:rPr>
        <w:t xml:space="preserve">STUDENT ID: 2332526 </w:t>
      </w:r>
    </w:p>
    <w:p w:rsidR="009728BB" w:rsidRPr="00181DCE" w:rsidRDefault="009728BB" w:rsidP="00735C33">
      <w:pPr>
        <w:spacing w:line="360" w:lineRule="auto"/>
        <w:jc w:val="center"/>
        <w:rPr>
          <w:rFonts w:ascii="Times New Roman" w:eastAsia="Times New Roman" w:hAnsi="Times New Roman" w:cs="Times New Roman"/>
          <w:b/>
          <w:i/>
          <w:sz w:val="32"/>
          <w:szCs w:val="32"/>
        </w:rPr>
      </w:pPr>
      <w:r w:rsidRPr="00181DCE">
        <w:rPr>
          <w:rFonts w:ascii="Times New Roman" w:eastAsia="Times New Roman" w:hAnsi="Times New Roman" w:cs="Times New Roman"/>
          <w:b/>
          <w:i/>
          <w:sz w:val="32"/>
          <w:szCs w:val="32"/>
        </w:rPr>
        <w:t>MODULE CODE: LCMB7002</w:t>
      </w:r>
    </w:p>
    <w:p w:rsidR="009728BB" w:rsidRPr="00181DCE" w:rsidRDefault="009728BB" w:rsidP="00735C33">
      <w:pPr>
        <w:spacing w:line="360" w:lineRule="auto"/>
        <w:jc w:val="center"/>
        <w:rPr>
          <w:rFonts w:ascii="Times New Roman" w:eastAsia="Times New Roman" w:hAnsi="Times New Roman" w:cs="Times New Roman"/>
          <w:b/>
          <w:i/>
          <w:sz w:val="32"/>
          <w:szCs w:val="32"/>
        </w:rPr>
      </w:pPr>
      <w:r w:rsidRPr="00181DCE">
        <w:rPr>
          <w:rFonts w:ascii="Times New Roman" w:eastAsia="Times New Roman" w:hAnsi="Times New Roman" w:cs="Times New Roman"/>
          <w:b/>
          <w:i/>
          <w:sz w:val="32"/>
          <w:szCs w:val="32"/>
        </w:rPr>
        <w:t>COURSE TUTOR: MD KALAM</w:t>
      </w:r>
    </w:p>
    <w:p w:rsidR="00181DCE" w:rsidRPr="00181DCE" w:rsidRDefault="00181DCE" w:rsidP="00735C33">
      <w:pPr>
        <w:spacing w:line="360" w:lineRule="auto"/>
        <w:jc w:val="center"/>
        <w:rPr>
          <w:rFonts w:ascii="Times New Roman" w:eastAsia="Times New Roman" w:hAnsi="Times New Roman" w:cs="Times New Roman"/>
          <w:b/>
          <w:i/>
          <w:sz w:val="32"/>
          <w:szCs w:val="32"/>
        </w:rPr>
      </w:pPr>
      <w:r w:rsidRPr="00181DCE">
        <w:rPr>
          <w:rFonts w:ascii="Times New Roman" w:eastAsia="Times New Roman" w:hAnsi="Times New Roman" w:cs="Times New Roman"/>
          <w:b/>
          <w:i/>
          <w:sz w:val="32"/>
          <w:szCs w:val="32"/>
        </w:rPr>
        <w:t>SUBMISSION DEADLINE:21-08-2024</w:t>
      </w:r>
    </w:p>
    <w:p w:rsidR="001C54B3" w:rsidRDefault="00076BC6" w:rsidP="009728BB">
      <w:pPr>
        <w:spacing w:line="360" w:lineRule="auto"/>
        <w:jc w:val="center"/>
        <w:rPr>
          <w:rFonts w:ascii="Times New Roman" w:eastAsia="Times New Roman" w:hAnsi="Times New Roman" w:cs="Times New Roman"/>
          <w:b/>
          <w:sz w:val="32"/>
          <w:szCs w:val="32"/>
        </w:rPr>
      </w:pPr>
      <w:r>
        <w:br w:type="page"/>
      </w:r>
    </w:p>
    <w:sdt>
      <w:sdtPr>
        <w:rPr>
          <w:rFonts w:ascii="Times New Roman" w:eastAsia="Arial" w:hAnsi="Times New Roman" w:cs="Times New Roman"/>
          <w:color w:val="000000" w:themeColor="text1"/>
          <w:sz w:val="24"/>
          <w:szCs w:val="24"/>
          <w:lang w:val="en-GB" w:eastAsia="en-IN"/>
        </w:rPr>
        <w:id w:val="-1852479868"/>
        <w:docPartObj>
          <w:docPartGallery w:val="Table of Contents"/>
          <w:docPartUnique/>
        </w:docPartObj>
      </w:sdtPr>
      <w:sdtEndPr>
        <w:rPr>
          <w:b/>
          <w:bCs/>
          <w:noProof/>
        </w:rPr>
      </w:sdtEndPr>
      <w:sdtContent>
        <w:p w:rsidR="003B42DB" w:rsidRPr="003E4AF4" w:rsidRDefault="00076BC6" w:rsidP="00735C33">
          <w:pPr>
            <w:pStyle w:val="TOCHeading"/>
            <w:spacing w:before="0" w:line="360" w:lineRule="auto"/>
            <w:jc w:val="center"/>
            <w:rPr>
              <w:rFonts w:ascii="Times New Roman" w:hAnsi="Times New Roman" w:cs="Times New Roman"/>
              <w:b/>
              <w:bCs/>
              <w:color w:val="000000" w:themeColor="text1"/>
              <w:sz w:val="28"/>
              <w:szCs w:val="28"/>
            </w:rPr>
          </w:pPr>
          <w:r w:rsidRPr="003E4AF4">
            <w:rPr>
              <w:rFonts w:ascii="Times New Roman" w:hAnsi="Times New Roman" w:cs="Times New Roman"/>
              <w:b/>
              <w:bCs/>
              <w:color w:val="000000" w:themeColor="text1"/>
              <w:sz w:val="28"/>
              <w:szCs w:val="28"/>
            </w:rPr>
            <w:t>Table of Contents</w:t>
          </w:r>
        </w:p>
        <w:p w:rsidR="00497C0A" w:rsidRPr="00497C0A" w:rsidRDefault="004458BD" w:rsidP="00735C33">
          <w:pPr>
            <w:pStyle w:val="TOC1"/>
            <w:tabs>
              <w:tab w:val="right" w:leader="dot" w:pos="9019"/>
            </w:tabs>
            <w:spacing w:after="0" w:line="360" w:lineRule="auto"/>
            <w:jc w:val="both"/>
            <w:rPr>
              <w:rFonts w:ascii="Times New Roman" w:eastAsiaTheme="minorEastAsia" w:hAnsi="Times New Roman" w:cs="Times New Roman"/>
              <w:noProof/>
              <w:sz w:val="24"/>
              <w:lang w:eastAsia="en-GB"/>
            </w:rPr>
          </w:pPr>
          <w:r w:rsidRPr="004458BD">
            <w:rPr>
              <w:rFonts w:ascii="Times New Roman" w:hAnsi="Times New Roman" w:cs="Times New Roman"/>
              <w:color w:val="000000" w:themeColor="text1"/>
              <w:sz w:val="24"/>
              <w:szCs w:val="24"/>
            </w:rPr>
            <w:fldChar w:fldCharType="begin"/>
          </w:r>
          <w:r w:rsidR="00076BC6" w:rsidRPr="003E4AF4">
            <w:rPr>
              <w:rFonts w:ascii="Times New Roman" w:hAnsi="Times New Roman" w:cs="Times New Roman"/>
              <w:color w:val="000000" w:themeColor="text1"/>
              <w:sz w:val="24"/>
              <w:szCs w:val="24"/>
            </w:rPr>
            <w:instrText xml:space="preserve"> TOC \o "1-3" \h \z \u </w:instrText>
          </w:r>
          <w:r w:rsidRPr="004458BD">
            <w:rPr>
              <w:rFonts w:ascii="Times New Roman" w:hAnsi="Times New Roman" w:cs="Times New Roman"/>
              <w:color w:val="000000" w:themeColor="text1"/>
              <w:sz w:val="24"/>
              <w:szCs w:val="24"/>
            </w:rPr>
            <w:fldChar w:fldCharType="separate"/>
          </w:r>
          <w:hyperlink w:anchor="_Toc174453718" w:history="1">
            <w:r w:rsidR="00497C0A" w:rsidRPr="00497C0A">
              <w:rPr>
                <w:rStyle w:val="Hyperlink"/>
                <w:rFonts w:ascii="Times New Roman" w:hAnsi="Times New Roman" w:cs="Times New Roman"/>
                <w:noProof/>
                <w:sz w:val="24"/>
              </w:rPr>
              <w:t>1: Part A: Introduction and Background</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_Toc174453718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19" w:history="1">
            <w:r w:rsidR="00497C0A" w:rsidRPr="00497C0A">
              <w:rPr>
                <w:rStyle w:val="Hyperlink"/>
                <w:rFonts w:ascii="Times New Roman" w:hAnsi="Times New Roman" w:cs="Times New Roman"/>
                <w:noProof/>
                <w:sz w:val="24"/>
              </w:rPr>
              <w:t>1.1: Report Objectives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_Toc174453719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0" w:history="1">
            <w:r w:rsidR="00497C0A" w:rsidRPr="00497C0A">
              <w:rPr>
                <w:rStyle w:val="Hyperlink"/>
                <w:rFonts w:ascii="Times New Roman" w:hAnsi="Times New Roman" w:cs="Times New Roman"/>
                <w:noProof/>
                <w:sz w:val="24"/>
              </w:rPr>
              <w:t>1.2: History of Unilever</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_Toc174453720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1" w:history="1">
            <w:r w:rsidR="00497C0A" w:rsidRPr="00497C0A">
              <w:rPr>
                <w:rStyle w:val="Hyperlink"/>
                <w:rFonts w:ascii="Times New Roman" w:hAnsi="Times New Roman" w:cs="Times New Roman"/>
                <w:noProof/>
                <w:sz w:val="24"/>
              </w:rPr>
              <w:t>1.3: Business Model, Market Place and Major Competitors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_Toc174453721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2" w:history="1">
            <w:r w:rsidR="00497C0A" w:rsidRPr="00497C0A">
              <w:rPr>
                <w:rStyle w:val="Hyperlink"/>
                <w:rFonts w:ascii="Times New Roman" w:hAnsi="Times New Roman" w:cs="Times New Roman"/>
                <w:noProof/>
                <w:sz w:val="24"/>
              </w:rPr>
              <w:t>1.4: Overview of recent organisational events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_Toc174453722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5</w:t>
            </w:r>
            <w:r w:rsidRPr="00497C0A">
              <w:rPr>
                <w:rFonts w:ascii="Times New Roman" w:hAnsi="Times New Roman" w:cs="Times New Roman"/>
                <w:noProof/>
                <w:webHidden/>
                <w:sz w:val="24"/>
              </w:rPr>
              <w:fldChar w:fldCharType="end"/>
            </w:r>
          </w:hyperlink>
        </w:p>
        <w:p w:rsidR="00497C0A" w:rsidRPr="00497C0A" w:rsidRDefault="004458BD" w:rsidP="00735C33">
          <w:pPr>
            <w:pStyle w:val="TOC1"/>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3" w:history="1">
            <w:r w:rsidR="00497C0A" w:rsidRPr="00497C0A">
              <w:rPr>
                <w:rStyle w:val="Hyperlink"/>
                <w:rFonts w:ascii="Times New Roman" w:hAnsi="Times New Roman" w:cs="Times New Roman"/>
                <w:noProof/>
                <w:sz w:val="24"/>
              </w:rPr>
              <w:t>2: Part B: Review of Financial Performance</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_Toc174453723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6</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4" w:history="1">
            <w:r w:rsidR="00497C0A" w:rsidRPr="00497C0A">
              <w:rPr>
                <w:rStyle w:val="Hyperlink"/>
                <w:rFonts w:ascii="Times New Roman" w:hAnsi="Times New Roman" w:cs="Times New Roman"/>
                <w:noProof/>
                <w:sz w:val="24"/>
              </w:rPr>
              <w:t>2.1: Calculation and Critical Evaluation of Ratios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_Toc174453724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6</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5" w:history="1">
            <w:r w:rsidR="00497C0A" w:rsidRPr="00497C0A">
              <w:rPr>
                <w:rStyle w:val="Hyperlink"/>
                <w:rFonts w:ascii="Times New Roman" w:hAnsi="Times New Roman" w:cs="Times New Roman"/>
                <w:noProof/>
                <w:sz w:val="24"/>
              </w:rPr>
              <w:t>2.1.1: Profitability</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_Toc174453725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6</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6" w:history="1">
            <w:r w:rsidR="00497C0A" w:rsidRPr="00497C0A">
              <w:rPr>
                <w:rStyle w:val="Hyperlink"/>
                <w:rFonts w:ascii="Times New Roman" w:hAnsi="Times New Roman" w:cs="Times New Roman"/>
                <w:noProof/>
                <w:sz w:val="24"/>
              </w:rPr>
              <w:t>2.1.2: Liquidity</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_Toc174453726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8</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7" w:history="1">
            <w:r w:rsidR="00497C0A" w:rsidRPr="00497C0A">
              <w:rPr>
                <w:rStyle w:val="Hyperlink"/>
                <w:rFonts w:ascii="Times New Roman" w:hAnsi="Times New Roman" w:cs="Times New Roman"/>
                <w:noProof/>
                <w:sz w:val="24"/>
              </w:rPr>
              <w:t>2.1.3: Gearing</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_Toc174453727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10</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8" w:history="1">
            <w:r w:rsidR="00497C0A" w:rsidRPr="00497C0A">
              <w:rPr>
                <w:rStyle w:val="Hyperlink"/>
                <w:rFonts w:ascii="Times New Roman" w:hAnsi="Times New Roman" w:cs="Times New Roman"/>
                <w:noProof/>
                <w:sz w:val="24"/>
              </w:rPr>
              <w:t>2.1.4: Efficiency</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_Toc174453728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12</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29" w:history="1">
            <w:r w:rsidR="00497C0A" w:rsidRPr="00497C0A">
              <w:rPr>
                <w:rStyle w:val="Hyperlink"/>
                <w:rFonts w:ascii="Times New Roman" w:hAnsi="Times New Roman" w:cs="Times New Roman"/>
                <w:noProof/>
                <w:color w:val="FF0000"/>
                <w:sz w:val="24"/>
              </w:rPr>
              <w:t>2.1.5: Summary of Key Trends</w:t>
            </w:r>
            <w:r w:rsidR="00497C0A" w:rsidRPr="00497C0A">
              <w:rPr>
                <w:rFonts w:ascii="Times New Roman" w:hAnsi="Times New Roman" w:cs="Times New Roman"/>
                <w:noProof/>
                <w:webHidden/>
                <w:color w:val="FF0000"/>
                <w:sz w:val="24"/>
              </w:rPr>
              <w:tab/>
            </w:r>
            <w:r w:rsidRPr="00497C0A">
              <w:rPr>
                <w:rFonts w:ascii="Times New Roman" w:hAnsi="Times New Roman" w:cs="Times New Roman"/>
                <w:noProof/>
                <w:webHidden/>
                <w:color w:val="FF0000"/>
                <w:sz w:val="24"/>
              </w:rPr>
              <w:fldChar w:fldCharType="begin"/>
            </w:r>
            <w:r w:rsidR="00497C0A" w:rsidRPr="00497C0A">
              <w:rPr>
                <w:rFonts w:ascii="Times New Roman" w:hAnsi="Times New Roman" w:cs="Times New Roman"/>
                <w:noProof/>
                <w:webHidden/>
                <w:color w:val="FF0000"/>
                <w:sz w:val="24"/>
              </w:rPr>
              <w:instrText xml:space="preserve"> PAGEREF _Toc174453729 \h </w:instrText>
            </w:r>
            <w:r w:rsidRPr="00497C0A">
              <w:rPr>
                <w:rFonts w:ascii="Times New Roman" w:hAnsi="Times New Roman" w:cs="Times New Roman"/>
                <w:noProof/>
                <w:webHidden/>
                <w:color w:val="FF0000"/>
                <w:sz w:val="24"/>
              </w:rPr>
            </w:r>
            <w:r w:rsidRPr="00497C0A">
              <w:rPr>
                <w:rFonts w:ascii="Times New Roman" w:hAnsi="Times New Roman" w:cs="Times New Roman"/>
                <w:noProof/>
                <w:webHidden/>
                <w:color w:val="FF0000"/>
                <w:sz w:val="24"/>
              </w:rPr>
              <w:fldChar w:fldCharType="separate"/>
            </w:r>
            <w:r w:rsidR="00497C0A" w:rsidRPr="00497C0A">
              <w:rPr>
                <w:rFonts w:ascii="Times New Roman" w:hAnsi="Times New Roman" w:cs="Times New Roman"/>
                <w:noProof/>
                <w:webHidden/>
                <w:color w:val="FF0000"/>
                <w:sz w:val="24"/>
              </w:rPr>
              <w:t>14</w:t>
            </w:r>
            <w:r w:rsidRPr="00497C0A">
              <w:rPr>
                <w:rFonts w:ascii="Times New Roman" w:hAnsi="Times New Roman" w:cs="Times New Roman"/>
                <w:noProof/>
                <w:webHidden/>
                <w:color w:val="FF0000"/>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0" w:history="1">
            <w:r w:rsidR="00497C0A" w:rsidRPr="00497C0A">
              <w:rPr>
                <w:rStyle w:val="Hyperlink"/>
                <w:rFonts w:ascii="Times New Roman" w:hAnsi="Times New Roman" w:cs="Times New Roman"/>
                <w:noProof/>
                <w:sz w:val="24"/>
              </w:rPr>
              <w:t>2.2: Recommendations for future improvement</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_Toc174453730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14</w:t>
            </w:r>
            <w:r w:rsidRPr="00497C0A">
              <w:rPr>
                <w:rFonts w:ascii="Times New Roman" w:hAnsi="Times New Roman" w:cs="Times New Roman"/>
                <w:noProof/>
                <w:webHidden/>
                <w:sz w:val="24"/>
              </w:rPr>
              <w:fldChar w:fldCharType="end"/>
            </w:r>
          </w:hyperlink>
        </w:p>
        <w:p w:rsidR="00497C0A" w:rsidRPr="00497C0A" w:rsidRDefault="004458BD" w:rsidP="00735C33">
          <w:pPr>
            <w:pStyle w:val="TOC1"/>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1" w:history="1">
            <w:r w:rsidR="00497C0A" w:rsidRPr="00497C0A">
              <w:rPr>
                <w:rStyle w:val="Hyperlink"/>
                <w:rFonts w:ascii="Times New Roman" w:hAnsi="Times New Roman" w:cs="Times New Roman"/>
                <w:noProof/>
                <w:sz w:val="24"/>
              </w:rPr>
              <w:t>3: Part C: Investment Appraisal Analysis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_Toc174453731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2" w:history="1">
            <w:r w:rsidR="00497C0A" w:rsidRPr="00497C0A">
              <w:rPr>
                <w:rStyle w:val="Hyperlink"/>
                <w:rFonts w:ascii="Times New Roman" w:hAnsi="Times New Roman" w:cs="Times New Roman"/>
                <w:noProof/>
                <w:sz w:val="24"/>
              </w:rPr>
              <w:t>3.1: Calculations and Evaluation of Results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_Toc174453732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15</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3" w:history="1">
            <w:r w:rsidR="00497C0A" w:rsidRPr="00497C0A">
              <w:rPr>
                <w:rStyle w:val="Hyperlink"/>
                <w:rFonts w:ascii="Times New Roman" w:hAnsi="Times New Roman" w:cs="Times New Roman"/>
                <w:noProof/>
                <w:sz w:val="24"/>
              </w:rPr>
              <w:t>3.1.1: PBP</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_Toc174453733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16</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4" w:history="1">
            <w:r w:rsidR="00497C0A" w:rsidRPr="00497C0A">
              <w:rPr>
                <w:rStyle w:val="Hyperlink"/>
                <w:rFonts w:ascii="Times New Roman" w:hAnsi="Times New Roman" w:cs="Times New Roman"/>
                <w:noProof/>
                <w:sz w:val="24"/>
              </w:rPr>
              <w:t>3.1.2: ARR</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_Toc174453734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16</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5" w:history="1">
            <w:r w:rsidR="00497C0A" w:rsidRPr="00497C0A">
              <w:rPr>
                <w:rStyle w:val="Hyperlink"/>
                <w:rFonts w:ascii="Times New Roman" w:hAnsi="Times New Roman" w:cs="Times New Roman"/>
                <w:noProof/>
                <w:sz w:val="24"/>
              </w:rPr>
              <w:t>3.1.3: NPV</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_Toc174453735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17</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6" w:history="1">
            <w:r w:rsidR="00497C0A" w:rsidRPr="00497C0A">
              <w:rPr>
                <w:rStyle w:val="Hyperlink"/>
                <w:rFonts w:ascii="Times New Roman" w:hAnsi="Times New Roman" w:cs="Times New Roman"/>
                <w:noProof/>
                <w:sz w:val="24"/>
              </w:rPr>
              <w:t>3.2: Recommendations for Selection</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_Toc174453736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17</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7" w:history="1">
            <w:r w:rsidR="00497C0A" w:rsidRPr="00497C0A">
              <w:rPr>
                <w:rStyle w:val="Hyperlink"/>
                <w:rFonts w:ascii="Times New Roman" w:hAnsi="Times New Roman" w:cs="Times New Roman"/>
                <w:noProof/>
                <w:sz w:val="24"/>
              </w:rPr>
              <w:t>3.3: Advantages of investment appraisal methods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_Toc174453737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17</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8" w:history="1">
            <w:r w:rsidR="00497C0A" w:rsidRPr="00497C0A">
              <w:rPr>
                <w:rStyle w:val="Hyperlink"/>
                <w:rFonts w:ascii="Times New Roman" w:hAnsi="Times New Roman" w:cs="Times New Roman"/>
                <w:noProof/>
                <w:sz w:val="24"/>
              </w:rPr>
              <w:t>3.3.1: PBP</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_Toc174453738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17</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39" w:history="1">
            <w:r w:rsidR="00497C0A" w:rsidRPr="00497C0A">
              <w:rPr>
                <w:rStyle w:val="Hyperlink"/>
                <w:rFonts w:ascii="Times New Roman" w:hAnsi="Times New Roman" w:cs="Times New Roman"/>
                <w:noProof/>
                <w:sz w:val="24"/>
              </w:rPr>
              <w:t>3.3.2: ARR</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_Toc174453739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17</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0" w:history="1">
            <w:r w:rsidR="00497C0A" w:rsidRPr="00497C0A">
              <w:rPr>
                <w:rStyle w:val="Hyperlink"/>
                <w:rFonts w:ascii="Times New Roman" w:hAnsi="Times New Roman" w:cs="Times New Roman"/>
                <w:noProof/>
                <w:sz w:val="24"/>
              </w:rPr>
              <w:t>3.3.3: NPV</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_Toc174453740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18</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1" w:history="1">
            <w:r w:rsidR="00497C0A" w:rsidRPr="00497C0A">
              <w:rPr>
                <w:rStyle w:val="Hyperlink"/>
                <w:rFonts w:ascii="Times New Roman" w:hAnsi="Times New Roman" w:cs="Times New Roman"/>
                <w:noProof/>
                <w:sz w:val="24"/>
              </w:rPr>
              <w:t>3.4: Disadvantages of investment appraisal methods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_Toc174453741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18</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2" w:history="1">
            <w:r w:rsidR="00497C0A" w:rsidRPr="00497C0A">
              <w:rPr>
                <w:rStyle w:val="Hyperlink"/>
                <w:rFonts w:ascii="Times New Roman" w:hAnsi="Times New Roman" w:cs="Times New Roman"/>
                <w:noProof/>
                <w:sz w:val="24"/>
              </w:rPr>
              <w:t>3.4.1: PBP</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_Toc174453742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18</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3" w:history="1">
            <w:r w:rsidR="00497C0A" w:rsidRPr="00497C0A">
              <w:rPr>
                <w:rStyle w:val="Hyperlink"/>
                <w:rFonts w:ascii="Times New Roman" w:hAnsi="Times New Roman" w:cs="Times New Roman"/>
                <w:noProof/>
                <w:sz w:val="24"/>
              </w:rPr>
              <w:t>3.4.2: ARR</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_Toc174453743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18</w:t>
            </w:r>
            <w:r w:rsidRPr="00497C0A">
              <w:rPr>
                <w:rFonts w:ascii="Times New Roman" w:hAnsi="Times New Roman" w:cs="Times New Roman"/>
                <w:noProof/>
                <w:webHidden/>
                <w:sz w:val="24"/>
              </w:rPr>
              <w:fldChar w:fldCharType="end"/>
            </w:r>
          </w:hyperlink>
        </w:p>
        <w:p w:rsidR="00497C0A" w:rsidRPr="00497C0A" w:rsidRDefault="004458BD" w:rsidP="00735C33">
          <w:pPr>
            <w:pStyle w:val="TOC3"/>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4" w:history="1">
            <w:r w:rsidR="00497C0A" w:rsidRPr="00497C0A">
              <w:rPr>
                <w:rStyle w:val="Hyperlink"/>
                <w:rFonts w:ascii="Times New Roman" w:hAnsi="Times New Roman" w:cs="Times New Roman"/>
                <w:noProof/>
                <w:sz w:val="24"/>
              </w:rPr>
              <w:t>3.4.3: NPV</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_Toc174453744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19</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5" w:history="1">
            <w:r w:rsidR="00497C0A" w:rsidRPr="00497C0A">
              <w:rPr>
                <w:rStyle w:val="Hyperlink"/>
                <w:rFonts w:ascii="Times New Roman" w:hAnsi="Times New Roman" w:cs="Times New Roman"/>
                <w:noProof/>
                <w:sz w:val="24"/>
              </w:rPr>
              <w:t>3.5: Non-financial factors needed for consideration</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_Toc174453745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19</w:t>
            </w:r>
            <w:r w:rsidRPr="00497C0A">
              <w:rPr>
                <w:rFonts w:ascii="Times New Roman" w:hAnsi="Times New Roman" w:cs="Times New Roman"/>
                <w:noProof/>
                <w:webHidden/>
                <w:sz w:val="24"/>
              </w:rPr>
              <w:fldChar w:fldCharType="end"/>
            </w:r>
          </w:hyperlink>
        </w:p>
        <w:p w:rsidR="00497C0A" w:rsidRPr="00497C0A" w:rsidRDefault="004458BD" w:rsidP="00735C33">
          <w:pPr>
            <w:pStyle w:val="TOC1"/>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6" w:history="1">
            <w:r w:rsidR="00497C0A" w:rsidRPr="00497C0A">
              <w:rPr>
                <w:rStyle w:val="Hyperlink"/>
                <w:rFonts w:ascii="Times New Roman" w:hAnsi="Times New Roman" w:cs="Times New Roman"/>
                <w:noProof/>
                <w:sz w:val="24"/>
              </w:rPr>
              <w:t>4: Conclusion</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_Toc174453746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19</w:t>
            </w:r>
            <w:r w:rsidRPr="00497C0A">
              <w:rPr>
                <w:rFonts w:ascii="Times New Roman" w:hAnsi="Times New Roman" w:cs="Times New Roman"/>
                <w:noProof/>
                <w:webHidden/>
                <w:sz w:val="24"/>
              </w:rPr>
              <w:fldChar w:fldCharType="end"/>
            </w:r>
          </w:hyperlink>
        </w:p>
        <w:p w:rsidR="00497C0A" w:rsidRPr="00497C0A" w:rsidRDefault="004458BD" w:rsidP="00735C33">
          <w:pPr>
            <w:pStyle w:val="TOC1"/>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7" w:history="1">
            <w:r w:rsidR="00497C0A" w:rsidRPr="00497C0A">
              <w:rPr>
                <w:rStyle w:val="Hyperlink"/>
                <w:rFonts w:ascii="Times New Roman" w:hAnsi="Times New Roman" w:cs="Times New Roman"/>
                <w:noProof/>
                <w:sz w:val="24"/>
              </w:rPr>
              <w:t>Reference List</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_Toc174453747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21</w:t>
            </w:r>
            <w:r w:rsidRPr="00497C0A">
              <w:rPr>
                <w:rFonts w:ascii="Times New Roman" w:hAnsi="Times New Roman" w:cs="Times New Roman"/>
                <w:noProof/>
                <w:webHidden/>
                <w:sz w:val="24"/>
              </w:rPr>
              <w:fldChar w:fldCharType="end"/>
            </w:r>
          </w:hyperlink>
        </w:p>
        <w:p w:rsidR="00497C0A" w:rsidRPr="00497C0A" w:rsidRDefault="004458BD" w:rsidP="00735C33">
          <w:pPr>
            <w:pStyle w:val="TOC1"/>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8" w:history="1">
            <w:r w:rsidR="00497C0A" w:rsidRPr="00497C0A">
              <w:rPr>
                <w:rStyle w:val="Hyperlink"/>
                <w:rFonts w:ascii="Times New Roman" w:hAnsi="Times New Roman" w:cs="Times New Roman"/>
                <w:noProof/>
                <w:sz w:val="24"/>
              </w:rPr>
              <w:t>Appendices: Input Data for Ratios</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_Toc174453748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25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sz w:val="24"/>
              <w:lang w:eastAsia="en-GB"/>
            </w:rPr>
          </w:pPr>
          <w:hyperlink w:anchor="_Toc174453749" w:history="1">
            <w:r w:rsidR="00497C0A" w:rsidRPr="00497C0A">
              <w:rPr>
                <w:rStyle w:val="Hyperlink"/>
                <w:rFonts w:ascii="Times New Roman" w:hAnsi="Times New Roman" w:cs="Times New Roman"/>
                <w:noProof/>
                <w:sz w:val="24"/>
              </w:rPr>
              <w:t>Appendix 1: Input Data for Unilever</w:t>
            </w:r>
            <w:r w:rsidR="00497C0A" w:rsidRPr="00497C0A">
              <w:rPr>
                <w:rFonts w:ascii="Times New Roman" w:hAnsi="Times New Roman" w:cs="Times New Roman"/>
                <w:noProof/>
                <w:webHidden/>
                <w:sz w:val="24"/>
              </w:rPr>
              <w:tab/>
            </w:r>
            <w:r w:rsidRPr="00497C0A">
              <w:rPr>
                <w:rFonts w:ascii="Times New Roman" w:hAnsi="Times New Roman" w:cs="Times New Roman"/>
                <w:noProof/>
                <w:webHidden/>
                <w:sz w:val="24"/>
              </w:rPr>
              <w:fldChar w:fldCharType="begin"/>
            </w:r>
            <w:r w:rsidR="00497C0A" w:rsidRPr="00497C0A">
              <w:rPr>
                <w:rFonts w:ascii="Times New Roman" w:hAnsi="Times New Roman" w:cs="Times New Roman"/>
                <w:noProof/>
                <w:webHidden/>
                <w:sz w:val="24"/>
              </w:rPr>
              <w:instrText xml:space="preserve"> PAGEREF _Toc174453749 \h </w:instrText>
            </w:r>
            <w:r w:rsidRPr="00497C0A">
              <w:rPr>
                <w:rFonts w:ascii="Times New Roman" w:hAnsi="Times New Roman" w:cs="Times New Roman"/>
                <w:noProof/>
                <w:webHidden/>
                <w:sz w:val="24"/>
              </w:rPr>
            </w:r>
            <w:r w:rsidRPr="00497C0A">
              <w:rPr>
                <w:rFonts w:ascii="Times New Roman" w:hAnsi="Times New Roman" w:cs="Times New Roman"/>
                <w:noProof/>
                <w:webHidden/>
                <w:sz w:val="24"/>
              </w:rPr>
              <w:fldChar w:fldCharType="separate"/>
            </w:r>
            <w:r w:rsidR="00497C0A" w:rsidRPr="00497C0A">
              <w:rPr>
                <w:rFonts w:ascii="Times New Roman" w:hAnsi="Times New Roman" w:cs="Times New Roman"/>
                <w:noProof/>
                <w:webHidden/>
                <w:sz w:val="24"/>
              </w:rPr>
              <w:t>25</w:t>
            </w:r>
            <w:r w:rsidRPr="00497C0A">
              <w:rPr>
                <w:rFonts w:ascii="Times New Roman" w:hAnsi="Times New Roman" w:cs="Times New Roman"/>
                <w:noProof/>
                <w:webHidden/>
                <w:sz w:val="24"/>
              </w:rPr>
              <w:fldChar w:fldCharType="end"/>
            </w:r>
          </w:hyperlink>
        </w:p>
        <w:p w:rsidR="00497C0A" w:rsidRPr="00497C0A" w:rsidRDefault="004458BD" w:rsidP="00735C33">
          <w:pPr>
            <w:pStyle w:val="TOC2"/>
            <w:tabs>
              <w:tab w:val="right" w:leader="dot" w:pos="9019"/>
            </w:tabs>
            <w:spacing w:after="0" w:line="360" w:lineRule="auto"/>
            <w:jc w:val="both"/>
            <w:rPr>
              <w:rFonts w:ascii="Times New Roman" w:eastAsiaTheme="minorEastAsia" w:hAnsi="Times New Roman" w:cs="Times New Roman"/>
              <w:noProof/>
              <w:color w:val="FF0000"/>
              <w:sz w:val="24"/>
              <w:lang w:eastAsia="en-GB"/>
            </w:rPr>
          </w:pPr>
          <w:hyperlink w:anchor="_Toc174453750" w:history="1">
            <w:r w:rsidR="00497C0A" w:rsidRPr="00497C0A">
              <w:rPr>
                <w:rStyle w:val="Hyperlink"/>
                <w:rFonts w:ascii="Times New Roman" w:hAnsi="Times New Roman" w:cs="Times New Roman"/>
                <w:noProof/>
                <w:color w:val="FF0000"/>
                <w:sz w:val="24"/>
              </w:rPr>
              <w:t>Appendix 2: Input Data for Nestle</w:t>
            </w:r>
            <w:r w:rsidR="00497C0A" w:rsidRPr="00497C0A">
              <w:rPr>
                <w:rFonts w:ascii="Times New Roman" w:hAnsi="Times New Roman" w:cs="Times New Roman"/>
                <w:noProof/>
                <w:webHidden/>
                <w:color w:val="FF0000"/>
                <w:sz w:val="24"/>
              </w:rPr>
              <w:tab/>
            </w:r>
            <w:r w:rsidRPr="00497C0A">
              <w:rPr>
                <w:rFonts w:ascii="Times New Roman" w:hAnsi="Times New Roman" w:cs="Times New Roman"/>
                <w:noProof/>
                <w:webHidden/>
                <w:color w:val="FF0000"/>
                <w:sz w:val="24"/>
              </w:rPr>
              <w:fldChar w:fldCharType="begin"/>
            </w:r>
            <w:r w:rsidR="00497C0A" w:rsidRPr="00497C0A">
              <w:rPr>
                <w:rFonts w:ascii="Times New Roman" w:hAnsi="Times New Roman" w:cs="Times New Roman"/>
                <w:noProof/>
                <w:webHidden/>
                <w:color w:val="FF0000"/>
                <w:sz w:val="24"/>
              </w:rPr>
              <w:instrText xml:space="preserve"> PAGEREF _Toc174453750 \h </w:instrText>
            </w:r>
            <w:r w:rsidRPr="00497C0A">
              <w:rPr>
                <w:rFonts w:ascii="Times New Roman" w:hAnsi="Times New Roman" w:cs="Times New Roman"/>
                <w:noProof/>
                <w:webHidden/>
                <w:color w:val="FF0000"/>
                <w:sz w:val="24"/>
              </w:rPr>
            </w:r>
            <w:r w:rsidRPr="00497C0A">
              <w:rPr>
                <w:rFonts w:ascii="Times New Roman" w:hAnsi="Times New Roman" w:cs="Times New Roman"/>
                <w:noProof/>
                <w:webHidden/>
                <w:color w:val="FF0000"/>
                <w:sz w:val="24"/>
              </w:rPr>
              <w:fldChar w:fldCharType="separate"/>
            </w:r>
            <w:r w:rsidR="00497C0A" w:rsidRPr="00497C0A">
              <w:rPr>
                <w:rFonts w:ascii="Times New Roman" w:hAnsi="Times New Roman" w:cs="Times New Roman"/>
                <w:noProof/>
                <w:webHidden/>
                <w:color w:val="FF0000"/>
                <w:sz w:val="24"/>
              </w:rPr>
              <w:t>27</w:t>
            </w:r>
            <w:r w:rsidRPr="00497C0A">
              <w:rPr>
                <w:rFonts w:ascii="Times New Roman" w:hAnsi="Times New Roman" w:cs="Times New Roman"/>
                <w:noProof/>
                <w:webHidden/>
                <w:color w:val="FF0000"/>
                <w:sz w:val="24"/>
              </w:rPr>
              <w:fldChar w:fldCharType="end"/>
            </w:r>
          </w:hyperlink>
        </w:p>
        <w:p w:rsidR="003E4AF4" w:rsidRDefault="004458BD" w:rsidP="00735C33">
          <w:pPr>
            <w:spacing w:line="360" w:lineRule="auto"/>
            <w:jc w:val="both"/>
            <w:rPr>
              <w:rFonts w:ascii="Times New Roman" w:hAnsi="Times New Roman" w:cs="Times New Roman"/>
              <w:b/>
              <w:bCs/>
              <w:noProof/>
              <w:color w:val="000000" w:themeColor="text1"/>
              <w:sz w:val="24"/>
              <w:szCs w:val="24"/>
            </w:rPr>
          </w:pPr>
          <w:r w:rsidRPr="003E4AF4">
            <w:rPr>
              <w:rFonts w:ascii="Times New Roman" w:hAnsi="Times New Roman" w:cs="Times New Roman"/>
              <w:b/>
              <w:bCs/>
              <w:noProof/>
              <w:color w:val="000000" w:themeColor="text1"/>
              <w:sz w:val="24"/>
              <w:szCs w:val="24"/>
            </w:rPr>
            <w:fldChar w:fldCharType="end"/>
          </w:r>
        </w:p>
      </w:sdtContent>
    </w:sdt>
    <w:p w:rsidR="001C54B3" w:rsidRPr="003E4AF4" w:rsidRDefault="00076BC6" w:rsidP="00735C33">
      <w:pPr>
        <w:spacing w:line="360" w:lineRule="auto"/>
        <w:jc w:val="both"/>
        <w:rPr>
          <w:rFonts w:ascii="Times New Roman" w:hAnsi="Times New Roman" w:cs="Times New Roman"/>
          <w:color w:val="000000" w:themeColor="text1"/>
          <w:sz w:val="24"/>
          <w:szCs w:val="24"/>
        </w:rPr>
      </w:pPr>
      <w:r>
        <w:br w:type="page"/>
      </w:r>
    </w:p>
    <w:p w:rsidR="001C54B3" w:rsidRDefault="00076BC6" w:rsidP="00735C3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List of Abbreviations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GPR:</w:t>
      </w:r>
      <w:r>
        <w:rPr>
          <w:rFonts w:ascii="Times New Roman" w:eastAsia="Times New Roman" w:hAnsi="Times New Roman" w:cs="Times New Roman"/>
          <w:sz w:val="24"/>
          <w:szCs w:val="24"/>
        </w:rPr>
        <w:t xml:space="preserve"> Gross profit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OPR:</w:t>
      </w:r>
      <w:r>
        <w:rPr>
          <w:rFonts w:ascii="Times New Roman" w:eastAsia="Times New Roman" w:hAnsi="Times New Roman" w:cs="Times New Roman"/>
          <w:sz w:val="24"/>
          <w:szCs w:val="24"/>
        </w:rPr>
        <w:t xml:space="preserve"> Operating profit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NPR:</w:t>
      </w:r>
      <w:r>
        <w:rPr>
          <w:rFonts w:ascii="Times New Roman" w:eastAsia="Times New Roman" w:hAnsi="Times New Roman" w:cs="Times New Roman"/>
          <w:sz w:val="24"/>
          <w:szCs w:val="24"/>
        </w:rPr>
        <w:t xml:space="preserve"> Net profit ratio</w:t>
      </w:r>
    </w:p>
    <w:p w:rsidR="003B42DB"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ROE: </w:t>
      </w:r>
      <w:r w:rsidRPr="003B42DB">
        <w:rPr>
          <w:rFonts w:ascii="Times New Roman" w:eastAsia="Times New Roman" w:hAnsi="Times New Roman" w:cs="Times New Roman"/>
          <w:bCs/>
          <w:sz w:val="24"/>
          <w:szCs w:val="24"/>
        </w:rPr>
        <w:t>Return on Equity</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ROCE:</w:t>
      </w:r>
      <w:r>
        <w:rPr>
          <w:rFonts w:ascii="Times New Roman" w:eastAsia="Times New Roman" w:hAnsi="Times New Roman" w:cs="Times New Roman"/>
          <w:sz w:val="24"/>
          <w:szCs w:val="24"/>
        </w:rPr>
        <w:t xml:space="preserve"> Return on capital employed</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CR:</w:t>
      </w:r>
      <w:r>
        <w:rPr>
          <w:rFonts w:ascii="Times New Roman" w:eastAsia="Times New Roman" w:hAnsi="Times New Roman" w:cs="Times New Roman"/>
          <w:sz w:val="24"/>
          <w:szCs w:val="24"/>
        </w:rPr>
        <w:t xml:space="preserve"> Current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QR:</w:t>
      </w:r>
      <w:r>
        <w:rPr>
          <w:rFonts w:ascii="Times New Roman" w:eastAsia="Times New Roman" w:hAnsi="Times New Roman" w:cs="Times New Roman"/>
          <w:sz w:val="24"/>
          <w:szCs w:val="24"/>
        </w:rPr>
        <w:t xml:space="preserve"> Quick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CAR:</w:t>
      </w:r>
      <w:r>
        <w:rPr>
          <w:rFonts w:ascii="Times New Roman" w:eastAsia="Times New Roman" w:hAnsi="Times New Roman" w:cs="Times New Roman"/>
          <w:sz w:val="24"/>
          <w:szCs w:val="24"/>
        </w:rPr>
        <w:t xml:space="preserve"> Cash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WCS:</w:t>
      </w:r>
      <w:r>
        <w:rPr>
          <w:rFonts w:ascii="Times New Roman" w:eastAsia="Times New Roman" w:hAnsi="Times New Roman" w:cs="Times New Roman"/>
          <w:sz w:val="24"/>
          <w:szCs w:val="24"/>
        </w:rPr>
        <w:t xml:space="preserve"> Working capital to sales</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NWCR:</w:t>
      </w:r>
      <w:r>
        <w:rPr>
          <w:rFonts w:ascii="Times New Roman" w:eastAsia="Times New Roman" w:hAnsi="Times New Roman" w:cs="Times New Roman"/>
          <w:sz w:val="24"/>
          <w:szCs w:val="24"/>
        </w:rPr>
        <w:t xml:space="preserve"> Net working capital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DCR:</w:t>
      </w:r>
      <w:r>
        <w:rPr>
          <w:rFonts w:ascii="Times New Roman" w:eastAsia="Times New Roman" w:hAnsi="Times New Roman" w:cs="Times New Roman"/>
          <w:sz w:val="24"/>
          <w:szCs w:val="24"/>
        </w:rPr>
        <w:t xml:space="preserve"> Debt capital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DR:</w:t>
      </w:r>
      <w:r>
        <w:rPr>
          <w:rFonts w:ascii="Times New Roman" w:eastAsia="Times New Roman" w:hAnsi="Times New Roman" w:cs="Times New Roman"/>
          <w:sz w:val="24"/>
          <w:szCs w:val="24"/>
        </w:rPr>
        <w:t xml:space="preserve"> Debt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ICR:</w:t>
      </w:r>
      <w:r>
        <w:rPr>
          <w:rFonts w:ascii="Times New Roman" w:eastAsia="Times New Roman" w:hAnsi="Times New Roman" w:cs="Times New Roman"/>
          <w:sz w:val="24"/>
          <w:szCs w:val="24"/>
        </w:rPr>
        <w:t xml:space="preserve"> Interest coverage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w:t>
      </w:r>
      <w:r>
        <w:rPr>
          <w:rFonts w:ascii="Times New Roman" w:eastAsia="Times New Roman" w:hAnsi="Times New Roman" w:cs="Times New Roman"/>
          <w:sz w:val="24"/>
          <w:szCs w:val="24"/>
        </w:rPr>
        <w:t xml:space="preserve"> Proprietary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NWR:</w:t>
      </w:r>
      <w:r>
        <w:rPr>
          <w:rFonts w:ascii="Times New Roman" w:eastAsia="Times New Roman" w:hAnsi="Times New Roman" w:cs="Times New Roman"/>
          <w:sz w:val="24"/>
          <w:szCs w:val="24"/>
        </w:rPr>
        <w:t xml:space="preserve"> Net worth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ITR: </w:t>
      </w:r>
      <w:r>
        <w:rPr>
          <w:rFonts w:ascii="Times New Roman" w:eastAsia="Times New Roman" w:hAnsi="Times New Roman" w:cs="Times New Roman"/>
          <w:sz w:val="24"/>
          <w:szCs w:val="24"/>
        </w:rPr>
        <w:t>Inventory turnover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RTR:</w:t>
      </w:r>
      <w:r>
        <w:rPr>
          <w:rFonts w:ascii="Times New Roman" w:eastAsia="Times New Roman" w:hAnsi="Times New Roman" w:cs="Times New Roman"/>
          <w:sz w:val="24"/>
          <w:szCs w:val="24"/>
        </w:rPr>
        <w:t xml:space="preserve"> Receivable turnover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PTR:</w:t>
      </w:r>
      <w:r>
        <w:rPr>
          <w:rFonts w:ascii="Times New Roman" w:eastAsia="Times New Roman" w:hAnsi="Times New Roman" w:cs="Times New Roman"/>
          <w:sz w:val="24"/>
          <w:szCs w:val="24"/>
        </w:rPr>
        <w:t xml:space="preserve"> Parable turnover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OCC:</w:t>
      </w:r>
      <w:r>
        <w:rPr>
          <w:rFonts w:ascii="Times New Roman" w:eastAsia="Times New Roman" w:hAnsi="Times New Roman" w:cs="Times New Roman"/>
          <w:sz w:val="24"/>
          <w:szCs w:val="24"/>
        </w:rPr>
        <w:t xml:space="preserve"> Operating cash cycle</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CTR:</w:t>
      </w:r>
      <w:r>
        <w:rPr>
          <w:rFonts w:ascii="Times New Roman" w:eastAsia="Times New Roman" w:hAnsi="Times New Roman" w:cs="Times New Roman"/>
          <w:sz w:val="24"/>
          <w:szCs w:val="24"/>
        </w:rPr>
        <w:t xml:space="preserve"> Capital turnover ratio</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PBP:</w:t>
      </w:r>
      <w:r>
        <w:rPr>
          <w:rFonts w:ascii="Times New Roman" w:eastAsia="Times New Roman" w:hAnsi="Times New Roman" w:cs="Times New Roman"/>
          <w:sz w:val="24"/>
          <w:szCs w:val="24"/>
        </w:rPr>
        <w:t xml:space="preserve"> Payback period</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ARR:</w:t>
      </w:r>
      <w:r>
        <w:rPr>
          <w:rFonts w:ascii="Times New Roman" w:eastAsia="Times New Roman" w:hAnsi="Times New Roman" w:cs="Times New Roman"/>
          <w:sz w:val="24"/>
          <w:szCs w:val="24"/>
        </w:rPr>
        <w:t xml:space="preserve"> Accounting rate of return</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NPV:</w:t>
      </w:r>
      <w:r>
        <w:rPr>
          <w:rFonts w:ascii="Times New Roman" w:eastAsia="Times New Roman" w:hAnsi="Times New Roman" w:cs="Times New Roman"/>
          <w:sz w:val="24"/>
          <w:szCs w:val="24"/>
        </w:rPr>
        <w:t xml:space="preserve"> Net present value</w:t>
      </w:r>
      <w:r>
        <w:br w:type="page"/>
      </w:r>
    </w:p>
    <w:p w:rsidR="001C54B3" w:rsidRDefault="00076BC6" w:rsidP="00735C33">
      <w:pPr>
        <w:pStyle w:val="Heading1"/>
      </w:pPr>
      <w:bookmarkStart w:id="1" w:name="_j71xaqmaehth" w:colFirst="0" w:colLast="0"/>
      <w:bookmarkStart w:id="2" w:name="_Toc174453718"/>
      <w:bookmarkEnd w:id="1"/>
      <w:r>
        <w:lastRenderedPageBreak/>
        <w:t>1: Part A: Introduction and Background</w:t>
      </w:r>
      <w:bookmarkEnd w:id="2"/>
    </w:p>
    <w:p w:rsidR="001C54B3" w:rsidRDefault="00076BC6" w:rsidP="00735C33">
      <w:pPr>
        <w:pStyle w:val="Heading2"/>
      </w:pPr>
      <w:bookmarkStart w:id="3" w:name="_777iajpjqwlc" w:colFirst="0" w:colLast="0"/>
      <w:bookmarkStart w:id="4" w:name="_Toc174453719"/>
      <w:bookmarkEnd w:id="3"/>
      <w:r>
        <w:t>1.1: Report Objectives</w:t>
      </w:r>
      <w:bookmarkEnd w:id="4"/>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intended to offer substantive coverage of financial management where Unilever is the chosen organisation which fundamentally belongs to the retail industry of the UK. Primary features of this report will include a detailed overview of Unilever comprising its history, business model, marketplace, competitors and recent events experienced. The second part of this report will detail the financial performance of Unilever which will be demonstrated by carrying out ratio analysis. The third part of this report will include an investment appraisal analysis in which two projects will be appraised and an evaluation of techniques will be carried out.</w:t>
      </w:r>
    </w:p>
    <w:p w:rsidR="001C54B3" w:rsidRDefault="00076BC6" w:rsidP="00735C33">
      <w:pPr>
        <w:pStyle w:val="Heading2"/>
      </w:pPr>
      <w:bookmarkStart w:id="5" w:name="_3h2yg4xf4d0s" w:colFirst="0" w:colLast="0"/>
      <w:bookmarkStart w:id="6" w:name="_Toc174453720"/>
      <w:bookmarkEnd w:id="5"/>
      <w:r>
        <w:t>1.2: History of Unilever</w:t>
      </w:r>
      <w:bookmarkEnd w:id="6"/>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history of Unilever can be traced back to 1929 when two former companies Dutch Margarine Unie and Lever brothers merged to form Unilever. The respective founders of Unilever were Anton Jurgens, William Lever and Samuel Van Der Bergh. The company established its first factory and headquarters in Essex, which was subsequently moved to London in later years (unilever.com, 2024).   </w:t>
      </w:r>
    </w:p>
    <w:p w:rsidR="001C54B3" w:rsidRDefault="00076BC6" w:rsidP="00735C33">
      <w:pPr>
        <w:pStyle w:val="Heading2"/>
      </w:pPr>
      <w:bookmarkStart w:id="7" w:name="_e5w39lsb3ur0" w:colFirst="0" w:colLast="0"/>
      <w:bookmarkStart w:id="8" w:name="_Toc174453721"/>
      <w:bookmarkEnd w:id="7"/>
      <w:r>
        <w:t>1.3: Business Model, Market Place and Major Competitors</w:t>
      </w:r>
      <w:bookmarkEnd w:id="8"/>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model of Unilever is highly dependent on its products and services predominantly consisting of beauty, </w:t>
      </w:r>
      <w:r w:rsidR="00DD78C2">
        <w:rPr>
          <w:rFonts w:ascii="Times New Roman" w:eastAsia="Times New Roman" w:hAnsi="Times New Roman" w:cs="Times New Roman"/>
          <w:sz w:val="24"/>
          <w:szCs w:val="24"/>
        </w:rPr>
        <w:t>day-care</w:t>
      </w:r>
      <w:r>
        <w:rPr>
          <w:rFonts w:ascii="Times New Roman" w:eastAsia="Times New Roman" w:hAnsi="Times New Roman" w:cs="Times New Roman"/>
          <w:sz w:val="24"/>
          <w:szCs w:val="24"/>
        </w:rPr>
        <w:t xml:space="preserve"> and wellbeing products. The company also ventures to offer certified food products to consumers both from physical as well as digital marketplaces. The business model is also inclusive of its business structure that prioritises accountability, profit-driven attitude and growth where a divisional or functional structure is followed to delegate or decentralise key business activities (origanimi.com, 2023). The business marketplace for Unilever in addition to physical and digital spaces also offers products and services to customers through B2C and B2B channels where the B2B marketplace was recently launched in 2021 and is referred to as "gro 24/7" (edasummit.com, 2022). The major competitors of Unilever are identified as Procter &amp; Gamble, </w:t>
      </w:r>
      <w:r w:rsidRPr="004A2965">
        <w:rPr>
          <w:rFonts w:ascii="Times New Roman" w:eastAsia="Times New Roman" w:hAnsi="Times New Roman" w:cs="Times New Roman"/>
          <w:color w:val="FF0000"/>
          <w:sz w:val="24"/>
          <w:szCs w:val="24"/>
        </w:rPr>
        <w:t>Colgate Palmolive</w:t>
      </w:r>
      <w:r>
        <w:rPr>
          <w:rFonts w:ascii="Times New Roman" w:eastAsia="Times New Roman" w:hAnsi="Times New Roman" w:cs="Times New Roman"/>
          <w:sz w:val="24"/>
          <w:szCs w:val="24"/>
        </w:rPr>
        <w:t xml:space="preserve">, Johnson &amp; Johnson and Nestlé. Hence, a special priority is offered by the top brass of Unilever towards implementing product innovation and modifications to cement its market positioning in the retail industry. </w:t>
      </w:r>
    </w:p>
    <w:p w:rsidR="001C54B3" w:rsidRDefault="00076BC6" w:rsidP="00735C33">
      <w:pPr>
        <w:pStyle w:val="Heading2"/>
      </w:pPr>
      <w:bookmarkStart w:id="9" w:name="_lktfptorm060" w:colFirst="0" w:colLast="0"/>
      <w:bookmarkStart w:id="10" w:name="_Toc174453722"/>
      <w:bookmarkEnd w:id="9"/>
      <w:r>
        <w:t>1.4: Overview of recent organisational events</w:t>
      </w:r>
      <w:bookmarkEnd w:id="10"/>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overview of recent organisational events can be fundamentally linked with legal issues of Unilever in which the company has witnessed thorough investigation by authorities for </w:t>
      </w:r>
      <w:r>
        <w:rPr>
          <w:rFonts w:ascii="Times New Roman" w:eastAsia="Times New Roman" w:hAnsi="Times New Roman" w:cs="Times New Roman"/>
          <w:sz w:val="24"/>
          <w:szCs w:val="24"/>
        </w:rPr>
        <w:lastRenderedPageBreak/>
        <w:t xml:space="preserve">allegedly </w:t>
      </w:r>
      <w:r w:rsidR="00DD78C2">
        <w:rPr>
          <w:rFonts w:ascii="Times New Roman" w:eastAsia="Times New Roman" w:hAnsi="Times New Roman" w:cs="Times New Roman"/>
          <w:sz w:val="24"/>
          <w:szCs w:val="24"/>
        </w:rPr>
        <w:t>green washing</w:t>
      </w:r>
      <w:r>
        <w:rPr>
          <w:rFonts w:ascii="Times New Roman" w:eastAsia="Times New Roman" w:hAnsi="Times New Roman" w:cs="Times New Roman"/>
          <w:sz w:val="24"/>
          <w:szCs w:val="24"/>
        </w:rPr>
        <w:t xml:space="preserve"> its main products. The allegations mainly speculated the company employed misleading marketing tactics due to which it came into a wider compliance review from regulatory as well as environmental protection legislators (legaldive.com, 2023). Recent organisational events associated with Unilever can also be linked with mergers and acquisitions where the company has successfully acquired K18 which is recognised as a premium hair care brand. The acquisition was completed in January 2024 and it is expected to add Unilever an approximate retail sales value of $ $300 million during the entirety of 2024 (businessoffashion.com, 2024). Recent organisational events for Unilever also include a marginal decline in net profits for 2023 in comparison to 2022 which include respective figures of EUR 7,140 and 8,269 million (unilever.com, 2023).</w:t>
      </w:r>
    </w:p>
    <w:p w:rsidR="001C54B3" w:rsidRDefault="00076BC6" w:rsidP="00735C33">
      <w:pPr>
        <w:pStyle w:val="Heading1"/>
      </w:pPr>
      <w:bookmarkStart w:id="11" w:name="_muktviwsuym6" w:colFirst="0" w:colLast="0"/>
      <w:bookmarkStart w:id="12" w:name="_Toc174453723"/>
      <w:bookmarkEnd w:id="11"/>
      <w:r>
        <w:t>2: Part B: Review of Financial Performance</w:t>
      </w:r>
      <w:bookmarkEnd w:id="12"/>
    </w:p>
    <w:p w:rsidR="001C54B3" w:rsidRDefault="00076BC6" w:rsidP="00735C33">
      <w:pPr>
        <w:pStyle w:val="Heading2"/>
      </w:pPr>
      <w:bookmarkStart w:id="13" w:name="_ol6rhldg4m40" w:colFirst="0" w:colLast="0"/>
      <w:bookmarkStart w:id="14" w:name="_Toc174453724"/>
      <w:bookmarkEnd w:id="13"/>
      <w:r>
        <w:t>2.1: Calculation and Critical Evaluation of Ratios</w:t>
      </w:r>
      <w:bookmarkEnd w:id="14"/>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conduct calculation and critical evaluation of ratios, the selected timespan or financial years are considered from 2023 to 2019. The competitor chosen for Unilever is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and the ratios are distributed across four categories of profitability, liquidity, gearing and efficiency respectively. The figures are ex</w:t>
      </w:r>
      <w:r w:rsidR="00471851">
        <w:rPr>
          <w:rFonts w:ascii="Times New Roman" w:eastAsia="Times New Roman" w:hAnsi="Times New Roman" w:cs="Times New Roman"/>
          <w:sz w:val="24"/>
          <w:szCs w:val="24"/>
        </w:rPr>
        <w:t>`</w:t>
      </w:r>
      <w:r>
        <w:rPr>
          <w:rFonts w:ascii="Times New Roman" w:eastAsia="Times New Roman" w:hAnsi="Times New Roman" w:cs="Times New Roman"/>
          <w:sz w:val="24"/>
          <w:szCs w:val="24"/>
        </w:rPr>
        <w:t>tracted primarily from financial statements including the income statement and balance sheet which are refined to form respective input data for ratios of both companies during the five years [</w:t>
      </w:r>
      <w:r>
        <w:rPr>
          <w:rFonts w:ascii="Times New Roman" w:eastAsia="Times New Roman" w:hAnsi="Times New Roman" w:cs="Times New Roman"/>
          <w:b/>
          <w:i/>
          <w:sz w:val="24"/>
          <w:szCs w:val="24"/>
        </w:rPr>
        <w:t>Refer to Appendices 1 &amp; 2</w:t>
      </w:r>
      <w:r>
        <w:rPr>
          <w:rFonts w:ascii="Times New Roman" w:eastAsia="Times New Roman" w:hAnsi="Times New Roman" w:cs="Times New Roman"/>
          <w:sz w:val="24"/>
          <w:szCs w:val="24"/>
        </w:rPr>
        <w:t xml:space="preserve">]. Following is the individual demarcation of financial performances for both companies measured in terms of the categories identified. </w:t>
      </w:r>
    </w:p>
    <w:p w:rsidR="001C54B3" w:rsidRDefault="00076BC6" w:rsidP="00735C33">
      <w:pPr>
        <w:pStyle w:val="Heading3"/>
      </w:pPr>
      <w:bookmarkStart w:id="15" w:name="_jbx7341esb8r" w:colFirst="0" w:colLast="0"/>
      <w:bookmarkStart w:id="16" w:name="_Toc174453725"/>
      <w:bookmarkEnd w:id="15"/>
      <w:r>
        <w:t>2.1.1: Profitability</w:t>
      </w:r>
      <w:bookmarkEnd w:id="16"/>
    </w:p>
    <w:tbl>
      <w:tblPr>
        <w:tblW w:w="5000" w:type="pct"/>
        <w:tblLook w:val="04A0"/>
      </w:tblPr>
      <w:tblGrid>
        <w:gridCol w:w="3157"/>
        <w:gridCol w:w="1217"/>
        <w:gridCol w:w="1217"/>
        <w:gridCol w:w="1217"/>
        <w:gridCol w:w="1217"/>
        <w:gridCol w:w="1220"/>
      </w:tblGrid>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Unilever</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Profitability Ratios</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GPR</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42.24%</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40.23%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42.30%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43.45%</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44.01%</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OPR</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16.37%</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17.90%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16.59%</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16.37%</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16.75%</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NPR</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11.98%</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13.76%</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12.62%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11.97%</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11.59%</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ROE</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34.39%</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38.10%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33.53%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34.40%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43.40%</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ROCE</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18.85%</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20.53%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17.29%</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17.64%</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19.87%</w:t>
            </w:r>
          </w:p>
        </w:tc>
      </w:tr>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Nestle</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Profitability Ratios</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GPR</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46.09%</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45.41%</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48.02%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49.26%</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49.77%</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OPR</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15.06%</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13.00%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13.35%</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17.47%</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17.31%</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NPR</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12.33%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10.12%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19.66%</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14.61%</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13.90%</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lastRenderedPageBreak/>
              <w:t>ROE</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31.63%</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22.42%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32.01%</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26.60%</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24.41%</w:t>
            </w:r>
          </w:p>
        </w:tc>
      </w:tr>
      <w:tr w:rsidR="009E7D88" w:rsidRPr="009E7D88" w:rsidTr="009E7D88">
        <w:trPr>
          <w:trHeight w:val="312"/>
        </w:trPr>
        <w:tc>
          <w:tcPr>
            <w:tcW w:w="1708"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ROCE</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15.72%</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12.95%</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11.78%</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17.55%</w:t>
            </w:r>
          </w:p>
        </w:tc>
        <w:tc>
          <w:tcPr>
            <w:tcW w:w="65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18.62%</w:t>
            </w:r>
          </w:p>
        </w:tc>
      </w:tr>
    </w:tbl>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Profitability Ratios</w:t>
      </w:r>
    </w:p>
    <w:p w:rsidR="004A5F11" w:rsidRDefault="004A5F11" w:rsidP="00735C33">
      <w:pPr>
        <w:spacing w:line="360" w:lineRule="auto"/>
        <w:jc w:val="both"/>
        <w:rPr>
          <w:rFonts w:ascii="Times New Roman" w:eastAsia="Times New Roman" w:hAnsi="Times New Roman" w:cs="Times New Roman"/>
          <w:sz w:val="24"/>
          <w:szCs w:val="24"/>
        </w:rPr>
      </w:pPr>
      <w:r>
        <w:rPr>
          <w:noProof/>
          <w:lang w:val="en-US" w:eastAsia="en-US"/>
        </w:rPr>
        <w:drawing>
          <wp:inline distT="0" distB="0" distL="0" distR="0">
            <wp:extent cx="5733415" cy="2064887"/>
            <wp:effectExtent l="19050" t="19050" r="19685"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A5F11" w:rsidRPr="004A5F11" w:rsidRDefault="004A5F11" w:rsidP="00735C33">
      <w:pPr>
        <w:spacing w:line="360" w:lineRule="auto"/>
        <w:jc w:val="center"/>
        <w:rPr>
          <w:rFonts w:ascii="Times New Roman" w:eastAsia="Times New Roman" w:hAnsi="Times New Roman" w:cs="Times New Roman"/>
          <w:b/>
          <w:color w:val="FF0000"/>
          <w:sz w:val="24"/>
          <w:szCs w:val="24"/>
        </w:rPr>
      </w:pPr>
      <w:r w:rsidRPr="004A5F11">
        <w:rPr>
          <w:rFonts w:ascii="Times New Roman" w:eastAsia="Times New Roman" w:hAnsi="Times New Roman" w:cs="Times New Roman"/>
          <w:b/>
          <w:color w:val="FF0000"/>
          <w:sz w:val="24"/>
          <w:szCs w:val="24"/>
        </w:rPr>
        <w:t>Figure 1: Profitability Ratios</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GPR for Unilever includes figures of 42.24%, 40.23%, 42.30%, 43.45% and 44.01% respectively during the 5 years. Similarly, GPR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includes values </w:t>
      </w:r>
      <w:r w:rsidR="00E5274F">
        <w:rPr>
          <w:rFonts w:ascii="Times New Roman" w:eastAsia="Times New Roman" w:hAnsi="Times New Roman" w:cs="Times New Roman"/>
          <w:color w:val="FF0000"/>
          <w:sz w:val="24"/>
          <w:szCs w:val="24"/>
        </w:rPr>
        <w:t xml:space="preserve">of 46.09%, 45.41%, </w:t>
      </w:r>
      <w:r w:rsidR="00DD78C2">
        <w:rPr>
          <w:rFonts w:ascii="Times New Roman" w:eastAsia="Times New Roman" w:hAnsi="Times New Roman" w:cs="Times New Roman"/>
          <w:color w:val="FF0000"/>
          <w:sz w:val="24"/>
          <w:szCs w:val="24"/>
        </w:rPr>
        <w:t>and 48.02</w:t>
      </w:r>
      <w:r w:rsidR="00E5274F">
        <w:rPr>
          <w:rFonts w:ascii="Times New Roman" w:eastAsia="Times New Roman" w:hAnsi="Times New Roman" w:cs="Times New Roman"/>
          <w:color w:val="FF0000"/>
          <w:sz w:val="24"/>
          <w:szCs w:val="24"/>
        </w:rPr>
        <w:t>%, 49.26% and 49.77%</w:t>
      </w:r>
      <w:r>
        <w:rPr>
          <w:rFonts w:ascii="Times New Roman" w:eastAsia="Times New Roman" w:hAnsi="Times New Roman" w:cs="Times New Roman"/>
          <w:sz w:val="24"/>
          <w:szCs w:val="24"/>
        </w:rPr>
        <w:t xml:space="preserve"> respectively. Based on the above analysis, it is observed that performance of Unilever is comparatively </w:t>
      </w:r>
      <w:r w:rsidR="00E5274F">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which is mainly obtained due to </w:t>
      </w:r>
      <w:r w:rsidRPr="00E5274F">
        <w:rPr>
          <w:rFonts w:ascii="Times New Roman" w:eastAsia="Times New Roman" w:hAnsi="Times New Roman" w:cs="Times New Roman"/>
          <w:color w:val="FF0000"/>
          <w:sz w:val="24"/>
          <w:szCs w:val="24"/>
        </w:rPr>
        <w:t xml:space="preserve">a </w:t>
      </w:r>
      <w:r w:rsidR="00E5274F" w:rsidRPr="00E5274F">
        <w:rPr>
          <w:rFonts w:ascii="Times New Roman" w:eastAsia="Times New Roman" w:hAnsi="Times New Roman" w:cs="Times New Roman"/>
          <w:color w:val="FF0000"/>
          <w:sz w:val="24"/>
          <w:szCs w:val="24"/>
        </w:rPr>
        <w:t>lack of control</w:t>
      </w:r>
      <w:r>
        <w:rPr>
          <w:rFonts w:ascii="Times New Roman" w:eastAsia="Times New Roman" w:hAnsi="Times New Roman" w:cs="Times New Roman"/>
          <w:sz w:val="24"/>
          <w:szCs w:val="24"/>
        </w:rPr>
        <w:t xml:space="preserve"> established for minimising cost of sales. The respective trends are observed to be increasing for Unilever and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in 2023 as compared to previous years. As per opinions of </w:t>
      </w:r>
      <w:r>
        <w:rPr>
          <w:rFonts w:ascii="Times New Roman" w:eastAsia="Times New Roman" w:hAnsi="Times New Roman" w:cs="Times New Roman"/>
          <w:color w:val="222222"/>
          <w:sz w:val="24"/>
          <w:szCs w:val="24"/>
          <w:highlight w:val="white"/>
        </w:rPr>
        <w:t xml:space="preserve">Rafid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(2024), a higher GPR is a favourable indicator for an organisation due to which a high manufacturing and production process command can be achieved.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OPR for Unilever includes figures of 16.37%, 17.90%, 16.59%, 16.37% and 16.75% respectively while figures identified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are </w:t>
      </w:r>
      <w:r w:rsidR="00E5274F">
        <w:rPr>
          <w:rFonts w:ascii="Times New Roman" w:eastAsia="Times New Roman" w:hAnsi="Times New Roman" w:cs="Times New Roman"/>
          <w:color w:val="FF0000"/>
          <w:sz w:val="24"/>
          <w:szCs w:val="24"/>
        </w:rPr>
        <w:t>15.06%, 13%, 13.35%, 17.47% and 17.31%</w:t>
      </w:r>
      <w:r>
        <w:rPr>
          <w:rFonts w:ascii="Times New Roman" w:eastAsia="Times New Roman" w:hAnsi="Times New Roman" w:cs="Times New Roman"/>
          <w:sz w:val="24"/>
          <w:szCs w:val="24"/>
        </w:rPr>
        <w:t xml:space="preserve">. Hence, it is determined that superior figures are present for Unilever in comparison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which can be attributed to a domino effect of a higher existing "gross profit" value. However, the ratio trends for </w:t>
      </w:r>
      <w:r w:rsidR="00E5274F">
        <w:rPr>
          <w:rFonts w:ascii="Times New Roman" w:eastAsia="Times New Roman" w:hAnsi="Times New Roman" w:cs="Times New Roman"/>
          <w:color w:val="FF0000"/>
          <w:sz w:val="24"/>
          <w:szCs w:val="24"/>
        </w:rPr>
        <w:t>Unilever</w:t>
      </w:r>
      <w:r>
        <w:rPr>
          <w:rFonts w:ascii="Times New Roman" w:eastAsia="Times New Roman" w:hAnsi="Times New Roman" w:cs="Times New Roman"/>
          <w:sz w:val="24"/>
          <w:szCs w:val="24"/>
        </w:rPr>
        <w:t xml:space="preserve">in 2023 are observed to decline significantly which is mostly related to an increase experienced in operating costs. As critically viewed by </w:t>
      </w:r>
      <w:r>
        <w:rPr>
          <w:rFonts w:ascii="Times New Roman" w:eastAsia="Times New Roman" w:hAnsi="Times New Roman" w:cs="Times New Roman"/>
          <w:color w:val="222222"/>
          <w:sz w:val="24"/>
          <w:szCs w:val="24"/>
          <w:highlight w:val="white"/>
        </w:rPr>
        <w:t xml:space="preserve">Arsyad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(2021), a decrease in OPR can be an adverse proposition for organisations which can dilute operational efficiency and reliability in the long run.</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NPR for Unilever has been calculated as 11.98%, 13.76%, 12.62%, 11.97% and 11.59% whereas NPR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measured as </w:t>
      </w:r>
      <w:r w:rsidR="00E5274F" w:rsidRPr="00E5274F">
        <w:rPr>
          <w:rFonts w:ascii="Times New Roman" w:eastAsia="Times New Roman" w:hAnsi="Times New Roman" w:cs="Times New Roman"/>
          <w:color w:val="FF0000"/>
          <w:sz w:val="24"/>
          <w:szCs w:val="24"/>
        </w:rPr>
        <w:t>12.33%, 10.12%, 19.66% 14.61% and 13.90%</w:t>
      </w:r>
      <w:r>
        <w:rPr>
          <w:rFonts w:ascii="Times New Roman" w:eastAsia="Times New Roman" w:hAnsi="Times New Roman" w:cs="Times New Roman"/>
          <w:sz w:val="24"/>
          <w:szCs w:val="24"/>
        </w:rPr>
        <w:t xml:space="preserve">. Therefore, it is observed that NPR for Unilever is considerably </w:t>
      </w:r>
      <w:r w:rsidR="00EF1E6B">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which is mainly caused due to </w:t>
      </w:r>
      <w:r w:rsidR="00EF1E6B">
        <w:rPr>
          <w:rFonts w:ascii="Times New Roman" w:eastAsia="Times New Roman" w:hAnsi="Times New Roman" w:cs="Times New Roman"/>
          <w:color w:val="FF0000"/>
          <w:sz w:val="24"/>
          <w:szCs w:val="24"/>
        </w:rPr>
        <w:t>increase in corporate taxes and non-operating expenses.</w:t>
      </w:r>
      <w:r w:rsidR="00EF1E6B">
        <w:rPr>
          <w:rFonts w:ascii="Times New Roman" w:eastAsia="Times New Roman" w:hAnsi="Times New Roman" w:cs="Times New Roman"/>
          <w:sz w:val="24"/>
          <w:szCs w:val="24"/>
        </w:rPr>
        <w:t>Ratio trend</w:t>
      </w:r>
      <w:r>
        <w:rPr>
          <w:rFonts w:ascii="Times New Roman" w:eastAsia="Times New Roman" w:hAnsi="Times New Roman" w:cs="Times New Roman"/>
          <w:sz w:val="24"/>
          <w:szCs w:val="24"/>
        </w:rPr>
        <w:t xml:space="preserve"> for </w:t>
      </w:r>
      <w:r w:rsidR="00EF1E6B">
        <w:rPr>
          <w:rFonts w:ascii="Times New Roman" w:eastAsia="Times New Roman" w:hAnsi="Times New Roman" w:cs="Times New Roman"/>
          <w:color w:val="FF0000"/>
          <w:sz w:val="24"/>
          <w:szCs w:val="24"/>
        </w:rPr>
        <w:t>Unilever is also</w:t>
      </w:r>
      <w:r>
        <w:rPr>
          <w:rFonts w:ascii="Times New Roman" w:eastAsia="Times New Roman" w:hAnsi="Times New Roman" w:cs="Times New Roman"/>
          <w:sz w:val="24"/>
          <w:szCs w:val="24"/>
        </w:rPr>
        <w:t>observed to decline partially in 202</w:t>
      </w:r>
      <w:r w:rsidR="00EF1E6B">
        <w:rPr>
          <w:rFonts w:ascii="Times New Roman" w:eastAsia="Times New Roman" w:hAnsi="Times New Roman" w:cs="Times New Roman"/>
          <w:sz w:val="24"/>
          <w:szCs w:val="24"/>
        </w:rPr>
        <w:t xml:space="preserve">3 as compared to previous years. </w:t>
      </w:r>
      <w:r>
        <w:rPr>
          <w:rFonts w:ascii="Times New Roman" w:eastAsia="Times New Roman" w:hAnsi="Times New Roman" w:cs="Times New Roman"/>
          <w:color w:val="222222"/>
          <w:sz w:val="24"/>
          <w:szCs w:val="24"/>
          <w:highlight w:val="white"/>
        </w:rPr>
        <w:lastRenderedPageBreak/>
        <w:t xml:space="preserve">Pertiwi and Sukoco </w:t>
      </w:r>
      <w:r>
        <w:rPr>
          <w:rFonts w:ascii="Times New Roman" w:eastAsia="Times New Roman" w:hAnsi="Times New Roman" w:cs="Times New Roman"/>
          <w:sz w:val="24"/>
          <w:szCs w:val="24"/>
        </w:rPr>
        <w:t>(2022), critically observed that decreasing NPR can be a conflicting situation which might jeopardise future business sustainability as well as impact stakeholder participation.</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ROE for Unilever has been measured as 34.39%, 38.10%, 33.53%, 34.40% and 43.40% while ratios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include figures of </w:t>
      </w:r>
      <w:r w:rsidR="00EF1E6B">
        <w:rPr>
          <w:rFonts w:ascii="Times New Roman" w:eastAsia="Times New Roman" w:hAnsi="Times New Roman" w:cs="Times New Roman"/>
          <w:color w:val="FF0000"/>
          <w:sz w:val="24"/>
          <w:szCs w:val="24"/>
        </w:rPr>
        <w:t>31.63%, 22.42%, 32.01%, 26.60% and 24.41%.</w:t>
      </w:r>
      <w:r>
        <w:rPr>
          <w:rFonts w:ascii="Times New Roman" w:eastAsia="Times New Roman" w:hAnsi="Times New Roman" w:cs="Times New Roman"/>
          <w:sz w:val="24"/>
          <w:szCs w:val="24"/>
        </w:rPr>
        <w:t xml:space="preserve"> The ROE for Unilever is witnessed to be greater than values of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which is mainl</w:t>
      </w:r>
      <w:r w:rsidR="00EF1E6B">
        <w:rPr>
          <w:rFonts w:ascii="Times New Roman" w:eastAsia="Times New Roman" w:hAnsi="Times New Roman" w:cs="Times New Roman"/>
          <w:sz w:val="24"/>
          <w:szCs w:val="24"/>
        </w:rPr>
        <w:t>y achieved due to incremental “net profit” and “</w:t>
      </w:r>
      <w:r>
        <w:rPr>
          <w:rFonts w:ascii="Times New Roman" w:eastAsia="Times New Roman" w:hAnsi="Times New Roman" w:cs="Times New Roman"/>
          <w:sz w:val="24"/>
          <w:szCs w:val="24"/>
        </w:rPr>
        <w:t xml:space="preserve">equity” values. </w:t>
      </w:r>
      <w:r w:rsidR="006872B3">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on the flip side, the ROE for </w:t>
      </w:r>
      <w:r w:rsidR="00EF1E6B">
        <w:rPr>
          <w:rFonts w:ascii="Times New Roman" w:eastAsia="Times New Roman" w:hAnsi="Times New Roman" w:cs="Times New Roman"/>
          <w:color w:val="FF0000"/>
          <w:sz w:val="24"/>
          <w:szCs w:val="24"/>
        </w:rPr>
        <w:t>Unilever demonstrates</w:t>
      </w:r>
      <w:r>
        <w:rPr>
          <w:rFonts w:ascii="Times New Roman" w:eastAsia="Times New Roman" w:hAnsi="Times New Roman" w:cs="Times New Roman"/>
          <w:sz w:val="24"/>
          <w:szCs w:val="24"/>
        </w:rPr>
        <w:t>a declining performance pattern in 2023 as compared to 2022 which can be m</w:t>
      </w:r>
      <w:r w:rsidR="00EF1E6B">
        <w:rPr>
          <w:rFonts w:ascii="Times New Roman" w:eastAsia="Times New Roman" w:hAnsi="Times New Roman" w:cs="Times New Roman"/>
          <w:sz w:val="24"/>
          <w:szCs w:val="24"/>
        </w:rPr>
        <w:t>ostly linked to a decrease in "</w:t>
      </w:r>
      <w:r>
        <w:rPr>
          <w:rFonts w:ascii="Times New Roman" w:eastAsia="Times New Roman" w:hAnsi="Times New Roman" w:cs="Times New Roman"/>
          <w:sz w:val="24"/>
          <w:szCs w:val="24"/>
        </w:rPr>
        <w:t xml:space="preserve">net profit" values. As per critical explanations of </w:t>
      </w:r>
      <w:r>
        <w:rPr>
          <w:rFonts w:ascii="Times New Roman" w:eastAsia="Times New Roman" w:hAnsi="Times New Roman" w:cs="Times New Roman"/>
          <w:color w:val="222222"/>
          <w:sz w:val="24"/>
          <w:szCs w:val="24"/>
          <w:highlight w:val="white"/>
        </w:rPr>
        <w:t xml:space="preserve">Albertus and Lestari </w:t>
      </w:r>
      <w:r>
        <w:rPr>
          <w:rFonts w:ascii="Times New Roman" w:eastAsia="Times New Roman" w:hAnsi="Times New Roman" w:cs="Times New Roman"/>
          <w:sz w:val="24"/>
          <w:szCs w:val="24"/>
        </w:rPr>
        <w:t>(2022), a decrease in ROE can affect equitable investment opportunities of a company due to which capital structure is also likely to be impacted in future.</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ROCE for Unilever has been measured as 18.85%, 20.53%, 17.29%, 17.64% and 19.87% while ROCE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evaluated as </w:t>
      </w:r>
      <w:r w:rsidR="00A01429">
        <w:rPr>
          <w:rFonts w:ascii="Times New Roman" w:eastAsia="Times New Roman" w:hAnsi="Times New Roman" w:cs="Times New Roman"/>
          <w:color w:val="FF0000"/>
          <w:sz w:val="24"/>
          <w:szCs w:val="24"/>
        </w:rPr>
        <w:t>15.72%, 12.95%, 11.78%, 17.55% and 18.62%</w:t>
      </w:r>
      <w:r>
        <w:rPr>
          <w:rFonts w:ascii="Times New Roman" w:eastAsia="Times New Roman" w:hAnsi="Times New Roman" w:cs="Times New Roman"/>
          <w:sz w:val="24"/>
          <w:szCs w:val="24"/>
        </w:rPr>
        <w:t xml:space="preserve">. The overall ROCE for Unilever is also identified to be superior in comparison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which is caused predominantly due to higher "operating profit values" for Unilever. However, on the contrary, ratio </w:t>
      </w:r>
      <w:r w:rsidR="00A01429">
        <w:rPr>
          <w:rFonts w:ascii="Times New Roman" w:eastAsia="Times New Roman" w:hAnsi="Times New Roman" w:cs="Times New Roman"/>
          <w:sz w:val="24"/>
          <w:szCs w:val="24"/>
        </w:rPr>
        <w:t>trend</w:t>
      </w:r>
      <w:r>
        <w:rPr>
          <w:rFonts w:ascii="Times New Roman" w:eastAsia="Times New Roman" w:hAnsi="Times New Roman" w:cs="Times New Roman"/>
          <w:sz w:val="24"/>
          <w:szCs w:val="24"/>
        </w:rPr>
        <w:t xml:space="preserve"> for </w:t>
      </w:r>
      <w:r w:rsidR="00A01429">
        <w:rPr>
          <w:rFonts w:ascii="Times New Roman" w:eastAsia="Times New Roman" w:hAnsi="Times New Roman" w:cs="Times New Roman"/>
          <w:color w:val="FF0000"/>
          <w:sz w:val="24"/>
          <w:szCs w:val="24"/>
        </w:rPr>
        <w:t>Unilever has</w:t>
      </w:r>
      <w:r>
        <w:rPr>
          <w:rFonts w:ascii="Times New Roman" w:eastAsia="Times New Roman" w:hAnsi="Times New Roman" w:cs="Times New Roman"/>
          <w:sz w:val="24"/>
          <w:szCs w:val="24"/>
        </w:rPr>
        <w:t xml:space="preserve"> fractionally declined in 2023 as compared to previous years as higher operating expenses are identified as the preliminary reason. The decrease in ROCE can be a jeopardised proposition for organisations which can minimise investment and return opportunities for investors in future (</w:t>
      </w:r>
      <w:r>
        <w:rPr>
          <w:rFonts w:ascii="Times New Roman" w:eastAsia="Times New Roman" w:hAnsi="Times New Roman" w:cs="Times New Roman"/>
          <w:color w:val="222222"/>
          <w:sz w:val="24"/>
          <w:szCs w:val="24"/>
          <w:highlight w:val="white"/>
        </w:rPr>
        <w:t xml:space="preserve">Sari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Based on the overall profitability assessment, the performance of Unilever is significantly greater than the performance of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specifically in 2023 as financial ratios contain higher values and figures.</w:t>
      </w:r>
    </w:p>
    <w:p w:rsidR="001C54B3" w:rsidRDefault="00076BC6" w:rsidP="00735C33">
      <w:pPr>
        <w:pStyle w:val="Heading3"/>
      </w:pPr>
      <w:bookmarkStart w:id="17" w:name="_cn8z1zrxucf4" w:colFirst="0" w:colLast="0"/>
      <w:bookmarkStart w:id="18" w:name="_Toc174453726"/>
      <w:bookmarkEnd w:id="17"/>
      <w:r>
        <w:t>2.1.2: Liquidity</w:t>
      </w:r>
      <w:bookmarkEnd w:id="18"/>
    </w:p>
    <w:tbl>
      <w:tblPr>
        <w:tblW w:w="5000" w:type="pct"/>
        <w:tblLook w:val="04A0"/>
      </w:tblPr>
      <w:tblGrid>
        <w:gridCol w:w="3619"/>
        <w:gridCol w:w="1126"/>
        <w:gridCol w:w="1124"/>
        <w:gridCol w:w="1124"/>
        <w:gridCol w:w="1124"/>
        <w:gridCol w:w="1128"/>
      </w:tblGrid>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Unilever</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Liquidity Ratios</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CR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0.76</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0.75</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0.70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0.78</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0.78</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QR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0.54</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0.52</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0.51</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0.57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0.58</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CAR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0.18</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0.17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0.05</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0.04</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0.20</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WCS</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-0.09</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-0.10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-0.14</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-0.09</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-0.09</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NWCR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-0.08</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-0.10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-0.07</w:t>
            </w:r>
          </w:p>
        </w:tc>
      </w:tr>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Nestle</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Liquidity Ratios</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CR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0.83</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0.88</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0.98</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0.86</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0.86</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lastRenderedPageBreak/>
              <w:t>QR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0.51</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0.50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0.68</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0.60</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0.63</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CAR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0.13</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0.14</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0.17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0.13</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0.18</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WCS</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-0.05</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-0.01</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-0.07</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-0.06</w:t>
            </w:r>
          </w:p>
        </w:tc>
      </w:tr>
      <w:tr w:rsidR="009E7D88" w:rsidRPr="009E7D88" w:rsidTr="009E7D88">
        <w:trPr>
          <w:trHeight w:val="312"/>
        </w:trPr>
        <w:tc>
          <w:tcPr>
            <w:tcW w:w="1957"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NWCR</w:t>
            </w:r>
          </w:p>
        </w:tc>
        <w:tc>
          <w:tcPr>
            <w:tcW w:w="609"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-0.05</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-0.04</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-0.01</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-0.05</w:t>
            </w:r>
          </w:p>
        </w:tc>
        <w:tc>
          <w:tcPr>
            <w:tcW w:w="608"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-0.05</w:t>
            </w:r>
          </w:p>
        </w:tc>
      </w:tr>
    </w:tbl>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2: Liquidity Ratios</w:t>
      </w:r>
    </w:p>
    <w:p w:rsidR="004A5F11" w:rsidRDefault="004A5F11" w:rsidP="00735C33">
      <w:pPr>
        <w:spacing w:line="360" w:lineRule="auto"/>
        <w:jc w:val="both"/>
        <w:rPr>
          <w:rFonts w:ascii="Times New Roman" w:eastAsia="Times New Roman" w:hAnsi="Times New Roman" w:cs="Times New Roman"/>
          <w:sz w:val="24"/>
          <w:szCs w:val="24"/>
        </w:rPr>
      </w:pPr>
      <w:r>
        <w:rPr>
          <w:noProof/>
          <w:lang w:val="en-US" w:eastAsia="en-US"/>
        </w:rPr>
        <w:drawing>
          <wp:inline distT="0" distB="0" distL="0" distR="0">
            <wp:extent cx="5733415" cy="2349108"/>
            <wp:effectExtent l="19050" t="19050" r="19685" b="133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A5F11" w:rsidRPr="004A5F11" w:rsidRDefault="004A5F11" w:rsidP="00735C33">
      <w:pPr>
        <w:spacing w:line="360" w:lineRule="auto"/>
        <w:jc w:val="center"/>
        <w:rPr>
          <w:rFonts w:ascii="Times New Roman" w:eastAsia="Times New Roman" w:hAnsi="Times New Roman" w:cs="Times New Roman"/>
          <w:b/>
          <w:color w:val="FF0000"/>
          <w:sz w:val="24"/>
          <w:szCs w:val="24"/>
        </w:rPr>
      </w:pPr>
      <w:r w:rsidRPr="004A5F11">
        <w:rPr>
          <w:rFonts w:ascii="Times New Roman" w:eastAsia="Times New Roman" w:hAnsi="Times New Roman" w:cs="Times New Roman"/>
          <w:b/>
          <w:color w:val="FF0000"/>
          <w:sz w:val="24"/>
          <w:szCs w:val="24"/>
        </w:rPr>
        <w:t>Figure 2: Liquidity Ratios</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 for Unilever has been calculated as 0.76, 0.75, 0.70, 0.78 and 0.78:1 from 2023 to 2019. CR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calculated as </w:t>
      </w:r>
      <w:r w:rsidR="00E5513B">
        <w:rPr>
          <w:rFonts w:ascii="Times New Roman" w:eastAsia="Times New Roman" w:hAnsi="Times New Roman" w:cs="Times New Roman"/>
          <w:color w:val="FF0000"/>
          <w:sz w:val="24"/>
          <w:szCs w:val="24"/>
        </w:rPr>
        <w:t>0.83, 0.88, 0.98, 0.86 and 0.86</w:t>
      </w:r>
      <w:r>
        <w:rPr>
          <w:rFonts w:ascii="Times New Roman" w:eastAsia="Times New Roman" w:hAnsi="Times New Roman" w:cs="Times New Roman"/>
          <w:sz w:val="24"/>
          <w:szCs w:val="24"/>
        </w:rPr>
        <w:t xml:space="preserve">:1. Hence, it is observed that CR for Unilever is marginally </w:t>
      </w:r>
      <w:r w:rsidR="00ED7357">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which is caused primarily due to a </w:t>
      </w:r>
      <w:r w:rsidR="00ED7357">
        <w:rPr>
          <w:rFonts w:ascii="Times New Roman" w:eastAsia="Times New Roman" w:hAnsi="Times New Roman" w:cs="Times New Roman"/>
          <w:color w:val="FF0000"/>
          <w:sz w:val="24"/>
          <w:szCs w:val="24"/>
        </w:rPr>
        <w:t>low</w:t>
      </w:r>
      <w:r>
        <w:rPr>
          <w:rFonts w:ascii="Times New Roman" w:eastAsia="Times New Roman" w:hAnsi="Times New Roman" w:cs="Times New Roman"/>
          <w:sz w:val="24"/>
          <w:szCs w:val="24"/>
        </w:rPr>
        <w:t xml:space="preserve"> "current asset" value. The trend of CR for Unilever and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is observed to be increasing and decreasing in 2023 as compared to previous years where efficient working capital management is being conducted by Unilever. </w:t>
      </w:r>
      <w:r>
        <w:rPr>
          <w:rFonts w:ascii="Times New Roman" w:eastAsia="Times New Roman" w:hAnsi="Times New Roman" w:cs="Times New Roman"/>
          <w:color w:val="222222"/>
          <w:sz w:val="24"/>
          <w:szCs w:val="24"/>
          <w:highlight w:val="white"/>
        </w:rPr>
        <w:t xml:space="preserve">Jihadi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(2021), stated that a high CR is a beneficial opportunity for an organisation to ensure short-term operational reliability and efficiency.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QR for Unilever has been measured as 0.54, 0.52, 0.51, 0.57 and 0.58:1. Similarly QR for </w:t>
      </w:r>
      <w:r w:rsidR="002D0988">
        <w:rPr>
          <w:rFonts w:ascii="Times New Roman" w:eastAsia="Times New Roman" w:hAnsi="Times New Roman" w:cs="Times New Roman"/>
          <w:color w:val="FF0000"/>
          <w:sz w:val="24"/>
          <w:szCs w:val="24"/>
        </w:rPr>
        <w:t>Nestle</w:t>
      </w:r>
      <w:r w:rsidRPr="004A2965">
        <w:rPr>
          <w:rFonts w:ascii="Times New Roman" w:eastAsia="Times New Roman" w:hAnsi="Times New Roman" w:cs="Times New Roman"/>
          <w:color w:val="000000" w:themeColor="text1"/>
          <w:sz w:val="24"/>
          <w:szCs w:val="24"/>
        </w:rPr>
        <w:t xml:space="preserve">has been calculated as </w:t>
      </w:r>
      <w:r w:rsidR="008529DE">
        <w:rPr>
          <w:rFonts w:ascii="Times New Roman" w:eastAsia="Times New Roman" w:hAnsi="Times New Roman" w:cs="Times New Roman"/>
          <w:color w:val="FF0000"/>
          <w:sz w:val="24"/>
          <w:szCs w:val="24"/>
        </w:rPr>
        <w:t>0.51, 0.50, 0.68, 0.60 and 0.63</w:t>
      </w:r>
      <w:r w:rsidRPr="004A2965">
        <w:rPr>
          <w:rFonts w:ascii="Times New Roman" w:eastAsia="Times New Roman" w:hAnsi="Times New Roman" w:cs="Times New Roman"/>
          <w:color w:val="000000" w:themeColor="text1"/>
          <w:sz w:val="24"/>
          <w:szCs w:val="24"/>
        </w:rPr>
        <w:t xml:space="preserve">:1. The figures of </w:t>
      </w:r>
      <w:r w:rsidR="002D0988">
        <w:rPr>
          <w:rFonts w:ascii="Times New Roman" w:eastAsia="Times New Roman" w:hAnsi="Times New Roman" w:cs="Times New Roman"/>
          <w:color w:val="FF0000"/>
          <w:sz w:val="24"/>
          <w:szCs w:val="24"/>
        </w:rPr>
        <w:t>Nestle</w:t>
      </w:r>
      <w:r w:rsidRPr="004A2965">
        <w:rPr>
          <w:rFonts w:ascii="Times New Roman" w:eastAsia="Times New Roman" w:hAnsi="Times New Roman" w:cs="Times New Roman"/>
          <w:color w:val="000000" w:themeColor="text1"/>
          <w:sz w:val="24"/>
          <w:szCs w:val="24"/>
        </w:rPr>
        <w:t xml:space="preserve">are </w:t>
      </w:r>
      <w:r>
        <w:rPr>
          <w:rFonts w:ascii="Times New Roman" w:eastAsia="Times New Roman" w:hAnsi="Times New Roman" w:cs="Times New Roman"/>
          <w:sz w:val="24"/>
          <w:szCs w:val="24"/>
        </w:rPr>
        <w:t xml:space="preserve">identified to be </w:t>
      </w:r>
      <w:r w:rsidR="00711A12">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to Unilever in 2023, while trends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and Unilever are expanding in 2023 as opposed to previous years. This is likely to be caused due </w:t>
      </w:r>
      <w:r w:rsidR="009D4850">
        <w:rPr>
          <w:rFonts w:ascii="Times New Roman" w:eastAsia="Times New Roman" w:hAnsi="Times New Roman" w:cs="Times New Roman"/>
          <w:sz w:val="24"/>
          <w:szCs w:val="24"/>
        </w:rPr>
        <w:t xml:space="preserve">to variability experienced in "current assets", </w:t>
      </w:r>
      <w:r>
        <w:rPr>
          <w:rFonts w:ascii="Times New Roman" w:eastAsia="Times New Roman" w:hAnsi="Times New Roman" w:cs="Times New Roman"/>
          <w:sz w:val="24"/>
          <w:szCs w:val="24"/>
        </w:rPr>
        <w:t xml:space="preserve">"inventory" and "current liability" values. As </w:t>
      </w:r>
      <w:r>
        <w:rPr>
          <w:rFonts w:ascii="Times New Roman" w:eastAsia="Times New Roman" w:hAnsi="Times New Roman" w:cs="Times New Roman"/>
          <w:color w:val="222222"/>
          <w:sz w:val="24"/>
          <w:szCs w:val="24"/>
          <w:highlight w:val="white"/>
        </w:rPr>
        <w:t xml:space="preserve">Hachem and Song </w:t>
      </w:r>
      <w:r>
        <w:rPr>
          <w:rFonts w:ascii="Times New Roman" w:eastAsia="Times New Roman" w:hAnsi="Times New Roman" w:cs="Times New Roman"/>
          <w:sz w:val="24"/>
          <w:szCs w:val="24"/>
        </w:rPr>
        <w:t xml:space="preserve">(2021), critically illustrated a decrease in QR is likely to affect absolute liquidity for a company due to which contingency planning can be impacted.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CAR for Unilever has been measured as 0.18, 0.17, 0.05, 0.04 and 0.20:1. Corresponding figures of CAR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have been calculated as </w:t>
      </w:r>
      <w:r w:rsidR="0021428C">
        <w:rPr>
          <w:rFonts w:ascii="Times New Roman" w:eastAsia="Times New Roman" w:hAnsi="Times New Roman" w:cs="Times New Roman"/>
          <w:color w:val="FF0000"/>
          <w:sz w:val="24"/>
          <w:szCs w:val="24"/>
        </w:rPr>
        <w:t>0.13, 0.14, 0.17, 0.13 and 0.18</w:t>
      </w:r>
      <w:r>
        <w:rPr>
          <w:rFonts w:ascii="Times New Roman" w:eastAsia="Times New Roman" w:hAnsi="Times New Roman" w:cs="Times New Roman"/>
          <w:sz w:val="24"/>
          <w:szCs w:val="24"/>
        </w:rPr>
        <w:t xml:space="preserve">:1. The CAR for Unilever in 2023 is observed fractionally to be superior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while an </w:t>
      </w:r>
      <w:r>
        <w:rPr>
          <w:rFonts w:ascii="Times New Roman" w:eastAsia="Times New Roman" w:hAnsi="Times New Roman" w:cs="Times New Roman"/>
          <w:sz w:val="24"/>
          <w:szCs w:val="24"/>
        </w:rPr>
        <w:lastRenderedPageBreak/>
        <w:t xml:space="preserve">increasing and a decreasing ratio trend is observed for both companies when compared alongside previous years. This trend is predominantly observed due to an increase and a decrease experienced in “cash and cash equivalents” as well as “current liabilities”. As per narratives of </w:t>
      </w:r>
      <w:r>
        <w:rPr>
          <w:rFonts w:ascii="Times New Roman" w:eastAsia="Times New Roman" w:hAnsi="Times New Roman" w:cs="Times New Roman"/>
          <w:color w:val="222222"/>
          <w:sz w:val="24"/>
          <w:szCs w:val="24"/>
          <w:highlight w:val="white"/>
        </w:rPr>
        <w:t xml:space="preserve">Fungacova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(2021), an increase in CAR is a beneficial prospect for an organisation due to which availability of cash reserves can be maximised and used strategically in other organisational departments.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WCS for Unilever has been calculated as -0.09, -0.10, -0.14, -0.09 and -0.09:1. Likewise, WCS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evaluated as </w:t>
      </w:r>
      <w:r w:rsidR="008858FA">
        <w:rPr>
          <w:rFonts w:ascii="Times New Roman" w:eastAsia="Times New Roman" w:hAnsi="Times New Roman" w:cs="Times New Roman"/>
          <w:color w:val="FF0000"/>
          <w:sz w:val="24"/>
          <w:szCs w:val="24"/>
        </w:rPr>
        <w:t>-0.07, -0.05, -0.01, -0.07 and -0.06</w:t>
      </w:r>
      <w:r>
        <w:rPr>
          <w:rFonts w:ascii="Times New Roman" w:eastAsia="Times New Roman" w:hAnsi="Times New Roman" w:cs="Times New Roman"/>
          <w:sz w:val="24"/>
          <w:szCs w:val="24"/>
        </w:rPr>
        <w:t xml:space="preserve">:1. The figure of WCS in 2023 elaborates inferior performances achieved by both companies as working capital for both companies is negative. The negative working capital is mainly obtained when “current liabilities” exceed “current assets”. As critically demonstrated by </w:t>
      </w:r>
      <w:r>
        <w:rPr>
          <w:rFonts w:ascii="Times New Roman" w:eastAsia="Times New Roman" w:hAnsi="Times New Roman" w:cs="Times New Roman"/>
          <w:color w:val="222222"/>
          <w:sz w:val="24"/>
          <w:szCs w:val="24"/>
          <w:highlight w:val="white"/>
        </w:rPr>
        <w:t xml:space="preserve">Bianchi and Bigio </w:t>
      </w:r>
      <w:r>
        <w:rPr>
          <w:rFonts w:ascii="Times New Roman" w:eastAsia="Times New Roman" w:hAnsi="Times New Roman" w:cs="Times New Roman"/>
          <w:sz w:val="24"/>
          <w:szCs w:val="24"/>
        </w:rPr>
        <w:t xml:space="preserve">(2022), a negative WCS can be an impactful proposition for an organisation where sales conversion opportunities could be limited thereby impacting operational stability.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NWCR for Unilever has been evaluated as -0.07, -0.08, -0.10, -0.07 and -0.07:1. Similarly, NWCR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measured as -</w:t>
      </w:r>
      <w:r w:rsidR="002A0E14">
        <w:rPr>
          <w:rFonts w:ascii="Times New Roman" w:eastAsia="Times New Roman" w:hAnsi="Times New Roman" w:cs="Times New Roman"/>
          <w:color w:val="FF0000"/>
          <w:sz w:val="24"/>
          <w:szCs w:val="24"/>
        </w:rPr>
        <w:t>0.05, -0.04, -0.01, -0.05 and -0.05</w:t>
      </w:r>
      <w:r>
        <w:rPr>
          <w:rFonts w:ascii="Times New Roman" w:eastAsia="Times New Roman" w:hAnsi="Times New Roman" w:cs="Times New Roman"/>
          <w:sz w:val="24"/>
          <w:szCs w:val="24"/>
        </w:rPr>
        <w:t>:1. The identified ratios for both companies are observed to be negative in all 5 years as the “current asset” proposition is relatively limited.  Negative NWCR can also lead to indifferent working capital and operations strategy implemented by an organisation due to which sustainability is likely to be affected for an organisation (</w:t>
      </w:r>
      <w:r>
        <w:rPr>
          <w:rFonts w:ascii="Times New Roman" w:eastAsia="Times New Roman" w:hAnsi="Times New Roman" w:cs="Times New Roman"/>
          <w:color w:val="222222"/>
          <w:sz w:val="24"/>
          <w:szCs w:val="24"/>
          <w:highlight w:val="white"/>
        </w:rPr>
        <w:t xml:space="preserve">Kepramareni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Therefore, it is established that the overall liquidity ratio for Unilever is comparatively superior and demonstrates more favourable financial ratios and figures in comparison to its nemesis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particularly in 2023.</w:t>
      </w:r>
    </w:p>
    <w:p w:rsidR="001C54B3" w:rsidRDefault="00076BC6" w:rsidP="00735C33">
      <w:pPr>
        <w:pStyle w:val="Heading3"/>
      </w:pPr>
      <w:bookmarkStart w:id="19" w:name="_uss1mseb7nsl" w:colFirst="0" w:colLast="0"/>
      <w:bookmarkStart w:id="20" w:name="_Toc174453727"/>
      <w:bookmarkEnd w:id="19"/>
      <w:r>
        <w:t>2.1.3: Gearing</w:t>
      </w:r>
      <w:bookmarkEnd w:id="20"/>
    </w:p>
    <w:tbl>
      <w:tblPr>
        <w:tblW w:w="5000" w:type="pct"/>
        <w:tblLook w:val="04A0"/>
      </w:tblPr>
      <w:tblGrid>
        <w:gridCol w:w="3302"/>
        <w:gridCol w:w="1189"/>
        <w:gridCol w:w="1189"/>
        <w:gridCol w:w="1189"/>
        <w:gridCol w:w="1189"/>
        <w:gridCol w:w="1187"/>
      </w:tblGrid>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Unilever</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Gearing Ratios</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DCR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0.60</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0.59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0.61</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0.62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0.68</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DR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0.41</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0.39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0.41</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0.43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0.46</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ICR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9.40</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13.15</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17.72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11.41</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10.61</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PR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0.28</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0.28</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0.26</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0.26</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0.21</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NWR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3.62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3.59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3.80</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3.83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4.67</w:t>
            </w:r>
          </w:p>
        </w:tc>
      </w:tr>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Nestle</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Gearing Ratios</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DCR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0.59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0.55</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0.46</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0.45</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0.39</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lastRenderedPageBreak/>
              <w:t>DR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0.42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0.30</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0.26</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ICR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26.17</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34.43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44.07</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42.43</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38.01</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PR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0.29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0.32</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0.38</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0.41</w:t>
            </w:r>
          </w:p>
        </w:tc>
      </w:tr>
      <w:tr w:rsidR="009E7D88" w:rsidRPr="009E7D88" w:rsidTr="009E7D88">
        <w:trPr>
          <w:trHeight w:val="312"/>
        </w:trPr>
        <w:tc>
          <w:tcPr>
            <w:tcW w:w="1786" w:type="pct"/>
            <w:tcBorders>
              <w:top w:val="nil"/>
              <w:left w:val="single" w:sz="4" w:space="0" w:color="auto"/>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NWR</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3.48</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3.16</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2.59</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2.67</w:t>
            </w:r>
          </w:p>
        </w:tc>
        <w:tc>
          <w:tcPr>
            <w:tcW w:w="643" w:type="pct"/>
            <w:tcBorders>
              <w:top w:val="nil"/>
              <w:left w:val="nil"/>
              <w:bottom w:val="single" w:sz="4" w:space="0" w:color="auto"/>
              <w:right w:val="single" w:sz="4" w:space="0" w:color="auto"/>
            </w:tcBorders>
            <w:shd w:val="clear" w:color="auto" w:fill="auto"/>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2.42</w:t>
            </w:r>
          </w:p>
        </w:tc>
      </w:tr>
    </w:tbl>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3: Gearing Ratios</w:t>
      </w:r>
    </w:p>
    <w:p w:rsidR="004A5F11" w:rsidRDefault="004A5F11" w:rsidP="00735C33">
      <w:pPr>
        <w:spacing w:line="360" w:lineRule="auto"/>
        <w:jc w:val="both"/>
        <w:rPr>
          <w:rFonts w:ascii="Times New Roman" w:eastAsia="Times New Roman" w:hAnsi="Times New Roman" w:cs="Times New Roman"/>
          <w:sz w:val="24"/>
          <w:szCs w:val="24"/>
        </w:rPr>
      </w:pPr>
      <w:r>
        <w:rPr>
          <w:noProof/>
          <w:lang w:val="en-US" w:eastAsia="en-US"/>
        </w:rPr>
        <w:drawing>
          <wp:inline distT="0" distB="0" distL="0" distR="0">
            <wp:extent cx="5733415" cy="1841921"/>
            <wp:effectExtent l="19050" t="19050" r="19685" b="254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E7D88" w:rsidRPr="009E7D88" w:rsidRDefault="009E7D88" w:rsidP="00735C33">
      <w:pPr>
        <w:spacing w:line="360" w:lineRule="auto"/>
        <w:jc w:val="center"/>
        <w:rPr>
          <w:rFonts w:ascii="Times New Roman" w:eastAsia="Times New Roman" w:hAnsi="Times New Roman" w:cs="Times New Roman"/>
          <w:b/>
          <w:color w:val="FF0000"/>
          <w:sz w:val="24"/>
          <w:szCs w:val="24"/>
        </w:rPr>
      </w:pPr>
      <w:r w:rsidRPr="009E7D88">
        <w:rPr>
          <w:rFonts w:ascii="Times New Roman" w:eastAsia="Times New Roman" w:hAnsi="Times New Roman" w:cs="Times New Roman"/>
          <w:b/>
          <w:color w:val="FF0000"/>
          <w:sz w:val="24"/>
          <w:szCs w:val="24"/>
        </w:rPr>
        <w:t xml:space="preserve">Figure 3: </w:t>
      </w:r>
      <w:r>
        <w:rPr>
          <w:rFonts w:ascii="Times New Roman" w:eastAsia="Times New Roman" w:hAnsi="Times New Roman" w:cs="Times New Roman"/>
          <w:b/>
          <w:color w:val="FF0000"/>
          <w:sz w:val="24"/>
          <w:szCs w:val="24"/>
        </w:rPr>
        <w:t>Gearing</w:t>
      </w:r>
      <w:r w:rsidRPr="009E7D88">
        <w:rPr>
          <w:rFonts w:ascii="Times New Roman" w:eastAsia="Times New Roman" w:hAnsi="Times New Roman" w:cs="Times New Roman"/>
          <w:b/>
          <w:color w:val="FF0000"/>
          <w:sz w:val="24"/>
          <w:szCs w:val="24"/>
        </w:rPr>
        <w:t xml:space="preserve"> Ratios</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DCR for Unilever has been calculated as 0.60, 0.59, 0.61, 0.62 and 0.68 times from 2023 to 2019. DCR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calculated </w:t>
      </w:r>
      <w:r w:rsidR="00D5193F">
        <w:rPr>
          <w:rFonts w:ascii="Times New Roman" w:eastAsia="Times New Roman" w:hAnsi="Times New Roman" w:cs="Times New Roman"/>
          <w:color w:val="FF0000"/>
          <w:sz w:val="24"/>
          <w:szCs w:val="24"/>
        </w:rPr>
        <w:t xml:space="preserve">as 0.59, 0.55, 0.46, 0.45 and 0.39 </w:t>
      </w:r>
      <w:r>
        <w:rPr>
          <w:rFonts w:ascii="Times New Roman" w:eastAsia="Times New Roman" w:hAnsi="Times New Roman" w:cs="Times New Roman"/>
          <w:sz w:val="24"/>
          <w:szCs w:val="24"/>
        </w:rPr>
        <w:t xml:space="preserve">times. Therefore, it is observed that DCR for Unilever is superior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and both companies demonstrate incremental performance trends in 2023 as compared to previous years. This is achieved predominantly due to more debt acquisitions conducted by Unilever and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respectively. According to </w:t>
      </w:r>
      <w:r>
        <w:rPr>
          <w:rFonts w:ascii="Times New Roman" w:eastAsia="Times New Roman" w:hAnsi="Times New Roman" w:cs="Times New Roman"/>
          <w:color w:val="222222"/>
          <w:sz w:val="24"/>
          <w:szCs w:val="24"/>
          <w:highlight w:val="white"/>
        </w:rPr>
        <w:t xml:space="preserve">Harris and Mawardi </w:t>
      </w:r>
      <w:r>
        <w:rPr>
          <w:rFonts w:ascii="Times New Roman" w:eastAsia="Times New Roman" w:hAnsi="Times New Roman" w:cs="Times New Roman"/>
          <w:sz w:val="24"/>
          <w:szCs w:val="24"/>
        </w:rPr>
        <w:t xml:space="preserve">(2023), an increase in DCR is a beneficial prospect due to which financial leverage can be empowered and more investment opportunities can be created in the long run.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 has been calculated as 0.41, 0.39, 0.41, 0.43 and 0.46 times for Unilever. DR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has been calculated as </w:t>
      </w:r>
      <w:r w:rsidR="00D5193F">
        <w:rPr>
          <w:rFonts w:ascii="Times New Roman" w:eastAsia="Times New Roman" w:hAnsi="Times New Roman" w:cs="Times New Roman"/>
          <w:color w:val="FF0000"/>
          <w:sz w:val="24"/>
          <w:szCs w:val="24"/>
        </w:rPr>
        <w:t>0.42, 0.39, 0.33, 0.30 and 0.26</w:t>
      </w:r>
      <w:r>
        <w:rPr>
          <w:rFonts w:ascii="Times New Roman" w:eastAsia="Times New Roman" w:hAnsi="Times New Roman" w:cs="Times New Roman"/>
          <w:sz w:val="24"/>
          <w:szCs w:val="24"/>
        </w:rPr>
        <w:t xml:space="preserve">times. Therefore, it is visible that a fractionally </w:t>
      </w:r>
      <w:r w:rsidR="00D5193F">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ratio is observed for Unilever in comparison to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while</w:t>
      </w:r>
      <w:r w:rsidR="00D5193F">
        <w:rPr>
          <w:rFonts w:ascii="Times New Roman" w:eastAsia="Times New Roman" w:hAnsi="Times New Roman" w:cs="Times New Roman"/>
          <w:color w:val="FF0000"/>
          <w:sz w:val="24"/>
          <w:szCs w:val="24"/>
        </w:rPr>
        <w:t xml:space="preserve">increasing trends </w:t>
      </w:r>
      <w:r>
        <w:rPr>
          <w:rFonts w:ascii="Times New Roman" w:eastAsia="Times New Roman" w:hAnsi="Times New Roman" w:cs="Times New Roman"/>
          <w:sz w:val="24"/>
          <w:szCs w:val="24"/>
        </w:rPr>
        <w:t xml:space="preserve">are observed for both companies. The </w:t>
      </w:r>
      <w:r w:rsidR="00ED7357">
        <w:rPr>
          <w:rFonts w:ascii="Times New Roman" w:eastAsia="Times New Roman" w:hAnsi="Times New Roman" w:cs="Times New Roman"/>
          <w:color w:val="FF0000"/>
          <w:sz w:val="24"/>
          <w:szCs w:val="24"/>
        </w:rPr>
        <w:t>change</w:t>
      </w:r>
      <w:r w:rsidR="003045F7">
        <w:rPr>
          <w:rFonts w:ascii="Times New Roman" w:eastAsia="Times New Roman" w:hAnsi="Times New Roman" w:cs="Times New Roman"/>
          <w:sz w:val="24"/>
          <w:szCs w:val="24"/>
        </w:rPr>
        <w:t xml:space="preserve"> in DR is</w:t>
      </w:r>
      <w:r>
        <w:rPr>
          <w:rFonts w:ascii="Times New Roman" w:eastAsia="Times New Roman" w:hAnsi="Times New Roman" w:cs="Times New Roman"/>
          <w:sz w:val="24"/>
          <w:szCs w:val="24"/>
        </w:rPr>
        <w:t xml:space="preserve"> mainly achieved due to changes in value of “debt” and “total assets”. As critically expressed by </w:t>
      </w:r>
      <w:r>
        <w:rPr>
          <w:rFonts w:ascii="Times New Roman" w:eastAsia="Times New Roman" w:hAnsi="Times New Roman" w:cs="Times New Roman"/>
          <w:color w:val="222222"/>
          <w:sz w:val="24"/>
          <w:szCs w:val="24"/>
          <w:highlight w:val="white"/>
        </w:rPr>
        <w:t xml:space="preserve">Aldo </w:t>
      </w:r>
      <w:r>
        <w:rPr>
          <w:rFonts w:ascii="Times New Roman" w:eastAsia="Times New Roman" w:hAnsi="Times New Roman" w:cs="Times New Roman"/>
          <w:sz w:val="24"/>
          <w:szCs w:val="24"/>
        </w:rPr>
        <w:t>(2022), a decrease in DR can be a conflicting proposition where financial leverage of a company by trading can cause disorientation among investors.</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ICR has been calculated as 9.40, 13.15, 17.72, 11.41 and 10.61 times for Unilever. Likewise, ratios calculated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are </w:t>
      </w:r>
      <w:r w:rsidR="003045F7">
        <w:rPr>
          <w:rFonts w:ascii="Times New Roman" w:eastAsia="Times New Roman" w:hAnsi="Times New Roman" w:cs="Times New Roman"/>
          <w:color w:val="FF0000"/>
          <w:sz w:val="24"/>
          <w:szCs w:val="24"/>
        </w:rPr>
        <w:t xml:space="preserve">26.17, 34.43, 44.07, 42.43 and 38.01 </w:t>
      </w:r>
      <w:r>
        <w:rPr>
          <w:rFonts w:ascii="Times New Roman" w:eastAsia="Times New Roman" w:hAnsi="Times New Roman" w:cs="Times New Roman"/>
          <w:sz w:val="24"/>
          <w:szCs w:val="24"/>
        </w:rPr>
        <w:t xml:space="preserve">times. The overall figure of ICR is comparatively superior </w:t>
      </w:r>
      <w:r w:rsidR="003045F7" w:rsidRPr="003045F7">
        <w:rPr>
          <w:rFonts w:ascii="Times New Roman" w:eastAsia="Times New Roman" w:hAnsi="Times New Roman" w:cs="Times New Roman"/>
          <w:color w:val="FF0000"/>
          <w:sz w:val="24"/>
          <w:szCs w:val="24"/>
        </w:rPr>
        <w:t xml:space="preserve">for </w:t>
      </w:r>
      <w:r w:rsidR="002D0988">
        <w:rPr>
          <w:rFonts w:ascii="Times New Roman" w:eastAsia="Times New Roman" w:hAnsi="Times New Roman" w:cs="Times New Roman"/>
          <w:color w:val="FF0000"/>
          <w:sz w:val="24"/>
          <w:szCs w:val="24"/>
        </w:rPr>
        <w:t>Nestle</w:t>
      </w:r>
      <w:r w:rsidR="003045F7">
        <w:rPr>
          <w:rFonts w:ascii="Times New Roman" w:eastAsia="Times New Roman" w:hAnsi="Times New Roman" w:cs="Times New Roman"/>
          <w:color w:val="FF0000"/>
          <w:sz w:val="24"/>
          <w:szCs w:val="24"/>
        </w:rPr>
        <w:t xml:space="preserve"> in comparison to Unilever,</w:t>
      </w:r>
      <w:r>
        <w:rPr>
          <w:rFonts w:ascii="Times New Roman" w:eastAsia="Times New Roman" w:hAnsi="Times New Roman" w:cs="Times New Roman"/>
          <w:sz w:val="24"/>
          <w:szCs w:val="24"/>
        </w:rPr>
        <w:t xml:space="preserve"> yet both companies demonstrate a significantly declining performance trend in 2023 as compared to previous years. This decrease is mainly caused by to increase in value of "interest expenses" and due to </w:t>
      </w:r>
      <w:r>
        <w:rPr>
          <w:rFonts w:ascii="Times New Roman" w:eastAsia="Times New Roman" w:hAnsi="Times New Roman" w:cs="Times New Roman"/>
          <w:sz w:val="24"/>
          <w:szCs w:val="24"/>
        </w:rPr>
        <w:lastRenderedPageBreak/>
        <w:t xml:space="preserve">a decrease in value of "operating profit" for both companies. </w:t>
      </w:r>
      <w:r>
        <w:rPr>
          <w:rFonts w:ascii="Times New Roman" w:eastAsia="Times New Roman" w:hAnsi="Times New Roman" w:cs="Times New Roman"/>
          <w:color w:val="222222"/>
          <w:sz w:val="24"/>
          <w:szCs w:val="24"/>
          <w:highlight w:val="white"/>
        </w:rPr>
        <w:t xml:space="preserve">McCosker </w:t>
      </w:r>
      <w:r>
        <w:rPr>
          <w:rFonts w:ascii="Times New Roman" w:eastAsia="Times New Roman" w:hAnsi="Times New Roman" w:cs="Times New Roman"/>
          <w:sz w:val="24"/>
          <w:szCs w:val="24"/>
        </w:rPr>
        <w:t xml:space="preserve">(2021), critically illustrated that low ICR can obliterate the ability of a company to pay off principal and compound interest on borrowings due to which credit lending facilities are bound to be impacted in future.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 has been calculated as 0.28, 0.28, 0.26, 0.26 and 0.21 times for Unilever. Similarly, figures obtained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are </w:t>
      </w:r>
      <w:r w:rsidR="003045F7">
        <w:rPr>
          <w:rFonts w:ascii="Times New Roman" w:eastAsia="Times New Roman" w:hAnsi="Times New Roman" w:cs="Times New Roman"/>
          <w:color w:val="FF0000"/>
          <w:sz w:val="24"/>
          <w:szCs w:val="24"/>
        </w:rPr>
        <w:t>0.29, 0.32, 0.39, 0.38 and 0.41</w:t>
      </w:r>
      <w:r>
        <w:rPr>
          <w:rFonts w:ascii="Times New Roman" w:eastAsia="Times New Roman" w:hAnsi="Times New Roman" w:cs="Times New Roman"/>
          <w:sz w:val="24"/>
          <w:szCs w:val="24"/>
        </w:rPr>
        <w:t xml:space="preserve">times. The ratio is observed to be fractionally superior for </w:t>
      </w:r>
      <w:r w:rsidR="003045F7" w:rsidRPr="003045F7">
        <w:rPr>
          <w:rFonts w:ascii="Times New Roman" w:eastAsia="Times New Roman" w:hAnsi="Times New Roman" w:cs="Times New Roman"/>
          <w:color w:val="FF0000"/>
          <w:sz w:val="24"/>
          <w:szCs w:val="24"/>
        </w:rPr>
        <w:t>N</w:t>
      </w:r>
      <w:r w:rsidR="002D0988" w:rsidRPr="003045F7">
        <w:rPr>
          <w:rFonts w:ascii="Times New Roman" w:eastAsia="Times New Roman" w:hAnsi="Times New Roman" w:cs="Times New Roman"/>
          <w:color w:val="FF0000"/>
          <w:sz w:val="24"/>
          <w:szCs w:val="24"/>
        </w:rPr>
        <w:t>e</w:t>
      </w:r>
      <w:r w:rsidR="002D0988">
        <w:rPr>
          <w:rFonts w:ascii="Times New Roman" w:eastAsia="Times New Roman" w:hAnsi="Times New Roman" w:cs="Times New Roman"/>
          <w:color w:val="FF0000"/>
          <w:sz w:val="24"/>
          <w:szCs w:val="24"/>
        </w:rPr>
        <w:t>stle</w:t>
      </w:r>
      <w:r w:rsidR="003045F7">
        <w:rPr>
          <w:rFonts w:ascii="Times New Roman" w:eastAsia="Times New Roman" w:hAnsi="Times New Roman" w:cs="Times New Roman"/>
          <w:color w:val="FF0000"/>
          <w:sz w:val="24"/>
          <w:szCs w:val="24"/>
        </w:rPr>
        <w:t xml:space="preserve"> in comparison to Unilever</w:t>
      </w:r>
      <w:r>
        <w:rPr>
          <w:rFonts w:ascii="Times New Roman" w:eastAsia="Times New Roman" w:hAnsi="Times New Roman" w:cs="Times New Roman"/>
          <w:sz w:val="24"/>
          <w:szCs w:val="24"/>
        </w:rPr>
        <w:t xml:space="preserve"> while no growth is observed for Unilever and a decreasing growth is observed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in 2023 as compared to previous years. The stagnated and decreasing PR is fundamentally caused by to "decrease in equity" and "total assets" for both companies. As per critical observations of </w:t>
      </w:r>
      <w:r>
        <w:rPr>
          <w:rFonts w:ascii="Times New Roman" w:eastAsia="Times New Roman" w:hAnsi="Times New Roman" w:cs="Times New Roman"/>
          <w:color w:val="222222"/>
          <w:sz w:val="24"/>
          <w:szCs w:val="24"/>
          <w:highlight w:val="white"/>
        </w:rPr>
        <w:t xml:space="preserve">Hidayat and Kurniasih </w:t>
      </w:r>
      <w:r>
        <w:rPr>
          <w:rFonts w:ascii="Times New Roman" w:eastAsia="Times New Roman" w:hAnsi="Times New Roman" w:cs="Times New Roman"/>
          <w:sz w:val="24"/>
          <w:szCs w:val="24"/>
        </w:rPr>
        <w:t xml:space="preserve">(2022), low PR is also likely to affect future prospects of attracting equity funding due to which investment volume is expected to be significantly lower for an organisation.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NWR has been calculated as 3.62, 3.59, 3.80, 3.83 and 4.67 times for Unilever. Similarly, ratios calculated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are </w:t>
      </w:r>
      <w:r w:rsidR="003045F7">
        <w:rPr>
          <w:rFonts w:ascii="Times New Roman" w:eastAsia="Times New Roman" w:hAnsi="Times New Roman" w:cs="Times New Roman"/>
          <w:color w:val="FF0000"/>
          <w:sz w:val="24"/>
          <w:szCs w:val="24"/>
        </w:rPr>
        <w:t>3.48, 3.16, 2.59, 2.67 and 2.42</w:t>
      </w:r>
      <w:r>
        <w:rPr>
          <w:rFonts w:ascii="Times New Roman" w:eastAsia="Times New Roman" w:hAnsi="Times New Roman" w:cs="Times New Roman"/>
          <w:sz w:val="24"/>
          <w:szCs w:val="24"/>
        </w:rPr>
        <w:t xml:space="preserve">times. The ratio for </w:t>
      </w:r>
      <w:r w:rsidR="007844D0">
        <w:rPr>
          <w:rFonts w:ascii="Times New Roman" w:eastAsia="Times New Roman" w:hAnsi="Times New Roman" w:cs="Times New Roman"/>
          <w:color w:val="FF0000"/>
          <w:sz w:val="24"/>
          <w:szCs w:val="24"/>
        </w:rPr>
        <w:t>Unilever</w:t>
      </w:r>
      <w:r>
        <w:rPr>
          <w:rFonts w:ascii="Times New Roman" w:eastAsia="Times New Roman" w:hAnsi="Times New Roman" w:cs="Times New Roman"/>
          <w:sz w:val="24"/>
          <w:szCs w:val="24"/>
        </w:rPr>
        <w:t xml:space="preserve"> is identified to be marginally superior in 2023 </w:t>
      </w:r>
      <w:r w:rsidR="007844D0">
        <w:rPr>
          <w:rFonts w:ascii="Times New Roman" w:eastAsia="Times New Roman" w:hAnsi="Times New Roman" w:cs="Times New Roman"/>
          <w:color w:val="FF0000"/>
          <w:sz w:val="24"/>
          <w:szCs w:val="24"/>
        </w:rPr>
        <w:t>and both companies demonstrate fractional growth in 2023</w:t>
      </w:r>
      <w:r>
        <w:rPr>
          <w:rFonts w:ascii="Times New Roman" w:eastAsia="Times New Roman" w:hAnsi="Times New Roman" w:cs="Times New Roman"/>
          <w:sz w:val="24"/>
          <w:szCs w:val="24"/>
        </w:rPr>
        <w:t xml:space="preserve">. The performance movement in NWR is mainly influenced by changes in values of </w:t>
      </w:r>
      <w:r w:rsidR="00DD78C2">
        <w:rPr>
          <w:rFonts w:ascii="Times New Roman" w:eastAsia="Times New Roman" w:hAnsi="Times New Roman" w:cs="Times New Roman"/>
          <w:sz w:val="24"/>
          <w:szCs w:val="24"/>
        </w:rPr>
        <w:t>“equity</w:t>
      </w:r>
      <w:r>
        <w:rPr>
          <w:rFonts w:ascii="Times New Roman" w:eastAsia="Times New Roman" w:hAnsi="Times New Roman" w:cs="Times New Roman"/>
          <w:sz w:val="24"/>
          <w:szCs w:val="24"/>
        </w:rPr>
        <w:t>” and “total assets”. The increase in NWR is a favourable opportunity for a company to attract more investments and build a healthy stakeholder relationship (</w:t>
      </w:r>
      <w:r>
        <w:rPr>
          <w:rFonts w:ascii="Times New Roman" w:eastAsia="Times New Roman" w:hAnsi="Times New Roman" w:cs="Times New Roman"/>
          <w:color w:val="222222"/>
          <w:sz w:val="24"/>
          <w:szCs w:val="24"/>
          <w:highlight w:val="white"/>
        </w:rPr>
        <w:t>Sudharto and Salim, 2021</w:t>
      </w:r>
      <w:r>
        <w:rPr>
          <w:rFonts w:ascii="Times New Roman" w:eastAsia="Times New Roman" w:hAnsi="Times New Roman" w:cs="Times New Roman"/>
          <w:sz w:val="24"/>
          <w:szCs w:val="24"/>
        </w:rPr>
        <w:t xml:space="preserve">). Therefore, it is established that the overall gearing ratio for Unilever is comparatively superior and better performing than the performance identified for </w:t>
      </w:r>
      <w:r w:rsid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especially in 2023.</w:t>
      </w:r>
    </w:p>
    <w:p w:rsidR="001C54B3" w:rsidRDefault="00076BC6" w:rsidP="00735C33">
      <w:pPr>
        <w:pStyle w:val="Heading3"/>
      </w:pPr>
      <w:bookmarkStart w:id="21" w:name="_2gqw4gcbl5l3" w:colFirst="0" w:colLast="0"/>
      <w:bookmarkStart w:id="22" w:name="_Toc174453728"/>
      <w:bookmarkEnd w:id="21"/>
      <w:r>
        <w:t>2.1.4: Efficiency</w:t>
      </w:r>
      <w:bookmarkEnd w:id="22"/>
    </w:p>
    <w:tbl>
      <w:tblPr>
        <w:tblW w:w="5000" w:type="pct"/>
        <w:shd w:val="clear" w:color="auto" w:fill="FFFFFF" w:themeFill="background1"/>
        <w:tblLook w:val="04A0"/>
      </w:tblPr>
      <w:tblGrid>
        <w:gridCol w:w="3686"/>
        <w:gridCol w:w="1187"/>
        <w:gridCol w:w="1061"/>
        <w:gridCol w:w="1061"/>
        <w:gridCol w:w="1061"/>
        <w:gridCol w:w="1189"/>
      </w:tblGrid>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Unilever</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Efficiency Ratios</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ITR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4.06</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3.66</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4.22</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3.96</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3.33</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RTR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5.37</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4.35</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5.64</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5.96</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4.47</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PTR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1.23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1.20</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1.33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1.25</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0.94</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OCC</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8.19</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6.80</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8.53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8.66</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6.87</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CTR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1.49</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1.41</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1.55</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1.67</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2.16</w:t>
            </w:r>
          </w:p>
        </w:tc>
      </w:tr>
      <w:tr w:rsidR="009E7D88" w:rsidRPr="009E7D88" w:rsidTr="009E7D88">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center"/>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Nestle</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Efficiency Ratios</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2022</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2021</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2020</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b/>
                <w:bCs/>
                <w:color w:val="000000"/>
                <w:sz w:val="24"/>
                <w:szCs w:val="24"/>
                <w:lang w:eastAsia="en-GB"/>
              </w:rPr>
            </w:pPr>
            <w:r w:rsidRPr="009E7D88">
              <w:rPr>
                <w:rFonts w:ascii="Times New Roman" w:eastAsia="Times New Roman" w:hAnsi="Times New Roman" w:cs="Times New Roman"/>
                <w:b/>
                <w:bCs/>
                <w:color w:val="000000"/>
                <w:sz w:val="24"/>
                <w:szCs w:val="24"/>
                <w:lang w:eastAsia="en-GB"/>
              </w:rPr>
              <w:t>2019</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ITR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4.23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3.45</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3.79</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4.25</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4.99</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RTR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8.49</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8.53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7.84</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7.88</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7.89</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lastRenderedPageBreak/>
              <w:t>PTR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2.62</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2.52</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2.17</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2.32</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2.48</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OCC</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10.10</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9.45</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9.46</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9.81</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10.40</w:t>
            </w:r>
          </w:p>
        </w:tc>
      </w:tr>
      <w:tr w:rsidR="009E7D88" w:rsidRPr="009E7D88" w:rsidTr="009E7D88">
        <w:trPr>
          <w:trHeight w:val="312"/>
        </w:trPr>
        <w:tc>
          <w:tcPr>
            <w:tcW w:w="1993" w:type="pct"/>
            <w:tcBorders>
              <w:top w:val="nil"/>
              <w:left w:val="single" w:sz="4" w:space="0" w:color="auto"/>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rPr>
                <w:rFonts w:ascii="Times New Roman" w:eastAsia="Times New Roman" w:hAnsi="Times New Roman" w:cs="Times New Roman"/>
                <w:color w:val="000000"/>
                <w:sz w:val="24"/>
                <w:szCs w:val="24"/>
                <w:lang w:eastAsia="en-GB"/>
              </w:rPr>
            </w:pPr>
            <w:r w:rsidRPr="009E7D88">
              <w:rPr>
                <w:rFonts w:ascii="Times New Roman" w:eastAsia="Times New Roman" w:hAnsi="Times New Roman" w:cs="Times New Roman"/>
                <w:color w:val="000000"/>
                <w:sz w:val="24"/>
                <w:szCs w:val="24"/>
                <w:lang w:eastAsia="en-GB"/>
              </w:rPr>
              <w:t>CTR</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2.57</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2.21</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1.63</w:t>
            </w:r>
          </w:p>
        </w:tc>
        <w:tc>
          <w:tcPr>
            <w:tcW w:w="574"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1.82</w:t>
            </w:r>
          </w:p>
        </w:tc>
        <w:tc>
          <w:tcPr>
            <w:tcW w:w="642" w:type="pct"/>
            <w:tcBorders>
              <w:top w:val="nil"/>
              <w:left w:val="nil"/>
              <w:bottom w:val="single" w:sz="4" w:space="0" w:color="auto"/>
              <w:right w:val="single" w:sz="4" w:space="0" w:color="auto"/>
            </w:tcBorders>
            <w:shd w:val="clear" w:color="auto" w:fill="FFFFFF" w:themeFill="background1"/>
            <w:noWrap/>
            <w:vAlign w:val="bottom"/>
            <w:hideMark/>
          </w:tcPr>
          <w:p w:rsidR="009E7D88" w:rsidRPr="009E7D88" w:rsidRDefault="009E7D88" w:rsidP="00735C33">
            <w:pPr>
              <w:spacing w:line="360" w:lineRule="auto"/>
              <w:jc w:val="right"/>
              <w:rPr>
                <w:rFonts w:ascii="Times New Roman" w:eastAsia="Times New Roman" w:hAnsi="Times New Roman" w:cs="Times New Roman"/>
                <w:color w:val="FF0000"/>
                <w:sz w:val="24"/>
                <w:szCs w:val="24"/>
                <w:lang w:eastAsia="en-GB"/>
              </w:rPr>
            </w:pPr>
            <w:r w:rsidRPr="009E7D88">
              <w:rPr>
                <w:rFonts w:ascii="Times New Roman" w:eastAsia="Times New Roman" w:hAnsi="Times New Roman" w:cs="Times New Roman"/>
                <w:color w:val="FF0000"/>
                <w:sz w:val="24"/>
                <w:szCs w:val="24"/>
                <w:lang w:eastAsia="en-GB"/>
              </w:rPr>
              <w:t>1.76</w:t>
            </w:r>
          </w:p>
        </w:tc>
      </w:tr>
    </w:tbl>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4: Efficiency Ratios</w:t>
      </w:r>
    </w:p>
    <w:p w:rsidR="009E7D88" w:rsidRDefault="009E7D88" w:rsidP="00735C33">
      <w:pPr>
        <w:spacing w:line="360" w:lineRule="auto"/>
        <w:jc w:val="both"/>
        <w:rPr>
          <w:rFonts w:ascii="Times New Roman" w:eastAsia="Times New Roman" w:hAnsi="Times New Roman" w:cs="Times New Roman"/>
          <w:sz w:val="24"/>
          <w:szCs w:val="24"/>
        </w:rPr>
      </w:pPr>
      <w:r>
        <w:rPr>
          <w:noProof/>
          <w:lang w:val="en-US" w:eastAsia="en-US"/>
        </w:rPr>
        <w:drawing>
          <wp:inline distT="0" distB="0" distL="0" distR="0">
            <wp:extent cx="5733415" cy="1681434"/>
            <wp:effectExtent l="19050" t="19050" r="19685" b="146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E7D88" w:rsidRPr="009E7D88" w:rsidRDefault="009E7D88" w:rsidP="00735C33">
      <w:pPr>
        <w:spacing w:line="360" w:lineRule="auto"/>
        <w:jc w:val="center"/>
        <w:rPr>
          <w:rFonts w:ascii="Times New Roman" w:eastAsia="Times New Roman" w:hAnsi="Times New Roman" w:cs="Times New Roman"/>
          <w:b/>
          <w:color w:val="FF0000"/>
          <w:sz w:val="24"/>
          <w:szCs w:val="24"/>
        </w:rPr>
      </w:pPr>
      <w:r w:rsidRPr="009E7D88">
        <w:rPr>
          <w:rFonts w:ascii="Times New Roman" w:eastAsia="Times New Roman" w:hAnsi="Times New Roman" w:cs="Times New Roman"/>
          <w:b/>
          <w:color w:val="FF0000"/>
          <w:sz w:val="24"/>
          <w:szCs w:val="24"/>
        </w:rPr>
        <w:t>Figure 4: Efficiency Ratios</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w:t>
      </w:r>
      <w:r w:rsidR="00713BC9">
        <w:rPr>
          <w:rFonts w:ascii="Times New Roman" w:eastAsia="Times New Roman" w:hAnsi="Times New Roman" w:cs="Times New Roman"/>
          <w:sz w:val="24"/>
          <w:szCs w:val="24"/>
        </w:rPr>
        <w:t xml:space="preserve">e above table of calculations, </w:t>
      </w:r>
      <w:r>
        <w:rPr>
          <w:rFonts w:ascii="Times New Roman" w:eastAsia="Times New Roman" w:hAnsi="Times New Roman" w:cs="Times New Roman"/>
          <w:sz w:val="24"/>
          <w:szCs w:val="24"/>
        </w:rPr>
        <w:t xml:space="preserve">ITR has been calculated as 4.06, 3.66, 4.22, 3.96 and 3.33 times respectively for Unilever. Likewise, ITR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has been calculated as </w:t>
      </w:r>
      <w:r w:rsidR="00713BC9">
        <w:rPr>
          <w:rFonts w:ascii="Times New Roman" w:eastAsia="Times New Roman" w:hAnsi="Times New Roman" w:cs="Times New Roman"/>
          <w:color w:val="FF0000"/>
          <w:sz w:val="24"/>
          <w:szCs w:val="24"/>
        </w:rPr>
        <w:t>4.23, 3.45, 3.79, 4.25 and 4.99</w:t>
      </w:r>
      <w:r>
        <w:rPr>
          <w:rFonts w:ascii="Times New Roman" w:eastAsia="Times New Roman" w:hAnsi="Times New Roman" w:cs="Times New Roman"/>
          <w:sz w:val="24"/>
          <w:szCs w:val="24"/>
        </w:rPr>
        <w:t xml:space="preserve"> times from 2023 to 2019. Based on above evaluation, the figures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are comparatively superior to Unilever in 2023</w:t>
      </w:r>
      <w:r w:rsidR="00A20F00" w:rsidRPr="00A20F00">
        <w:rPr>
          <w:rFonts w:ascii="Times New Roman" w:eastAsia="Times New Roman" w:hAnsi="Times New Roman" w:cs="Times New Roman"/>
          <w:color w:val="FF0000"/>
          <w:sz w:val="24"/>
          <w:szCs w:val="24"/>
        </w:rPr>
        <w:t xml:space="preserve"> and both companies demonstrate stable growth in 2023 as compared to previous years.</w:t>
      </w:r>
      <w:r>
        <w:rPr>
          <w:rFonts w:ascii="Times New Roman" w:eastAsia="Times New Roman" w:hAnsi="Times New Roman" w:cs="Times New Roman"/>
          <w:sz w:val="24"/>
          <w:szCs w:val="24"/>
        </w:rPr>
        <w:t>The changes in ITR are predominantly instigate</w:t>
      </w:r>
      <w:r w:rsidR="00713BC9">
        <w:rPr>
          <w:rFonts w:ascii="Times New Roman" w:eastAsia="Times New Roman" w:hAnsi="Times New Roman" w:cs="Times New Roman"/>
          <w:sz w:val="24"/>
          <w:szCs w:val="24"/>
        </w:rPr>
        <w:t>d due to changes observed for “</w:t>
      </w:r>
      <w:r>
        <w:rPr>
          <w:rFonts w:ascii="Times New Roman" w:eastAsia="Times New Roman" w:hAnsi="Times New Roman" w:cs="Times New Roman"/>
          <w:sz w:val="24"/>
          <w:szCs w:val="24"/>
        </w:rPr>
        <w:t xml:space="preserve">cost of sales” and “inventory” values. As per explanations of </w:t>
      </w:r>
      <w:r>
        <w:rPr>
          <w:rFonts w:ascii="Times New Roman" w:eastAsia="Times New Roman" w:hAnsi="Times New Roman" w:cs="Times New Roman"/>
          <w:color w:val="222222"/>
          <w:sz w:val="24"/>
          <w:szCs w:val="24"/>
          <w:highlight w:val="white"/>
        </w:rPr>
        <w:t xml:space="preserve">Kepramareni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(2022), an increase in ITR is a favourable proposition for an organisation which demarcates </w:t>
      </w:r>
      <w:r w:rsidR="00DD78C2">
        <w:rPr>
          <w:rFonts w:ascii="Times New Roman" w:eastAsia="Times New Roman" w:hAnsi="Times New Roman" w:cs="Times New Roman"/>
          <w:sz w:val="24"/>
          <w:szCs w:val="24"/>
        </w:rPr>
        <w:t>better</w:t>
      </w:r>
      <w:r>
        <w:rPr>
          <w:rFonts w:ascii="Times New Roman" w:eastAsia="Times New Roman" w:hAnsi="Times New Roman" w:cs="Times New Roman"/>
          <w:sz w:val="24"/>
          <w:szCs w:val="24"/>
        </w:rPr>
        <w:t>-finished goods mobility achieved which translates into sales revenue conversion.</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above calculations, RTR for Unilever has been calculated </w:t>
      </w:r>
      <w:r w:rsidR="008D4754">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5.37, 4.35, 5.64, 5.96 and 4.47 times respectively. Corresponding figures calculated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are </w:t>
      </w:r>
      <w:r w:rsidR="008D4754">
        <w:rPr>
          <w:rFonts w:ascii="Times New Roman" w:eastAsia="Times New Roman" w:hAnsi="Times New Roman" w:cs="Times New Roman"/>
          <w:color w:val="FF0000"/>
          <w:sz w:val="24"/>
          <w:szCs w:val="24"/>
        </w:rPr>
        <w:t>8.49, 8.53, 7.84, 7.88 and 7.89</w:t>
      </w:r>
      <w:r>
        <w:rPr>
          <w:rFonts w:ascii="Times New Roman" w:eastAsia="Times New Roman" w:hAnsi="Times New Roman" w:cs="Times New Roman"/>
          <w:sz w:val="24"/>
          <w:szCs w:val="24"/>
        </w:rPr>
        <w:t xml:space="preserve">times respectively from 2023 to 2019. </w:t>
      </w:r>
      <w:r w:rsidR="006872B3">
        <w:rPr>
          <w:rFonts w:ascii="Times New Roman" w:eastAsia="Times New Roman" w:hAnsi="Times New Roman" w:cs="Times New Roman"/>
          <w:sz w:val="24"/>
          <w:szCs w:val="24"/>
        </w:rPr>
        <w:t>Overall,</w:t>
      </w:r>
      <w:r>
        <w:rPr>
          <w:rFonts w:ascii="Times New Roman" w:eastAsia="Times New Roman" w:hAnsi="Times New Roman" w:cs="Times New Roman"/>
          <w:sz w:val="24"/>
          <w:szCs w:val="24"/>
        </w:rPr>
        <w:t xml:space="preserve"> it can be evaluated that higher figures are obtained by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in comparison to Unilever </w:t>
      </w:r>
      <w:r w:rsidR="00FA631A">
        <w:rPr>
          <w:rFonts w:ascii="Times New Roman" w:eastAsia="Times New Roman" w:hAnsi="Times New Roman" w:cs="Times New Roman"/>
          <w:color w:val="FF0000"/>
          <w:sz w:val="24"/>
          <w:szCs w:val="24"/>
        </w:rPr>
        <w:t>and an increasing</w:t>
      </w:r>
      <w:r>
        <w:rPr>
          <w:rFonts w:ascii="Times New Roman" w:eastAsia="Times New Roman" w:hAnsi="Times New Roman" w:cs="Times New Roman"/>
          <w:sz w:val="24"/>
          <w:szCs w:val="24"/>
        </w:rPr>
        <w:t xml:space="preserve">trend of ratios </w:t>
      </w:r>
      <w:r w:rsidR="00FA631A">
        <w:rPr>
          <w:rFonts w:ascii="Times New Roman" w:eastAsia="Times New Roman" w:hAnsi="Times New Roman" w:cs="Times New Roman"/>
          <w:color w:val="FF0000"/>
          <w:sz w:val="24"/>
          <w:szCs w:val="24"/>
        </w:rPr>
        <w:t>is established for both companies in 2023</w:t>
      </w:r>
      <w:r>
        <w:rPr>
          <w:rFonts w:ascii="Times New Roman" w:eastAsia="Times New Roman" w:hAnsi="Times New Roman" w:cs="Times New Roman"/>
          <w:sz w:val="24"/>
          <w:szCs w:val="24"/>
        </w:rPr>
        <w:t xml:space="preserve">. Reasons for changes in RTR are mainly associated with fluctuations observed for "sales" and "receivable" values. As illustrated by </w:t>
      </w:r>
      <w:r>
        <w:rPr>
          <w:rFonts w:ascii="Times New Roman" w:eastAsia="Times New Roman" w:hAnsi="Times New Roman" w:cs="Times New Roman"/>
          <w:color w:val="222222"/>
          <w:sz w:val="24"/>
          <w:szCs w:val="24"/>
          <w:highlight w:val="white"/>
        </w:rPr>
        <w:t xml:space="preserve">Alarussi </w:t>
      </w:r>
      <w:r>
        <w:rPr>
          <w:rFonts w:ascii="Times New Roman" w:eastAsia="Times New Roman" w:hAnsi="Times New Roman" w:cs="Times New Roman"/>
          <w:sz w:val="24"/>
          <w:szCs w:val="24"/>
        </w:rPr>
        <w:t xml:space="preserve">(2021), an increase in RTR is considered to be a beneficial feature for an organisation where faster accumulation of customer credit is initiated to improve cash availability.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PTR for Unilever has been calculated as 1.23, 1.20, 1.33, 1.25 and 0.95 times f</w:t>
      </w:r>
      <w:r w:rsidR="007F60B5">
        <w:rPr>
          <w:rFonts w:ascii="Times New Roman" w:eastAsia="Times New Roman" w:hAnsi="Times New Roman" w:cs="Times New Roman"/>
          <w:sz w:val="24"/>
          <w:szCs w:val="24"/>
        </w:rPr>
        <w:t xml:space="preserve">rom 2023 to 2019. Similarly, </w:t>
      </w:r>
      <w:r>
        <w:rPr>
          <w:rFonts w:ascii="Times New Roman" w:eastAsia="Times New Roman" w:hAnsi="Times New Roman" w:cs="Times New Roman"/>
          <w:sz w:val="24"/>
          <w:szCs w:val="24"/>
        </w:rPr>
        <w:t xml:space="preserve">ratios calculated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are </w:t>
      </w:r>
      <w:r w:rsidR="007F60B5">
        <w:rPr>
          <w:rFonts w:ascii="Times New Roman" w:eastAsia="Times New Roman" w:hAnsi="Times New Roman" w:cs="Times New Roman"/>
          <w:color w:val="FF0000"/>
          <w:sz w:val="24"/>
          <w:szCs w:val="24"/>
        </w:rPr>
        <w:t>2.62, 2.52, 2.17, 2.32 and 2.48</w:t>
      </w:r>
      <w:r>
        <w:rPr>
          <w:rFonts w:ascii="Times New Roman" w:eastAsia="Times New Roman" w:hAnsi="Times New Roman" w:cs="Times New Roman"/>
          <w:sz w:val="24"/>
          <w:szCs w:val="24"/>
        </w:rPr>
        <w:t xml:space="preserve">times respectively. Based on above figures,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has achieved a higher numerical value in comparison to Unilever in 2023 </w:t>
      </w:r>
      <w:r w:rsidR="007F60B5" w:rsidRPr="007F60B5">
        <w:rPr>
          <w:rFonts w:ascii="Times New Roman" w:eastAsia="Times New Roman" w:hAnsi="Times New Roman" w:cs="Times New Roman"/>
          <w:color w:val="FF0000"/>
          <w:sz w:val="24"/>
          <w:szCs w:val="24"/>
        </w:rPr>
        <w:t>and</w:t>
      </w:r>
      <w:r>
        <w:rPr>
          <w:rFonts w:ascii="Times New Roman" w:eastAsia="Times New Roman" w:hAnsi="Times New Roman" w:cs="Times New Roman"/>
          <w:sz w:val="24"/>
          <w:szCs w:val="24"/>
        </w:rPr>
        <w:t xml:space="preserve"> the trend of performance is increasing for both </w:t>
      </w:r>
      <w:r w:rsidR="00A534BD">
        <w:rPr>
          <w:rFonts w:ascii="Times New Roman" w:eastAsia="Times New Roman" w:hAnsi="Times New Roman" w:cs="Times New Roman"/>
          <w:sz w:val="24"/>
          <w:szCs w:val="24"/>
        </w:rPr>
        <w:t>companies</w:t>
      </w:r>
      <w:r>
        <w:rPr>
          <w:rFonts w:ascii="Times New Roman" w:eastAsia="Times New Roman" w:hAnsi="Times New Roman" w:cs="Times New Roman"/>
          <w:sz w:val="24"/>
          <w:szCs w:val="24"/>
        </w:rPr>
        <w:t>. Reasons associated with changes in PTR value incl</w:t>
      </w:r>
      <w:r w:rsidR="00A534BD">
        <w:rPr>
          <w:rFonts w:ascii="Times New Roman" w:eastAsia="Times New Roman" w:hAnsi="Times New Roman" w:cs="Times New Roman"/>
          <w:sz w:val="24"/>
          <w:szCs w:val="24"/>
        </w:rPr>
        <w:t xml:space="preserve">ude fluctuations observed for </w:t>
      </w:r>
      <w:r w:rsidR="00A534BD">
        <w:rPr>
          <w:rFonts w:ascii="Times New Roman" w:eastAsia="Times New Roman" w:hAnsi="Times New Roman" w:cs="Times New Roman"/>
          <w:sz w:val="24"/>
          <w:szCs w:val="24"/>
        </w:rPr>
        <w:lastRenderedPageBreak/>
        <w:t>“cost of sales” and “</w:t>
      </w:r>
      <w:r>
        <w:rPr>
          <w:rFonts w:ascii="Times New Roman" w:eastAsia="Times New Roman" w:hAnsi="Times New Roman" w:cs="Times New Roman"/>
          <w:sz w:val="24"/>
          <w:szCs w:val="24"/>
        </w:rPr>
        <w:t xml:space="preserve">payable” values. The increase in PTR is a positive result for a company which highlights importance offered to </w:t>
      </w:r>
      <w:r w:rsidR="006872B3">
        <w:rPr>
          <w:rFonts w:ascii="Times New Roman" w:eastAsia="Times New Roman" w:hAnsi="Times New Roman" w:cs="Times New Roman"/>
          <w:sz w:val="24"/>
          <w:szCs w:val="24"/>
        </w:rPr>
        <w:t>fast-track</w:t>
      </w:r>
      <w:r>
        <w:rPr>
          <w:rFonts w:ascii="Times New Roman" w:eastAsia="Times New Roman" w:hAnsi="Times New Roman" w:cs="Times New Roman"/>
          <w:sz w:val="24"/>
          <w:szCs w:val="24"/>
        </w:rPr>
        <w:t xml:space="preserve"> outstanding payments made in favour of suppliers and vendors (</w:t>
      </w:r>
      <w:r>
        <w:rPr>
          <w:rFonts w:ascii="Times New Roman" w:eastAsia="Times New Roman" w:hAnsi="Times New Roman" w:cs="Times New Roman"/>
          <w:color w:val="222222"/>
          <w:sz w:val="24"/>
          <w:szCs w:val="24"/>
          <w:highlight w:val="white"/>
        </w:rPr>
        <w:t>Hanum, 2021</w:t>
      </w:r>
      <w:r>
        <w:rPr>
          <w:rFonts w:ascii="Times New Roman" w:eastAsia="Times New Roman" w:hAnsi="Times New Roman" w:cs="Times New Roman"/>
          <w:sz w:val="24"/>
          <w:szCs w:val="24"/>
        </w:rPr>
        <w:t>).</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OCC for Unilever includes figures of 8.19,9 6.80, 8.53, 8.66 and 6.87 times while figures calculated for </w:t>
      </w:r>
      <w:r w:rsidR="002D0988" w:rsidRP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are </w:t>
      </w:r>
      <w:r w:rsidR="007F60B5">
        <w:rPr>
          <w:rFonts w:ascii="Times New Roman" w:eastAsia="Times New Roman" w:hAnsi="Times New Roman" w:cs="Times New Roman"/>
          <w:color w:val="FF0000"/>
          <w:sz w:val="24"/>
          <w:szCs w:val="24"/>
        </w:rPr>
        <w:t>10.10, 9.45, 9.46, 9.81 and 10.40</w:t>
      </w:r>
      <w:r>
        <w:rPr>
          <w:rFonts w:ascii="Times New Roman" w:eastAsia="Times New Roman" w:hAnsi="Times New Roman" w:cs="Times New Roman"/>
          <w:sz w:val="24"/>
          <w:szCs w:val="24"/>
        </w:rPr>
        <w:t xml:space="preserve">times respectively. Overall, the OCC for </w:t>
      </w:r>
      <w:r w:rsidR="002D0988" w:rsidRP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is observed to be significantly </w:t>
      </w:r>
      <w:r w:rsidR="007F60B5">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to Unilever in 2023 however incremental performance trends are </w:t>
      </w:r>
      <w:r w:rsidR="007F60B5">
        <w:rPr>
          <w:rFonts w:ascii="Times New Roman" w:eastAsia="Times New Roman" w:hAnsi="Times New Roman" w:cs="Times New Roman"/>
          <w:color w:val="FF0000"/>
          <w:sz w:val="24"/>
          <w:szCs w:val="24"/>
        </w:rPr>
        <w:t>observant for both companies</w:t>
      </w:r>
      <w:r>
        <w:rPr>
          <w:rFonts w:ascii="Times New Roman" w:eastAsia="Times New Roman" w:hAnsi="Times New Roman" w:cs="Times New Roman"/>
          <w:sz w:val="24"/>
          <w:szCs w:val="24"/>
        </w:rPr>
        <w:t xml:space="preserve">. The causes of change in </w:t>
      </w:r>
      <w:r w:rsidR="006872B3">
        <w:rPr>
          <w:rFonts w:ascii="Times New Roman" w:eastAsia="Times New Roman" w:hAnsi="Times New Roman" w:cs="Times New Roman"/>
          <w:sz w:val="24"/>
          <w:szCs w:val="24"/>
        </w:rPr>
        <w:t>OCC</w:t>
      </w:r>
      <w:r>
        <w:rPr>
          <w:rFonts w:ascii="Times New Roman" w:eastAsia="Times New Roman" w:hAnsi="Times New Roman" w:cs="Times New Roman"/>
          <w:sz w:val="24"/>
          <w:szCs w:val="24"/>
        </w:rPr>
        <w:t xml:space="preserve"> can be linked with its formulation where the value is influenced when ITR, RTR and PTR change. OCC is also defined as the sum of ITR and RTR w</w:t>
      </w:r>
      <w:r w:rsidR="007F60B5">
        <w:rPr>
          <w:rFonts w:ascii="Times New Roman" w:eastAsia="Times New Roman" w:hAnsi="Times New Roman" w:cs="Times New Roman"/>
          <w:sz w:val="24"/>
          <w:szCs w:val="24"/>
        </w:rPr>
        <w:t xml:space="preserve">hich is subtracted from PTR. A </w:t>
      </w:r>
      <w:r w:rsidR="007F60B5" w:rsidRPr="007F60B5">
        <w:rPr>
          <w:rFonts w:ascii="Times New Roman" w:eastAsia="Times New Roman" w:hAnsi="Times New Roman" w:cs="Times New Roman"/>
          <w:color w:val="FF0000"/>
          <w:sz w:val="24"/>
          <w:szCs w:val="24"/>
        </w:rPr>
        <w:t>declining</w:t>
      </w:r>
      <w:r w:rsidR="007F60B5">
        <w:rPr>
          <w:rFonts w:ascii="Times New Roman" w:eastAsia="Times New Roman" w:hAnsi="Times New Roman" w:cs="Times New Roman"/>
          <w:sz w:val="24"/>
          <w:szCs w:val="24"/>
        </w:rPr>
        <w:t xml:space="preserve"> OCC is </w:t>
      </w:r>
      <w:r w:rsidR="007F60B5" w:rsidRPr="007F60B5">
        <w:rPr>
          <w:rFonts w:ascii="Times New Roman" w:eastAsia="Times New Roman" w:hAnsi="Times New Roman" w:cs="Times New Roman"/>
          <w:color w:val="FF0000"/>
          <w:sz w:val="24"/>
          <w:szCs w:val="24"/>
        </w:rPr>
        <w:t>a disadvantageous</w:t>
      </w:r>
      <w:r w:rsidRPr="007F60B5">
        <w:rPr>
          <w:rFonts w:ascii="Times New Roman" w:eastAsia="Times New Roman" w:hAnsi="Times New Roman" w:cs="Times New Roman"/>
          <w:color w:val="FF0000"/>
          <w:sz w:val="24"/>
          <w:szCs w:val="24"/>
        </w:rPr>
        <w:t xml:space="preserve"> feature </w:t>
      </w:r>
      <w:r>
        <w:rPr>
          <w:rFonts w:ascii="Times New Roman" w:eastAsia="Times New Roman" w:hAnsi="Times New Roman" w:cs="Times New Roman"/>
          <w:sz w:val="24"/>
          <w:szCs w:val="24"/>
        </w:rPr>
        <w:t xml:space="preserve">for a company where higher cash reserves </w:t>
      </w:r>
      <w:r w:rsidRPr="007F60B5">
        <w:rPr>
          <w:rFonts w:ascii="Times New Roman" w:eastAsia="Times New Roman" w:hAnsi="Times New Roman" w:cs="Times New Roman"/>
          <w:color w:val="FF0000"/>
          <w:sz w:val="24"/>
          <w:szCs w:val="24"/>
        </w:rPr>
        <w:t>can</w:t>
      </w:r>
      <w:r w:rsidR="007F60B5" w:rsidRPr="007F60B5">
        <w:rPr>
          <w:rFonts w:ascii="Times New Roman" w:eastAsia="Times New Roman" w:hAnsi="Times New Roman" w:cs="Times New Roman"/>
          <w:color w:val="FF0000"/>
          <w:sz w:val="24"/>
          <w:szCs w:val="24"/>
        </w:rPr>
        <w:t>not</w:t>
      </w:r>
      <w:r>
        <w:rPr>
          <w:rFonts w:ascii="Times New Roman" w:eastAsia="Times New Roman" w:hAnsi="Times New Roman" w:cs="Times New Roman"/>
          <w:sz w:val="24"/>
          <w:szCs w:val="24"/>
        </w:rPr>
        <w:t xml:space="preserve"> be held in future (</w:t>
      </w:r>
      <w:r>
        <w:rPr>
          <w:rFonts w:ascii="Times New Roman" w:eastAsia="Times New Roman" w:hAnsi="Times New Roman" w:cs="Times New Roman"/>
          <w:color w:val="222222"/>
          <w:sz w:val="24"/>
          <w:szCs w:val="24"/>
          <w:highlight w:val="white"/>
        </w:rPr>
        <w:t>Albertus and Syaiful, 2022</w:t>
      </w:r>
      <w:r>
        <w:rPr>
          <w:rFonts w:ascii="Times New Roman" w:eastAsia="Times New Roman" w:hAnsi="Times New Roman" w:cs="Times New Roman"/>
          <w:sz w:val="24"/>
          <w:szCs w:val="24"/>
        </w:rPr>
        <w:t>).</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CTR is calculated as 1.49, 1.41, 1.55, 1.67 and 2.16 times for Unilever and </w:t>
      </w:r>
      <w:r w:rsidR="00A01429">
        <w:rPr>
          <w:rFonts w:ascii="Times New Roman" w:eastAsia="Times New Roman" w:hAnsi="Times New Roman" w:cs="Times New Roman"/>
          <w:color w:val="FF0000"/>
          <w:sz w:val="24"/>
          <w:szCs w:val="24"/>
        </w:rPr>
        <w:t xml:space="preserve">2.57, 2.21, 1.63, 1.82 and 1.76 </w:t>
      </w:r>
      <w:r>
        <w:rPr>
          <w:rFonts w:ascii="Times New Roman" w:eastAsia="Times New Roman" w:hAnsi="Times New Roman" w:cs="Times New Roman"/>
          <w:sz w:val="24"/>
          <w:szCs w:val="24"/>
        </w:rPr>
        <w:t xml:space="preserve">times for </w:t>
      </w:r>
      <w:r w:rsidR="002D0988">
        <w:rPr>
          <w:rFonts w:ascii="Times New Roman" w:eastAsia="Times New Roman" w:hAnsi="Times New Roman" w:cs="Times New Roman"/>
          <w:sz w:val="24"/>
          <w:szCs w:val="24"/>
        </w:rPr>
        <w:t>Nestle</w:t>
      </w:r>
      <w:r>
        <w:rPr>
          <w:rFonts w:ascii="Times New Roman" w:eastAsia="Times New Roman" w:hAnsi="Times New Roman" w:cs="Times New Roman"/>
          <w:sz w:val="24"/>
          <w:szCs w:val="24"/>
        </w:rPr>
        <w:t xml:space="preserve">. Therefore, it is observed that figures for Unilever are considerably </w:t>
      </w:r>
      <w:r w:rsidR="00A01429">
        <w:rPr>
          <w:rFonts w:ascii="Times New Roman" w:eastAsia="Times New Roman" w:hAnsi="Times New Roman" w:cs="Times New Roman"/>
          <w:color w:val="FF0000"/>
          <w:sz w:val="24"/>
          <w:szCs w:val="24"/>
        </w:rPr>
        <w:t>lower</w:t>
      </w:r>
      <w:r>
        <w:rPr>
          <w:rFonts w:ascii="Times New Roman" w:eastAsia="Times New Roman" w:hAnsi="Times New Roman" w:cs="Times New Roman"/>
          <w:sz w:val="24"/>
          <w:szCs w:val="24"/>
        </w:rPr>
        <w:t xml:space="preserve"> than </w:t>
      </w:r>
      <w:r w:rsidR="002D0988" w:rsidRP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while both companies demonstrate strong growth features in 2023 as compared to previous years. The reasons for growth are </w:t>
      </w:r>
      <w:r w:rsidRPr="002D0988">
        <w:rPr>
          <w:rFonts w:ascii="Times New Roman" w:eastAsia="Times New Roman" w:hAnsi="Times New Roman" w:cs="Times New Roman"/>
          <w:color w:val="000000" w:themeColor="text1"/>
          <w:sz w:val="24"/>
          <w:szCs w:val="24"/>
        </w:rPr>
        <w:t>associated</w:t>
      </w:r>
      <w:r>
        <w:rPr>
          <w:rFonts w:ascii="Times New Roman" w:eastAsia="Times New Roman" w:hAnsi="Times New Roman" w:cs="Times New Roman"/>
          <w:sz w:val="24"/>
          <w:szCs w:val="24"/>
        </w:rPr>
        <w:t xml:space="preserve"> with an increase in "sales" and "equity" values. As </w:t>
      </w:r>
      <w:r>
        <w:rPr>
          <w:rFonts w:ascii="Times New Roman" w:eastAsia="Times New Roman" w:hAnsi="Times New Roman" w:cs="Times New Roman"/>
          <w:color w:val="222222"/>
          <w:sz w:val="24"/>
          <w:szCs w:val="24"/>
          <w:highlight w:val="white"/>
        </w:rPr>
        <w:t xml:space="preserve">Ginting </w:t>
      </w:r>
      <w:r>
        <w:rPr>
          <w:rFonts w:ascii="Times New Roman" w:eastAsia="Times New Roman" w:hAnsi="Times New Roman" w:cs="Times New Roman"/>
          <w:sz w:val="24"/>
          <w:szCs w:val="24"/>
        </w:rPr>
        <w:t xml:space="preserve">(2021), opined that an increase in CTR is a beneficial characteristic where more sales revenues can be generated by enhancing equity investments. </w:t>
      </w:r>
    </w:p>
    <w:p w:rsidR="002D0988"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overall analysis, efficiency ratio performance of Unilever is observed to be </w:t>
      </w:r>
      <w:r w:rsidR="00A01429">
        <w:rPr>
          <w:rFonts w:ascii="Times New Roman" w:eastAsia="Times New Roman" w:hAnsi="Times New Roman" w:cs="Times New Roman"/>
          <w:color w:val="FF0000"/>
          <w:sz w:val="24"/>
          <w:szCs w:val="24"/>
        </w:rPr>
        <w:t>inferior</w:t>
      </w:r>
      <w:r>
        <w:rPr>
          <w:rFonts w:ascii="Times New Roman" w:eastAsia="Times New Roman" w:hAnsi="Times New Roman" w:cs="Times New Roman"/>
          <w:sz w:val="24"/>
          <w:szCs w:val="24"/>
        </w:rPr>
        <w:t xml:space="preserve"> to </w:t>
      </w:r>
      <w:r w:rsidR="002D0988" w:rsidRP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xml:space="preserve"> specifically in 2023.</w:t>
      </w:r>
    </w:p>
    <w:p w:rsidR="002D0988" w:rsidRPr="00A01429" w:rsidRDefault="002D0988" w:rsidP="00735C33">
      <w:pPr>
        <w:pStyle w:val="Heading3"/>
        <w:rPr>
          <w:color w:val="FF0000"/>
        </w:rPr>
      </w:pPr>
      <w:bookmarkStart w:id="23" w:name="_Toc174453729"/>
      <w:r w:rsidRPr="00A01429">
        <w:rPr>
          <w:color w:val="FF0000"/>
        </w:rPr>
        <w:t>2.1.5: Summary of Key Trends</w:t>
      </w:r>
      <w:bookmarkEnd w:id="23"/>
    </w:p>
    <w:p w:rsidR="002D0988" w:rsidRPr="00A01429" w:rsidRDefault="00A01429" w:rsidP="00735C33">
      <w:pPr>
        <w:pStyle w:val="ListParagraph"/>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The profitability ratio trend for Unilever is decreasing in 2023 as compared to 2022 except for GPR.</w:t>
      </w:r>
    </w:p>
    <w:p w:rsidR="00A01429" w:rsidRPr="00A01429" w:rsidRDefault="00A01429" w:rsidP="00735C33">
      <w:pPr>
        <w:pStyle w:val="ListParagraph"/>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The liquidity ratio trend for Unilever is fractionally increasing in 2023 as compared to 2022.</w:t>
      </w:r>
    </w:p>
    <w:p w:rsidR="00A01429" w:rsidRPr="00A01429" w:rsidRDefault="00A01429" w:rsidP="00735C33">
      <w:pPr>
        <w:pStyle w:val="ListParagraph"/>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The gearing ratio trend for Unilever is marginally increasing in 2023 as compared to 2022.</w:t>
      </w:r>
    </w:p>
    <w:p w:rsidR="00A01429" w:rsidRPr="00A01429" w:rsidRDefault="00A01429" w:rsidP="00735C33">
      <w:pPr>
        <w:pStyle w:val="ListParagraph"/>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FF0000"/>
          <w:sz w:val="24"/>
          <w:szCs w:val="24"/>
        </w:rPr>
        <w:t>The efficiency ratio trend for Unilever is significantly increasing in 2023 as compared to 2022.</w:t>
      </w:r>
    </w:p>
    <w:p w:rsidR="001C54B3" w:rsidRDefault="00076BC6" w:rsidP="00735C33">
      <w:pPr>
        <w:pStyle w:val="Heading2"/>
      </w:pPr>
      <w:bookmarkStart w:id="24" w:name="_61bzj14l9qel" w:colFirst="0" w:colLast="0"/>
      <w:bookmarkStart w:id="25" w:name="_Toc174453730"/>
      <w:bookmarkEnd w:id="24"/>
      <w:r>
        <w:t>2.2: Recommendations for future improvement</w:t>
      </w:r>
      <w:bookmarkEnd w:id="25"/>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improve future profitability ratios, it is recommended to the managerial concern of Unilever to identify ways through which operating, financing and non-operating expenses can be reduced. Perhaps consideration of lean manufacturing can be incorporated as a viable </w:t>
      </w:r>
      <w:r>
        <w:rPr>
          <w:rFonts w:ascii="Times New Roman" w:eastAsia="Times New Roman" w:hAnsi="Times New Roman" w:cs="Times New Roman"/>
          <w:sz w:val="24"/>
          <w:szCs w:val="24"/>
        </w:rPr>
        <w:lastRenderedPageBreak/>
        <w:t xml:space="preserve">strategy which ensures an increase in future profit quantities. In order to improve future liquidity ratios, it is recommended that Unilever minimise its "current liability" values. Perhaps, rejigging supplier and vendor terms and conditions can be adopted as a transitional strategy which ensures a positive "working capital" and a better "current asset and liability" balance.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improve ICR and PR, more emphasis is needed to be offered by Unilever towards increasing scalability of operations and considering additional impetus offered for undertaking equity capitalisation. In order to rectify and improve efficiency ratio performances, consideration to a transitional shift in cash sales and purchases is needed to be considered by Unilever. This should be done as a temporary measure in which more cash can be availed in future and better trust can be generated between Unilever and its suppliers. Consideration of cash discounts is also recommended for future improvement of efficiency ratios to speed up the process of credit collection from existing customers in the market. </w:t>
      </w:r>
    </w:p>
    <w:p w:rsidR="001C54B3" w:rsidRDefault="00076BC6" w:rsidP="00735C33">
      <w:pPr>
        <w:pStyle w:val="Heading1"/>
      </w:pPr>
      <w:bookmarkStart w:id="26" w:name="_ubyanhojtho3" w:colFirst="0" w:colLast="0"/>
      <w:bookmarkStart w:id="27" w:name="_Toc174453731"/>
      <w:bookmarkEnd w:id="26"/>
      <w:r>
        <w:t>3: Part C: Investment Appraisal Analysis</w:t>
      </w:r>
      <w:bookmarkEnd w:id="27"/>
    </w:p>
    <w:p w:rsidR="001C54B3" w:rsidRDefault="00076BC6" w:rsidP="00735C33">
      <w:pPr>
        <w:pStyle w:val="Heading2"/>
      </w:pPr>
      <w:bookmarkStart w:id="28" w:name="_mad6hvrcqw1s" w:colFirst="0" w:colLast="0"/>
      <w:bookmarkStart w:id="29" w:name="_Toc174453732"/>
      <w:bookmarkEnd w:id="28"/>
      <w:r>
        <w:t>3.1: Calculations and Evaluation of Results</w:t>
      </w:r>
      <w:bookmarkEnd w:id="29"/>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tabulated demonstration is presented for projects A and B respectively containing figures of PBP, ARR and NPV. </w:t>
      </w:r>
    </w:p>
    <w:tbl>
      <w:tblPr>
        <w:tblStyle w:val="a3"/>
        <w:tblW w:w="5000" w:type="pct"/>
        <w:tblBorders>
          <w:top w:val="nil"/>
          <w:left w:val="nil"/>
          <w:bottom w:val="nil"/>
          <w:right w:val="nil"/>
          <w:insideH w:val="nil"/>
          <w:insideV w:val="nil"/>
        </w:tblBorders>
        <w:tblLook w:val="0600"/>
      </w:tblPr>
      <w:tblGrid>
        <w:gridCol w:w="2926"/>
        <w:gridCol w:w="1189"/>
        <w:gridCol w:w="1189"/>
        <w:gridCol w:w="1189"/>
        <w:gridCol w:w="1189"/>
        <w:gridCol w:w="1547"/>
      </w:tblGrid>
      <w:tr w:rsidR="00E20CDD" w:rsidTr="006872B3">
        <w:trPr>
          <w:trHeight w:val="515"/>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Appraisal Calculations for Project A</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Flows (M)</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-£ 80.00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£ 25.00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£ 25.00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£ 20.00</w:t>
            </w: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55.00</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Cumulative Cash Flows</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-£ 80.00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-£ 55.00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-£ 30.00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-£ 10.00</w:t>
            </w: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45.00</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Discounting Rate </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9.75%</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Discounting Factor</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0.91</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0.69</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Present Values</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-£ 80.00</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£ 22.78</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£ 20.76</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£ 15.13</w:t>
            </w: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37.91</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PBP (Years)</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3.18</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ARR</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39.06%</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NPV</w:t>
            </w: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D9EAD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       16.57</w:t>
            </w:r>
          </w:p>
        </w:tc>
      </w:tr>
    </w:tbl>
    <w:p w:rsidR="001C54B3" w:rsidRDefault="00076BC6" w:rsidP="00735C3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Table 5: Investment Appraisal for Project A</w:t>
      </w:r>
    </w:p>
    <w:tbl>
      <w:tblPr>
        <w:tblStyle w:val="a4"/>
        <w:tblW w:w="5000" w:type="pct"/>
        <w:tblBorders>
          <w:top w:val="nil"/>
          <w:left w:val="nil"/>
          <w:bottom w:val="nil"/>
          <w:right w:val="nil"/>
          <w:insideH w:val="nil"/>
          <w:insideV w:val="nil"/>
        </w:tblBorders>
        <w:tblLook w:val="0600"/>
      </w:tblPr>
      <w:tblGrid>
        <w:gridCol w:w="2926"/>
        <w:gridCol w:w="1189"/>
        <w:gridCol w:w="1189"/>
        <w:gridCol w:w="1189"/>
        <w:gridCol w:w="1189"/>
        <w:gridCol w:w="1547"/>
      </w:tblGrid>
      <w:tr w:rsidR="00E20CDD" w:rsidTr="006872B3">
        <w:trPr>
          <w:trHeight w:val="515"/>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Investment Appraisal Calculations for Project B</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Years</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Cash Flows (M)</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-£ 75.00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£ 50.00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£ 20.00</w:t>
            </w: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20.00</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Cumulative Cash Flows</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-£ 75.00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-£ 25.00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5.00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£ 15.00</w:t>
            </w: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35.00</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Discounting Rate </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9.75%</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sz w:val="24"/>
                <w:szCs w:val="24"/>
              </w:rPr>
            </w:pP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Discounting Factor</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0.91</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0.83</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0.76</w:t>
            </w: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0.69</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Present Values</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-£ 75.00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£ 45.56</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£ 16.60</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£ 15.13</w:t>
            </w: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13.79</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PBP (Years)</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2.25</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ARR</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36.67%</w:t>
            </w:r>
          </w:p>
        </w:tc>
      </w:tr>
      <w:tr w:rsidR="00E20CDD" w:rsidTr="006872B3">
        <w:trPr>
          <w:trHeight w:val="515"/>
        </w:trPr>
        <w:tc>
          <w:tcPr>
            <w:tcW w:w="158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NPV</w:t>
            </w: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644"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1C54B3" w:rsidP="00735C33">
            <w:pPr>
              <w:spacing w:line="360" w:lineRule="auto"/>
              <w:jc w:val="both"/>
              <w:rPr>
                <w:rFonts w:ascii="Times New Roman" w:eastAsia="Times New Roman" w:hAnsi="Times New Roman" w:cs="Times New Roman"/>
                <w:b/>
                <w:sz w:val="24"/>
                <w:szCs w:val="24"/>
              </w:rPr>
            </w:pPr>
          </w:p>
        </w:tc>
        <w:tc>
          <w:tcPr>
            <w:tcW w:w="836" w:type="pct"/>
            <w:tcBorders>
              <w:top w:val="single" w:sz="4" w:space="0" w:color="000000"/>
              <w:left w:val="single" w:sz="4" w:space="0" w:color="000000"/>
              <w:bottom w:val="single" w:sz="4" w:space="0" w:color="000000"/>
              <w:right w:val="single" w:sz="4" w:space="0" w:color="000000"/>
            </w:tcBorders>
            <w:shd w:val="clear" w:color="auto" w:fill="FCCFE3"/>
            <w:tcMar>
              <w:top w:w="100" w:type="dxa"/>
              <w:left w:w="100" w:type="dxa"/>
              <w:bottom w:w="100" w:type="dxa"/>
              <w:right w:w="100" w:type="dxa"/>
            </w:tcMar>
          </w:tcPr>
          <w:p w:rsidR="001C54B3" w:rsidRDefault="00076BC6" w:rsidP="00735C33">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       16.08</w:t>
            </w:r>
          </w:p>
        </w:tc>
      </w:tr>
    </w:tbl>
    <w:p w:rsidR="001C54B3" w:rsidRDefault="00076BC6" w:rsidP="00735C3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6: Investment Appraisal for Project B</w:t>
      </w:r>
    </w:p>
    <w:p w:rsidR="001C54B3" w:rsidRDefault="00076BC6" w:rsidP="00735C33">
      <w:pPr>
        <w:pStyle w:val="Heading3"/>
      </w:pPr>
      <w:bookmarkStart w:id="30" w:name="_brjy72xffuza" w:colFirst="0" w:colLast="0"/>
      <w:bookmarkStart w:id="31" w:name="_Toc174453733"/>
      <w:bookmarkEnd w:id="30"/>
      <w:r>
        <w:t>3.1.1: PBP</w:t>
      </w:r>
      <w:bookmarkEnd w:id="31"/>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table of calculations for projects A and B respectively, PBP has been calculated as 3.18 and 2.25 years respectively. This illustrates that project B is expected to initiate a faster recovery of cash outflow from projected inflows in comparison to project A. As per opinions and expressions of </w:t>
      </w:r>
      <w:r>
        <w:rPr>
          <w:rFonts w:ascii="Times New Roman" w:eastAsia="Times New Roman" w:hAnsi="Times New Roman" w:cs="Times New Roman"/>
          <w:color w:val="222222"/>
          <w:sz w:val="24"/>
          <w:szCs w:val="24"/>
          <w:highlight w:val="white"/>
        </w:rPr>
        <w:t xml:space="preserve">Dai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(2022), faster recovery of cash outflow or initial investment by a project is a favourable opportunity for the implementing company to reduce likelihood of future investment risks. </w:t>
      </w:r>
    </w:p>
    <w:p w:rsidR="001C54B3" w:rsidRDefault="00076BC6" w:rsidP="00735C33">
      <w:pPr>
        <w:pStyle w:val="Heading3"/>
      </w:pPr>
      <w:bookmarkStart w:id="32" w:name="_p1hg6ki4gbf5" w:colFirst="0" w:colLast="0"/>
      <w:bookmarkStart w:id="33" w:name="_Toc174453734"/>
      <w:bookmarkEnd w:id="32"/>
      <w:r>
        <w:t>3.1.2: ARR</w:t>
      </w:r>
      <w:bookmarkEnd w:id="33"/>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table of calculations, ARR for projects A and B have been calculated as 39.06% and 36.67% respectively. This outlines that the expected rate of project returns for A is greater than expected project returns for B. As stated and viewed by </w:t>
      </w:r>
      <w:r>
        <w:rPr>
          <w:rFonts w:ascii="Times New Roman" w:eastAsia="Times New Roman" w:hAnsi="Times New Roman" w:cs="Times New Roman"/>
          <w:color w:val="222222"/>
          <w:sz w:val="24"/>
          <w:szCs w:val="24"/>
          <w:highlight w:val="white"/>
        </w:rPr>
        <w:t xml:space="preserve">Siziba and Hall </w:t>
      </w:r>
      <w:r>
        <w:rPr>
          <w:rFonts w:ascii="Times New Roman" w:eastAsia="Times New Roman" w:hAnsi="Times New Roman" w:cs="Times New Roman"/>
          <w:sz w:val="24"/>
          <w:szCs w:val="24"/>
        </w:rPr>
        <w:lastRenderedPageBreak/>
        <w:t xml:space="preserve">(2021), a higher IRR from a project is a beneficial attribute for the implementing company where high project viability and feasibility can be accomplished. </w:t>
      </w:r>
    </w:p>
    <w:p w:rsidR="001C54B3" w:rsidRDefault="00076BC6" w:rsidP="00735C33">
      <w:pPr>
        <w:pStyle w:val="Heading3"/>
      </w:pPr>
      <w:bookmarkStart w:id="34" w:name="_xplzj697z9es" w:colFirst="0" w:colLast="0"/>
      <w:bookmarkStart w:id="35" w:name="_Toc174453735"/>
      <w:bookmarkEnd w:id="34"/>
      <w:r>
        <w:t>3.1.3: NPV</w:t>
      </w:r>
      <w:bookmarkEnd w:id="35"/>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above table of calculations, NPV for projects A and B include numerical expressions of GBP 16.57 and GBP 16.08 million respectively. The identified figures of NPV indicate a higher expected numerical value of returns available to project A in comparison to numerical value returns available to project B. Adhikari (2022), illustrated and idealised that a high expected NPV from a project is an advantage available to the implementing company where investment viability is mostly guaranteed if undertaken in the long run.  </w:t>
      </w:r>
    </w:p>
    <w:p w:rsidR="001C54B3" w:rsidRDefault="00076BC6" w:rsidP="00735C33">
      <w:pPr>
        <w:pStyle w:val="Heading2"/>
      </w:pPr>
      <w:bookmarkStart w:id="36" w:name="_5qzhgkik92ir" w:colFirst="0" w:colLast="0"/>
      <w:bookmarkStart w:id="37" w:name="_Toc174453736"/>
      <w:bookmarkEnd w:id="36"/>
      <w:r>
        <w:t>3.2: Recommendations for Selection</w:t>
      </w:r>
      <w:bookmarkEnd w:id="37"/>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above calculations and analysis, PBP for project B is superior whereas ARR and NPV for project A are identified to be superior. Therefore, the company must choose project A instead of project B mainly on NPV values as it is the most logical and acceptable investment appraisal method or parameter to determine selection when multiple projects are available for appraisal. The PBP is low in project A however it is anticipated that the entire initial investment cost is expected to be recovered within the designated project lifespan and hence no major financial hindrances are expected in project A. </w:t>
      </w:r>
    </w:p>
    <w:p w:rsidR="001C54B3" w:rsidRDefault="00076BC6" w:rsidP="00735C33">
      <w:pPr>
        <w:pStyle w:val="Heading2"/>
      </w:pPr>
      <w:bookmarkStart w:id="38" w:name="_4gkdtj3iqspu" w:colFirst="0" w:colLast="0"/>
      <w:bookmarkStart w:id="39" w:name="_Toc174453737"/>
      <w:bookmarkEnd w:id="38"/>
      <w:r>
        <w:t>3.3: Advantages of investment appraisal methods</w:t>
      </w:r>
      <w:bookmarkEnd w:id="39"/>
    </w:p>
    <w:p w:rsidR="001C54B3" w:rsidRDefault="00076BC6" w:rsidP="00735C33">
      <w:pPr>
        <w:pStyle w:val="Heading3"/>
      </w:pPr>
      <w:bookmarkStart w:id="40" w:name="_uv0ui46qoi5p" w:colFirst="0" w:colLast="0"/>
      <w:bookmarkStart w:id="41" w:name="_Toc174453738"/>
      <w:bookmarkEnd w:id="40"/>
      <w:r>
        <w:t>3.3.1: PBP</w:t>
      </w:r>
      <w:bookmarkEnd w:id="41"/>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advantage of PBP method predominantly consists of the method being a relatively complex-free proposition for organisations to calculate the time needed for a project to recover its initial investment costs. This advantage is mostly accompanied by taking a relatively lower time factor consideration to determine suitability and initial viability of a project or investment (</w:t>
      </w:r>
      <w:r>
        <w:rPr>
          <w:rFonts w:ascii="Times New Roman" w:eastAsia="Times New Roman" w:hAnsi="Times New Roman" w:cs="Times New Roman"/>
          <w:color w:val="222222"/>
          <w:sz w:val="24"/>
          <w:szCs w:val="24"/>
          <w:highlight w:val="white"/>
        </w:rPr>
        <w:t xml:space="preserve">Zhang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Secondary advantage of the PBP method also includes the ability to establish a projected relationship between extracted cash inflows and outflows from a specific project or an investment scheme. This advantage is also deemed beneficial for a company to determine what proportion of future risks and returns are likely to be generated and how project or investment viability is likely to shape up in future. </w:t>
      </w:r>
    </w:p>
    <w:p w:rsidR="001C54B3" w:rsidRDefault="00076BC6" w:rsidP="00735C33">
      <w:pPr>
        <w:pStyle w:val="Heading3"/>
      </w:pPr>
      <w:bookmarkStart w:id="42" w:name="_qb4zvptrb85s" w:colFirst="0" w:colLast="0"/>
      <w:bookmarkStart w:id="43" w:name="_Toc174453739"/>
      <w:bookmarkEnd w:id="42"/>
      <w:r>
        <w:t>3.3.2: ARR</w:t>
      </w:r>
      <w:bookmarkEnd w:id="43"/>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advantage of the ARR method fundamentally consists of the ability to predict the overall value of financial percentile returns that can be generated if a project is undertaken by a company. This advantage is perhaps crucial from a company’s perspective to adjudicate or analyse how or what proportion of financial gains are likely to be generated </w:t>
      </w:r>
      <w:r>
        <w:rPr>
          <w:rFonts w:ascii="Times New Roman" w:eastAsia="Times New Roman" w:hAnsi="Times New Roman" w:cs="Times New Roman"/>
          <w:sz w:val="24"/>
          <w:szCs w:val="24"/>
        </w:rPr>
        <w:lastRenderedPageBreak/>
        <w:t xml:space="preserve">when a project is undertaken. The second advantage of ARR method involves a higher detail and focus offered towards anticipated profitability of a project rather than determining what proportion of cash flow physically is expected from a project. According to </w:t>
      </w:r>
      <w:r>
        <w:rPr>
          <w:rFonts w:ascii="Times New Roman" w:eastAsia="Times New Roman" w:hAnsi="Times New Roman" w:cs="Times New Roman"/>
          <w:color w:val="222222"/>
          <w:sz w:val="24"/>
          <w:szCs w:val="24"/>
          <w:highlight w:val="white"/>
        </w:rPr>
        <w:t xml:space="preserve">Sinaga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(2023), the ARR is therefore beneficial for organisations to accordingly prepare cash flow budgets and ascertain important project activities that need to be undertaken to maximise profitability. </w:t>
      </w:r>
    </w:p>
    <w:p w:rsidR="001C54B3" w:rsidRDefault="00076BC6" w:rsidP="00735C33">
      <w:pPr>
        <w:pStyle w:val="Heading3"/>
      </w:pPr>
      <w:bookmarkStart w:id="44" w:name="_ecfd824kej71" w:colFirst="0" w:colLast="0"/>
      <w:bookmarkStart w:id="45" w:name="_Toc174453740"/>
      <w:bookmarkEnd w:id="44"/>
      <w:r>
        <w:t>3.3.3: NPV</w:t>
      </w:r>
      <w:bookmarkEnd w:id="45"/>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advantage of using the NPV as a viable investment appraisal method involves the ability to project monetary values of expected returns that are likely to be generated from a project if undertaken by the implementing company. NPV is the only method of investment operation where monetary returns of a project can be determined and hence it is beneficial for organisations to evaluate project viability. The second advantage of NPV is associated with its credentials of being offered the highest priority when investment appraisal or project decision-making needs to be facilitated by a company. </w:t>
      </w:r>
      <w:r>
        <w:rPr>
          <w:rFonts w:ascii="Times New Roman" w:eastAsia="Times New Roman" w:hAnsi="Times New Roman" w:cs="Times New Roman"/>
          <w:color w:val="222222"/>
          <w:sz w:val="24"/>
          <w:szCs w:val="24"/>
          <w:highlight w:val="white"/>
        </w:rPr>
        <w:t xml:space="preserve">Brown </w:t>
      </w:r>
      <w:r>
        <w:rPr>
          <w:rFonts w:ascii="Times New Roman" w:eastAsia="Times New Roman" w:hAnsi="Times New Roman" w:cs="Times New Roman"/>
          <w:sz w:val="24"/>
          <w:szCs w:val="24"/>
        </w:rPr>
        <w:t xml:space="preserve">(2021), stated and idealised that NPV can determine whether a project should be continued or discontinued in future based on figures achieved and is also beneficial to make a choice when multiple mutually exclusive projects are available for appraisal. </w:t>
      </w:r>
    </w:p>
    <w:p w:rsidR="001C54B3" w:rsidRDefault="00076BC6" w:rsidP="00735C33">
      <w:pPr>
        <w:pStyle w:val="Heading2"/>
      </w:pPr>
      <w:bookmarkStart w:id="46" w:name="_izvtc61n1zi5" w:colFirst="0" w:colLast="0"/>
      <w:bookmarkStart w:id="47" w:name="_Toc174453741"/>
      <w:bookmarkEnd w:id="46"/>
      <w:r>
        <w:t>3.4: Disadvantages of investment appraisal methods</w:t>
      </w:r>
      <w:bookmarkEnd w:id="47"/>
    </w:p>
    <w:p w:rsidR="001C54B3" w:rsidRDefault="00076BC6" w:rsidP="00735C33">
      <w:pPr>
        <w:pStyle w:val="Heading3"/>
      </w:pPr>
      <w:bookmarkStart w:id="48" w:name="_42d32t2bl2e5" w:colFirst="0" w:colLast="0"/>
      <w:bookmarkStart w:id="49" w:name="_Toc174453742"/>
      <w:bookmarkEnd w:id="48"/>
      <w:r>
        <w:t>3.4.1: PBP</w:t>
      </w:r>
      <w:bookmarkEnd w:id="49"/>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disadvantage of the PBP method mainly consists of its lack of ability to incorporate consideration of discounting and time value of money. Therefore, the </w:t>
      </w:r>
      <w:r w:rsidR="00DD78C2">
        <w:rPr>
          <w:rFonts w:ascii="Times New Roman" w:eastAsia="Times New Roman" w:hAnsi="Times New Roman" w:cs="Times New Roman"/>
          <w:sz w:val="24"/>
          <w:szCs w:val="24"/>
        </w:rPr>
        <w:t>“discounted</w:t>
      </w:r>
      <w:r>
        <w:rPr>
          <w:rFonts w:ascii="Times New Roman" w:eastAsia="Times New Roman" w:hAnsi="Times New Roman" w:cs="Times New Roman"/>
          <w:sz w:val="24"/>
          <w:szCs w:val="24"/>
        </w:rPr>
        <w:t xml:space="preserve"> payback period approach” is offered a higher level of priority in terms of companies evaluating the time needed for a project to recover its initial investment costs. As per critical explanations and demonstrations of </w:t>
      </w:r>
      <w:r>
        <w:rPr>
          <w:rFonts w:ascii="Times New Roman" w:eastAsia="Times New Roman" w:hAnsi="Times New Roman" w:cs="Times New Roman"/>
          <w:color w:val="222222"/>
          <w:sz w:val="24"/>
          <w:szCs w:val="24"/>
          <w:highlight w:val="white"/>
        </w:rPr>
        <w:t xml:space="preserve">Fetner and Miller </w:t>
      </w:r>
      <w:r>
        <w:rPr>
          <w:rFonts w:ascii="Times New Roman" w:eastAsia="Times New Roman" w:hAnsi="Times New Roman" w:cs="Times New Roman"/>
          <w:sz w:val="24"/>
          <w:szCs w:val="24"/>
        </w:rPr>
        <w:t>(2021), additional disadvantages also include the lack of predicting monetary or percentile return values from the PBP method. Hence, it is not suitable and offered a relatively low priority when investment appraisal decision-making is undertaken by a company.</w:t>
      </w:r>
    </w:p>
    <w:p w:rsidR="001C54B3" w:rsidRDefault="00076BC6" w:rsidP="00735C33">
      <w:pPr>
        <w:pStyle w:val="Heading3"/>
      </w:pPr>
      <w:bookmarkStart w:id="50" w:name="_h196i79umbkd" w:colFirst="0" w:colLast="0"/>
      <w:bookmarkStart w:id="51" w:name="_Toc174453743"/>
      <w:bookmarkEnd w:id="50"/>
      <w:r>
        <w:t>3.4.2: ARR</w:t>
      </w:r>
      <w:bookmarkEnd w:id="51"/>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disadvantages of ARR method consist of the non-inclusion of economic factors to assess potential risks that might inflict future project or investment appraisal sustainability. The exclusion of economic factors also does not account for external changes or influences due to which credibility of projections for a project on investment appraisal is drastically reduced. </w:t>
      </w:r>
      <w:r>
        <w:rPr>
          <w:rFonts w:ascii="Times New Roman" w:eastAsia="Times New Roman" w:hAnsi="Times New Roman" w:cs="Times New Roman"/>
          <w:color w:val="222222"/>
          <w:sz w:val="24"/>
          <w:szCs w:val="24"/>
          <w:highlight w:val="white"/>
        </w:rPr>
        <w:t xml:space="preserve">Aro-Gordon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sz w:val="24"/>
          <w:szCs w:val="24"/>
        </w:rPr>
        <w:t xml:space="preserve">(2022), critically explained and expressed that additional </w:t>
      </w:r>
      <w:r>
        <w:rPr>
          <w:rFonts w:ascii="Times New Roman" w:eastAsia="Times New Roman" w:hAnsi="Times New Roman" w:cs="Times New Roman"/>
          <w:sz w:val="24"/>
          <w:szCs w:val="24"/>
        </w:rPr>
        <w:lastRenderedPageBreak/>
        <w:t xml:space="preserve">disadvantages also include the lack of ability to incorporate a discounting approach. The lack of discounting is also a significant reason which the ARR method is offered the least priority when project decision-making is concerned. </w:t>
      </w:r>
    </w:p>
    <w:p w:rsidR="001C54B3" w:rsidRDefault="00076BC6" w:rsidP="00735C33">
      <w:pPr>
        <w:pStyle w:val="Heading3"/>
      </w:pPr>
      <w:bookmarkStart w:id="52" w:name="_n3kkb6axreiw" w:colFirst="0" w:colLast="0"/>
      <w:bookmarkStart w:id="53" w:name="_Toc174453744"/>
      <w:bookmarkEnd w:id="52"/>
      <w:r>
        <w:t>3.4.3: NPV</w:t>
      </w:r>
      <w:bookmarkEnd w:id="53"/>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fundamental disadvantage of NPV method includes its inability to evaluate percentile value of returns that can be generated from a project. The lack of evaluating percentile values does not allow NPV to successfully compare with the cost of capital of a project to consider initial assessment of expected market risks. As </w:t>
      </w:r>
      <w:r>
        <w:rPr>
          <w:rFonts w:ascii="Times New Roman" w:eastAsia="Times New Roman" w:hAnsi="Times New Roman" w:cs="Times New Roman"/>
          <w:color w:val="222222"/>
          <w:sz w:val="24"/>
          <w:szCs w:val="24"/>
          <w:highlight w:val="white"/>
        </w:rPr>
        <w:t xml:space="preserve">Shou </w:t>
      </w:r>
      <w:r>
        <w:rPr>
          <w:rFonts w:ascii="Times New Roman" w:eastAsia="Times New Roman" w:hAnsi="Times New Roman" w:cs="Times New Roman"/>
          <w:sz w:val="24"/>
          <w:szCs w:val="24"/>
        </w:rPr>
        <w:t xml:space="preserve">(2022), critically illustrated and viewed the disadvantages of NPV also include the lack of </w:t>
      </w:r>
      <w:r w:rsidR="006872B3">
        <w:rPr>
          <w:rFonts w:ascii="Times New Roman" w:eastAsia="Times New Roman" w:hAnsi="Times New Roman" w:cs="Times New Roman"/>
          <w:sz w:val="24"/>
          <w:szCs w:val="24"/>
        </w:rPr>
        <w:t>decision-making</w:t>
      </w:r>
      <w:r>
        <w:rPr>
          <w:rFonts w:ascii="Times New Roman" w:eastAsia="Times New Roman" w:hAnsi="Times New Roman" w:cs="Times New Roman"/>
          <w:sz w:val="24"/>
          <w:szCs w:val="24"/>
        </w:rPr>
        <w:t xml:space="preserve"> abilities when multiple projects available contain different lifespans. In that case, the "internal rate of return" method is offered the highest priority as it can individually evaluate percentage returns and also include the time value of money consideration.</w:t>
      </w:r>
    </w:p>
    <w:p w:rsidR="001C54B3" w:rsidRDefault="00076BC6" w:rsidP="00735C33">
      <w:pPr>
        <w:pStyle w:val="Heading2"/>
      </w:pPr>
      <w:bookmarkStart w:id="54" w:name="_4fqfv6xub9qz" w:colFirst="0" w:colLast="0"/>
      <w:bookmarkStart w:id="55" w:name="_Toc174453745"/>
      <w:bookmarkEnd w:id="54"/>
      <w:r>
        <w:t>3.5: Non-financial factors needed for consideration</w:t>
      </w:r>
      <w:bookmarkEnd w:id="55"/>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non-financial factors needed for consideration in investment appraisal of projects include inflation, stakeholder relationships, operational duties and activities conducted and internal managerial role adopted. Inflation and stakeholder relationships are mostly associated with external features of an organisation in which a direct or indirect impact assessment is observed when prices of commodities increase or when additional funding is received from stakeholders and investors. Operational duties and activities conducted as well as internal managerial roles adopted are mostly internal features of an organisation where daily to-do lists and employee participation are scrutinised for determining success rate of an investment appraisal for a project.</w:t>
      </w:r>
    </w:p>
    <w:p w:rsidR="001C54B3" w:rsidRDefault="00076BC6" w:rsidP="00735C33">
      <w:pPr>
        <w:pStyle w:val="Heading1"/>
      </w:pPr>
      <w:bookmarkStart w:id="56" w:name="_60h1zomluy3l" w:colFirst="0" w:colLast="0"/>
      <w:bookmarkStart w:id="57" w:name="_Toc174453746"/>
      <w:bookmarkEnd w:id="56"/>
      <w:r>
        <w:t>4: Conclusion</w:t>
      </w:r>
      <w:bookmarkEnd w:id="57"/>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primarily establishes that Unilever is a renowned organisation native to the UK retail industry whose history dates back to 1929. The main competitors of Unilever are identified as Johnson &amp; Johnson and Nestlé while the business model mainly focuses on an interactive approach where traditional and digital marketing tactics are employed. Recent organisational events identified in part A of this report include diminishing profitability in 2023 as compared to 2022, acquisition of K 18 in early 2024 and allegations faced by the company in terms of potentially misleading customers with false marketing strategies. </w:t>
      </w:r>
    </w:p>
    <w:p w:rsidR="001C54B3" w:rsidRDefault="00076BC6" w:rsidP="00735C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Part B of this report has focused on financial performance analysis for Unilever and its chosen competitor </w:t>
      </w:r>
      <w:r w:rsidR="002D0988" w:rsidRPr="002D0988">
        <w:rPr>
          <w:rFonts w:ascii="Times New Roman" w:eastAsia="Times New Roman" w:hAnsi="Times New Roman" w:cs="Times New Roman"/>
          <w:color w:val="FF0000"/>
          <w:sz w:val="24"/>
          <w:szCs w:val="24"/>
        </w:rPr>
        <w:t>Nestle</w:t>
      </w:r>
      <w:r>
        <w:rPr>
          <w:rFonts w:ascii="Times New Roman" w:eastAsia="Times New Roman" w:hAnsi="Times New Roman" w:cs="Times New Roman"/>
          <w:sz w:val="24"/>
          <w:szCs w:val="24"/>
        </w:rPr>
        <w:t>. Based on the financial analysis conducted through ratios, it is identified that performance of Unilever in terms of profitability</w:t>
      </w:r>
      <w:r w:rsidR="00D80E2A">
        <w:rPr>
          <w:rFonts w:ascii="Times New Roman" w:eastAsia="Times New Roman" w:hAnsi="Times New Roman" w:cs="Times New Roman"/>
          <w:color w:val="FF0000"/>
          <w:sz w:val="24"/>
          <w:szCs w:val="24"/>
        </w:rPr>
        <w:t xml:space="preserve"> and liquidity</w:t>
      </w:r>
      <w:r w:rsidR="00A20F00">
        <w:rPr>
          <w:rFonts w:ascii="Times New Roman" w:eastAsia="Times New Roman" w:hAnsi="Times New Roman" w:cs="Times New Roman"/>
          <w:color w:val="FF0000"/>
          <w:sz w:val="24"/>
          <w:szCs w:val="24"/>
        </w:rPr>
        <w:t xml:space="preserve"> is superior to </w:t>
      </w:r>
      <w:r w:rsidR="00A20F00">
        <w:rPr>
          <w:rFonts w:ascii="Times New Roman" w:eastAsia="Times New Roman" w:hAnsi="Times New Roman" w:cs="Times New Roman"/>
          <w:color w:val="FF0000"/>
          <w:sz w:val="24"/>
          <w:szCs w:val="24"/>
        </w:rPr>
        <w:lastRenderedPageBreak/>
        <w:t>Nestle in 2023 and is inferior to Nestle in terms of gearing and efficiency ratios</w:t>
      </w:r>
      <w:r>
        <w:rPr>
          <w:rFonts w:ascii="Times New Roman" w:eastAsia="Times New Roman" w:hAnsi="Times New Roman" w:cs="Times New Roman"/>
          <w:sz w:val="24"/>
          <w:szCs w:val="24"/>
        </w:rPr>
        <w:t xml:space="preserve">. Part C of this report outlines an investment appraisal analysis where project A should be selected based on a higher NPV available. Non-financial factors relating to investment appraisal have been discussed which includes external and internal activities involving inflation, stakeholder relations and employee participative skills observed for daily activities. </w:t>
      </w:r>
      <w:r>
        <w:br w:type="page"/>
      </w:r>
    </w:p>
    <w:p w:rsidR="001C54B3" w:rsidRDefault="00076BC6" w:rsidP="00735C33">
      <w:pPr>
        <w:pStyle w:val="Heading1"/>
        <w:spacing w:before="200"/>
      </w:pPr>
      <w:bookmarkStart w:id="58" w:name="_2m05ec48uo5g" w:colFirst="0" w:colLast="0"/>
      <w:bookmarkStart w:id="59" w:name="_Toc174453747"/>
      <w:bookmarkEnd w:id="58"/>
      <w:r>
        <w:lastRenderedPageBreak/>
        <w:t>Reference List</w:t>
      </w:r>
      <w:bookmarkEnd w:id="59"/>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Adhikari, N.R., 2022. Capital Budgeting Technique Used in Nepalese Manufacturing Small and Medium Sized Enterprises. </w:t>
      </w:r>
      <w:r>
        <w:rPr>
          <w:rFonts w:ascii="Times New Roman" w:eastAsia="Times New Roman" w:hAnsi="Times New Roman" w:cs="Times New Roman"/>
          <w:i/>
          <w:color w:val="222222"/>
          <w:sz w:val="24"/>
          <w:szCs w:val="24"/>
          <w:highlight w:val="white"/>
        </w:rPr>
        <w:t>Nepalese Journal of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(1), pp.7-11.</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Alarussi, A.S.A., 2021. Financial ratios and efficiency in Malaysian listed companies. </w:t>
      </w:r>
      <w:r>
        <w:rPr>
          <w:rFonts w:ascii="Times New Roman" w:eastAsia="Times New Roman" w:hAnsi="Times New Roman" w:cs="Times New Roman"/>
          <w:i/>
          <w:color w:val="222222"/>
          <w:sz w:val="24"/>
          <w:szCs w:val="24"/>
          <w:highlight w:val="white"/>
        </w:rPr>
        <w:t>Asian Journal of Economics and Banking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(2), pp.116-135.</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Albertus, R.H. and Lestari, E.D., 2022. The Influence Of Liquidity Ratio, Profitability Ratio, And Solvency Ratio On Company Value In The Property And Real Sector Companies Estate In Indonesia Stock Exchange 2016-2017 Period. </w:t>
      </w:r>
      <w:r>
        <w:rPr>
          <w:rFonts w:ascii="Times New Roman" w:eastAsia="Times New Roman" w:hAnsi="Times New Roman" w:cs="Times New Roman"/>
          <w:i/>
          <w:color w:val="222222"/>
          <w:sz w:val="24"/>
          <w:szCs w:val="24"/>
          <w:highlight w:val="white"/>
        </w:rPr>
        <w:t>Strategic Management Business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(02), pp.92-98.</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Albertus, R.H. and Syaiful, S., 2022. The effect of current ratio, inventory turnover, debt to equity ratio, and net profit margin on the value of companies in the healthcare sector listed on idx 2017-2020. </w:t>
      </w:r>
      <w:r>
        <w:rPr>
          <w:rFonts w:ascii="Times New Roman" w:eastAsia="Times New Roman" w:hAnsi="Times New Roman" w:cs="Times New Roman"/>
          <w:i/>
          <w:color w:val="222222"/>
          <w:sz w:val="24"/>
          <w:szCs w:val="24"/>
          <w:highlight w:val="white"/>
        </w:rPr>
        <w:t>Strategic Management Business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(01), pp.7-15.</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Aldo, M., 2022. The Effect of Gearing, Price </w:t>
      </w:r>
      <w:r w:rsidR="00DD78C2">
        <w:rPr>
          <w:rFonts w:ascii="Times New Roman" w:eastAsia="Times New Roman" w:hAnsi="Times New Roman" w:cs="Times New Roman"/>
          <w:color w:val="222222"/>
          <w:sz w:val="24"/>
          <w:szCs w:val="24"/>
          <w:highlight w:val="white"/>
        </w:rPr>
        <w:t>Earnings</w:t>
      </w:r>
      <w:r>
        <w:rPr>
          <w:rFonts w:ascii="Times New Roman" w:eastAsia="Times New Roman" w:hAnsi="Times New Roman" w:cs="Times New Roman"/>
          <w:color w:val="222222"/>
          <w:sz w:val="24"/>
          <w:szCs w:val="24"/>
          <w:highlight w:val="white"/>
        </w:rPr>
        <w:t xml:space="preserve"> Ratio, Interest Rate, Risk on Abnormal Return. </w:t>
      </w:r>
      <w:r>
        <w:rPr>
          <w:rFonts w:ascii="Times New Roman" w:eastAsia="Times New Roman" w:hAnsi="Times New Roman" w:cs="Times New Roman"/>
          <w:i/>
          <w:color w:val="222222"/>
          <w:sz w:val="24"/>
          <w:szCs w:val="24"/>
          <w:highlight w:val="white"/>
        </w:rPr>
        <w:t>Indonesian Interdisciplinary Journal of Sharia Economics (IIJSE)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(2), pp.751-767.</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Aro-Gordon, S., Al-Salmi, M., Chinnasamy, G. and Soundararajan, G., 2022, August. Reflections on Real Options Valuation Approach to Sustainable Capital Budgeting Practice. In </w:t>
      </w:r>
      <w:r>
        <w:rPr>
          <w:rFonts w:ascii="Times New Roman" w:eastAsia="Times New Roman" w:hAnsi="Times New Roman" w:cs="Times New Roman"/>
          <w:i/>
          <w:color w:val="222222"/>
          <w:sz w:val="24"/>
          <w:szCs w:val="24"/>
          <w:highlight w:val="white"/>
        </w:rPr>
        <w:t>Applied Research Conference in Africa</w:t>
      </w:r>
      <w:r>
        <w:rPr>
          <w:rFonts w:ascii="Times New Roman" w:eastAsia="Times New Roman" w:hAnsi="Times New Roman" w:cs="Times New Roman"/>
          <w:color w:val="222222"/>
          <w:sz w:val="24"/>
          <w:szCs w:val="24"/>
          <w:highlight w:val="white"/>
        </w:rPr>
        <w:t xml:space="preserve"> (pp. 358-374). Cham: Springer International Publishing.</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Arsyad, M., Haeruddin, S.H., Muslim, M. and Pelu, M.F.A., 2021. The effect of activity ratios, liquidity, and profitability on the dividend payout ratio. </w:t>
      </w:r>
      <w:r>
        <w:rPr>
          <w:rFonts w:ascii="Times New Roman" w:eastAsia="Times New Roman" w:hAnsi="Times New Roman" w:cs="Times New Roman"/>
          <w:i/>
          <w:color w:val="222222"/>
          <w:sz w:val="24"/>
          <w:szCs w:val="24"/>
          <w:highlight w:val="white"/>
        </w:rPr>
        <w:t>Indonesia Accounting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(1), pp.36-44.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Bianchi, J. and Bigio, S., 2022. Banks, liquidity management, and monetary policy. </w:t>
      </w:r>
      <w:r>
        <w:rPr>
          <w:rFonts w:ascii="Times New Roman" w:eastAsia="Times New Roman" w:hAnsi="Times New Roman" w:cs="Times New Roman"/>
          <w:i/>
          <w:color w:val="222222"/>
          <w:sz w:val="24"/>
          <w:szCs w:val="24"/>
          <w:highlight w:val="white"/>
        </w:rPr>
        <w:t>Econometrica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(1), pp.391-454.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Brown, M.T., 2021. Capital budgeting. In </w:t>
      </w:r>
      <w:r>
        <w:rPr>
          <w:rFonts w:ascii="Times New Roman" w:eastAsia="Times New Roman" w:hAnsi="Times New Roman" w:cs="Times New Roman"/>
          <w:i/>
          <w:color w:val="222222"/>
          <w:sz w:val="24"/>
          <w:szCs w:val="24"/>
          <w:highlight w:val="white"/>
        </w:rPr>
        <w:t>Financial Management in the Sport Industry</w:t>
      </w:r>
      <w:r>
        <w:rPr>
          <w:rFonts w:ascii="Times New Roman" w:eastAsia="Times New Roman" w:hAnsi="Times New Roman" w:cs="Times New Roman"/>
          <w:color w:val="222222"/>
          <w:sz w:val="24"/>
          <w:szCs w:val="24"/>
          <w:highlight w:val="white"/>
        </w:rPr>
        <w:t xml:space="preserve"> (pp. 244-269). Routledge.</w:t>
      </w:r>
    </w:p>
    <w:p w:rsidR="00FC1211" w:rsidRDefault="00076BC6" w:rsidP="00735C33">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businessoffashion.com, </w:t>
      </w:r>
      <w:r>
        <w:rPr>
          <w:rFonts w:ascii="Times New Roman" w:eastAsia="Times New Roman" w:hAnsi="Times New Roman" w:cs="Times New Roman"/>
          <w:i/>
          <w:sz w:val="24"/>
          <w:szCs w:val="24"/>
        </w:rPr>
        <w:t xml:space="preserve">Unilever acquiring K18 </w:t>
      </w:r>
      <w:r>
        <w:rPr>
          <w:rFonts w:ascii="Times New Roman" w:eastAsia="Times New Roman" w:hAnsi="Times New Roman" w:cs="Times New Roman"/>
          <w:sz w:val="24"/>
          <w:szCs w:val="24"/>
        </w:rPr>
        <w:t>[online], Available at: https://www.businessoffashion.com/articles/beauty/k18-acquired-by-unilever/ [Accessed on: 03.08.2024]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Dai, H., Li, N., Wang, Y. and Zhao, X., 2022, March. The analysis of three main investment criteria: NPV IRR and payback period. In </w:t>
      </w:r>
      <w:r>
        <w:rPr>
          <w:rFonts w:ascii="Times New Roman" w:eastAsia="Times New Roman" w:hAnsi="Times New Roman" w:cs="Times New Roman"/>
          <w:i/>
          <w:color w:val="222222"/>
          <w:sz w:val="24"/>
          <w:szCs w:val="24"/>
          <w:highlight w:val="white"/>
        </w:rPr>
        <w:t>2022 7th International Conference on Financial Innovation and Economic Development (ICFIED 2022)</w:t>
      </w:r>
      <w:r>
        <w:rPr>
          <w:rFonts w:ascii="Times New Roman" w:eastAsia="Times New Roman" w:hAnsi="Times New Roman" w:cs="Times New Roman"/>
          <w:color w:val="222222"/>
          <w:sz w:val="24"/>
          <w:szCs w:val="24"/>
          <w:highlight w:val="white"/>
        </w:rPr>
        <w:t xml:space="preserve"> (pp. 185-189). Atlantis Press.</w:t>
      </w:r>
    </w:p>
    <w:p w:rsidR="00FC1211" w:rsidRDefault="00076BC6" w:rsidP="00735C33">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edasummit.com, 2022, </w:t>
      </w:r>
      <w:r>
        <w:rPr>
          <w:rFonts w:ascii="Times New Roman" w:eastAsia="Times New Roman" w:hAnsi="Times New Roman" w:cs="Times New Roman"/>
          <w:i/>
          <w:sz w:val="24"/>
          <w:szCs w:val="24"/>
        </w:rPr>
        <w:t xml:space="preserve">Business Marketplaces for Unilever </w:t>
      </w:r>
      <w:r>
        <w:rPr>
          <w:rFonts w:ascii="Times New Roman" w:eastAsia="Times New Roman" w:hAnsi="Times New Roman" w:cs="Times New Roman"/>
          <w:sz w:val="24"/>
          <w:szCs w:val="24"/>
        </w:rPr>
        <w:t>[online], Available at: https://edasummit.com/series/february-2023/#:~:text=In%202021%20Unilever%20launched%20an,to%20stores%20around%20the%20world. [Accessed on: 03.08.2024]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Fetner, H. and Miller, S.A., 2021. Environmental payback periods of reusable alternatives to single-use plastic kitchenware products. </w:t>
      </w:r>
      <w:r>
        <w:rPr>
          <w:rFonts w:ascii="Times New Roman" w:eastAsia="Times New Roman" w:hAnsi="Times New Roman" w:cs="Times New Roman"/>
          <w:i/>
          <w:color w:val="222222"/>
          <w:sz w:val="24"/>
          <w:szCs w:val="24"/>
          <w:highlight w:val="white"/>
        </w:rPr>
        <w:t>The International Journal of Life Cycle Assessment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pp.1521-1537.</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Fungacova, Z., Turk, R. and Weill, L., 2021. High liquidity creation and bank failures. </w:t>
      </w:r>
      <w:r>
        <w:rPr>
          <w:rFonts w:ascii="Times New Roman" w:eastAsia="Times New Roman" w:hAnsi="Times New Roman" w:cs="Times New Roman"/>
          <w:i/>
          <w:color w:val="222222"/>
          <w:sz w:val="24"/>
          <w:szCs w:val="24"/>
          <w:highlight w:val="white"/>
        </w:rPr>
        <w:t>Journal of Financial Stability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p.100937.</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Ginting, E.S., 2021. Ratio-Based Financial Performance Analysis of PT. Mustika Ratu, Tbk. </w:t>
      </w:r>
      <w:r>
        <w:rPr>
          <w:rFonts w:ascii="Times New Roman" w:eastAsia="Times New Roman" w:hAnsi="Times New Roman" w:cs="Times New Roman"/>
          <w:i/>
          <w:color w:val="222222"/>
          <w:sz w:val="24"/>
          <w:szCs w:val="24"/>
          <w:highlight w:val="white"/>
        </w:rPr>
        <w:t>Enrichment: Journal of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(2), pp.456-462.</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Hachem, K. and Song, Z., 2021. Liquidity rules and credit booms. </w:t>
      </w:r>
      <w:r>
        <w:rPr>
          <w:rFonts w:ascii="Times New Roman" w:eastAsia="Times New Roman" w:hAnsi="Times New Roman" w:cs="Times New Roman"/>
          <w:i/>
          <w:color w:val="222222"/>
          <w:sz w:val="24"/>
          <w:szCs w:val="24"/>
          <w:highlight w:val="white"/>
        </w:rPr>
        <w:t>Journal of Political Economy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129</w:t>
      </w:r>
      <w:r>
        <w:rPr>
          <w:rFonts w:ascii="Times New Roman" w:eastAsia="Times New Roman" w:hAnsi="Times New Roman" w:cs="Times New Roman"/>
          <w:color w:val="222222"/>
          <w:sz w:val="24"/>
          <w:szCs w:val="24"/>
          <w:highlight w:val="white"/>
        </w:rPr>
        <w:t>(10), pp.2721-2765.</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Hanum, S., 2021, November. Analysis of Inventory Turnover and Debt to Equity Ratio in Increasing Profitability in PT. Nusantara IV Plantations, Medan. In </w:t>
      </w:r>
      <w:r>
        <w:rPr>
          <w:rFonts w:ascii="Times New Roman" w:eastAsia="Times New Roman" w:hAnsi="Times New Roman" w:cs="Times New Roman"/>
          <w:i/>
          <w:color w:val="222222"/>
          <w:sz w:val="24"/>
          <w:szCs w:val="24"/>
          <w:highlight w:val="white"/>
        </w:rPr>
        <w:t>Journal of International Conference Proceedings</w:t>
      </w:r>
      <w:r>
        <w:rPr>
          <w:rFonts w:ascii="Times New Roman" w:eastAsia="Times New Roman" w:hAnsi="Times New Roman" w:cs="Times New Roman"/>
          <w:color w:val="222222"/>
          <w:sz w:val="24"/>
          <w:szCs w:val="24"/>
          <w:highlight w:val="white"/>
        </w:rPr>
        <w:t xml:space="preserve"> (Vol. 4, No. 2, pp. 518-527).</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Harris, R.M. and Mawardi, W., 2023. The Influence Of NPF, Bopo, Current Ratio and Gearing Ratio On Financing Company Performance (Comparation Study Of Financing Companies In Indonesia Before and During The Covid-19 Period). </w:t>
      </w:r>
      <w:r>
        <w:rPr>
          <w:rFonts w:ascii="Times New Roman" w:eastAsia="Times New Roman" w:hAnsi="Times New Roman" w:cs="Times New Roman"/>
          <w:i/>
          <w:color w:val="222222"/>
          <w:sz w:val="24"/>
          <w:szCs w:val="24"/>
          <w:highlight w:val="white"/>
        </w:rPr>
        <w:t>Equivalent: Jurnal Ilmiah Sosial Teknik</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(2), pp.132-145.</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Hidayat, F. and Kurniasih, A., 2022. Financial Performance Determinants of Financing Companies Listed on the Indonesia Stock Exchange. </w:t>
      </w:r>
      <w:r>
        <w:rPr>
          <w:rFonts w:ascii="Times New Roman" w:eastAsia="Times New Roman" w:hAnsi="Times New Roman" w:cs="Times New Roman"/>
          <w:i/>
          <w:color w:val="222222"/>
          <w:sz w:val="24"/>
          <w:szCs w:val="24"/>
          <w:highlight w:val="white"/>
        </w:rPr>
        <w:t>Saudi Journal of Economics and Finance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(4), pp.141-146.</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Jihadi, M., Vilantika, E., Hashemi, S.M., Arifin, Z., Bachtiar, Y. and Sholichah, F., 2021. The effect of liquidity, leverage, and profitability on firm value: Empirical evidence from Indonesia. </w:t>
      </w:r>
      <w:r>
        <w:rPr>
          <w:rFonts w:ascii="Times New Roman" w:eastAsia="Times New Roman" w:hAnsi="Times New Roman" w:cs="Times New Roman"/>
          <w:i/>
          <w:color w:val="222222"/>
          <w:sz w:val="24"/>
          <w:szCs w:val="24"/>
          <w:highlight w:val="white"/>
        </w:rPr>
        <w:t>The Journal of Asian Finance, Economics and Business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(3), pp.423-431.</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Kepramareni, P., Apriada, K., Putra, I.N.F.A. and Rini, I.G.A.I.S., 2022. The effect of credit risk, capital adequacy ratio, liquidity, operational efficiency, and solvency on the financial performance of bpr in the city of denpasar. </w:t>
      </w:r>
      <w:r>
        <w:rPr>
          <w:rFonts w:ascii="Times New Roman" w:eastAsia="Times New Roman" w:hAnsi="Times New Roman" w:cs="Times New Roman"/>
          <w:i/>
          <w:color w:val="222222"/>
          <w:sz w:val="24"/>
          <w:szCs w:val="24"/>
          <w:highlight w:val="white"/>
        </w:rPr>
        <w:t>Jurnal ekonomi dan bisnis jagaditha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pp.7-14.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Kepramareni, P., Apriada, K., Putra, I.N.F.A. and Rini, I.G.A.I.S., 2022. The effect of credit risk, capital adequacy ratio, liquidity, operational efficiency, and solvency on the financial performance of bpr in the city of denpasar. </w:t>
      </w:r>
      <w:r>
        <w:rPr>
          <w:rFonts w:ascii="Times New Roman" w:eastAsia="Times New Roman" w:hAnsi="Times New Roman" w:cs="Times New Roman"/>
          <w:i/>
          <w:color w:val="222222"/>
          <w:sz w:val="24"/>
          <w:szCs w:val="24"/>
          <w:highlight w:val="white"/>
        </w:rPr>
        <w:t>Jurnal ekonomi dan bisnis jagaditha</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(1), pp.7-14.</w:t>
      </w:r>
    </w:p>
    <w:p w:rsidR="00FC1211" w:rsidRDefault="00076BC6" w:rsidP="00735C33">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legaldive.com, </w:t>
      </w:r>
      <w:r>
        <w:rPr>
          <w:rFonts w:ascii="Times New Roman" w:eastAsia="Times New Roman" w:hAnsi="Times New Roman" w:cs="Times New Roman"/>
          <w:i/>
          <w:sz w:val="24"/>
          <w:szCs w:val="24"/>
        </w:rPr>
        <w:t xml:space="preserve">Legal Issues of Unilever </w:t>
      </w:r>
      <w:r>
        <w:rPr>
          <w:rFonts w:ascii="Times New Roman" w:eastAsia="Times New Roman" w:hAnsi="Times New Roman" w:cs="Times New Roman"/>
          <w:sz w:val="24"/>
          <w:szCs w:val="24"/>
        </w:rPr>
        <w:t>[online], Available at: https://www.legaldive.com/news/unilever-greenwashing-investigation-uk-dove/703121/ [Accessed on: 03.08.2024]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McCosker, P., 2021. Interpretation of Financial Statements. In </w:t>
      </w:r>
      <w:r>
        <w:rPr>
          <w:rFonts w:ascii="Times New Roman" w:eastAsia="Times New Roman" w:hAnsi="Times New Roman" w:cs="Times New Roman"/>
          <w:i/>
          <w:color w:val="222222"/>
          <w:sz w:val="24"/>
          <w:szCs w:val="24"/>
          <w:highlight w:val="white"/>
        </w:rPr>
        <w:t>Financial and Managerial Aspects in Human Resource Management: A Practical Guide</w:t>
      </w:r>
      <w:r>
        <w:rPr>
          <w:rFonts w:ascii="Times New Roman" w:eastAsia="Times New Roman" w:hAnsi="Times New Roman" w:cs="Times New Roman"/>
          <w:color w:val="222222"/>
          <w:sz w:val="24"/>
          <w:szCs w:val="24"/>
          <w:highlight w:val="white"/>
        </w:rPr>
        <w:t xml:space="preserve"> (pp. 23-37). Emerald Publishing Limited.</w:t>
      </w:r>
    </w:p>
    <w:p w:rsidR="00FC1211" w:rsidRDefault="00076BC6" w:rsidP="00735C33">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organimi.com, 2023, </w:t>
      </w:r>
      <w:r>
        <w:rPr>
          <w:rFonts w:ascii="Times New Roman" w:eastAsia="Times New Roman" w:hAnsi="Times New Roman" w:cs="Times New Roman"/>
          <w:i/>
          <w:sz w:val="24"/>
          <w:szCs w:val="24"/>
        </w:rPr>
        <w:t xml:space="preserve">Structure of Unilever </w:t>
      </w:r>
      <w:r>
        <w:rPr>
          <w:rFonts w:ascii="Times New Roman" w:eastAsia="Times New Roman" w:hAnsi="Times New Roman" w:cs="Times New Roman"/>
          <w:sz w:val="24"/>
          <w:szCs w:val="24"/>
        </w:rPr>
        <w:t>[online], Available at: https://www.organimi.com/organizational-structures/unilever/#:~:text=Each%20Unilever%20Business%20Group%20is,up%20according%20to%20focus%20areas. [Accessed on: 03.08.2024]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Pertiwi, A.N. and Sukoco, A., 2022, November. Effect of Profitability Ratio, Solvency Ratio, and Liquidity Ratio to Price Book Value (Pbv) on Food and Beverage Sub-Sector Companies Listed on the Idx in 2017-2021. In </w:t>
      </w:r>
      <w:r>
        <w:rPr>
          <w:rFonts w:ascii="Times New Roman" w:eastAsia="Times New Roman" w:hAnsi="Times New Roman" w:cs="Times New Roman"/>
          <w:i/>
          <w:color w:val="222222"/>
          <w:sz w:val="24"/>
          <w:szCs w:val="24"/>
          <w:highlight w:val="white"/>
        </w:rPr>
        <w:t>Journal of World Conference (JWC)</w:t>
      </w:r>
      <w:r>
        <w:rPr>
          <w:rFonts w:ascii="Times New Roman" w:eastAsia="Times New Roman" w:hAnsi="Times New Roman" w:cs="Times New Roman"/>
          <w:color w:val="222222"/>
          <w:sz w:val="24"/>
          <w:szCs w:val="24"/>
          <w:highlight w:val="white"/>
        </w:rPr>
        <w:t xml:space="preserve"> (Vol. 4, No. 6, pp. 317-323).</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Rafid, M., Soukotta, A., Cakranegara, P.A., Sutiyan, O.S.J. and Nurriqli, A., 2024. Analysis Of Liquidity Ratios, Profitability Ratios, And Capital Structures On Financial Distress Conditions In Service Companies During The Covid-19 Period. </w:t>
      </w:r>
      <w:r>
        <w:rPr>
          <w:rFonts w:ascii="Times New Roman" w:eastAsia="Times New Roman" w:hAnsi="Times New Roman" w:cs="Times New Roman"/>
          <w:i/>
          <w:color w:val="222222"/>
          <w:sz w:val="24"/>
          <w:szCs w:val="24"/>
          <w:highlight w:val="white"/>
        </w:rPr>
        <w:t>Jurnal Darma Agung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(3), pp.614-622.</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Sari, D.P., Nabella, S.D. and Fadlilah, A.H., 2022. The effect of profitability, liquidity, leverage, and activity ratios on dividend policy in manufacturing companies in the food and beverage industry sector listed on the Indonesia Stock Exchange in the 2016-2020 period. </w:t>
      </w:r>
      <w:r>
        <w:rPr>
          <w:rFonts w:ascii="Times New Roman" w:eastAsia="Times New Roman" w:hAnsi="Times New Roman" w:cs="Times New Roman"/>
          <w:i/>
          <w:color w:val="222222"/>
          <w:sz w:val="24"/>
          <w:szCs w:val="24"/>
          <w:highlight w:val="white"/>
        </w:rPr>
        <w:t>Jurnal Mantik</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(2), pp.1365-1375.</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Shou, T., 2022, July. A literature review on the net present value (NPV) valuation method. In </w:t>
      </w:r>
      <w:r>
        <w:rPr>
          <w:rFonts w:ascii="Times New Roman" w:eastAsia="Times New Roman" w:hAnsi="Times New Roman" w:cs="Times New Roman"/>
          <w:i/>
          <w:color w:val="222222"/>
          <w:sz w:val="24"/>
          <w:szCs w:val="24"/>
          <w:highlight w:val="white"/>
        </w:rPr>
        <w:t>2022 2nd International Conference on Enterprise Management and Economic Development (ICEMED 2022)</w:t>
      </w:r>
      <w:r>
        <w:rPr>
          <w:rFonts w:ascii="Times New Roman" w:eastAsia="Times New Roman" w:hAnsi="Times New Roman" w:cs="Times New Roman"/>
          <w:color w:val="222222"/>
          <w:sz w:val="24"/>
          <w:szCs w:val="24"/>
          <w:highlight w:val="white"/>
        </w:rPr>
        <w:t xml:space="preserve"> (pp. 826-830). Atlantis Press.</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Sinaga, A.S., Sari, M.M., Hutasuhut, A.A., Zahara, S.T., Amanda, A., Fitri, A. and Caesario, M.A., 2023. Comparison of capital budgeting methods: NPV, IRR, Payback Period. </w:t>
      </w:r>
      <w:r>
        <w:rPr>
          <w:rFonts w:ascii="Times New Roman" w:eastAsia="Times New Roman" w:hAnsi="Times New Roman" w:cs="Times New Roman"/>
          <w:i/>
          <w:color w:val="222222"/>
          <w:sz w:val="24"/>
          <w:szCs w:val="24"/>
          <w:highlight w:val="white"/>
        </w:rPr>
        <w:t>World Journal of Advanced Research and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(2), pp.1078-1081.</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Siziba, S. and Hall, J.H., 2021. The evolution of the application of capital budgeting techniques in enterprises. </w:t>
      </w:r>
      <w:r>
        <w:rPr>
          <w:rFonts w:ascii="Times New Roman" w:eastAsia="Times New Roman" w:hAnsi="Times New Roman" w:cs="Times New Roman"/>
          <w:i/>
          <w:color w:val="222222"/>
          <w:sz w:val="24"/>
          <w:szCs w:val="24"/>
          <w:highlight w:val="white"/>
        </w:rPr>
        <w:t>Global finance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 p.100504.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Sudharto, S.V. and Salim, S., 2021. Efek Firm Size, Profitability, Gearing Ratio, Dan Public Ownership Terhadap Risk Disclosure. </w:t>
      </w:r>
      <w:r>
        <w:rPr>
          <w:rFonts w:ascii="Times New Roman" w:eastAsia="Times New Roman" w:hAnsi="Times New Roman" w:cs="Times New Roman"/>
          <w:i/>
          <w:color w:val="222222"/>
          <w:sz w:val="24"/>
          <w:szCs w:val="24"/>
          <w:highlight w:val="white"/>
        </w:rPr>
        <w:t>Jurnal Ekonomi</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(11), pp.125-143.</w:t>
      </w:r>
    </w:p>
    <w:p w:rsidR="00FC1211" w:rsidRDefault="00076BC6" w:rsidP="00735C33">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unilever.com, 2023, </w:t>
      </w:r>
      <w:r>
        <w:rPr>
          <w:rFonts w:ascii="Times New Roman" w:eastAsia="Times New Roman" w:hAnsi="Times New Roman" w:cs="Times New Roman"/>
          <w:i/>
          <w:sz w:val="24"/>
          <w:szCs w:val="24"/>
        </w:rPr>
        <w:t xml:space="preserve">Annual Report </w:t>
      </w:r>
      <w:r>
        <w:rPr>
          <w:rFonts w:ascii="Times New Roman" w:eastAsia="Times New Roman" w:hAnsi="Times New Roman" w:cs="Times New Roman"/>
          <w:sz w:val="24"/>
          <w:szCs w:val="24"/>
        </w:rPr>
        <w:t>[online], Available at: https://www.unilever.com/investors/annual-report-and-accounts/ [Accessed on: 03.08.2024]</w:t>
      </w:r>
    </w:p>
    <w:p w:rsidR="00FC1211" w:rsidRDefault="00076BC6" w:rsidP="00735C33">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unilever.com, 2024, </w:t>
      </w:r>
      <w:r>
        <w:rPr>
          <w:rFonts w:ascii="Times New Roman" w:eastAsia="Times New Roman" w:hAnsi="Times New Roman" w:cs="Times New Roman"/>
          <w:i/>
          <w:sz w:val="24"/>
          <w:szCs w:val="24"/>
        </w:rPr>
        <w:t xml:space="preserve">Our History </w:t>
      </w:r>
      <w:r>
        <w:rPr>
          <w:rFonts w:ascii="Times New Roman" w:eastAsia="Times New Roman" w:hAnsi="Times New Roman" w:cs="Times New Roman"/>
          <w:sz w:val="24"/>
          <w:szCs w:val="24"/>
        </w:rPr>
        <w:t>[online], Available at: https://www.unilever.com/our-company/our-history-and-archives/1900-1950/ [Accessed on: 03.08.2024]</w:t>
      </w:r>
    </w:p>
    <w:p w:rsidR="00FC1211" w:rsidRDefault="00076BC6" w:rsidP="00735C33">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Zhang, C., Hu, M., Laclau, B., Garnesson, T., Yang, X. and Tukker, A., 2021. Energy-carbon-investment payback analysis of prefabricated envelope-cladding system for building energy renovation: Cases in Spain, the Netherlands, and Sweden. </w:t>
      </w:r>
      <w:r>
        <w:rPr>
          <w:rFonts w:ascii="Times New Roman" w:eastAsia="Times New Roman" w:hAnsi="Times New Roman" w:cs="Times New Roman"/>
          <w:i/>
          <w:color w:val="222222"/>
          <w:sz w:val="24"/>
          <w:szCs w:val="24"/>
          <w:highlight w:val="white"/>
        </w:rPr>
        <w:t>Renewable and Sustainable Energy Reviews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145</w:t>
      </w:r>
      <w:r>
        <w:rPr>
          <w:rFonts w:ascii="Times New Roman" w:eastAsia="Times New Roman" w:hAnsi="Times New Roman" w:cs="Times New Roman"/>
          <w:color w:val="222222"/>
          <w:sz w:val="24"/>
          <w:szCs w:val="24"/>
          <w:highlight w:val="white"/>
        </w:rPr>
        <w:t>, p.111077.</w:t>
      </w:r>
    </w:p>
    <w:p w:rsidR="001C54B3" w:rsidRDefault="001C54B3" w:rsidP="00735C33">
      <w:pPr>
        <w:spacing w:before="200" w:line="360" w:lineRule="auto"/>
        <w:ind w:left="720"/>
        <w:jc w:val="both"/>
        <w:rPr>
          <w:color w:val="222222"/>
          <w:sz w:val="20"/>
          <w:szCs w:val="20"/>
          <w:highlight w:val="white"/>
        </w:rPr>
      </w:pPr>
    </w:p>
    <w:p w:rsidR="001C54B3" w:rsidRDefault="001C54B3" w:rsidP="00735C33">
      <w:pPr>
        <w:spacing w:before="200" w:line="360" w:lineRule="auto"/>
        <w:jc w:val="both"/>
        <w:rPr>
          <w:rFonts w:ascii="Times New Roman" w:eastAsia="Times New Roman" w:hAnsi="Times New Roman" w:cs="Times New Roman"/>
          <w:sz w:val="24"/>
          <w:szCs w:val="24"/>
        </w:rPr>
      </w:pPr>
    </w:p>
    <w:p w:rsidR="001C54B3" w:rsidRDefault="001C54B3" w:rsidP="00735C33">
      <w:pPr>
        <w:spacing w:line="360" w:lineRule="auto"/>
        <w:jc w:val="both"/>
        <w:rPr>
          <w:rFonts w:ascii="Times New Roman" w:eastAsia="Times New Roman" w:hAnsi="Times New Roman" w:cs="Times New Roman"/>
          <w:sz w:val="24"/>
          <w:szCs w:val="24"/>
        </w:rPr>
      </w:pPr>
    </w:p>
    <w:p w:rsidR="001C54B3" w:rsidRDefault="00076BC6" w:rsidP="00735C33">
      <w:pPr>
        <w:spacing w:line="360" w:lineRule="auto"/>
        <w:jc w:val="both"/>
      </w:pPr>
      <w:r>
        <w:br w:type="page"/>
      </w:r>
    </w:p>
    <w:p w:rsidR="001C54B3" w:rsidRDefault="00076BC6" w:rsidP="00735C33">
      <w:pPr>
        <w:pStyle w:val="Heading1"/>
      </w:pPr>
      <w:bookmarkStart w:id="60" w:name="_8sbenubx149w" w:colFirst="0" w:colLast="0"/>
      <w:bookmarkStart w:id="61" w:name="_Toc174453748"/>
      <w:bookmarkEnd w:id="60"/>
      <w:r>
        <w:lastRenderedPageBreak/>
        <w:t>Appendices: Input Data for Ratios</w:t>
      </w:r>
      <w:bookmarkEnd w:id="61"/>
    </w:p>
    <w:p w:rsidR="001C54B3" w:rsidRDefault="00076BC6" w:rsidP="00735C33">
      <w:pPr>
        <w:pStyle w:val="Heading2"/>
      </w:pPr>
      <w:bookmarkStart w:id="62" w:name="_Toc174453749"/>
      <w:r>
        <w:t>Appendix 1: Input Data for Unilever</w:t>
      </w:r>
      <w:bookmarkEnd w:id="62"/>
    </w:p>
    <w:tbl>
      <w:tblPr>
        <w:tblW w:w="5000" w:type="pct"/>
        <w:tblLook w:val="04A0"/>
      </w:tblPr>
      <w:tblGrid>
        <w:gridCol w:w="2517"/>
        <w:gridCol w:w="1157"/>
        <w:gridCol w:w="1393"/>
        <w:gridCol w:w="1393"/>
        <w:gridCol w:w="1275"/>
        <w:gridCol w:w="1510"/>
      </w:tblGrid>
      <w:tr w:rsidR="00E91ADC" w:rsidRPr="00E91ADC" w:rsidTr="00E91ADC">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jc w:val="center"/>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Input Data for Unilever from 2023 to 2019 (M)</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Income Statement </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2023</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2022</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2021</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2020</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2019</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Sales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59,604.00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60,073.00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52,444.00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50,724.00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51,980.00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Cost of Sales </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34,429.00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35,906.00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30,259.00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28,684.00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29,102.00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Gross Profit</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25,175.00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24,167.00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22,185.00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22,040.00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22,878.00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Operating Profit</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9,758.00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10,755.00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8,702.00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8,303.00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8,708.00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Interest</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1,038.00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818.00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491.00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728.00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821.00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Net Profit</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7,140.00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8,269.00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6,621.00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6,073.00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6,026.00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Balance Sheet</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2,023.00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2,022.00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2,021.00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2,020.00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2,019.00 </w:t>
            </w:r>
          </w:p>
        </w:tc>
      </w:tr>
      <w:tr w:rsidR="00E91ADC" w:rsidRPr="00E91ADC" w:rsidTr="00E91ADC">
        <w:trPr>
          <w:trHeight w:val="324"/>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i/>
                <w:iCs/>
                <w:color w:val="000000"/>
                <w:sz w:val="24"/>
                <w:szCs w:val="24"/>
                <w:lang w:eastAsia="en-GB"/>
              </w:rPr>
            </w:pPr>
            <w:r w:rsidRPr="00E91ADC">
              <w:rPr>
                <w:rFonts w:ascii="Times New Roman" w:eastAsia="Times New Roman" w:hAnsi="Times New Roman" w:cs="Times New Roman"/>
                <w:b/>
                <w:bCs/>
                <w:i/>
                <w:iCs/>
                <w:color w:val="000000"/>
                <w:sz w:val="24"/>
                <w:szCs w:val="24"/>
                <w:lang w:eastAsia="en-GB"/>
              </w:rPr>
              <w:t>Assets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Inventories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5,119.00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5,931.00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4,683.00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4,462.00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4,164.00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Trade Receivables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5,775.00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7,056.00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5,422.00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4,939.00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6,695.00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Cash and Cash Equivalents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4,159.00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4,326.00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1,156.00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808.00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4,185.00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Current Assets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17,902.00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19,157.00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17,401.00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16,157.00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16,430.00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Fixed Assets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57,364.0</w:t>
            </w:r>
            <w:r w:rsidRPr="00E91ADC">
              <w:rPr>
                <w:rFonts w:ascii="Times New Roman" w:eastAsia="Times New Roman" w:hAnsi="Times New Roman" w:cs="Times New Roman"/>
                <w:color w:val="000000"/>
                <w:sz w:val="24"/>
                <w:szCs w:val="24"/>
                <w:lang w:eastAsia="en-GB"/>
              </w:rPr>
              <w:lastRenderedPageBreak/>
              <w:t xml:space="preserve">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lastRenderedPageBreak/>
              <w:t xml:space="preserve"> £           58,664.00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57,694.00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51,502.00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48,376.00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lastRenderedPageBreak/>
              <w:t>Total Assets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75,266.00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77,821.00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75,095.00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67,659.00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64,806.00 </w:t>
            </w:r>
          </w:p>
        </w:tc>
      </w:tr>
      <w:tr w:rsidR="00E91ADC" w:rsidRPr="00E91ADC" w:rsidTr="00E91ADC">
        <w:trPr>
          <w:trHeight w:val="324"/>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i/>
                <w:iCs/>
                <w:color w:val="000000"/>
                <w:sz w:val="24"/>
                <w:szCs w:val="24"/>
                <w:lang w:eastAsia="en-GB"/>
              </w:rPr>
            </w:pPr>
            <w:r w:rsidRPr="00E91ADC">
              <w:rPr>
                <w:rFonts w:ascii="Times New Roman" w:eastAsia="Times New Roman" w:hAnsi="Times New Roman" w:cs="Times New Roman"/>
                <w:b/>
                <w:bCs/>
                <w:i/>
                <w:iCs/>
                <w:color w:val="000000"/>
                <w:sz w:val="24"/>
                <w:szCs w:val="24"/>
                <w:lang w:eastAsia="en-GB"/>
              </w:rPr>
              <w:t>Liabilities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Trade Payables and Other Liabilities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16,857.00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18,023.00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14,861.00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14,132.00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14,768.00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Current Liabilities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23,507.00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25,427.00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24,778.00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20,592.00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20,978.00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Debt/Non-Current Liabilities</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30,995.00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30,693.00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30,571.00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29,412.00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29,942.00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Equity</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20,764.00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21,701.00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19,746.00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17,655.00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 £              13,886.00 </w:t>
            </w:r>
          </w:p>
        </w:tc>
      </w:tr>
      <w:tr w:rsidR="00E91ADC" w:rsidRPr="00E91ADC" w:rsidTr="00E91ADC">
        <w:trPr>
          <w:trHeight w:val="312"/>
        </w:trPr>
        <w:tc>
          <w:tcPr>
            <w:tcW w:w="1438" w:type="pct"/>
            <w:tcBorders>
              <w:top w:val="nil"/>
              <w:left w:val="single" w:sz="4" w:space="0" w:color="auto"/>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Total Liabilities and Equity</w:t>
            </w:r>
          </w:p>
        </w:tc>
        <w:tc>
          <w:tcPr>
            <w:tcW w:w="596"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75,266.00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77,821.00 </w:t>
            </w:r>
          </w:p>
        </w:tc>
        <w:tc>
          <w:tcPr>
            <w:tcW w:w="742"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75,095.00 </w:t>
            </w:r>
          </w:p>
        </w:tc>
        <w:tc>
          <w:tcPr>
            <w:tcW w:w="669"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67,659.00 </w:t>
            </w:r>
          </w:p>
        </w:tc>
        <w:tc>
          <w:tcPr>
            <w:tcW w:w="814" w:type="pct"/>
            <w:tcBorders>
              <w:top w:val="nil"/>
              <w:left w:val="nil"/>
              <w:bottom w:val="single" w:sz="4" w:space="0" w:color="auto"/>
              <w:right w:val="single" w:sz="4" w:space="0" w:color="auto"/>
            </w:tcBorders>
            <w:shd w:val="clear" w:color="000000" w:fill="FFCCFF"/>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 £              64,806.00 </w:t>
            </w:r>
          </w:p>
        </w:tc>
      </w:tr>
    </w:tbl>
    <w:p w:rsidR="001C54B3" w:rsidRDefault="00076BC6" w:rsidP="00735C33">
      <w:pPr>
        <w:spacing w:line="360" w:lineRule="auto"/>
        <w:jc w:val="both"/>
        <w:rPr>
          <w:rFonts w:ascii="Times New Roman" w:eastAsia="Times New Roman" w:hAnsi="Times New Roman" w:cs="Times New Roman"/>
          <w:sz w:val="24"/>
          <w:szCs w:val="24"/>
        </w:rPr>
      </w:pPr>
      <w:r>
        <w:br w:type="page"/>
      </w:r>
    </w:p>
    <w:p w:rsidR="001C54B3" w:rsidRPr="00473298" w:rsidRDefault="00076BC6" w:rsidP="00735C33">
      <w:pPr>
        <w:pStyle w:val="Heading2"/>
        <w:rPr>
          <w:color w:val="FF0000"/>
        </w:rPr>
      </w:pPr>
      <w:bookmarkStart w:id="63" w:name="_Toc174453750"/>
      <w:r w:rsidRPr="00473298">
        <w:rPr>
          <w:color w:val="FF0000"/>
        </w:rPr>
        <w:lastRenderedPageBreak/>
        <w:t xml:space="preserve">Appendix 2: Input Data for </w:t>
      </w:r>
      <w:r w:rsidR="002D0988" w:rsidRPr="00473298">
        <w:rPr>
          <w:color w:val="FF0000"/>
        </w:rPr>
        <w:t>Nestle</w:t>
      </w:r>
      <w:bookmarkEnd w:id="63"/>
    </w:p>
    <w:tbl>
      <w:tblPr>
        <w:tblW w:w="5000" w:type="pct"/>
        <w:tblLook w:val="04A0"/>
      </w:tblPr>
      <w:tblGrid>
        <w:gridCol w:w="2599"/>
        <w:gridCol w:w="1313"/>
        <w:gridCol w:w="1272"/>
        <w:gridCol w:w="1354"/>
        <w:gridCol w:w="1272"/>
        <w:gridCol w:w="1435"/>
      </w:tblGrid>
      <w:tr w:rsidR="00E91ADC" w:rsidRPr="00E91ADC" w:rsidTr="00E91ADC">
        <w:trPr>
          <w:trHeight w:val="312"/>
        </w:trPr>
        <w:tc>
          <w:tcPr>
            <w:tcW w:w="5000" w:type="pct"/>
            <w:gridSpan w:val="6"/>
            <w:tcBorders>
              <w:top w:val="single" w:sz="4" w:space="0" w:color="auto"/>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center"/>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Input Data for Nestle from 2023 to 2019 (M)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 xml:space="preserve">Income Statement </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2023</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2022</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2021</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2020</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2019</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Sales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93,351.00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94,780.00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87,470.00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84,681.00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92,865.00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Cost of Sales </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50,328.00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51,745.00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45,468.00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42,971.00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46,647.00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Gross Profit</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43,023.00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43,035.00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42,002.00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41,710.00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46,218.00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Operating Profit</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14,063.00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12,326.00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11,679.00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14,796.00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16,078.00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Interest</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1,644.00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1,250.00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953.00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983.00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1,216.00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Net Profit</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11,509.00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9,596.00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17,196.00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12,372.00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12,904.00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Balance Sheet</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2023</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2022</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2021</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2020</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jc w:val="right"/>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2019</w:t>
            </w:r>
          </w:p>
        </w:tc>
      </w:tr>
      <w:tr w:rsidR="00E91ADC" w:rsidRPr="00E91ADC" w:rsidTr="00E91ADC">
        <w:trPr>
          <w:trHeight w:val="324"/>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i/>
                <w:iCs/>
                <w:color w:val="000000"/>
                <w:sz w:val="24"/>
                <w:szCs w:val="24"/>
                <w:lang w:eastAsia="en-GB"/>
              </w:rPr>
            </w:pPr>
            <w:r w:rsidRPr="00E91ADC">
              <w:rPr>
                <w:rFonts w:ascii="Times New Roman" w:eastAsia="Times New Roman" w:hAnsi="Times New Roman" w:cs="Times New Roman"/>
                <w:b/>
                <w:bCs/>
                <w:i/>
                <w:iCs/>
                <w:color w:val="000000"/>
                <w:sz w:val="24"/>
                <w:szCs w:val="24"/>
                <w:lang w:eastAsia="en-GB"/>
              </w:rPr>
              <w:t>Assets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Inventories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11,896.00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15,019.00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11,982.00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10,101.00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9,343.00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Trade Receivables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10,995.00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11,116.00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11,155.00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10,746.00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11,766.00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Cash and Cash Equivalents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4,816.00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5,511.00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6,988.00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5,235.00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7,469.00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Current Assets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30,857.00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35,062.00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39,257.00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34,068.00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35,663.00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Fixed Assets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95,693.00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100,120.00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99,885.00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89,960.00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92,277.00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Total Assets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126,550.00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135,182.00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139,142.00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124,028.00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127,940.00 </w:t>
            </w:r>
          </w:p>
        </w:tc>
      </w:tr>
      <w:tr w:rsidR="00E91ADC" w:rsidRPr="00E91ADC" w:rsidTr="00E91ADC">
        <w:trPr>
          <w:trHeight w:val="324"/>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i/>
                <w:iCs/>
                <w:color w:val="000000"/>
                <w:sz w:val="24"/>
                <w:szCs w:val="24"/>
                <w:lang w:eastAsia="en-GB"/>
              </w:rPr>
            </w:pPr>
            <w:r w:rsidRPr="00E91ADC">
              <w:rPr>
                <w:rFonts w:ascii="Times New Roman" w:eastAsia="Times New Roman" w:hAnsi="Times New Roman" w:cs="Times New Roman"/>
                <w:b/>
                <w:bCs/>
                <w:i/>
                <w:iCs/>
                <w:color w:val="000000"/>
                <w:sz w:val="24"/>
                <w:szCs w:val="24"/>
                <w:lang w:eastAsia="en-GB"/>
              </w:rPr>
              <w:t>Liabilities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 xml:space="preserve">Trade Payables and </w:t>
            </w:r>
            <w:r w:rsidRPr="00E91ADC">
              <w:rPr>
                <w:rFonts w:ascii="Times New Roman" w:eastAsia="Times New Roman" w:hAnsi="Times New Roman" w:cs="Times New Roman"/>
                <w:color w:val="000000"/>
                <w:sz w:val="24"/>
                <w:szCs w:val="24"/>
                <w:lang w:eastAsia="en-GB"/>
              </w:rPr>
              <w:lastRenderedPageBreak/>
              <w:t>Other Liabilities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lastRenderedPageBreak/>
              <w:t xml:space="preserve"> £        </w:t>
            </w:r>
            <w:r w:rsidRPr="00E91ADC">
              <w:rPr>
                <w:rFonts w:ascii="Times New Roman" w:eastAsia="Times New Roman" w:hAnsi="Times New Roman" w:cs="Times New Roman"/>
                <w:color w:val="FF0000"/>
                <w:sz w:val="24"/>
                <w:szCs w:val="24"/>
                <w:lang w:eastAsia="en-GB"/>
              </w:rPr>
              <w:lastRenderedPageBreak/>
              <w:t xml:space="preserve">19,204.00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lastRenderedPageBreak/>
              <w:t xml:space="preserve"> £       </w:t>
            </w:r>
            <w:r w:rsidRPr="00E91ADC">
              <w:rPr>
                <w:rFonts w:ascii="Times New Roman" w:eastAsia="Times New Roman" w:hAnsi="Times New Roman" w:cs="Times New Roman"/>
                <w:color w:val="FF0000"/>
                <w:sz w:val="24"/>
                <w:szCs w:val="24"/>
                <w:lang w:eastAsia="en-GB"/>
              </w:rPr>
              <w:lastRenderedPageBreak/>
              <w:t xml:space="preserve">20,523.00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lastRenderedPageBreak/>
              <w:t xml:space="preserve"> £         </w:t>
            </w:r>
            <w:r w:rsidRPr="00E91ADC">
              <w:rPr>
                <w:rFonts w:ascii="Times New Roman" w:eastAsia="Times New Roman" w:hAnsi="Times New Roman" w:cs="Times New Roman"/>
                <w:color w:val="FF0000"/>
                <w:sz w:val="24"/>
                <w:szCs w:val="24"/>
                <w:lang w:eastAsia="en-GB"/>
              </w:rPr>
              <w:lastRenderedPageBreak/>
              <w:t xml:space="preserve">20,907.00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lastRenderedPageBreak/>
              <w:t xml:space="preserve"> £       </w:t>
            </w:r>
            <w:r w:rsidRPr="00E91ADC">
              <w:rPr>
                <w:rFonts w:ascii="Times New Roman" w:eastAsia="Times New Roman" w:hAnsi="Times New Roman" w:cs="Times New Roman"/>
                <w:color w:val="FF0000"/>
                <w:sz w:val="24"/>
                <w:szCs w:val="24"/>
                <w:lang w:eastAsia="en-GB"/>
              </w:rPr>
              <w:lastRenderedPageBreak/>
              <w:t xml:space="preserve">18,515.00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lastRenderedPageBreak/>
              <w:t xml:space="preserve"> £           </w:t>
            </w:r>
            <w:r w:rsidRPr="00E91ADC">
              <w:rPr>
                <w:rFonts w:ascii="Times New Roman" w:eastAsia="Times New Roman" w:hAnsi="Times New Roman" w:cs="Times New Roman"/>
                <w:color w:val="FF0000"/>
                <w:sz w:val="24"/>
                <w:szCs w:val="24"/>
                <w:lang w:eastAsia="en-GB"/>
              </w:rPr>
              <w:lastRenderedPageBreak/>
              <w:t xml:space="preserve">18,803.00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lastRenderedPageBreak/>
              <w:t>Current Liabilities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37,084.00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39,976.00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40,020.00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39,722.00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41,615.00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Debt/Non-Current Liabilities</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53,079.00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52,414.00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45,395.00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37,792.00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33,463.00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000000"/>
                <w:sz w:val="24"/>
                <w:szCs w:val="24"/>
                <w:lang w:eastAsia="en-GB"/>
              </w:rPr>
            </w:pPr>
            <w:r w:rsidRPr="00E91ADC">
              <w:rPr>
                <w:rFonts w:ascii="Times New Roman" w:eastAsia="Times New Roman" w:hAnsi="Times New Roman" w:cs="Times New Roman"/>
                <w:color w:val="000000"/>
                <w:sz w:val="24"/>
                <w:szCs w:val="24"/>
                <w:lang w:eastAsia="en-GB"/>
              </w:rPr>
              <w:t>Equity</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36,387.00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42,792.00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53,727.00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46,514.00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color w:val="FF0000"/>
                <w:sz w:val="24"/>
                <w:szCs w:val="24"/>
                <w:lang w:eastAsia="en-GB"/>
              </w:rPr>
            </w:pPr>
            <w:r w:rsidRPr="00E91ADC">
              <w:rPr>
                <w:rFonts w:ascii="Times New Roman" w:eastAsia="Times New Roman" w:hAnsi="Times New Roman" w:cs="Times New Roman"/>
                <w:color w:val="FF0000"/>
                <w:sz w:val="24"/>
                <w:szCs w:val="24"/>
                <w:lang w:eastAsia="en-GB"/>
              </w:rPr>
              <w:t xml:space="preserve"> £           52,862.00 </w:t>
            </w:r>
          </w:p>
        </w:tc>
      </w:tr>
      <w:tr w:rsidR="00E91ADC" w:rsidRPr="00E91ADC" w:rsidTr="00E91ADC">
        <w:trPr>
          <w:trHeight w:val="312"/>
        </w:trPr>
        <w:tc>
          <w:tcPr>
            <w:tcW w:w="1489" w:type="pct"/>
            <w:tcBorders>
              <w:top w:val="nil"/>
              <w:left w:val="single" w:sz="4" w:space="0" w:color="auto"/>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000000"/>
                <w:sz w:val="24"/>
                <w:szCs w:val="24"/>
                <w:lang w:eastAsia="en-GB"/>
              </w:rPr>
            </w:pPr>
            <w:r w:rsidRPr="00E91ADC">
              <w:rPr>
                <w:rFonts w:ascii="Times New Roman" w:eastAsia="Times New Roman" w:hAnsi="Times New Roman" w:cs="Times New Roman"/>
                <w:b/>
                <w:bCs/>
                <w:color w:val="000000"/>
                <w:sz w:val="24"/>
                <w:szCs w:val="24"/>
                <w:lang w:eastAsia="en-GB"/>
              </w:rPr>
              <w:t>Total Liabilities and Equity</w:t>
            </w:r>
          </w:p>
        </w:tc>
        <w:tc>
          <w:tcPr>
            <w:tcW w:w="692"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126,550.00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135,182.00 </w:t>
            </w:r>
          </w:p>
        </w:tc>
        <w:tc>
          <w:tcPr>
            <w:tcW w:w="71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139,142.00 </w:t>
            </w:r>
          </w:p>
        </w:tc>
        <w:tc>
          <w:tcPr>
            <w:tcW w:w="667"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124,028.00 </w:t>
            </w:r>
          </w:p>
        </w:tc>
        <w:tc>
          <w:tcPr>
            <w:tcW w:w="768" w:type="pct"/>
            <w:tcBorders>
              <w:top w:val="nil"/>
              <w:left w:val="nil"/>
              <w:bottom w:val="single" w:sz="4" w:space="0" w:color="auto"/>
              <w:right w:val="single" w:sz="4" w:space="0" w:color="auto"/>
            </w:tcBorders>
            <w:shd w:val="clear" w:color="000000" w:fill="FFFF00"/>
            <w:noWrap/>
            <w:vAlign w:val="bottom"/>
            <w:hideMark/>
          </w:tcPr>
          <w:p w:rsidR="00E91ADC" w:rsidRPr="00E91ADC" w:rsidRDefault="00E91ADC" w:rsidP="00735C33">
            <w:pPr>
              <w:spacing w:line="360" w:lineRule="auto"/>
              <w:rPr>
                <w:rFonts w:ascii="Times New Roman" w:eastAsia="Times New Roman" w:hAnsi="Times New Roman" w:cs="Times New Roman"/>
                <w:b/>
                <w:bCs/>
                <w:color w:val="FF0000"/>
                <w:sz w:val="24"/>
                <w:szCs w:val="24"/>
                <w:lang w:eastAsia="en-GB"/>
              </w:rPr>
            </w:pPr>
            <w:r w:rsidRPr="00E91ADC">
              <w:rPr>
                <w:rFonts w:ascii="Times New Roman" w:eastAsia="Times New Roman" w:hAnsi="Times New Roman" w:cs="Times New Roman"/>
                <w:b/>
                <w:bCs/>
                <w:color w:val="FF0000"/>
                <w:sz w:val="24"/>
                <w:szCs w:val="24"/>
                <w:lang w:eastAsia="en-GB"/>
              </w:rPr>
              <w:t xml:space="preserve"> £         127,940.00 </w:t>
            </w:r>
          </w:p>
        </w:tc>
      </w:tr>
    </w:tbl>
    <w:p w:rsidR="001C54B3" w:rsidRDefault="001C54B3" w:rsidP="00735C33">
      <w:pPr>
        <w:spacing w:line="360" w:lineRule="auto"/>
        <w:jc w:val="both"/>
        <w:rPr>
          <w:rFonts w:ascii="Times New Roman" w:eastAsia="Times New Roman" w:hAnsi="Times New Roman" w:cs="Times New Roman"/>
          <w:sz w:val="24"/>
          <w:szCs w:val="24"/>
        </w:rPr>
      </w:pPr>
    </w:p>
    <w:p w:rsidR="001C54B3" w:rsidRDefault="001C54B3" w:rsidP="00735C33">
      <w:pPr>
        <w:spacing w:line="360" w:lineRule="auto"/>
        <w:jc w:val="both"/>
        <w:rPr>
          <w:rFonts w:ascii="Times New Roman" w:eastAsia="Times New Roman" w:hAnsi="Times New Roman" w:cs="Times New Roman"/>
          <w:sz w:val="24"/>
          <w:szCs w:val="24"/>
        </w:rPr>
      </w:pPr>
    </w:p>
    <w:sectPr w:rsidR="001C54B3" w:rsidSect="007A4695">
      <w:footerReference w:type="default" r:id="rId12"/>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3829" w:rsidRDefault="007B3829">
      <w:pPr>
        <w:spacing w:line="240" w:lineRule="auto"/>
      </w:pPr>
      <w:r>
        <w:separator/>
      </w:r>
    </w:p>
  </w:endnote>
  <w:endnote w:type="continuationSeparator" w:id="1">
    <w:p w:rsidR="007B3829" w:rsidRDefault="007B3829">
      <w:pPr>
        <w:spacing w:line="240" w:lineRule="auto"/>
      </w:pPr>
      <w:r>
        <w:continuationSeparator/>
      </w:r>
    </w:p>
  </w:endnote>
  <w:endnote w:type="continuationNotice" w:id="2">
    <w:p w:rsidR="007B3829" w:rsidRDefault="007B3829">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4126" w:rsidRDefault="004458BD">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BD4126">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7A4695">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3829" w:rsidRDefault="007B3829">
      <w:pPr>
        <w:spacing w:line="240" w:lineRule="auto"/>
      </w:pPr>
      <w:r>
        <w:separator/>
      </w:r>
    </w:p>
  </w:footnote>
  <w:footnote w:type="continuationSeparator" w:id="1">
    <w:p w:rsidR="007B3829" w:rsidRDefault="007B3829">
      <w:pPr>
        <w:spacing w:line="240" w:lineRule="auto"/>
      </w:pPr>
      <w:r>
        <w:continuationSeparator/>
      </w:r>
    </w:p>
  </w:footnote>
  <w:footnote w:type="continuationNotice" w:id="2">
    <w:p w:rsidR="007B3829" w:rsidRDefault="007B3829">
      <w:pPr>
        <w:spacing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153B14"/>
    <w:multiLevelType w:val="hybridMultilevel"/>
    <w:tmpl w:val="63B80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5F0BBE"/>
    <w:multiLevelType w:val="hybridMultilevel"/>
    <w:tmpl w:val="4EF8E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 w:id="2"/>
  </w:footnotePr>
  <w:endnotePr>
    <w:endnote w:id="0"/>
    <w:endnote w:id="1"/>
    <w:endnote w:id="2"/>
  </w:endnotePr>
  <w:compat/>
  <w:rsids>
    <w:rsidRoot w:val="001C54B3"/>
    <w:rsid w:val="00076BC6"/>
    <w:rsid w:val="00181DCE"/>
    <w:rsid w:val="001C54B3"/>
    <w:rsid w:val="0021428C"/>
    <w:rsid w:val="002A0E14"/>
    <w:rsid w:val="002C3894"/>
    <w:rsid w:val="002D0988"/>
    <w:rsid w:val="003045F7"/>
    <w:rsid w:val="00315C16"/>
    <w:rsid w:val="003B42DB"/>
    <w:rsid w:val="003E4AF4"/>
    <w:rsid w:val="004458BD"/>
    <w:rsid w:val="00471851"/>
    <w:rsid w:val="00473298"/>
    <w:rsid w:val="00477125"/>
    <w:rsid w:val="00496BC0"/>
    <w:rsid w:val="00497C0A"/>
    <w:rsid w:val="004A2965"/>
    <w:rsid w:val="004A5F11"/>
    <w:rsid w:val="005F5DE1"/>
    <w:rsid w:val="00663C3E"/>
    <w:rsid w:val="006872B3"/>
    <w:rsid w:val="00711A12"/>
    <w:rsid w:val="00713BC9"/>
    <w:rsid w:val="00720BEC"/>
    <w:rsid w:val="00735C33"/>
    <w:rsid w:val="00766536"/>
    <w:rsid w:val="007844D0"/>
    <w:rsid w:val="007A4695"/>
    <w:rsid w:val="007B3829"/>
    <w:rsid w:val="007F60B5"/>
    <w:rsid w:val="008108F4"/>
    <w:rsid w:val="008529DE"/>
    <w:rsid w:val="00860505"/>
    <w:rsid w:val="008858FA"/>
    <w:rsid w:val="008A7875"/>
    <w:rsid w:val="008D4754"/>
    <w:rsid w:val="009728BB"/>
    <w:rsid w:val="00982019"/>
    <w:rsid w:val="009D4850"/>
    <w:rsid w:val="009E7D88"/>
    <w:rsid w:val="00A01429"/>
    <w:rsid w:val="00A20F00"/>
    <w:rsid w:val="00A534BD"/>
    <w:rsid w:val="00B2780C"/>
    <w:rsid w:val="00BC1E56"/>
    <w:rsid w:val="00BD4099"/>
    <w:rsid w:val="00BD4126"/>
    <w:rsid w:val="00C33EFE"/>
    <w:rsid w:val="00D5193F"/>
    <w:rsid w:val="00D674AA"/>
    <w:rsid w:val="00D80E2A"/>
    <w:rsid w:val="00DD78C2"/>
    <w:rsid w:val="00DF500D"/>
    <w:rsid w:val="00E20CDD"/>
    <w:rsid w:val="00E5274F"/>
    <w:rsid w:val="00E5513B"/>
    <w:rsid w:val="00E91ADC"/>
    <w:rsid w:val="00ED7357"/>
    <w:rsid w:val="00EF1E6B"/>
    <w:rsid w:val="00FA0BD1"/>
    <w:rsid w:val="00FA631A"/>
    <w:rsid w:val="00FC121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125"/>
  </w:style>
  <w:style w:type="paragraph" w:styleId="Heading1">
    <w:name w:val="heading 1"/>
    <w:basedOn w:val="Normal"/>
    <w:next w:val="Normal"/>
    <w:uiPriority w:val="9"/>
    <w:qFormat/>
    <w:rsid w:val="00477125"/>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rsid w:val="00477125"/>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unhideWhenUsed/>
    <w:qFormat/>
    <w:rsid w:val="00477125"/>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unhideWhenUsed/>
    <w:qFormat/>
    <w:rsid w:val="00477125"/>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477125"/>
    <w:pPr>
      <w:keepNext/>
      <w:keepLines/>
      <w:spacing w:before="240" w:after="80"/>
      <w:outlineLvl w:val="4"/>
    </w:pPr>
    <w:rPr>
      <w:color w:val="666666"/>
    </w:rPr>
  </w:style>
  <w:style w:type="paragraph" w:styleId="Heading6">
    <w:name w:val="heading 6"/>
    <w:basedOn w:val="Normal"/>
    <w:next w:val="Normal"/>
    <w:uiPriority w:val="9"/>
    <w:semiHidden/>
    <w:unhideWhenUsed/>
    <w:qFormat/>
    <w:rsid w:val="004771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477125"/>
    <w:pPr>
      <w:keepNext/>
      <w:keepLines/>
      <w:spacing w:after="60"/>
    </w:pPr>
    <w:rPr>
      <w:sz w:val="52"/>
      <w:szCs w:val="52"/>
    </w:rPr>
  </w:style>
  <w:style w:type="paragraph" w:styleId="Subtitle">
    <w:name w:val="Subtitle"/>
    <w:basedOn w:val="Normal"/>
    <w:next w:val="Normal"/>
    <w:uiPriority w:val="11"/>
    <w:qFormat/>
    <w:rsid w:val="00477125"/>
    <w:pPr>
      <w:keepNext/>
      <w:keepLines/>
      <w:spacing w:after="320"/>
    </w:pPr>
    <w:rPr>
      <w:color w:val="666666"/>
      <w:sz w:val="30"/>
      <w:szCs w:val="30"/>
    </w:rPr>
  </w:style>
  <w:style w:type="table" w:customStyle="1" w:styleId="a">
    <w:name w:val="a"/>
    <w:basedOn w:val="TableNormal"/>
    <w:rsid w:val="00477125"/>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rsid w:val="00477125"/>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rsid w:val="00477125"/>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rsid w:val="00477125"/>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rsid w:val="00477125"/>
    <w:tblPr>
      <w:tblStyleRowBandSize w:val="1"/>
      <w:tblStyleColBandSize w:val="1"/>
      <w:tblInd w:w="0" w:type="dxa"/>
      <w:tblCellMar>
        <w:top w:w="100" w:type="dxa"/>
        <w:left w:w="100" w:type="dxa"/>
        <w:bottom w:w="100" w:type="dxa"/>
        <w:right w:w="100" w:type="dxa"/>
      </w:tblCellMar>
    </w:tblPr>
  </w:style>
  <w:style w:type="table" w:customStyle="1" w:styleId="a4">
    <w:name w:val="a4"/>
    <w:basedOn w:val="TableNormal"/>
    <w:rsid w:val="00477125"/>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FC1211"/>
    <w:pPr>
      <w:ind w:left="720"/>
      <w:contextualSpacing/>
    </w:pPr>
  </w:style>
  <w:style w:type="paragraph" w:styleId="TOCHeading">
    <w:name w:val="TOC Heading"/>
    <w:basedOn w:val="Heading1"/>
    <w:next w:val="Normal"/>
    <w:uiPriority w:val="39"/>
    <w:unhideWhenUsed/>
    <w:qFormat/>
    <w:rsid w:val="003B42D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B42DB"/>
    <w:pPr>
      <w:spacing w:after="100"/>
    </w:pPr>
  </w:style>
  <w:style w:type="paragraph" w:styleId="TOC2">
    <w:name w:val="toc 2"/>
    <w:basedOn w:val="Normal"/>
    <w:next w:val="Normal"/>
    <w:autoRedefine/>
    <w:uiPriority w:val="39"/>
    <w:unhideWhenUsed/>
    <w:rsid w:val="003B42DB"/>
    <w:pPr>
      <w:spacing w:after="100"/>
      <w:ind w:left="220"/>
    </w:pPr>
  </w:style>
  <w:style w:type="paragraph" w:styleId="TOC3">
    <w:name w:val="toc 3"/>
    <w:basedOn w:val="Normal"/>
    <w:next w:val="Normal"/>
    <w:autoRedefine/>
    <w:uiPriority w:val="39"/>
    <w:unhideWhenUsed/>
    <w:rsid w:val="003B42DB"/>
    <w:pPr>
      <w:spacing w:after="100"/>
      <w:ind w:left="440"/>
    </w:pPr>
  </w:style>
  <w:style w:type="character" w:styleId="Hyperlink">
    <w:name w:val="Hyperlink"/>
    <w:basedOn w:val="DefaultParagraphFont"/>
    <w:uiPriority w:val="99"/>
    <w:unhideWhenUsed/>
    <w:rsid w:val="003B42DB"/>
    <w:rPr>
      <w:color w:val="0000FF" w:themeColor="hyperlink"/>
      <w:u w:val="single"/>
    </w:rPr>
  </w:style>
  <w:style w:type="paragraph" w:styleId="Header">
    <w:name w:val="header"/>
    <w:basedOn w:val="Normal"/>
    <w:link w:val="HeaderChar"/>
    <w:uiPriority w:val="99"/>
    <w:semiHidden/>
    <w:unhideWhenUsed/>
    <w:rsid w:val="00496BC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96BC0"/>
  </w:style>
  <w:style w:type="paragraph" w:styleId="Footer">
    <w:name w:val="footer"/>
    <w:basedOn w:val="Normal"/>
    <w:link w:val="FooterChar"/>
    <w:uiPriority w:val="99"/>
    <w:semiHidden/>
    <w:unhideWhenUsed/>
    <w:rsid w:val="00496BC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496BC0"/>
  </w:style>
  <w:style w:type="paragraph" w:styleId="BalloonText">
    <w:name w:val="Balloon Text"/>
    <w:basedOn w:val="Normal"/>
    <w:link w:val="BalloonTextChar"/>
    <w:uiPriority w:val="99"/>
    <w:semiHidden/>
    <w:unhideWhenUsed/>
    <w:rsid w:val="00076B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B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6"/>
      <w:szCs w:val="26"/>
    </w:rPr>
  </w:style>
  <w:style w:type="paragraph" w:styleId="Heading3">
    <w:name w:val="heading 3"/>
    <w:basedOn w:val="Normal"/>
    <w:next w:val="Normal"/>
    <w:uiPriority w:val="9"/>
    <w:unhideWhenUsed/>
    <w:qFormat/>
    <w:pPr>
      <w:keepNext/>
      <w:keepLines/>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Ind w:w="0" w:type="dxa"/>
      <w:tblCellMar>
        <w:top w:w="100" w:type="dxa"/>
        <w:left w:w="100" w:type="dxa"/>
        <w:bottom w:w="100" w:type="dxa"/>
        <w:right w:w="100" w:type="dxa"/>
      </w:tblCellMar>
    </w:tblPr>
  </w:style>
  <w:style w:type="table" w:customStyle="1" w:styleId="a0">
    <w:name w:val="a0"/>
    <w:basedOn w:val="TableNormal"/>
    <w:tblPr>
      <w:tblStyleRowBandSize w:val="1"/>
      <w:tblStyleColBandSize w:val="1"/>
      <w:tblInd w:w="0" w:type="dxa"/>
      <w:tblCellMar>
        <w:top w:w="100" w:type="dxa"/>
        <w:left w:w="100" w:type="dxa"/>
        <w:bottom w:w="100" w:type="dxa"/>
        <w:right w:w="100" w:type="dxa"/>
      </w:tblCellMar>
    </w:tblPr>
  </w:style>
  <w:style w:type="table" w:customStyle="1" w:styleId="a1">
    <w:name w:val="a1"/>
    <w:basedOn w:val="TableNormal"/>
    <w:tblPr>
      <w:tblStyleRowBandSize w:val="1"/>
      <w:tblStyleColBandSize w:val="1"/>
      <w:tblInd w:w="0" w:type="dxa"/>
      <w:tblCellMar>
        <w:top w:w="100" w:type="dxa"/>
        <w:left w:w="100" w:type="dxa"/>
        <w:bottom w:w="100" w:type="dxa"/>
        <w:right w:w="100" w:type="dxa"/>
      </w:tblCellMar>
    </w:tblPr>
  </w:style>
  <w:style w:type="table" w:customStyle="1" w:styleId="a2">
    <w:name w:val="a2"/>
    <w:basedOn w:val="TableNormal"/>
    <w:tblPr>
      <w:tblStyleRowBandSize w:val="1"/>
      <w:tblStyleColBandSize w:val="1"/>
      <w:tblInd w:w="0" w:type="dxa"/>
      <w:tblCellMar>
        <w:top w:w="100" w:type="dxa"/>
        <w:left w:w="100" w:type="dxa"/>
        <w:bottom w:w="100" w:type="dxa"/>
        <w:right w:w="100" w:type="dxa"/>
      </w:tblCellMar>
    </w:tblPr>
  </w:style>
  <w:style w:type="table" w:customStyle="1" w:styleId="a3">
    <w:name w:val="a3"/>
    <w:basedOn w:val="TableNormal"/>
    <w:tblPr>
      <w:tblStyleRowBandSize w:val="1"/>
      <w:tblStyleColBandSize w:val="1"/>
      <w:tblInd w:w="0" w:type="dxa"/>
      <w:tblCellMar>
        <w:top w:w="100" w:type="dxa"/>
        <w:left w:w="100" w:type="dxa"/>
        <w:bottom w:w="100" w:type="dxa"/>
        <w:right w:w="100" w:type="dxa"/>
      </w:tblCellMar>
    </w:tblPr>
  </w:style>
  <w:style w:type="table" w:customStyle="1" w:styleId="a4">
    <w:name w:val="a4"/>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FC1211"/>
    <w:pPr>
      <w:ind w:left="720"/>
      <w:contextualSpacing/>
    </w:pPr>
  </w:style>
  <w:style w:type="paragraph" w:styleId="TOCHeading">
    <w:name w:val="TOC Heading"/>
    <w:basedOn w:val="Heading1"/>
    <w:next w:val="Normal"/>
    <w:uiPriority w:val="39"/>
    <w:unhideWhenUsed/>
    <w:qFormat/>
    <w:rsid w:val="003B42D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B42DB"/>
    <w:pPr>
      <w:spacing w:after="100"/>
    </w:pPr>
  </w:style>
  <w:style w:type="paragraph" w:styleId="TOC2">
    <w:name w:val="toc 2"/>
    <w:basedOn w:val="Normal"/>
    <w:next w:val="Normal"/>
    <w:autoRedefine/>
    <w:uiPriority w:val="39"/>
    <w:unhideWhenUsed/>
    <w:rsid w:val="003B42DB"/>
    <w:pPr>
      <w:spacing w:after="100"/>
      <w:ind w:left="220"/>
    </w:pPr>
  </w:style>
  <w:style w:type="paragraph" w:styleId="TOC3">
    <w:name w:val="toc 3"/>
    <w:basedOn w:val="Normal"/>
    <w:next w:val="Normal"/>
    <w:autoRedefine/>
    <w:uiPriority w:val="39"/>
    <w:unhideWhenUsed/>
    <w:rsid w:val="003B42DB"/>
    <w:pPr>
      <w:spacing w:after="100"/>
      <w:ind w:left="440"/>
    </w:pPr>
  </w:style>
  <w:style w:type="character" w:styleId="Hyperlink">
    <w:name w:val="Hyperlink"/>
    <w:basedOn w:val="DefaultParagraphFont"/>
    <w:uiPriority w:val="99"/>
    <w:unhideWhenUsed/>
    <w:rsid w:val="003B42DB"/>
    <w:rPr>
      <w:color w:val="0000FF" w:themeColor="hyperlink"/>
      <w:u w:val="single"/>
    </w:rPr>
  </w:style>
  <w:style w:type="paragraph" w:styleId="Header">
    <w:name w:val="header"/>
    <w:basedOn w:val="Normal"/>
    <w:link w:val="HeaderChar"/>
    <w:uiPriority w:val="99"/>
    <w:semiHidden/>
    <w:unhideWhenUsed/>
    <w:rsid w:val="00496BC0"/>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496BC0"/>
  </w:style>
  <w:style w:type="paragraph" w:styleId="Footer">
    <w:name w:val="footer"/>
    <w:basedOn w:val="Normal"/>
    <w:link w:val="FooterChar"/>
    <w:uiPriority w:val="99"/>
    <w:semiHidden/>
    <w:unhideWhenUsed/>
    <w:rsid w:val="00496BC0"/>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496BC0"/>
  </w:style>
  <w:style w:type="paragraph" w:styleId="BalloonText">
    <w:name w:val="Balloon Text"/>
    <w:basedOn w:val="Normal"/>
    <w:link w:val="BalloonTextChar"/>
    <w:uiPriority w:val="99"/>
    <w:semiHidden/>
    <w:unhideWhenUsed/>
    <w:rsid w:val="00076BC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B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9348546">
      <w:bodyDiv w:val="1"/>
      <w:marLeft w:val="0"/>
      <w:marRight w:val="0"/>
      <w:marTop w:val="0"/>
      <w:marBottom w:val="0"/>
      <w:divBdr>
        <w:top w:val="none" w:sz="0" w:space="0" w:color="auto"/>
        <w:left w:val="none" w:sz="0" w:space="0" w:color="auto"/>
        <w:bottom w:val="none" w:sz="0" w:space="0" w:color="auto"/>
        <w:right w:val="none" w:sz="0" w:space="0" w:color="auto"/>
      </w:divBdr>
    </w:div>
    <w:div w:id="493111052">
      <w:bodyDiv w:val="1"/>
      <w:marLeft w:val="0"/>
      <w:marRight w:val="0"/>
      <w:marTop w:val="0"/>
      <w:marBottom w:val="0"/>
      <w:divBdr>
        <w:top w:val="none" w:sz="0" w:space="0" w:color="auto"/>
        <w:left w:val="none" w:sz="0" w:space="0" w:color="auto"/>
        <w:bottom w:val="none" w:sz="0" w:space="0" w:color="auto"/>
        <w:right w:val="none" w:sz="0" w:space="0" w:color="auto"/>
      </w:divBdr>
    </w:div>
    <w:div w:id="816609766">
      <w:bodyDiv w:val="1"/>
      <w:marLeft w:val="0"/>
      <w:marRight w:val="0"/>
      <w:marTop w:val="0"/>
      <w:marBottom w:val="0"/>
      <w:divBdr>
        <w:top w:val="none" w:sz="0" w:space="0" w:color="auto"/>
        <w:left w:val="none" w:sz="0" w:space="0" w:color="auto"/>
        <w:bottom w:val="none" w:sz="0" w:space="0" w:color="auto"/>
        <w:right w:val="none" w:sz="0" w:space="0" w:color="auto"/>
      </w:divBdr>
    </w:div>
    <w:div w:id="1532380783">
      <w:bodyDiv w:val="1"/>
      <w:marLeft w:val="0"/>
      <w:marRight w:val="0"/>
      <w:marTop w:val="0"/>
      <w:marBottom w:val="0"/>
      <w:divBdr>
        <w:top w:val="none" w:sz="0" w:space="0" w:color="auto"/>
        <w:left w:val="none" w:sz="0" w:space="0" w:color="auto"/>
        <w:bottom w:val="none" w:sz="0" w:space="0" w:color="auto"/>
        <w:right w:val="none" w:sz="0" w:space="0" w:color="auto"/>
      </w:divBdr>
    </w:div>
    <w:div w:id="1670329014">
      <w:bodyDiv w:val="1"/>
      <w:marLeft w:val="0"/>
      <w:marRight w:val="0"/>
      <w:marTop w:val="0"/>
      <w:marBottom w:val="0"/>
      <w:divBdr>
        <w:top w:val="none" w:sz="0" w:space="0" w:color="auto"/>
        <w:left w:val="none" w:sz="0" w:space="0" w:color="auto"/>
        <w:bottom w:val="none" w:sz="0" w:space="0" w:color="auto"/>
        <w:right w:val="none" w:sz="0" w:space="0" w:color="auto"/>
      </w:divBdr>
    </w:div>
    <w:div w:id="1673410379">
      <w:bodyDiv w:val="1"/>
      <w:marLeft w:val="0"/>
      <w:marRight w:val="0"/>
      <w:marTop w:val="0"/>
      <w:marBottom w:val="0"/>
      <w:divBdr>
        <w:top w:val="none" w:sz="0" w:space="0" w:color="auto"/>
        <w:left w:val="none" w:sz="0" w:space="0" w:color="auto"/>
        <w:bottom w:val="none" w:sz="0" w:space="0" w:color="auto"/>
        <w:right w:val="none" w:sz="0" w:space="0" w:color="auto"/>
      </w:divBdr>
    </w:div>
    <w:div w:id="1907258918">
      <w:bodyDiv w:val="1"/>
      <w:marLeft w:val="0"/>
      <w:marRight w:val="0"/>
      <w:marTop w:val="0"/>
      <w:marBottom w:val="0"/>
      <w:divBdr>
        <w:top w:val="none" w:sz="0" w:space="0" w:color="auto"/>
        <w:left w:val="none" w:sz="0" w:space="0" w:color="auto"/>
        <w:bottom w:val="none" w:sz="0" w:space="0" w:color="auto"/>
        <w:right w:val="none" w:sz="0" w:space="0" w:color="auto"/>
      </w:divBdr>
    </w:div>
    <w:div w:id="1970553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jyoti\OneDrive\Desktop\Freelancing\Indranil%20Naskar\13th%20August%202024\po017Anowa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jyoti\OneDrive\Desktop\Freelancing\Indranil%20Naskar\13th%20August%202024\po017Anowa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jyoti\OneDrive\Desktop\Freelancing\Indranil%20Naskar\13th%20August%202024\po017Anowar.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jyoti\OneDrive\Desktop\Freelancing\Indranil%20Naskar\13th%20August%202024\po017Anow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'[po017Anowar.xlsx]Profitability '!$B$29</c:f>
              <c:strCache>
                <c:ptCount val="1"/>
                <c:pt idx="0">
                  <c:v>GPR</c:v>
                </c:pt>
              </c:strCache>
            </c:strRef>
          </c:tx>
          <c:cat>
            <c:strRef>
              <c:f>'[po017Anowar.xlsx]Profitability '!$C$28:$H$28</c:f>
              <c:strCache>
                <c:ptCount val="6"/>
                <c:pt idx="0">
                  <c:v>Unilever 2023</c:v>
                </c:pt>
                <c:pt idx="1">
                  <c:v>Nestle 2023</c:v>
                </c:pt>
                <c:pt idx="2">
                  <c:v>Unilever 2022</c:v>
                </c:pt>
                <c:pt idx="3">
                  <c:v>Nestle 2022</c:v>
                </c:pt>
                <c:pt idx="4">
                  <c:v>Unilever 2021</c:v>
                </c:pt>
                <c:pt idx="5">
                  <c:v>Nestle 2021</c:v>
                </c:pt>
              </c:strCache>
            </c:strRef>
          </c:cat>
          <c:val>
            <c:numRef>
              <c:f>'[po017Anowar.xlsx]Profitability '!$C$29:$H$29</c:f>
              <c:numCache>
                <c:formatCode>0.00%</c:formatCode>
                <c:ptCount val="6"/>
                <c:pt idx="0">
                  <c:v>0.42237098181330168</c:v>
                </c:pt>
                <c:pt idx="1">
                  <c:v>0.46087347752032676</c:v>
                </c:pt>
                <c:pt idx="2">
                  <c:v>0.40229387578446252</c:v>
                </c:pt>
                <c:pt idx="3">
                  <c:v>0.45405148765562375</c:v>
                </c:pt>
                <c:pt idx="4">
                  <c:v>0.42302265273434547</c:v>
                </c:pt>
                <c:pt idx="5">
                  <c:v>0.48018749285469342</c:v>
                </c:pt>
              </c:numCache>
            </c:numRef>
          </c:val>
        </c:ser>
        <c:ser>
          <c:idx val="1"/>
          <c:order val="1"/>
          <c:tx>
            <c:strRef>
              <c:f>'[po017Anowar.xlsx]Profitability '!$B$30</c:f>
              <c:strCache>
                <c:ptCount val="1"/>
                <c:pt idx="0">
                  <c:v>OPR</c:v>
                </c:pt>
              </c:strCache>
            </c:strRef>
          </c:tx>
          <c:cat>
            <c:strRef>
              <c:f>'[po017Anowar.xlsx]Profitability '!$C$28:$H$28</c:f>
              <c:strCache>
                <c:ptCount val="6"/>
                <c:pt idx="0">
                  <c:v>Unilever 2023</c:v>
                </c:pt>
                <c:pt idx="1">
                  <c:v>Nestle 2023</c:v>
                </c:pt>
                <c:pt idx="2">
                  <c:v>Unilever 2022</c:v>
                </c:pt>
                <c:pt idx="3">
                  <c:v>Nestle 2022</c:v>
                </c:pt>
                <c:pt idx="4">
                  <c:v>Unilever 2021</c:v>
                </c:pt>
                <c:pt idx="5">
                  <c:v>Nestle 2021</c:v>
                </c:pt>
              </c:strCache>
            </c:strRef>
          </c:cat>
          <c:val>
            <c:numRef>
              <c:f>'[po017Anowar.xlsx]Profitability '!$C$30:$H$30</c:f>
              <c:numCache>
                <c:formatCode>0.00%</c:formatCode>
                <c:ptCount val="6"/>
                <c:pt idx="0">
                  <c:v>0.16371384470840891</c:v>
                </c:pt>
                <c:pt idx="1">
                  <c:v>0.15064648477252546</c:v>
                </c:pt>
                <c:pt idx="2">
                  <c:v>0.17903217751735401</c:v>
                </c:pt>
                <c:pt idx="3">
                  <c:v>0.13004853344587478</c:v>
                </c:pt>
                <c:pt idx="4">
                  <c:v>0.16592937228281596</c:v>
                </c:pt>
                <c:pt idx="5">
                  <c:v>0.13352006402195038</c:v>
                </c:pt>
              </c:numCache>
            </c:numRef>
          </c:val>
        </c:ser>
        <c:ser>
          <c:idx val="2"/>
          <c:order val="2"/>
          <c:tx>
            <c:strRef>
              <c:f>'[po017Anowar.xlsx]Profitability '!$B$31</c:f>
              <c:strCache>
                <c:ptCount val="1"/>
                <c:pt idx="0">
                  <c:v>NPR</c:v>
                </c:pt>
              </c:strCache>
            </c:strRef>
          </c:tx>
          <c:cat>
            <c:strRef>
              <c:f>'[po017Anowar.xlsx]Profitability '!$C$28:$H$28</c:f>
              <c:strCache>
                <c:ptCount val="6"/>
                <c:pt idx="0">
                  <c:v>Unilever 2023</c:v>
                </c:pt>
                <c:pt idx="1">
                  <c:v>Nestle 2023</c:v>
                </c:pt>
                <c:pt idx="2">
                  <c:v>Unilever 2022</c:v>
                </c:pt>
                <c:pt idx="3">
                  <c:v>Nestle 2022</c:v>
                </c:pt>
                <c:pt idx="4">
                  <c:v>Unilever 2021</c:v>
                </c:pt>
                <c:pt idx="5">
                  <c:v>Nestle 2021</c:v>
                </c:pt>
              </c:strCache>
            </c:strRef>
          </c:cat>
          <c:val>
            <c:numRef>
              <c:f>'[po017Anowar.xlsx]Profitability '!$C$31:$H$31</c:f>
              <c:numCache>
                <c:formatCode>0.00%</c:formatCode>
                <c:ptCount val="6"/>
                <c:pt idx="0">
                  <c:v>0.11979061807932356</c:v>
                </c:pt>
                <c:pt idx="1">
                  <c:v>0.12328737774635516</c:v>
                </c:pt>
                <c:pt idx="2">
                  <c:v>0.13764919348126467</c:v>
                </c:pt>
                <c:pt idx="3">
                  <c:v>0.10124498839417598</c:v>
                </c:pt>
                <c:pt idx="4">
                  <c:v>0.12624895126229899</c:v>
                </c:pt>
                <c:pt idx="5">
                  <c:v>0.19659311764033391</c:v>
                </c:pt>
              </c:numCache>
            </c:numRef>
          </c:val>
        </c:ser>
        <c:ser>
          <c:idx val="3"/>
          <c:order val="3"/>
          <c:tx>
            <c:strRef>
              <c:f>'[po017Anowar.xlsx]Profitability '!$B$32</c:f>
              <c:strCache>
                <c:ptCount val="1"/>
                <c:pt idx="0">
                  <c:v>ROE</c:v>
                </c:pt>
              </c:strCache>
            </c:strRef>
          </c:tx>
          <c:cat>
            <c:strRef>
              <c:f>'[po017Anowar.xlsx]Profitability '!$C$28:$H$28</c:f>
              <c:strCache>
                <c:ptCount val="6"/>
                <c:pt idx="0">
                  <c:v>Unilever 2023</c:v>
                </c:pt>
                <c:pt idx="1">
                  <c:v>Nestle 2023</c:v>
                </c:pt>
                <c:pt idx="2">
                  <c:v>Unilever 2022</c:v>
                </c:pt>
                <c:pt idx="3">
                  <c:v>Nestle 2022</c:v>
                </c:pt>
                <c:pt idx="4">
                  <c:v>Unilever 2021</c:v>
                </c:pt>
                <c:pt idx="5">
                  <c:v>Nestle 2021</c:v>
                </c:pt>
              </c:strCache>
            </c:strRef>
          </c:cat>
          <c:val>
            <c:numRef>
              <c:f>'[po017Anowar.xlsx]Profitability '!$C$32:$H$32</c:f>
              <c:numCache>
                <c:formatCode>0.00%</c:formatCode>
                <c:ptCount val="6"/>
                <c:pt idx="0">
                  <c:v>0.34386438065883285</c:v>
                </c:pt>
                <c:pt idx="1">
                  <c:v>0.31629428092450623</c:v>
                </c:pt>
                <c:pt idx="2">
                  <c:v>0.38104234827888145</c:v>
                </c:pt>
                <c:pt idx="3">
                  <c:v>0.2242475229014769</c:v>
                </c:pt>
                <c:pt idx="4">
                  <c:v>0.33530841689456148</c:v>
                </c:pt>
                <c:pt idx="5">
                  <c:v>0.32006253838851995</c:v>
                </c:pt>
              </c:numCache>
            </c:numRef>
          </c:val>
        </c:ser>
        <c:ser>
          <c:idx val="4"/>
          <c:order val="4"/>
          <c:tx>
            <c:strRef>
              <c:f>'[po017Anowar.xlsx]Profitability '!$B$33</c:f>
              <c:strCache>
                <c:ptCount val="1"/>
                <c:pt idx="0">
                  <c:v>ROCE</c:v>
                </c:pt>
              </c:strCache>
            </c:strRef>
          </c:tx>
          <c:cat>
            <c:strRef>
              <c:f>'[po017Anowar.xlsx]Profitability '!$C$28:$H$28</c:f>
              <c:strCache>
                <c:ptCount val="6"/>
                <c:pt idx="0">
                  <c:v>Unilever 2023</c:v>
                </c:pt>
                <c:pt idx="1">
                  <c:v>Nestle 2023</c:v>
                </c:pt>
                <c:pt idx="2">
                  <c:v>Unilever 2022</c:v>
                </c:pt>
                <c:pt idx="3">
                  <c:v>Nestle 2022</c:v>
                </c:pt>
                <c:pt idx="4">
                  <c:v>Unilever 2021</c:v>
                </c:pt>
                <c:pt idx="5">
                  <c:v>Nestle 2021</c:v>
                </c:pt>
              </c:strCache>
            </c:strRef>
          </c:cat>
          <c:val>
            <c:numRef>
              <c:f>'[po017Anowar.xlsx]Profitability '!$C$33:$H$33</c:f>
              <c:numCache>
                <c:formatCode>0.00%</c:formatCode>
                <c:ptCount val="6"/>
                <c:pt idx="0">
                  <c:v>0.18852759906489694</c:v>
                </c:pt>
                <c:pt idx="1">
                  <c:v>0.15718820557530253</c:v>
                </c:pt>
                <c:pt idx="2">
                  <c:v>0.205271595984273</c:v>
                </c:pt>
                <c:pt idx="3">
                  <c:v>0.12946663025439584</c:v>
                </c:pt>
                <c:pt idx="4">
                  <c:v>0.17294353796927492</c:v>
                </c:pt>
                <c:pt idx="5">
                  <c:v>0.11782449910211658</c:v>
                </c:pt>
              </c:numCache>
            </c:numRef>
          </c:val>
        </c:ser>
        <c:axId val="55805440"/>
        <c:axId val="55806976"/>
      </c:barChart>
      <c:catAx>
        <c:axId val="55805440"/>
        <c:scaling>
          <c:orientation val="minMax"/>
        </c:scaling>
        <c:axPos val="b"/>
        <c:tickLblPos val="nextTo"/>
        <c:txPr>
          <a:bodyPr/>
          <a:lstStyle/>
          <a:p>
            <a:pPr>
              <a:defRPr lang="en-GB"/>
            </a:pPr>
            <a:endParaRPr lang="en-US"/>
          </a:p>
        </c:txPr>
        <c:crossAx val="55806976"/>
        <c:crosses val="autoZero"/>
        <c:auto val="1"/>
        <c:lblAlgn val="ctr"/>
        <c:lblOffset val="100"/>
      </c:catAx>
      <c:valAx>
        <c:axId val="55806976"/>
        <c:scaling>
          <c:orientation val="minMax"/>
        </c:scaling>
        <c:axPos val="l"/>
        <c:majorGridlines/>
        <c:numFmt formatCode="0.00%" sourceLinked="1"/>
        <c:tickLblPos val="nextTo"/>
        <c:txPr>
          <a:bodyPr/>
          <a:lstStyle/>
          <a:p>
            <a:pPr>
              <a:defRPr lang="en-GB"/>
            </a:pPr>
            <a:endParaRPr lang="en-US"/>
          </a:p>
        </c:txPr>
        <c:crossAx val="55805440"/>
        <c:crosses val="autoZero"/>
        <c:crossBetween val="between"/>
      </c:valAx>
    </c:plotArea>
    <c:legend>
      <c:legendPos val="r"/>
      <c:txPr>
        <a:bodyPr/>
        <a:lstStyle/>
        <a:p>
          <a:pPr>
            <a:defRPr lang="en-GB"/>
          </a:pPr>
          <a:endParaRPr lang="en-US"/>
        </a:p>
      </c:txPr>
    </c:legend>
    <c:plotVisOnly val="1"/>
    <c:dispBlanksAs val="gap"/>
  </c:chart>
  <c:spPr>
    <a:ln w="38100">
      <a:solidFill>
        <a:schemeClr val="tx1"/>
      </a:solid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[po017Anowar.xlsx]Liquidity!$B$29</c:f>
              <c:strCache>
                <c:ptCount val="1"/>
                <c:pt idx="0">
                  <c:v>CR</c:v>
                </c:pt>
              </c:strCache>
            </c:strRef>
          </c:tx>
          <c:cat>
            <c:strRef>
              <c:f>[po017Anowar.xlsx]Liquidity!$C$28:$H$28</c:f>
              <c:strCache>
                <c:ptCount val="6"/>
                <c:pt idx="0">
                  <c:v>Unilever 2023</c:v>
                </c:pt>
                <c:pt idx="1">
                  <c:v>Nestle 2023</c:v>
                </c:pt>
                <c:pt idx="2">
                  <c:v>Unilever 2022</c:v>
                </c:pt>
                <c:pt idx="3">
                  <c:v>Nestle 2022</c:v>
                </c:pt>
                <c:pt idx="4">
                  <c:v>Unilever 2021</c:v>
                </c:pt>
                <c:pt idx="5">
                  <c:v>Nestle 2021</c:v>
                </c:pt>
              </c:strCache>
            </c:strRef>
          </c:cat>
          <c:val>
            <c:numRef>
              <c:f>[po017Anowar.xlsx]Liquidity!$C$29:$H$29</c:f>
              <c:numCache>
                <c:formatCode>0.00</c:formatCode>
                <c:ptCount val="6"/>
                <c:pt idx="0">
                  <c:v>0.76156038626791978</c:v>
                </c:pt>
                <c:pt idx="1">
                  <c:v>0.83208391759249312</c:v>
                </c:pt>
                <c:pt idx="2">
                  <c:v>0.75341172769103704</c:v>
                </c:pt>
                <c:pt idx="3">
                  <c:v>0.87707624574744847</c:v>
                </c:pt>
                <c:pt idx="4">
                  <c:v>0.70227621276939278</c:v>
                </c:pt>
                <c:pt idx="5">
                  <c:v>0.98093453273363318</c:v>
                </c:pt>
              </c:numCache>
            </c:numRef>
          </c:val>
        </c:ser>
        <c:ser>
          <c:idx val="1"/>
          <c:order val="1"/>
          <c:tx>
            <c:strRef>
              <c:f>[po017Anowar.xlsx]Liquidity!$B$30</c:f>
              <c:strCache>
                <c:ptCount val="1"/>
                <c:pt idx="0">
                  <c:v>QR</c:v>
                </c:pt>
              </c:strCache>
            </c:strRef>
          </c:tx>
          <c:cat>
            <c:strRef>
              <c:f>[po017Anowar.xlsx]Liquidity!$C$28:$H$28</c:f>
              <c:strCache>
                <c:ptCount val="6"/>
                <c:pt idx="0">
                  <c:v>Unilever 2023</c:v>
                </c:pt>
                <c:pt idx="1">
                  <c:v>Nestle 2023</c:v>
                </c:pt>
                <c:pt idx="2">
                  <c:v>Unilever 2022</c:v>
                </c:pt>
                <c:pt idx="3">
                  <c:v>Nestle 2022</c:v>
                </c:pt>
                <c:pt idx="4">
                  <c:v>Unilever 2021</c:v>
                </c:pt>
                <c:pt idx="5">
                  <c:v>Nestle 2021</c:v>
                </c:pt>
              </c:strCache>
            </c:strRef>
          </c:cat>
          <c:val>
            <c:numRef>
              <c:f>[po017Anowar.xlsx]Liquidity!$C$30:$H$30</c:f>
              <c:numCache>
                <c:formatCode>0.00</c:formatCode>
                <c:ptCount val="6"/>
                <c:pt idx="0">
                  <c:v>0.5437954651805853</c:v>
                </c:pt>
                <c:pt idx="1">
                  <c:v>0.51129867328227852</c:v>
                </c:pt>
                <c:pt idx="2">
                  <c:v>0.52015573996145781</c:v>
                </c:pt>
                <c:pt idx="3">
                  <c:v>0.50137582549529713</c:v>
                </c:pt>
                <c:pt idx="4">
                  <c:v>0.5132779078214541</c:v>
                </c:pt>
                <c:pt idx="5">
                  <c:v>0.68153423288355863</c:v>
                </c:pt>
              </c:numCache>
            </c:numRef>
          </c:val>
        </c:ser>
        <c:ser>
          <c:idx val="2"/>
          <c:order val="2"/>
          <c:tx>
            <c:strRef>
              <c:f>[po017Anowar.xlsx]Liquidity!$B$31</c:f>
              <c:strCache>
                <c:ptCount val="1"/>
                <c:pt idx="0">
                  <c:v>CAR</c:v>
                </c:pt>
              </c:strCache>
            </c:strRef>
          </c:tx>
          <c:cat>
            <c:strRef>
              <c:f>[po017Anowar.xlsx]Liquidity!$C$28:$H$28</c:f>
              <c:strCache>
                <c:ptCount val="6"/>
                <c:pt idx="0">
                  <c:v>Unilever 2023</c:v>
                </c:pt>
                <c:pt idx="1">
                  <c:v>Nestle 2023</c:v>
                </c:pt>
                <c:pt idx="2">
                  <c:v>Unilever 2022</c:v>
                </c:pt>
                <c:pt idx="3">
                  <c:v>Nestle 2022</c:v>
                </c:pt>
                <c:pt idx="4">
                  <c:v>Unilever 2021</c:v>
                </c:pt>
                <c:pt idx="5">
                  <c:v>Nestle 2021</c:v>
                </c:pt>
              </c:strCache>
            </c:strRef>
          </c:cat>
          <c:val>
            <c:numRef>
              <c:f>[po017Anowar.xlsx]Liquidity!$C$31:$H$31</c:f>
              <c:numCache>
                <c:formatCode>0.00</c:formatCode>
                <c:ptCount val="6"/>
                <c:pt idx="0">
                  <c:v>0.17692602203598928</c:v>
                </c:pt>
                <c:pt idx="1">
                  <c:v>0.12986732822780714</c:v>
                </c:pt>
                <c:pt idx="2">
                  <c:v>0.17013410941125576</c:v>
                </c:pt>
                <c:pt idx="3">
                  <c:v>0.13785771462877713</c:v>
                </c:pt>
                <c:pt idx="4">
                  <c:v>4.665429009605291E-2</c:v>
                </c:pt>
                <c:pt idx="5">
                  <c:v>0.17461269365317342</c:v>
                </c:pt>
              </c:numCache>
            </c:numRef>
          </c:val>
        </c:ser>
        <c:ser>
          <c:idx val="3"/>
          <c:order val="3"/>
          <c:tx>
            <c:strRef>
              <c:f>[po017Anowar.xlsx]Liquidity!$B$32</c:f>
              <c:strCache>
                <c:ptCount val="1"/>
                <c:pt idx="0">
                  <c:v>WCS</c:v>
                </c:pt>
              </c:strCache>
            </c:strRef>
          </c:tx>
          <c:cat>
            <c:strRef>
              <c:f>[po017Anowar.xlsx]Liquidity!$C$28:$H$28</c:f>
              <c:strCache>
                <c:ptCount val="6"/>
                <c:pt idx="0">
                  <c:v>Unilever 2023</c:v>
                </c:pt>
                <c:pt idx="1">
                  <c:v>Nestle 2023</c:v>
                </c:pt>
                <c:pt idx="2">
                  <c:v>Unilever 2022</c:v>
                </c:pt>
                <c:pt idx="3">
                  <c:v>Nestle 2022</c:v>
                </c:pt>
                <c:pt idx="4">
                  <c:v>Unilever 2021</c:v>
                </c:pt>
                <c:pt idx="5">
                  <c:v>Nestle 2021</c:v>
                </c:pt>
              </c:strCache>
            </c:strRef>
          </c:cat>
          <c:val>
            <c:numRef>
              <c:f>[po017Anowar.xlsx]Liquidity!$C$32:$H$32</c:f>
              <c:numCache>
                <c:formatCode>0.00</c:formatCode>
                <c:ptCount val="6"/>
                <c:pt idx="0">
                  <c:v>-9.4037312932018072E-2</c:v>
                </c:pt>
                <c:pt idx="1">
                  <c:v>-6.670523079559941E-2</c:v>
                </c:pt>
                <c:pt idx="2">
                  <c:v>-0.10437301283438483</c:v>
                </c:pt>
                <c:pt idx="3">
                  <c:v>-5.1846381093057614E-2</c:v>
                </c:pt>
                <c:pt idx="4">
                  <c:v>-0.14066432766379375</c:v>
                </c:pt>
                <c:pt idx="5">
                  <c:v>-8.7229907396821765E-3</c:v>
                </c:pt>
              </c:numCache>
            </c:numRef>
          </c:val>
        </c:ser>
        <c:ser>
          <c:idx val="4"/>
          <c:order val="4"/>
          <c:tx>
            <c:strRef>
              <c:f>[po017Anowar.xlsx]Liquidity!$B$33</c:f>
              <c:strCache>
                <c:ptCount val="1"/>
                <c:pt idx="0">
                  <c:v>NWCR</c:v>
                </c:pt>
              </c:strCache>
            </c:strRef>
          </c:tx>
          <c:cat>
            <c:strRef>
              <c:f>[po017Anowar.xlsx]Liquidity!$C$28:$H$28</c:f>
              <c:strCache>
                <c:ptCount val="6"/>
                <c:pt idx="0">
                  <c:v>Unilever 2023</c:v>
                </c:pt>
                <c:pt idx="1">
                  <c:v>Nestle 2023</c:v>
                </c:pt>
                <c:pt idx="2">
                  <c:v>Unilever 2022</c:v>
                </c:pt>
                <c:pt idx="3">
                  <c:v>Nestle 2022</c:v>
                </c:pt>
                <c:pt idx="4">
                  <c:v>Unilever 2021</c:v>
                </c:pt>
                <c:pt idx="5">
                  <c:v>Nestle 2021</c:v>
                </c:pt>
              </c:strCache>
            </c:strRef>
          </c:cat>
          <c:val>
            <c:numRef>
              <c:f>[po017Anowar.xlsx]Liquidity!$C$33:$H$33</c:f>
              <c:numCache>
                <c:formatCode>0.00</c:formatCode>
                <c:ptCount val="6"/>
                <c:pt idx="0">
                  <c:v>-7.446921584779323E-2</c:v>
                </c:pt>
                <c:pt idx="1">
                  <c:v>-4.9205847491110226E-2</c:v>
                </c:pt>
                <c:pt idx="2">
                  <c:v>-8.0569512085426911E-2</c:v>
                </c:pt>
                <c:pt idx="3">
                  <c:v>-3.6350993475462744E-2</c:v>
                </c:pt>
                <c:pt idx="4">
                  <c:v>-9.8235568280178556E-2</c:v>
                </c:pt>
                <c:pt idx="5">
                  <c:v>-5.4836066751951327E-3</c:v>
                </c:pt>
              </c:numCache>
            </c:numRef>
          </c:val>
        </c:ser>
        <c:axId val="55924224"/>
        <c:axId val="55925760"/>
      </c:barChart>
      <c:catAx>
        <c:axId val="55924224"/>
        <c:scaling>
          <c:orientation val="minMax"/>
        </c:scaling>
        <c:axPos val="b"/>
        <c:tickLblPos val="nextTo"/>
        <c:txPr>
          <a:bodyPr/>
          <a:lstStyle/>
          <a:p>
            <a:pPr>
              <a:defRPr lang="en-GB"/>
            </a:pPr>
            <a:endParaRPr lang="en-US"/>
          </a:p>
        </c:txPr>
        <c:crossAx val="55925760"/>
        <c:crosses val="autoZero"/>
        <c:auto val="1"/>
        <c:lblAlgn val="ctr"/>
        <c:lblOffset val="100"/>
      </c:catAx>
      <c:valAx>
        <c:axId val="55925760"/>
        <c:scaling>
          <c:orientation val="minMax"/>
        </c:scaling>
        <c:axPos val="l"/>
        <c:majorGridlines/>
        <c:numFmt formatCode="0.00" sourceLinked="1"/>
        <c:tickLblPos val="nextTo"/>
        <c:txPr>
          <a:bodyPr/>
          <a:lstStyle/>
          <a:p>
            <a:pPr>
              <a:defRPr lang="en-GB"/>
            </a:pPr>
            <a:endParaRPr lang="en-US"/>
          </a:p>
        </c:txPr>
        <c:crossAx val="55924224"/>
        <c:crosses val="autoZero"/>
        <c:crossBetween val="between"/>
      </c:valAx>
    </c:plotArea>
    <c:legend>
      <c:legendPos val="r"/>
      <c:txPr>
        <a:bodyPr/>
        <a:lstStyle/>
        <a:p>
          <a:pPr>
            <a:defRPr lang="en-GB"/>
          </a:pPr>
          <a:endParaRPr lang="en-US"/>
        </a:p>
      </c:txPr>
    </c:legend>
    <c:plotVisOnly val="1"/>
    <c:dispBlanksAs val="gap"/>
  </c:chart>
  <c:spPr>
    <a:ln w="38100">
      <a:solidFill>
        <a:schemeClr val="tx1"/>
      </a:solid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barChart>
        <c:barDir val="col"/>
        <c:grouping val="clustered"/>
        <c:ser>
          <c:idx val="0"/>
          <c:order val="0"/>
          <c:tx>
            <c:strRef>
              <c:f>'[po017Anowar.xlsx]Gearing '!$B$27</c:f>
              <c:strCache>
                <c:ptCount val="1"/>
                <c:pt idx="0">
                  <c:v>DCR</c:v>
                </c:pt>
              </c:strCache>
            </c:strRef>
          </c:tx>
          <c:cat>
            <c:strRef>
              <c:f>'[po017Anowar.xlsx]Gearing '!$C$26:$H$26</c:f>
              <c:strCache>
                <c:ptCount val="6"/>
                <c:pt idx="0">
                  <c:v>Unilever 2023</c:v>
                </c:pt>
                <c:pt idx="1">
                  <c:v>Nestle 2023</c:v>
                </c:pt>
                <c:pt idx="2">
                  <c:v>Unilever 2022</c:v>
                </c:pt>
                <c:pt idx="3">
                  <c:v>Nestle 2022</c:v>
                </c:pt>
                <c:pt idx="4">
                  <c:v>Unilever 2021</c:v>
                </c:pt>
                <c:pt idx="5">
                  <c:v>Nestle 2021</c:v>
                </c:pt>
              </c:strCache>
            </c:strRef>
          </c:cat>
          <c:val>
            <c:numRef>
              <c:f>'[po017Anowar.xlsx]Gearing '!$C$27:$H$27</c:f>
              <c:numCache>
                <c:formatCode>0.00</c:formatCode>
                <c:ptCount val="6"/>
                <c:pt idx="0">
                  <c:v>0.59883305318881763</c:v>
                </c:pt>
                <c:pt idx="1">
                  <c:v>0.5932868352223184</c:v>
                </c:pt>
                <c:pt idx="2">
                  <c:v>0.58581135244493643</c:v>
                </c:pt>
                <c:pt idx="3">
                  <c:v>0.55053252946242826</c:v>
                </c:pt>
                <c:pt idx="4">
                  <c:v>0.60756801876105448</c:v>
                </c:pt>
                <c:pt idx="5">
                  <c:v>0.4579709852504999</c:v>
                </c:pt>
              </c:numCache>
            </c:numRef>
          </c:val>
        </c:ser>
        <c:ser>
          <c:idx val="1"/>
          <c:order val="1"/>
          <c:tx>
            <c:strRef>
              <c:f>'[po017Anowar.xlsx]Gearing '!$B$28</c:f>
              <c:strCache>
                <c:ptCount val="1"/>
                <c:pt idx="0">
                  <c:v>DR</c:v>
                </c:pt>
              </c:strCache>
            </c:strRef>
          </c:tx>
          <c:cat>
            <c:strRef>
              <c:f>'[po017Anowar.xlsx]Gearing '!$C$26:$H$26</c:f>
              <c:strCache>
                <c:ptCount val="6"/>
                <c:pt idx="0">
                  <c:v>Unilever 2023</c:v>
                </c:pt>
                <c:pt idx="1">
                  <c:v>Nestle 2023</c:v>
                </c:pt>
                <c:pt idx="2">
                  <c:v>Unilever 2022</c:v>
                </c:pt>
                <c:pt idx="3">
                  <c:v>Nestle 2022</c:v>
                </c:pt>
                <c:pt idx="4">
                  <c:v>Unilever 2021</c:v>
                </c:pt>
                <c:pt idx="5">
                  <c:v>Nestle 2021</c:v>
                </c:pt>
              </c:strCache>
            </c:strRef>
          </c:cat>
          <c:val>
            <c:numRef>
              <c:f>'[po017Anowar.xlsx]Gearing '!$C$28:$H$28</c:f>
              <c:numCache>
                <c:formatCode>0.00</c:formatCode>
                <c:ptCount val="6"/>
                <c:pt idx="0">
                  <c:v>0.41180612760077612</c:v>
                </c:pt>
                <c:pt idx="1">
                  <c:v>0.41943105491900434</c:v>
                </c:pt>
                <c:pt idx="2">
                  <c:v>0.39440510916076676</c:v>
                </c:pt>
                <c:pt idx="3">
                  <c:v>0.3877291355357963</c:v>
                </c:pt>
                <c:pt idx="4">
                  <c:v>0.40709767627671617</c:v>
                </c:pt>
                <c:pt idx="5">
                  <c:v>0.32624944301504938</c:v>
                </c:pt>
              </c:numCache>
            </c:numRef>
          </c:val>
        </c:ser>
        <c:ser>
          <c:idx val="2"/>
          <c:order val="2"/>
          <c:tx>
            <c:strRef>
              <c:f>'[po017Anowar.xlsx]Gearing '!$B$29</c:f>
              <c:strCache>
                <c:ptCount val="1"/>
                <c:pt idx="0">
                  <c:v>ICR</c:v>
                </c:pt>
              </c:strCache>
            </c:strRef>
          </c:tx>
          <c:cat>
            <c:strRef>
              <c:f>'[po017Anowar.xlsx]Gearing '!$C$26:$H$26</c:f>
              <c:strCache>
                <c:ptCount val="6"/>
                <c:pt idx="0">
                  <c:v>Unilever 2023</c:v>
                </c:pt>
                <c:pt idx="1">
                  <c:v>Nestle 2023</c:v>
                </c:pt>
                <c:pt idx="2">
                  <c:v>Unilever 2022</c:v>
                </c:pt>
                <c:pt idx="3">
                  <c:v>Nestle 2022</c:v>
                </c:pt>
                <c:pt idx="4">
                  <c:v>Unilever 2021</c:v>
                </c:pt>
                <c:pt idx="5">
                  <c:v>Nestle 2021</c:v>
                </c:pt>
              </c:strCache>
            </c:strRef>
          </c:cat>
          <c:val>
            <c:numRef>
              <c:f>'[po017Anowar.xlsx]Gearing '!$C$29:$H$29</c:f>
              <c:numCache>
                <c:formatCode>0.00</c:formatCode>
                <c:ptCount val="6"/>
                <c:pt idx="0">
                  <c:v>9.4007707129094467</c:v>
                </c:pt>
                <c:pt idx="1">
                  <c:v>26.169708029197093</c:v>
                </c:pt>
                <c:pt idx="2">
                  <c:v>13.147921760391176</c:v>
                </c:pt>
                <c:pt idx="3">
                  <c:v>34.428000000000011</c:v>
                </c:pt>
                <c:pt idx="4">
                  <c:v>17.72301425661913</c:v>
                </c:pt>
                <c:pt idx="5">
                  <c:v>44.073452256033576</c:v>
                </c:pt>
              </c:numCache>
            </c:numRef>
          </c:val>
        </c:ser>
        <c:ser>
          <c:idx val="3"/>
          <c:order val="3"/>
          <c:tx>
            <c:strRef>
              <c:f>'[po017Anowar.xlsx]Gearing '!$B$30</c:f>
              <c:strCache>
                <c:ptCount val="1"/>
                <c:pt idx="0">
                  <c:v>PR</c:v>
                </c:pt>
              </c:strCache>
            </c:strRef>
          </c:tx>
          <c:cat>
            <c:strRef>
              <c:f>'[po017Anowar.xlsx]Gearing '!$C$26:$H$26</c:f>
              <c:strCache>
                <c:ptCount val="6"/>
                <c:pt idx="0">
                  <c:v>Unilever 2023</c:v>
                </c:pt>
                <c:pt idx="1">
                  <c:v>Nestle 2023</c:v>
                </c:pt>
                <c:pt idx="2">
                  <c:v>Unilever 2022</c:v>
                </c:pt>
                <c:pt idx="3">
                  <c:v>Nestle 2022</c:v>
                </c:pt>
                <c:pt idx="4">
                  <c:v>Unilever 2021</c:v>
                </c:pt>
                <c:pt idx="5">
                  <c:v>Nestle 2021</c:v>
                </c:pt>
              </c:strCache>
            </c:strRef>
          </c:cat>
          <c:val>
            <c:numRef>
              <c:f>'[po017Anowar.xlsx]Gearing '!$C$30:$H$30</c:f>
              <c:numCache>
                <c:formatCode>0.00</c:formatCode>
                <c:ptCount val="6"/>
                <c:pt idx="0">
                  <c:v>0.27587489703186086</c:v>
                </c:pt>
                <c:pt idx="1">
                  <c:v>0.28753062030817861</c:v>
                </c:pt>
                <c:pt idx="2">
                  <c:v>0.27885789182868403</c:v>
                </c:pt>
                <c:pt idx="3">
                  <c:v>0.31655102010622715</c:v>
                </c:pt>
                <c:pt idx="4">
                  <c:v>0.26294693388374751</c:v>
                </c:pt>
                <c:pt idx="5">
                  <c:v>0.38613071538428412</c:v>
                </c:pt>
              </c:numCache>
            </c:numRef>
          </c:val>
        </c:ser>
        <c:ser>
          <c:idx val="4"/>
          <c:order val="4"/>
          <c:tx>
            <c:strRef>
              <c:f>'[po017Anowar.xlsx]Gearing '!$B$31</c:f>
              <c:strCache>
                <c:ptCount val="1"/>
                <c:pt idx="0">
                  <c:v>NWR</c:v>
                </c:pt>
              </c:strCache>
            </c:strRef>
          </c:tx>
          <c:cat>
            <c:strRef>
              <c:f>'[po017Anowar.xlsx]Gearing '!$C$26:$H$26</c:f>
              <c:strCache>
                <c:ptCount val="6"/>
                <c:pt idx="0">
                  <c:v>Unilever 2023</c:v>
                </c:pt>
                <c:pt idx="1">
                  <c:v>Nestle 2023</c:v>
                </c:pt>
                <c:pt idx="2">
                  <c:v>Unilever 2022</c:v>
                </c:pt>
                <c:pt idx="3">
                  <c:v>Nestle 2022</c:v>
                </c:pt>
                <c:pt idx="4">
                  <c:v>Unilever 2021</c:v>
                </c:pt>
                <c:pt idx="5">
                  <c:v>Nestle 2021</c:v>
                </c:pt>
              </c:strCache>
            </c:strRef>
          </c:cat>
          <c:val>
            <c:numRef>
              <c:f>'[po017Anowar.xlsx]Gearing '!$C$31:$H$31</c:f>
              <c:numCache>
                <c:formatCode>0.00</c:formatCode>
                <c:ptCount val="6"/>
                <c:pt idx="0">
                  <c:v>3.6248314390290877</c:v>
                </c:pt>
                <c:pt idx="1">
                  <c:v>3.4778904553824184</c:v>
                </c:pt>
                <c:pt idx="2">
                  <c:v>3.5860559421224831</c:v>
                </c:pt>
                <c:pt idx="3">
                  <c:v>3.1590484202654672</c:v>
                </c:pt>
                <c:pt idx="4">
                  <c:v>3.8030487187278434</c:v>
                </c:pt>
                <c:pt idx="5">
                  <c:v>2.5897965641111562</c:v>
                </c:pt>
              </c:numCache>
            </c:numRef>
          </c:val>
        </c:ser>
        <c:axId val="55961088"/>
        <c:axId val="55962624"/>
      </c:barChart>
      <c:catAx>
        <c:axId val="55961088"/>
        <c:scaling>
          <c:orientation val="minMax"/>
        </c:scaling>
        <c:axPos val="b"/>
        <c:tickLblPos val="nextTo"/>
        <c:txPr>
          <a:bodyPr/>
          <a:lstStyle/>
          <a:p>
            <a:pPr>
              <a:defRPr lang="en-GB"/>
            </a:pPr>
            <a:endParaRPr lang="en-US"/>
          </a:p>
        </c:txPr>
        <c:crossAx val="55962624"/>
        <c:crosses val="autoZero"/>
        <c:auto val="1"/>
        <c:lblAlgn val="ctr"/>
        <c:lblOffset val="100"/>
      </c:catAx>
      <c:valAx>
        <c:axId val="55962624"/>
        <c:scaling>
          <c:orientation val="minMax"/>
        </c:scaling>
        <c:axPos val="l"/>
        <c:majorGridlines/>
        <c:numFmt formatCode="0.00" sourceLinked="1"/>
        <c:tickLblPos val="nextTo"/>
        <c:txPr>
          <a:bodyPr/>
          <a:lstStyle/>
          <a:p>
            <a:pPr>
              <a:defRPr lang="en-GB"/>
            </a:pPr>
            <a:endParaRPr lang="en-US"/>
          </a:p>
        </c:txPr>
        <c:crossAx val="55961088"/>
        <c:crosses val="autoZero"/>
        <c:crossBetween val="between"/>
      </c:valAx>
    </c:plotArea>
    <c:legend>
      <c:legendPos val="r"/>
      <c:txPr>
        <a:bodyPr/>
        <a:lstStyle/>
        <a:p>
          <a:pPr>
            <a:defRPr lang="en-GB"/>
          </a:pPr>
          <a:endParaRPr lang="en-US"/>
        </a:p>
      </c:txPr>
    </c:legend>
    <c:plotVisOnly val="1"/>
    <c:dispBlanksAs val="gap"/>
  </c:chart>
  <c:spPr>
    <a:ln w="28575">
      <a:solidFill>
        <a:schemeClr val="tx1"/>
      </a:solid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style val="8"/>
  <c:chart>
    <c:plotArea>
      <c:layout/>
      <c:barChart>
        <c:barDir val="col"/>
        <c:grouping val="clustered"/>
        <c:ser>
          <c:idx val="0"/>
          <c:order val="0"/>
          <c:tx>
            <c:strRef>
              <c:f>[po017Anowar.xlsx]Efficiency!$B$27</c:f>
              <c:strCache>
                <c:ptCount val="1"/>
                <c:pt idx="0">
                  <c:v>ITR</c:v>
                </c:pt>
              </c:strCache>
            </c:strRef>
          </c:tx>
          <c:cat>
            <c:strRef>
              <c:f>[po017Anowar.xlsx]Efficiency!$C$26:$H$26</c:f>
              <c:strCache>
                <c:ptCount val="6"/>
                <c:pt idx="0">
                  <c:v>Unilever 2023</c:v>
                </c:pt>
                <c:pt idx="1">
                  <c:v>Nestle 2023</c:v>
                </c:pt>
                <c:pt idx="2">
                  <c:v>Unilever 2022</c:v>
                </c:pt>
                <c:pt idx="3">
                  <c:v>Nestle 2022</c:v>
                </c:pt>
                <c:pt idx="4">
                  <c:v>Unilever 2021</c:v>
                </c:pt>
                <c:pt idx="5">
                  <c:v>Nestle 2021</c:v>
                </c:pt>
              </c:strCache>
            </c:strRef>
          </c:cat>
          <c:val>
            <c:numRef>
              <c:f>[po017Anowar.xlsx]Efficiency!$C$27:$H$27</c:f>
              <c:numCache>
                <c:formatCode>0.00</c:formatCode>
                <c:ptCount val="6"/>
                <c:pt idx="0">
                  <c:v>4.0562609884743148</c:v>
                </c:pt>
                <c:pt idx="1">
                  <c:v>4.2306657700067287</c:v>
                </c:pt>
                <c:pt idx="2">
                  <c:v>3.6589108076209769</c:v>
                </c:pt>
                <c:pt idx="3">
                  <c:v>3.4453026166855318</c:v>
                </c:pt>
                <c:pt idx="4">
                  <c:v>4.2165278667520782</c:v>
                </c:pt>
                <c:pt idx="5">
                  <c:v>3.7946920380570854</c:v>
                </c:pt>
              </c:numCache>
            </c:numRef>
          </c:val>
        </c:ser>
        <c:ser>
          <c:idx val="1"/>
          <c:order val="1"/>
          <c:tx>
            <c:strRef>
              <c:f>[po017Anowar.xlsx]Efficiency!$B$28</c:f>
              <c:strCache>
                <c:ptCount val="1"/>
                <c:pt idx="0">
                  <c:v>RTR</c:v>
                </c:pt>
              </c:strCache>
            </c:strRef>
          </c:tx>
          <c:cat>
            <c:strRef>
              <c:f>[po017Anowar.xlsx]Efficiency!$C$26:$H$26</c:f>
              <c:strCache>
                <c:ptCount val="6"/>
                <c:pt idx="0">
                  <c:v>Unilever 2023</c:v>
                </c:pt>
                <c:pt idx="1">
                  <c:v>Nestle 2023</c:v>
                </c:pt>
                <c:pt idx="2">
                  <c:v>Unilever 2022</c:v>
                </c:pt>
                <c:pt idx="3">
                  <c:v>Nestle 2022</c:v>
                </c:pt>
                <c:pt idx="4">
                  <c:v>Unilever 2021</c:v>
                </c:pt>
                <c:pt idx="5">
                  <c:v>Nestle 2021</c:v>
                </c:pt>
              </c:strCache>
            </c:strRef>
          </c:cat>
          <c:val>
            <c:numRef>
              <c:f>[po017Anowar.xlsx]Efficiency!$C$28:$H$28</c:f>
              <c:numCache>
                <c:formatCode>0.00</c:formatCode>
                <c:ptCount val="6"/>
                <c:pt idx="0">
                  <c:v>5.3670995670995634</c:v>
                </c:pt>
                <c:pt idx="1">
                  <c:v>8.4903137789904459</c:v>
                </c:pt>
                <c:pt idx="2">
                  <c:v>4.3499149659863896</c:v>
                </c:pt>
                <c:pt idx="3">
                  <c:v>8.5264483627204033</c:v>
                </c:pt>
                <c:pt idx="4">
                  <c:v>5.6383253412025081</c:v>
                </c:pt>
                <c:pt idx="5">
                  <c:v>7.8413267593007623</c:v>
                </c:pt>
              </c:numCache>
            </c:numRef>
          </c:val>
        </c:ser>
        <c:ser>
          <c:idx val="2"/>
          <c:order val="2"/>
          <c:tx>
            <c:strRef>
              <c:f>[po017Anowar.xlsx]Efficiency!$B$29</c:f>
              <c:strCache>
                <c:ptCount val="1"/>
                <c:pt idx="0">
                  <c:v>PTR</c:v>
                </c:pt>
              </c:strCache>
            </c:strRef>
          </c:tx>
          <c:cat>
            <c:strRef>
              <c:f>[po017Anowar.xlsx]Efficiency!$C$26:$H$26</c:f>
              <c:strCache>
                <c:ptCount val="6"/>
                <c:pt idx="0">
                  <c:v>Unilever 2023</c:v>
                </c:pt>
                <c:pt idx="1">
                  <c:v>Nestle 2023</c:v>
                </c:pt>
                <c:pt idx="2">
                  <c:v>Unilever 2022</c:v>
                </c:pt>
                <c:pt idx="3">
                  <c:v>Nestle 2022</c:v>
                </c:pt>
                <c:pt idx="4">
                  <c:v>Unilever 2021</c:v>
                </c:pt>
                <c:pt idx="5">
                  <c:v>Nestle 2021</c:v>
                </c:pt>
              </c:strCache>
            </c:strRef>
          </c:cat>
          <c:val>
            <c:numRef>
              <c:f>[po017Anowar.xlsx]Efficiency!$C$29:$H$29</c:f>
              <c:numCache>
                <c:formatCode>0.00</c:formatCode>
                <c:ptCount val="6"/>
                <c:pt idx="0">
                  <c:v>1.2317731506199192</c:v>
                </c:pt>
                <c:pt idx="1">
                  <c:v>2.6207040199958342</c:v>
                </c:pt>
                <c:pt idx="2">
                  <c:v>1.2040725739333087</c:v>
                </c:pt>
                <c:pt idx="3">
                  <c:v>2.521317546167718</c:v>
                </c:pt>
                <c:pt idx="4">
                  <c:v>1.328712738039163</c:v>
                </c:pt>
                <c:pt idx="5">
                  <c:v>2.1747739991390427</c:v>
                </c:pt>
              </c:numCache>
            </c:numRef>
          </c:val>
        </c:ser>
        <c:ser>
          <c:idx val="3"/>
          <c:order val="3"/>
          <c:tx>
            <c:strRef>
              <c:f>[po017Anowar.xlsx]Efficiency!$B$30</c:f>
              <c:strCache>
                <c:ptCount val="1"/>
                <c:pt idx="0">
                  <c:v>OCC</c:v>
                </c:pt>
              </c:strCache>
            </c:strRef>
          </c:tx>
          <c:cat>
            <c:strRef>
              <c:f>[po017Anowar.xlsx]Efficiency!$C$26:$H$26</c:f>
              <c:strCache>
                <c:ptCount val="6"/>
                <c:pt idx="0">
                  <c:v>Unilever 2023</c:v>
                </c:pt>
                <c:pt idx="1">
                  <c:v>Nestle 2023</c:v>
                </c:pt>
                <c:pt idx="2">
                  <c:v>Unilever 2022</c:v>
                </c:pt>
                <c:pt idx="3">
                  <c:v>Nestle 2022</c:v>
                </c:pt>
                <c:pt idx="4">
                  <c:v>Unilever 2021</c:v>
                </c:pt>
                <c:pt idx="5">
                  <c:v>Nestle 2021</c:v>
                </c:pt>
              </c:strCache>
            </c:strRef>
          </c:cat>
          <c:val>
            <c:numRef>
              <c:f>[po017Anowar.xlsx]Efficiency!$C$30:$H$30</c:f>
              <c:numCache>
                <c:formatCode>0.00</c:formatCode>
                <c:ptCount val="6"/>
                <c:pt idx="0">
                  <c:v>8.1915874049539585</c:v>
                </c:pt>
                <c:pt idx="1">
                  <c:v>10.10027552900134</c:v>
                </c:pt>
                <c:pt idx="2">
                  <c:v>6.8047531996740673</c:v>
                </c:pt>
                <c:pt idx="3">
                  <c:v>9.4504334332382278</c:v>
                </c:pt>
                <c:pt idx="4">
                  <c:v>8.5261404699154202</c:v>
                </c:pt>
                <c:pt idx="5">
                  <c:v>9.4612447982188037</c:v>
                </c:pt>
              </c:numCache>
            </c:numRef>
          </c:val>
        </c:ser>
        <c:ser>
          <c:idx val="4"/>
          <c:order val="4"/>
          <c:tx>
            <c:strRef>
              <c:f>[po017Anowar.xlsx]Efficiency!$B$31</c:f>
              <c:strCache>
                <c:ptCount val="1"/>
                <c:pt idx="0">
                  <c:v>CTR</c:v>
                </c:pt>
              </c:strCache>
            </c:strRef>
          </c:tx>
          <c:cat>
            <c:strRef>
              <c:f>[po017Anowar.xlsx]Efficiency!$C$26:$H$26</c:f>
              <c:strCache>
                <c:ptCount val="6"/>
                <c:pt idx="0">
                  <c:v>Unilever 2023</c:v>
                </c:pt>
                <c:pt idx="1">
                  <c:v>Nestle 2023</c:v>
                </c:pt>
                <c:pt idx="2">
                  <c:v>Unilever 2022</c:v>
                </c:pt>
                <c:pt idx="3">
                  <c:v>Nestle 2022</c:v>
                </c:pt>
                <c:pt idx="4">
                  <c:v>Unilever 2021</c:v>
                </c:pt>
                <c:pt idx="5">
                  <c:v>Nestle 2021</c:v>
                </c:pt>
              </c:strCache>
            </c:strRef>
          </c:cat>
          <c:val>
            <c:numRef>
              <c:f>[po017Anowar.xlsx]Efficiency!$C$31:$H$31</c:f>
              <c:numCache>
                <c:formatCode>0.00</c:formatCode>
                <c:ptCount val="6"/>
                <c:pt idx="0">
                  <c:v>1.4927277981121161</c:v>
                </c:pt>
                <c:pt idx="1">
                  <c:v>2.5655041635749032</c:v>
                </c:pt>
                <c:pt idx="2">
                  <c:v>1.4143587853094319</c:v>
                </c:pt>
                <c:pt idx="3">
                  <c:v>2.2148999813049182</c:v>
                </c:pt>
                <c:pt idx="4">
                  <c:v>1.5482122961612481</c:v>
                </c:pt>
                <c:pt idx="5">
                  <c:v>1.6280454892326028</c:v>
                </c:pt>
              </c:numCache>
            </c:numRef>
          </c:val>
        </c:ser>
        <c:axId val="56333824"/>
        <c:axId val="56335360"/>
      </c:barChart>
      <c:catAx>
        <c:axId val="56333824"/>
        <c:scaling>
          <c:orientation val="minMax"/>
        </c:scaling>
        <c:axPos val="b"/>
        <c:tickLblPos val="nextTo"/>
        <c:txPr>
          <a:bodyPr/>
          <a:lstStyle/>
          <a:p>
            <a:pPr>
              <a:defRPr lang="en-GB"/>
            </a:pPr>
            <a:endParaRPr lang="en-US"/>
          </a:p>
        </c:txPr>
        <c:crossAx val="56335360"/>
        <c:crosses val="autoZero"/>
        <c:auto val="1"/>
        <c:lblAlgn val="ctr"/>
        <c:lblOffset val="100"/>
      </c:catAx>
      <c:valAx>
        <c:axId val="56335360"/>
        <c:scaling>
          <c:orientation val="minMax"/>
        </c:scaling>
        <c:axPos val="l"/>
        <c:majorGridlines/>
        <c:numFmt formatCode="0.00" sourceLinked="1"/>
        <c:tickLblPos val="nextTo"/>
        <c:txPr>
          <a:bodyPr/>
          <a:lstStyle/>
          <a:p>
            <a:pPr>
              <a:defRPr lang="en-GB"/>
            </a:pPr>
            <a:endParaRPr lang="en-US"/>
          </a:p>
        </c:txPr>
        <c:crossAx val="56333824"/>
        <c:crosses val="autoZero"/>
        <c:crossBetween val="between"/>
      </c:valAx>
    </c:plotArea>
    <c:legend>
      <c:legendPos val="r"/>
      <c:txPr>
        <a:bodyPr/>
        <a:lstStyle/>
        <a:p>
          <a:pPr>
            <a:defRPr lang="en-GB"/>
          </a:pPr>
          <a:endParaRPr lang="en-US"/>
        </a:p>
      </c:txPr>
    </c:legend>
    <c:plotVisOnly val="1"/>
    <c:dispBlanksAs val="gap"/>
  </c:chart>
  <c:spPr>
    <a:ln w="28575">
      <a:solidFill>
        <a:schemeClr val="tx1"/>
      </a:solid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EBB70-8D29-473C-9FD2-6391A820B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28</Pages>
  <Words>7231</Words>
  <Characters>41217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mr</cp:lastModifiedBy>
  <cp:revision>48</cp:revision>
  <dcterms:created xsi:type="dcterms:W3CDTF">2024-08-03T11:00:00Z</dcterms:created>
  <dcterms:modified xsi:type="dcterms:W3CDTF">2024-08-21T08:40:00Z</dcterms:modified>
</cp:coreProperties>
</file>