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21183" w14:textId="77777777" w:rsidR="004E1BBA" w:rsidRDefault="004E1BBA" w:rsidP="00953EE8">
      <w:pPr>
        <w:pStyle w:val="Title"/>
      </w:pPr>
    </w:p>
    <w:p w14:paraId="033DA98E" w14:textId="77777777" w:rsidR="004E1BBA" w:rsidRDefault="004E1BBA" w:rsidP="00953EE8">
      <w:pPr>
        <w:pStyle w:val="Title"/>
      </w:pPr>
    </w:p>
    <w:p w14:paraId="27263687" w14:textId="77777777" w:rsidR="004E1BBA" w:rsidRDefault="004E1BBA" w:rsidP="00953EE8">
      <w:pPr>
        <w:pStyle w:val="Title"/>
      </w:pPr>
    </w:p>
    <w:p w14:paraId="186BC36B" w14:textId="77777777" w:rsidR="004E1BBA" w:rsidRDefault="004E1BBA" w:rsidP="00953EE8">
      <w:pPr>
        <w:pStyle w:val="Title"/>
      </w:pPr>
    </w:p>
    <w:p w14:paraId="74587660" w14:textId="77777777" w:rsidR="004E1BBA" w:rsidRDefault="004E1BBA" w:rsidP="00953EE8">
      <w:pPr>
        <w:pStyle w:val="Title"/>
      </w:pPr>
    </w:p>
    <w:p w14:paraId="378C6AE9" w14:textId="77777777" w:rsidR="004E1BBA" w:rsidRDefault="004E1BBA" w:rsidP="00953EE8">
      <w:pPr>
        <w:pStyle w:val="Title"/>
      </w:pPr>
    </w:p>
    <w:p w14:paraId="6DBA1B36" w14:textId="77777777" w:rsidR="004E1BBA" w:rsidRDefault="004E1BBA" w:rsidP="00953EE8">
      <w:pPr>
        <w:pStyle w:val="Title"/>
      </w:pPr>
    </w:p>
    <w:p w14:paraId="7D7DED51" w14:textId="20EE36D4" w:rsidR="0014531C" w:rsidRDefault="0014531C" w:rsidP="00953EE8">
      <w:pPr>
        <w:pStyle w:val="Title"/>
      </w:pPr>
      <w:r>
        <w:t>The Evolving Role of Women in the 21st Century Workplace</w:t>
      </w:r>
    </w:p>
    <w:p w14:paraId="43CA16C7" w14:textId="77777777" w:rsidR="002C506A" w:rsidRDefault="002C506A" w:rsidP="002C506A"/>
    <w:p w14:paraId="262BBEB4" w14:textId="77777777" w:rsidR="002C506A" w:rsidRDefault="002C506A" w:rsidP="002C506A"/>
    <w:p w14:paraId="670D6326" w14:textId="77777777" w:rsidR="002C506A" w:rsidRDefault="002C506A" w:rsidP="002C506A"/>
    <w:p w14:paraId="5B2639B7" w14:textId="77777777" w:rsidR="002C506A" w:rsidRDefault="002C506A" w:rsidP="002C506A"/>
    <w:p w14:paraId="43D1837A" w14:textId="77777777" w:rsidR="002C506A" w:rsidRDefault="002C506A" w:rsidP="002C506A"/>
    <w:p w14:paraId="3FB91F27" w14:textId="76F3F71B" w:rsidR="002C506A" w:rsidRPr="002C506A" w:rsidRDefault="002C506A" w:rsidP="002C506A">
      <w:pPr>
        <w:rPr>
          <w:color w:val="44546A" w:themeColor="text2"/>
        </w:rPr>
      </w:pPr>
      <w:r>
        <w:t xml:space="preserve">Student Name: </w:t>
      </w:r>
      <w:r w:rsidRPr="002C506A">
        <w:rPr>
          <w:color w:val="44546A" w:themeColor="text2"/>
        </w:rPr>
        <w:t>Ana-Maria Iordache</w:t>
      </w:r>
    </w:p>
    <w:p w14:paraId="4378B537" w14:textId="4B66D8B8" w:rsidR="002C506A" w:rsidRPr="002C506A" w:rsidRDefault="002C506A" w:rsidP="002C506A">
      <w:r>
        <w:t xml:space="preserve">Student ID: </w:t>
      </w:r>
      <w:r w:rsidRPr="002C506A">
        <w:rPr>
          <w:color w:val="44546A" w:themeColor="text2"/>
        </w:rPr>
        <w:t>2215819</w:t>
      </w:r>
    </w:p>
    <w:p w14:paraId="0AA2F4DF" w14:textId="77777777" w:rsidR="002C506A" w:rsidRDefault="002C506A" w:rsidP="002C506A"/>
    <w:p w14:paraId="066192FC" w14:textId="77777777" w:rsidR="002C506A" w:rsidRDefault="002C506A" w:rsidP="002C506A"/>
    <w:p w14:paraId="72B4DD62" w14:textId="77777777" w:rsidR="002C506A" w:rsidRDefault="002C506A" w:rsidP="002C506A"/>
    <w:p w14:paraId="0AD1C36A" w14:textId="77777777" w:rsidR="002C506A" w:rsidRDefault="002C506A" w:rsidP="002C506A"/>
    <w:p w14:paraId="0AA0F9A1" w14:textId="77777777" w:rsidR="002C506A" w:rsidRDefault="002C506A" w:rsidP="002C506A"/>
    <w:p w14:paraId="65F1DF57" w14:textId="77777777" w:rsidR="002C506A" w:rsidRDefault="002C506A" w:rsidP="002C506A"/>
    <w:p w14:paraId="4C34ED62" w14:textId="77777777" w:rsidR="002C506A" w:rsidRDefault="002C506A" w:rsidP="002C506A"/>
    <w:p w14:paraId="7D162D78" w14:textId="77777777" w:rsidR="004E1BBA" w:rsidRPr="004E1BBA" w:rsidRDefault="004E1BBA" w:rsidP="004E1BBA"/>
    <w:p w14:paraId="1FDFD290" w14:textId="19EE399D" w:rsidR="0014531C" w:rsidRDefault="00CD3E4B" w:rsidP="00073C29">
      <w:r>
        <w:t xml:space="preserve"> </w:t>
      </w:r>
      <w:r w:rsidR="00795E11" w:rsidRPr="00795E11">
        <w:t>The twenty-first century has seen numerous changes and shifts in both cultural standards and technological aspects</w:t>
      </w:r>
      <w:r w:rsidR="00F5348B">
        <w:t xml:space="preserve"> (</w:t>
      </w:r>
      <w:r w:rsidR="009C766A">
        <w:rPr>
          <w:shd w:val="clear" w:color="auto" w:fill="FFFFFF"/>
        </w:rPr>
        <w:t>Rahman and Thelen, 2019</w:t>
      </w:r>
      <w:r w:rsidR="00F5348B">
        <w:t>)</w:t>
      </w:r>
      <w:r w:rsidR="00795E11" w:rsidRPr="00795E11">
        <w:t>. Along with this, there has been a significant shift in the definition of women</w:t>
      </w:r>
      <w:r w:rsidR="004A5A55">
        <w:t xml:space="preserve"> is</w:t>
      </w:r>
      <w:r w:rsidR="00795E11" w:rsidRPr="00795E11">
        <w:t xml:space="preserve"> roles in the workplace. Women</w:t>
      </w:r>
      <w:r w:rsidR="004A5A55">
        <w:t xml:space="preserve"> i</w:t>
      </w:r>
      <w:r w:rsidR="00795E11" w:rsidRPr="00795E11">
        <w:t xml:space="preserve">s work roles are not only changing, but also progressing in a positive direction. To understand the current role and the evolution, it is critical to understand how women have contributed </w:t>
      </w:r>
      <w:r w:rsidR="004E1BBA" w:rsidRPr="00795E11">
        <w:t>to</w:t>
      </w:r>
      <w:r w:rsidR="00795E11" w:rsidRPr="00795E11">
        <w:t xml:space="preserve"> the workplace. The essay will concentrate on women</w:t>
      </w:r>
      <w:r w:rsidR="004A5A55">
        <w:t xml:space="preserve"> i</w:t>
      </w:r>
      <w:r w:rsidR="00795E11" w:rsidRPr="00795E11">
        <w:t xml:space="preserve">s roles in modern and contemporary workplaces. This will aid in </w:t>
      </w:r>
      <w:r w:rsidR="004E1BBA" w:rsidRPr="00795E11">
        <w:t>understanding</w:t>
      </w:r>
      <w:r w:rsidR="00795E11" w:rsidRPr="00795E11">
        <w:t xml:space="preserve"> the challenges they face, as well as how they are thriving in the global economy. </w:t>
      </w:r>
      <w:r w:rsidR="002F19AE" w:rsidRPr="002F19AE">
        <w:t>In addition, it will investigate the significance of gender equality education.</w:t>
      </w:r>
      <w:r w:rsidR="004A5A55">
        <w:t xml:space="preserve"> </w:t>
      </w:r>
    </w:p>
    <w:p w14:paraId="689D9EAC" w14:textId="67C8DE0F" w:rsidR="00F15EAC" w:rsidRDefault="00925496" w:rsidP="0014531C">
      <w:r w:rsidRPr="00925496">
        <w:t>In the early years of the twenty-first century, women began to overcome barriers that formerly restricted them to specific professions</w:t>
      </w:r>
      <w:r w:rsidR="007E74CD">
        <w:t xml:space="preserve"> (</w:t>
      </w:r>
      <w:r w:rsidR="0050040E">
        <w:rPr>
          <w:shd w:val="clear" w:color="auto" w:fill="FFFFFF"/>
        </w:rPr>
        <w:t>Hasan</w:t>
      </w:r>
      <w:r w:rsidR="0050040E">
        <w:t xml:space="preserve"> </w:t>
      </w:r>
      <w:r w:rsidR="0050040E">
        <w:rPr>
          <w:i/>
        </w:rPr>
        <w:t>et al</w:t>
      </w:r>
      <w:r w:rsidR="0050040E">
        <w:rPr>
          <w:shd w:val="clear" w:color="auto" w:fill="FFFFFF"/>
        </w:rPr>
        <w:t>., 2021</w:t>
      </w:r>
      <w:r w:rsidR="007E74CD">
        <w:t>)</w:t>
      </w:r>
      <w:r w:rsidRPr="00925496">
        <w:t xml:space="preserve">. </w:t>
      </w:r>
      <w:r w:rsidR="008E6612" w:rsidRPr="008E6612">
        <w:t xml:space="preserve">Mentorship and scholarship programmes, for example, have been essential in assisting women </w:t>
      </w:r>
      <w:r w:rsidR="004E1BBA" w:rsidRPr="008E6612">
        <w:t>to</w:t>
      </w:r>
      <w:r w:rsidR="008E6612" w:rsidRPr="008E6612">
        <w:t xml:space="preserve"> navigate previously unexplored areas. </w:t>
      </w:r>
      <w:r w:rsidR="006C2507" w:rsidRPr="006C2507">
        <w:t>Women are breaking down barriers to gain power in business, politics, and academia.</w:t>
      </w:r>
      <w:r w:rsidR="00073C29" w:rsidRPr="00073C29">
        <w:t xml:space="preserve"> </w:t>
      </w:r>
      <w:r w:rsidR="00073C29" w:rsidRPr="00073C29">
        <w:t>Emily L</w:t>
      </w:r>
      <w:r w:rsidR="00073C29">
        <w:t>., (</w:t>
      </w:r>
      <w:r w:rsidR="00073C29" w:rsidRPr="00073C29">
        <w:t>20</w:t>
      </w:r>
      <w:r w:rsidR="00073C29">
        <w:t>23)</w:t>
      </w:r>
      <w:r w:rsidR="006C2507" w:rsidRPr="006C2507">
        <w:t xml:space="preserve"> </w:t>
      </w:r>
      <w:r w:rsidR="00A84BFA" w:rsidRPr="00A84BFA">
        <w:t xml:space="preserve">Diverse leadership teams, according to research, result in enhanced decision-making and </w:t>
      </w:r>
      <w:r w:rsidR="004A5A55" w:rsidRPr="00A84BFA">
        <w:t>organizational</w:t>
      </w:r>
      <w:r w:rsidR="00A84BFA" w:rsidRPr="00A84BFA">
        <w:t xml:space="preserve"> performance</w:t>
      </w:r>
      <w:r w:rsidR="004A5A55">
        <w:t>, a</w:t>
      </w:r>
      <w:r w:rsidR="00A84BFA" w:rsidRPr="00A84BFA">
        <w:t>s women advance in leadership positions, they bring distinctive viewpoints, cooperative approaches, and a focus on compassion, all of which contribute to better and more inclusive workplaces</w:t>
      </w:r>
      <w:r w:rsidR="001D5B18">
        <w:t xml:space="preserve"> (Jason et at., 2023).</w:t>
      </w:r>
    </w:p>
    <w:p w14:paraId="01DD2DD1" w14:textId="4D92159A" w:rsidR="00432167" w:rsidRDefault="00432167" w:rsidP="0014531C">
      <w:r w:rsidRPr="00432167">
        <w:t xml:space="preserve">Traditional work structures have been reevaluated </w:t>
      </w:r>
      <w:r w:rsidR="004E1BBA" w:rsidRPr="00432167">
        <w:t>considering</w:t>
      </w:r>
      <w:r w:rsidRPr="00432167">
        <w:t xml:space="preserve"> the demands </w:t>
      </w:r>
      <w:r w:rsidR="004E1BBA" w:rsidRPr="00432167">
        <w:t>of</w:t>
      </w:r>
      <w:r w:rsidRPr="00432167">
        <w:t xml:space="preserve"> the modern workplace. Women, who have historically struggled to balance career aspirations and household responsibilities, are at the </w:t>
      </w:r>
      <w:r w:rsidR="004E1BBA" w:rsidRPr="00432167">
        <w:t>forefront</w:t>
      </w:r>
      <w:r w:rsidRPr="00432167">
        <w:t xml:space="preserve"> of advocating more flexible work arrangements. The workplace of the twenty-first century increasingly </w:t>
      </w:r>
      <w:r w:rsidR="001413B0" w:rsidRPr="00432167">
        <w:t>recognizes</w:t>
      </w:r>
      <w:r w:rsidRPr="00432167">
        <w:t xml:space="preserve"> the value of work-life balance, with options such as remote employment, time flexibility, and family-friendly policies available</w:t>
      </w:r>
      <w:r w:rsidR="00DA2A09">
        <w:t xml:space="preserve">, </w:t>
      </w:r>
      <w:r w:rsidR="00DA2A09" w:rsidRPr="00432167">
        <w:t>these</w:t>
      </w:r>
      <w:r w:rsidRPr="00432167">
        <w:t xml:space="preserve"> changes benefit all employees, not just women</w:t>
      </w:r>
      <w:r w:rsidR="00CD3E4B">
        <w:t xml:space="preserve"> </w:t>
      </w:r>
      <w:r w:rsidR="00CD3E4B" w:rsidRPr="00CD3E4B">
        <w:t>(Milel</w:t>
      </w:r>
      <w:r w:rsidR="00CD3E4B">
        <w:t>la</w:t>
      </w:r>
      <w:r w:rsidR="00CD3E4B" w:rsidRPr="00CD3E4B">
        <w:t xml:space="preserve"> et al., </w:t>
      </w:r>
      <w:r w:rsidR="00CD3E4B">
        <w:t>2021)</w:t>
      </w:r>
    </w:p>
    <w:p w14:paraId="1D334BAC" w14:textId="7DE552C8" w:rsidR="00290BB1" w:rsidRDefault="009E18EF" w:rsidP="0014531C">
      <w:r w:rsidRPr="009E18EF">
        <w:t xml:space="preserve">Despite </w:t>
      </w:r>
      <w:r w:rsidR="002C506A" w:rsidRPr="009E18EF">
        <w:t>considerable progress</w:t>
      </w:r>
      <w:r w:rsidRPr="009E18EF">
        <w:t xml:space="preserve">, achieving accurate gender equality in the workplace remains a challenge. Gender </w:t>
      </w:r>
      <w:r w:rsidR="004E1BBA" w:rsidRPr="009E18EF">
        <w:t>pays</w:t>
      </w:r>
      <w:r w:rsidRPr="009E18EF">
        <w:t xml:space="preserve"> disparities persist, with women earning less than male employees for the same work. Stereotypes and unconscious biases continue to influence choices regarding employment and advancement. Furthermore, women continue to be underrepresented in certain industries. Addressing these challenges will necessitate a collaborative effort from policymakers, </w:t>
      </w:r>
      <w:r w:rsidR="001413B0" w:rsidRPr="009E18EF">
        <w:t>organizations</w:t>
      </w:r>
      <w:r w:rsidRPr="009E18EF">
        <w:t xml:space="preserve">, and </w:t>
      </w:r>
      <w:r w:rsidR="004E1BBA" w:rsidRPr="009E18EF">
        <w:t>society</w:t>
      </w:r>
      <w:r w:rsidRPr="009E18EF">
        <w:t>.</w:t>
      </w:r>
    </w:p>
    <w:p w14:paraId="53EAC76C" w14:textId="379D025A" w:rsidR="00D17945" w:rsidRDefault="00D17945" w:rsidP="00C36153">
      <w:r w:rsidRPr="00D17945">
        <w:lastRenderedPageBreak/>
        <w:t>Education as well as mentorship are crucial instruments for empowering women in the workplace in the twenty-first century</w:t>
      </w:r>
      <w:r w:rsidR="00952945">
        <w:t xml:space="preserve"> (</w:t>
      </w:r>
      <w:r w:rsidR="0013651A">
        <w:rPr>
          <w:shd w:val="clear" w:color="auto" w:fill="FFFFFF"/>
        </w:rPr>
        <w:t>Dodd</w:t>
      </w:r>
      <w:r w:rsidR="0013651A">
        <w:t xml:space="preserve"> </w:t>
      </w:r>
      <w:r w:rsidR="0013651A">
        <w:rPr>
          <w:i/>
        </w:rPr>
        <w:t>et al</w:t>
      </w:r>
      <w:r w:rsidR="0013651A">
        <w:rPr>
          <w:shd w:val="clear" w:color="auto" w:fill="FFFFFF"/>
        </w:rPr>
        <w:t>., 2023</w:t>
      </w:r>
      <w:r w:rsidR="00952945">
        <w:t>)</w:t>
      </w:r>
      <w:r w:rsidRPr="00D17945">
        <w:t xml:space="preserve">. Encouraging girls to pursue </w:t>
      </w:r>
      <w:r w:rsidR="00F07153" w:rsidRPr="00F07153">
        <w:t>Science Technology Engineering and Mathematics</w:t>
      </w:r>
      <w:r w:rsidRPr="00D17945">
        <w:t xml:space="preserve"> </w:t>
      </w:r>
      <w:r w:rsidR="00F07153" w:rsidRPr="00F07153">
        <w:t>(STEM</w:t>
      </w:r>
      <w:r w:rsidR="00F07153">
        <w:t xml:space="preserve">) </w:t>
      </w:r>
      <w:r w:rsidRPr="00D17945">
        <w:t xml:space="preserve">education and providing mentoring opportunities for women aspiring to positions of leadership are critical steps towards creating a more equitable workforce. Investments in education, training, and mentoring </w:t>
      </w:r>
      <w:r w:rsidR="004E1BBA" w:rsidRPr="00D17945">
        <w:t>programs</w:t>
      </w:r>
      <w:r w:rsidRPr="00D17945">
        <w:t xml:space="preserve"> benefit</w:t>
      </w:r>
      <w:r w:rsidR="00F42749">
        <w:t xml:space="preserve">, </w:t>
      </w:r>
      <w:r w:rsidRPr="00D17945">
        <w:t>individuals but also the general economic growth of communities and nations</w:t>
      </w:r>
      <w:r w:rsidR="00DA2A09">
        <w:t xml:space="preserve"> (</w:t>
      </w:r>
      <w:r w:rsidR="00DA2A09" w:rsidRPr="00DA2A09">
        <w:t>Dr. Lin</w:t>
      </w:r>
      <w:r w:rsidR="00DA2A09">
        <w:t>da</w:t>
      </w:r>
      <w:r w:rsidR="00DA2A09" w:rsidRPr="00DA2A09">
        <w:t xml:space="preserve"> K</w:t>
      </w:r>
      <w:r w:rsidR="00DA2A09">
        <w:t xml:space="preserve">. et at., </w:t>
      </w:r>
      <w:r w:rsidR="00DA2A09" w:rsidRPr="00DA2A09">
        <w:t>2017),</w:t>
      </w:r>
    </w:p>
    <w:p w14:paraId="70F16514" w14:textId="7BA9445D" w:rsidR="0021278A" w:rsidRDefault="0021278A" w:rsidP="00423C01">
      <w:r w:rsidRPr="0021278A">
        <w:t>Women</w:t>
      </w:r>
      <w:r w:rsidR="002C506A">
        <w:t xml:space="preserve"> i</w:t>
      </w:r>
      <w:r w:rsidRPr="0021278A">
        <w:t xml:space="preserve">s roles in the workplace differ significantly across cultures and regions. While many Western countries have made progress, challenges remain in other parts of the world where social expectations and systemic barriers prevent women from fully participating in the </w:t>
      </w:r>
      <w:r w:rsidR="00F42749" w:rsidRPr="0021278A">
        <w:t>labour</w:t>
      </w:r>
      <w:r w:rsidRPr="0021278A">
        <w:t xml:space="preserve"> force. </w:t>
      </w:r>
      <w:r w:rsidR="00FE6497">
        <w:t>Recognizing</w:t>
      </w:r>
      <w:r w:rsidRPr="0021278A">
        <w:t xml:space="preserve"> and </w:t>
      </w:r>
      <w:r w:rsidR="00FE6497">
        <w:t>recognizing</w:t>
      </w:r>
      <w:r w:rsidRPr="0021278A">
        <w:t xml:space="preserve"> diverse cultural perspectives is critical for creating a global environment in which women of every cultural background can thrive professionally</w:t>
      </w:r>
      <w:r w:rsidR="000D198D">
        <w:t xml:space="preserve"> </w:t>
      </w:r>
      <w:r w:rsidR="000D198D" w:rsidRPr="000D198D">
        <w:t xml:space="preserve">(He </w:t>
      </w:r>
      <w:r w:rsidR="000D198D">
        <w:t>J. C.</w:t>
      </w:r>
      <w:r w:rsidR="000D198D" w:rsidRPr="000D198D">
        <w:t xml:space="preserve">, </w:t>
      </w:r>
      <w:r w:rsidR="000D198D">
        <w:t xml:space="preserve">et at., </w:t>
      </w:r>
      <w:r w:rsidR="000D198D" w:rsidRPr="000D198D">
        <w:t>2021)</w:t>
      </w:r>
      <w:r w:rsidR="000D198D">
        <w:t>.</w:t>
      </w:r>
    </w:p>
    <w:p w14:paraId="0FFE7C0D" w14:textId="475EA542" w:rsidR="00423C01" w:rsidRDefault="00777538" w:rsidP="00423C01">
      <w:r w:rsidRPr="00777538">
        <w:t xml:space="preserve">Furthermore, addressing unconscious biases in recruitment and advancement processes is critical for levelling the playing field. To raise awareness and promote fair evaluation practises, businesses are implementing diversity and inclusion training </w:t>
      </w:r>
      <w:r w:rsidR="004E1BBA" w:rsidRPr="00777538">
        <w:t>programmers</w:t>
      </w:r>
      <w:r w:rsidR="00F42749">
        <w:t>, a</w:t>
      </w:r>
      <w:r w:rsidR="00F42749" w:rsidRPr="00777538">
        <w:t>dditional</w:t>
      </w:r>
      <w:r w:rsidRPr="00777538">
        <w:t xml:space="preserve"> strategies intended for mitigating biases which could disadvantage women in work environments include the push for diverse hiring sections and the use of blind recruitment processes. </w:t>
      </w:r>
      <w:r w:rsidR="00B34549" w:rsidRPr="00B34549">
        <w:t xml:space="preserve">While women have made significant inroads in many fields, certain industries continue to struggle with gender imbalances. Women continue to be underrepresented in fields such as technology and finance, for example. Efforts to close this gap include targeted recruitment campaigns, mentorship </w:t>
      </w:r>
      <w:r w:rsidR="004E1BBA" w:rsidRPr="00B34549">
        <w:t>programmers</w:t>
      </w:r>
      <w:r w:rsidR="00B34549" w:rsidRPr="00B34549">
        <w:t>, and the formation of mutually beneficial relationships within these industries. Women can be pushed into careers in traditionally dominated by men sectors by breaking down barriers and challenging stereotypes, resulting in a more inclusive workforce.</w:t>
      </w:r>
      <w:r w:rsidR="00F42749">
        <w:t>, e</w:t>
      </w:r>
      <w:r w:rsidR="00A6507B" w:rsidRPr="00A6507B">
        <w:t xml:space="preserve">ducation and mentoring are powerful tools for empowering women in the workplace in the twenty-first century. Encouraging girls to </w:t>
      </w:r>
      <w:r w:rsidR="00F42749" w:rsidRPr="00A6507B">
        <w:t>pursue</w:t>
      </w:r>
      <w:r w:rsidR="00F42749">
        <w:t xml:space="preserve">, </w:t>
      </w:r>
      <w:r w:rsidR="00F42749" w:rsidRPr="00A6507B">
        <w:t>Science</w:t>
      </w:r>
      <w:r w:rsidR="00F42749" w:rsidRPr="00F42749">
        <w:t xml:space="preserve"> Technology Engineering and Mathematics</w:t>
      </w:r>
      <w:r w:rsidR="00F42749" w:rsidRPr="00F42749">
        <w:t xml:space="preserve"> </w:t>
      </w:r>
      <w:r w:rsidR="00F42749">
        <w:t>(</w:t>
      </w:r>
      <w:r w:rsidR="00F42749" w:rsidRPr="00A6507B">
        <w:t>STEM</w:t>
      </w:r>
      <w:r w:rsidR="00F42749">
        <w:t xml:space="preserve">) </w:t>
      </w:r>
      <w:r w:rsidR="00F42749" w:rsidRPr="00A6507B">
        <w:t>education</w:t>
      </w:r>
      <w:r w:rsidR="00A6507B" w:rsidRPr="00A6507B">
        <w:t xml:space="preserve"> and providing mentorship possibilities for women aspiring to positions of leadership are critical steps towards creating a more equitable workforce</w:t>
      </w:r>
      <w:r w:rsidR="00920815">
        <w:t xml:space="preserve"> (</w:t>
      </w:r>
      <w:r w:rsidR="0096032B">
        <w:rPr>
          <w:shd w:val="clear" w:color="auto" w:fill="FFFFFF"/>
        </w:rPr>
        <w:t>UNICEF, 2020</w:t>
      </w:r>
      <w:r w:rsidR="00920815">
        <w:t>)</w:t>
      </w:r>
      <w:r w:rsidR="00A6507B" w:rsidRPr="00A6507B">
        <w:t xml:space="preserve">. Investments in education, training, and mentoring </w:t>
      </w:r>
      <w:r w:rsidR="004E1BBA" w:rsidRPr="00A6507B">
        <w:t>programs</w:t>
      </w:r>
      <w:r w:rsidR="00A6507B" w:rsidRPr="00A6507B">
        <w:t xml:space="preserve"> benefit not only individuals but also the general economic growth of communities and nations. </w:t>
      </w:r>
      <w:r w:rsidR="002041BD" w:rsidRPr="002041BD">
        <w:t xml:space="preserve">Women's roles in the workplace differ significantly across cultures and regions. While many Western countries have made progress, challenges remain in other parts of the world where </w:t>
      </w:r>
      <w:r w:rsidR="002041BD" w:rsidRPr="002041BD">
        <w:lastRenderedPageBreak/>
        <w:t xml:space="preserve">social expectations and systemic barriers prevent women from fully participating in the </w:t>
      </w:r>
      <w:r w:rsidR="00DD64C5" w:rsidRPr="002041BD">
        <w:t>labour</w:t>
      </w:r>
      <w:r w:rsidR="002041BD" w:rsidRPr="002041BD">
        <w:t xml:space="preserve"> force</w:t>
      </w:r>
      <w:r w:rsidR="00DD64C5">
        <w:t xml:space="preserve"> and recognizing</w:t>
      </w:r>
      <w:r w:rsidR="002041BD" w:rsidRPr="002041BD">
        <w:t xml:space="preserve"> and respecting </w:t>
      </w:r>
      <w:r w:rsidR="002C506A" w:rsidRPr="002041BD">
        <w:t>diverse cultural</w:t>
      </w:r>
      <w:r w:rsidR="002041BD" w:rsidRPr="002041BD">
        <w:t xml:space="preserve"> perspectives is critical for creating a global environment in which women of all backgrounds can thrive competently</w:t>
      </w:r>
      <w:r w:rsidR="002041BD">
        <w:t>.</w:t>
      </w:r>
    </w:p>
    <w:p w14:paraId="091B5FCA" w14:textId="334B5AFD" w:rsidR="00F36CD3" w:rsidRPr="00DD64C5" w:rsidRDefault="003D46AD" w:rsidP="00DD64C5">
      <w:pPr>
        <w:spacing w:line="259" w:lineRule="auto"/>
        <w:jc w:val="left"/>
        <w:rPr>
          <w:rFonts w:eastAsiaTheme="majorEastAsia" w:cstheme="majorBidi"/>
          <w:b/>
          <w:sz w:val="28"/>
          <w:szCs w:val="32"/>
        </w:rPr>
      </w:pPr>
      <w:r w:rsidRPr="003D46AD">
        <w:t xml:space="preserve">The workplace of the twenty-first century is undergoing profound change, with women playing a critical role in reshaping its landscape. The business world is becoming more diverse, inclusive, and innovative as more women break down barriers, assume leadership roles, and advocate for workplace policies that promote work-life balance. However, issues such as gender pay disparities and persistent biases persist, necessitating ongoing efforts to create a truly level playing field. Moving forward, it is critical that societies, </w:t>
      </w:r>
      <w:r w:rsidR="00A25236" w:rsidRPr="003D46AD">
        <w:t>organizations</w:t>
      </w:r>
      <w:r w:rsidRPr="003D46AD">
        <w:t xml:space="preserve">, and individuals work together to eliminate gender disparities. </w:t>
      </w:r>
      <w:r w:rsidR="0082685E" w:rsidRPr="0082685E">
        <w:t xml:space="preserve">Education, coaching, and the promotion of leadership diversity are critical components of this collaborative effort. By </w:t>
      </w:r>
      <w:r w:rsidR="00A25236" w:rsidRPr="0082685E">
        <w:t>utilizing</w:t>
      </w:r>
      <w:r w:rsidR="0082685E" w:rsidRPr="0082685E">
        <w:t xml:space="preserve"> women</w:t>
      </w:r>
      <w:r w:rsidR="004A5A55">
        <w:t xml:space="preserve"> i</w:t>
      </w:r>
      <w:r w:rsidR="0082685E" w:rsidRPr="0082685E">
        <w:t xml:space="preserve">s full potential in employment, we not only advance gender equality but also </w:t>
      </w:r>
      <w:r w:rsidR="004E1BBA" w:rsidRPr="0082685E">
        <w:t>open</w:t>
      </w:r>
      <w:r w:rsidR="0082685E" w:rsidRPr="0082685E">
        <w:t xml:space="preserve"> new avenues for economic development, social advancement, and global innovation. The twenty-first century offers an opportunity to rewrite the story of women in the workplace, </w:t>
      </w:r>
      <w:r w:rsidR="00FE6497">
        <w:t>recognizing</w:t>
      </w:r>
      <w:r w:rsidR="0082685E" w:rsidRPr="0082685E">
        <w:t xml:space="preserve"> and </w:t>
      </w:r>
      <w:r w:rsidR="00FE6497">
        <w:t>recognizing</w:t>
      </w:r>
      <w:r w:rsidR="0082685E" w:rsidRPr="0082685E">
        <w:t xml:space="preserve"> the vital contributions they make to the ever-changing world of work.</w:t>
      </w:r>
    </w:p>
    <w:p w14:paraId="7A36738A" w14:textId="77777777" w:rsidR="004B6DEA" w:rsidRDefault="004B6DEA">
      <w:pPr>
        <w:spacing w:line="259" w:lineRule="auto"/>
        <w:jc w:val="left"/>
      </w:pPr>
      <w:r>
        <w:br w:type="page"/>
      </w:r>
    </w:p>
    <w:p w14:paraId="15FB66F4" w14:textId="77777777" w:rsidR="004B6DEA" w:rsidRPr="00CD3E4B" w:rsidRDefault="004B6DEA" w:rsidP="004E1BBA">
      <w:pPr>
        <w:pStyle w:val="Heading1"/>
        <w:jc w:val="center"/>
        <w:rPr>
          <w:u w:val="single"/>
        </w:rPr>
      </w:pPr>
      <w:r w:rsidRPr="00CD3E4B">
        <w:rPr>
          <w:u w:val="single"/>
        </w:rPr>
        <w:lastRenderedPageBreak/>
        <w:t>References</w:t>
      </w:r>
    </w:p>
    <w:p w14:paraId="554CCC16" w14:textId="77777777" w:rsidR="004E1BBA" w:rsidRPr="004E1BBA" w:rsidRDefault="004E1BBA" w:rsidP="004E1BBA"/>
    <w:p w14:paraId="466EC6F9" w14:textId="77777777" w:rsidR="004E1BBA" w:rsidRDefault="004E1BBA" w:rsidP="004E1BBA">
      <w:pPr>
        <w:ind w:left="720" w:hanging="720"/>
      </w:pPr>
      <w:r>
        <w:t>Avolio, B., Chávez, J. and Vílchez-Román, C., (2020). Factors that contribute to the underrepresentation of women in science careers worldwide: A literature review. Social Psychology of Education, 23(3), pp.773-794.</w:t>
      </w:r>
    </w:p>
    <w:p w14:paraId="66C14202" w14:textId="74D26C08" w:rsidR="00073C29" w:rsidRPr="00073C29" w:rsidRDefault="00073C29" w:rsidP="004E1BBA">
      <w:pPr>
        <w:ind w:left="720" w:hanging="720"/>
      </w:pPr>
      <w:r w:rsidRPr="00073C29">
        <w:t>Emily</w:t>
      </w:r>
      <w:r>
        <w:t>,</w:t>
      </w:r>
      <w:r w:rsidRPr="00073C29">
        <w:t xml:space="preserve"> L. (2023)</w:t>
      </w:r>
      <w:r>
        <w:t>, ‘</w:t>
      </w:r>
      <w:r w:rsidRPr="00073C29">
        <w:rPr>
          <w:i/>
          <w:iCs/>
        </w:rPr>
        <w:t>Breaking Down Barriers for Women in Politics</w:t>
      </w:r>
      <w:r w:rsidRPr="00073C29">
        <w:rPr>
          <w:i/>
          <w:iCs/>
        </w:rPr>
        <w:t>’</w:t>
      </w:r>
      <w:r>
        <w:t>,</w:t>
      </w:r>
      <w:r w:rsidRPr="00073C29">
        <w:t xml:space="preserve"> </w:t>
      </w:r>
      <w:r>
        <w:t xml:space="preserve">Pivotal, </w:t>
      </w:r>
      <w:r w:rsidR="001D5B18" w:rsidRPr="001D5B18">
        <w:t>Availa</w:t>
      </w:r>
      <w:r w:rsidR="001D5B18">
        <w:t xml:space="preserve">ble at:  </w:t>
      </w:r>
      <w:hyperlink r:id="rId7" w:history="1">
        <w:r w:rsidRPr="003C4EB9">
          <w:rPr>
            <w:rStyle w:val="Hyperlink"/>
          </w:rPr>
          <w:t>file:///C:/Users/ermaneren/Desktop/standards-of-conduct-performance-and-ethics-easy-read.pd</w:t>
        </w:r>
        <w:r w:rsidRPr="003C4EB9">
          <w:rPr>
            <w:rStyle w:val="Hyperlink"/>
          </w:rPr>
          <w:t>f</w:t>
        </w:r>
      </w:hyperlink>
      <w:r>
        <w:t xml:space="preserve"> </w:t>
      </w:r>
    </w:p>
    <w:p w14:paraId="22D40651" w14:textId="77777777" w:rsidR="004E1BBA" w:rsidRDefault="004E1BBA" w:rsidP="004E1BBA">
      <w:pPr>
        <w:ind w:left="720" w:hanging="720"/>
      </w:pPr>
      <w:r>
        <w:t>Dashper, K., (2019). Challenging the gendered rhetoric of success? The limitations of women‐only mentoring for tackling gender inequality in the workplace. Gender, Work &amp; Organization, 26(4), pp.541-557.</w:t>
      </w:r>
    </w:p>
    <w:p w14:paraId="3B0317C9" w14:textId="6304634C" w:rsidR="004E1BBA" w:rsidRDefault="004E1BBA" w:rsidP="004E1BBA">
      <w:pPr>
        <w:ind w:left="720" w:hanging="720"/>
      </w:pPr>
      <w:r>
        <w:t>Dodd, E., Ellis, S. and Singh, S., (2023). Making the invisible, visible: a twenty-first century approach to tertiary preparation, attainment, and access to student equity. International Journal of Inclusive Education, 27(2), pp.167-187.</w:t>
      </w:r>
    </w:p>
    <w:p w14:paraId="00B44301" w14:textId="77777777" w:rsidR="004E1BBA" w:rsidRDefault="004E1BBA" w:rsidP="004E1BBA">
      <w:pPr>
        <w:ind w:left="720" w:hanging="720"/>
      </w:pPr>
      <w:r>
        <w:t>Ely, R.J. and Thomas, D.A., (2020). Getting serious about diversity. Harvard Business Review, 98(6), pp.114-122.</w:t>
      </w:r>
    </w:p>
    <w:p w14:paraId="1E7B2DB2" w14:textId="77777777" w:rsidR="004E1BBA" w:rsidRDefault="004E1BBA" w:rsidP="004E1BBA">
      <w:pPr>
        <w:ind w:left="720" w:hanging="720"/>
      </w:pPr>
      <w:r>
        <w:t>Feitosa, J., Hagenbuch, S., Patel, B. and Davis, A., 2022. Performing in diverse settings: a diversity, equity, and inclusion approach to culture. International Journal of Cross-Cultural Management, 22(3), pp.433-457.</w:t>
      </w:r>
    </w:p>
    <w:p w14:paraId="7694BF35" w14:textId="77777777" w:rsidR="004E1BBA" w:rsidRDefault="004E1BBA" w:rsidP="004E1BBA">
      <w:pPr>
        <w:ind w:left="720" w:hanging="720"/>
      </w:pPr>
      <w:r>
        <w:t>Hasan, A., Ghosh, A., Mahmood, M.N. and Thaheem, M.J., (2021). Scientometric review of the twenty-first century research on women in construction. Journal of management in engineering, 37(3), p.04021004.</w:t>
      </w:r>
    </w:p>
    <w:p w14:paraId="026A7727" w14:textId="1FC14A4A" w:rsidR="00F07153" w:rsidRDefault="00F07153" w:rsidP="004E1BBA">
      <w:pPr>
        <w:ind w:left="720" w:hanging="720"/>
      </w:pPr>
      <w:r w:rsidRPr="00F07153">
        <w:t xml:space="preserve">Kekelis, L. (2017). </w:t>
      </w:r>
      <w:r w:rsidRPr="00F07153">
        <w:rPr>
          <w:i/>
          <w:iCs/>
        </w:rPr>
        <w:t>'Parent Engagement: Key for Girls in STEM</w:t>
      </w:r>
      <w:r w:rsidRPr="00F07153">
        <w:t>.' The Parent Engagement: Key for Girls in ST</w:t>
      </w:r>
      <w:r>
        <w:t>EM.</w:t>
      </w:r>
    </w:p>
    <w:p w14:paraId="43784CC7" w14:textId="77777777" w:rsidR="004E1BBA" w:rsidRDefault="004E1BBA" w:rsidP="004E1BBA">
      <w:pPr>
        <w:ind w:left="720" w:hanging="720"/>
      </w:pPr>
      <w:r>
        <w:t>Keohane, N.O., (2020). Women, power &amp; leadership. Daedalus, 149(1), pp.236-250.</w:t>
      </w:r>
    </w:p>
    <w:p w14:paraId="6AD1F37F" w14:textId="0B0A01A8" w:rsidR="00CD3E4B" w:rsidRDefault="00CD3E4B" w:rsidP="004E1BBA">
      <w:pPr>
        <w:ind w:left="720" w:hanging="720"/>
      </w:pPr>
      <w:r w:rsidRPr="00CD3E4B">
        <w:lastRenderedPageBreak/>
        <w:t xml:space="preserve">Milella F, </w:t>
      </w:r>
      <w:r>
        <w:t>et at., (2021). ‘</w:t>
      </w:r>
      <w:r w:rsidRPr="00CD3E4B">
        <w:rPr>
          <w:i/>
          <w:iCs/>
        </w:rPr>
        <w:t>Change and Innovation in Healthcare: Findings from Literature</w:t>
      </w:r>
      <w:r>
        <w:rPr>
          <w:i/>
          <w:iCs/>
        </w:rPr>
        <w:t>’</w:t>
      </w:r>
      <w:r>
        <w:t xml:space="preserve">, </w:t>
      </w:r>
      <w:r w:rsidRPr="00CD3E4B">
        <w:t xml:space="preserve">Clinicoecon Outcomes Res. 2021 May </w:t>
      </w:r>
      <w:r>
        <w:t xml:space="preserve">pp. </w:t>
      </w:r>
      <w:r w:rsidRPr="00CD3E4B">
        <w:t>395-408. doi: 10.2147/CEOR.S301169. PMID: 34040399; PMCID: PMC814139</w:t>
      </w:r>
      <w:r>
        <w:t xml:space="preserve">8 </w:t>
      </w:r>
    </w:p>
    <w:p w14:paraId="2F3F7D44" w14:textId="79263B8A" w:rsidR="00CF46DA" w:rsidRDefault="004E1BBA" w:rsidP="004E1BBA">
      <w:pPr>
        <w:ind w:left="720" w:hanging="720"/>
      </w:pPr>
      <w:r>
        <w:t>Rahman, K.S. and Thelen, K., (2019). The rise of the platform business model and the transformation of twenty-first-century capitalism. Politics &amp; society, 47(2), pp.177-204.</w:t>
      </w:r>
    </w:p>
    <w:p w14:paraId="0EF314FD" w14:textId="77777777" w:rsidR="001D5B18" w:rsidRDefault="001D5B18" w:rsidP="001D5B18">
      <w:pPr>
        <w:ind w:left="720" w:hanging="720"/>
        <w:jc w:val="left"/>
        <w:rPr>
          <w:i/>
          <w:iCs/>
        </w:rPr>
      </w:pPr>
      <w:r>
        <w:t>Jason M., et at., (2023). ‘</w:t>
      </w:r>
      <w:r w:rsidRPr="001D5B18">
        <w:rPr>
          <w:i/>
          <w:iCs/>
        </w:rPr>
        <w:t xml:space="preserve">The Power </w:t>
      </w:r>
      <w:r w:rsidRPr="001D5B18">
        <w:rPr>
          <w:i/>
          <w:iCs/>
        </w:rPr>
        <w:t>Of Diversity</w:t>
      </w:r>
      <w:r w:rsidRPr="001D5B18">
        <w:rPr>
          <w:i/>
          <w:iCs/>
        </w:rPr>
        <w:t xml:space="preserve"> And Inclusion: Driving Innovation And Success</w:t>
      </w:r>
      <w:r>
        <w:rPr>
          <w:i/>
          <w:iCs/>
        </w:rPr>
        <w:t xml:space="preserve">’, </w:t>
      </w:r>
    </w:p>
    <w:p w14:paraId="04E2BB4E" w14:textId="1F80BDA1" w:rsidR="00F42749" w:rsidRPr="00F42749" w:rsidRDefault="00F42749" w:rsidP="001D5B18">
      <w:pPr>
        <w:ind w:left="720" w:hanging="720"/>
        <w:jc w:val="left"/>
      </w:pPr>
      <w:r w:rsidRPr="00F42749">
        <w:t xml:space="preserve">He, J. C., </w:t>
      </w:r>
      <w:r>
        <w:t>et at.,</w:t>
      </w:r>
      <w:r w:rsidRPr="00F42749">
        <w:t xml:space="preserve"> (2021). </w:t>
      </w:r>
      <w:r>
        <w:t>‘</w:t>
      </w:r>
      <w:r w:rsidRPr="00F42749">
        <w:rPr>
          <w:i/>
          <w:iCs/>
        </w:rPr>
        <w:t xml:space="preserve">Covering in cover letters: Gender and self-presentation in job </w:t>
      </w:r>
      <w:r w:rsidRPr="00F42749">
        <w:rPr>
          <w:i/>
          <w:iCs/>
        </w:rPr>
        <w:t>applications</w:t>
      </w:r>
      <w:r>
        <w:t xml:space="preserve">’ </w:t>
      </w:r>
      <w:r w:rsidRPr="00F42749">
        <w:t xml:space="preserve"> Academy of Management Journal, </w:t>
      </w:r>
      <w:r>
        <w:t>Vol.</w:t>
      </w:r>
      <w:r w:rsidRPr="00F42749">
        <w:t>64</w:t>
      </w:r>
      <w:r>
        <w:t xml:space="preserve">, pp. </w:t>
      </w:r>
      <w:r w:rsidRPr="00F42749">
        <w:t xml:space="preserve">1097–1126. </w:t>
      </w:r>
      <w:hyperlink r:id="rId8" w:history="1">
        <w:r w:rsidRPr="003C4EB9">
          <w:rPr>
            <w:rStyle w:val="Hyperlink"/>
          </w:rPr>
          <w:t>https://doi.org/10.5465/amj.2018.128</w:t>
        </w:r>
        <w:r w:rsidRPr="003C4EB9">
          <w:rPr>
            <w:rStyle w:val="Hyperlink"/>
          </w:rPr>
          <w:t>0</w:t>
        </w:r>
      </w:hyperlink>
      <w:r>
        <w:t xml:space="preserve"> </w:t>
      </w:r>
    </w:p>
    <w:p w14:paraId="1B364568" w14:textId="1E78D4A7" w:rsidR="001D5B18" w:rsidRPr="001D5B18" w:rsidRDefault="001D5B18" w:rsidP="001D5B18">
      <w:pPr>
        <w:ind w:left="720" w:hanging="720"/>
        <w:jc w:val="left"/>
      </w:pPr>
      <w:r>
        <w:t xml:space="preserve">Forbes, </w:t>
      </w:r>
      <w:r w:rsidRPr="001D5B18">
        <w:t>Available at:</w:t>
      </w:r>
      <w:r w:rsidRPr="001D5B18">
        <w:rPr>
          <w:i/>
          <w:iCs/>
        </w:rPr>
        <w:t xml:space="preserve">  </w:t>
      </w:r>
      <w:hyperlink r:id="rId9" w:history="1">
        <w:r w:rsidRPr="001D5B18">
          <w:rPr>
            <w:rStyle w:val="Hyperlink"/>
          </w:rPr>
          <w:t>https://www.forbes.com/sites/forbesbusinesscouncil/2023/08/16/the-power-of-diversity-and-inclusion-driving-innovation-and-success</w:t>
        </w:r>
        <w:r w:rsidRPr="001D5B18">
          <w:rPr>
            <w:rStyle w:val="Hyperlink"/>
          </w:rPr>
          <w:t>/</w:t>
        </w:r>
      </w:hyperlink>
      <w:r w:rsidRPr="001D5B18">
        <w:t xml:space="preserve"> </w:t>
      </w:r>
    </w:p>
    <w:sectPr w:rsidR="001D5B18" w:rsidRPr="001D5B18">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15865" w14:textId="77777777" w:rsidR="001B0F29" w:rsidRDefault="001B0F29" w:rsidP="00AF2461">
      <w:pPr>
        <w:spacing w:after="0" w:line="240" w:lineRule="auto"/>
      </w:pPr>
      <w:r>
        <w:separator/>
      </w:r>
    </w:p>
  </w:endnote>
  <w:endnote w:type="continuationSeparator" w:id="0">
    <w:p w14:paraId="4BD6B6E4" w14:textId="77777777" w:rsidR="001B0F29" w:rsidRDefault="001B0F29" w:rsidP="00AF24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7101150"/>
      <w:docPartObj>
        <w:docPartGallery w:val="Page Numbers (Bottom of Page)"/>
        <w:docPartUnique/>
      </w:docPartObj>
    </w:sdtPr>
    <w:sdtEndPr>
      <w:rPr>
        <w:noProof/>
      </w:rPr>
    </w:sdtEndPr>
    <w:sdtContent>
      <w:p w14:paraId="28966171" w14:textId="77777777" w:rsidR="00AF2461" w:rsidRDefault="00AF24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24F0E9" w14:textId="77777777" w:rsidR="00AF2461" w:rsidRDefault="00AF24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02CF9" w14:textId="77777777" w:rsidR="001B0F29" w:rsidRDefault="001B0F29" w:rsidP="00AF2461">
      <w:pPr>
        <w:spacing w:after="0" w:line="240" w:lineRule="auto"/>
      </w:pPr>
      <w:r>
        <w:separator/>
      </w:r>
    </w:p>
  </w:footnote>
  <w:footnote w:type="continuationSeparator" w:id="0">
    <w:p w14:paraId="43C984D5" w14:textId="77777777" w:rsidR="001B0F29" w:rsidRDefault="001B0F29" w:rsidP="00AF24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A10"/>
    <w:rsid w:val="000018C3"/>
    <w:rsid w:val="000352D5"/>
    <w:rsid w:val="00073C29"/>
    <w:rsid w:val="0008528A"/>
    <w:rsid w:val="000D198D"/>
    <w:rsid w:val="000E159E"/>
    <w:rsid w:val="000E6E19"/>
    <w:rsid w:val="000F6C43"/>
    <w:rsid w:val="00131514"/>
    <w:rsid w:val="0013651A"/>
    <w:rsid w:val="00140C41"/>
    <w:rsid w:val="001413B0"/>
    <w:rsid w:val="0014531C"/>
    <w:rsid w:val="00167919"/>
    <w:rsid w:val="00182F6D"/>
    <w:rsid w:val="00197ED6"/>
    <w:rsid w:val="001B0F29"/>
    <w:rsid w:val="001D5B18"/>
    <w:rsid w:val="002041BD"/>
    <w:rsid w:val="00205172"/>
    <w:rsid w:val="0021278A"/>
    <w:rsid w:val="00241B30"/>
    <w:rsid w:val="00272054"/>
    <w:rsid w:val="00290BB1"/>
    <w:rsid w:val="002A352F"/>
    <w:rsid w:val="002A7795"/>
    <w:rsid w:val="002B2F89"/>
    <w:rsid w:val="002C506A"/>
    <w:rsid w:val="002E1E1B"/>
    <w:rsid w:val="002F19AE"/>
    <w:rsid w:val="00313018"/>
    <w:rsid w:val="00366843"/>
    <w:rsid w:val="00386F0B"/>
    <w:rsid w:val="003B488A"/>
    <w:rsid w:val="003B7C36"/>
    <w:rsid w:val="003D46AD"/>
    <w:rsid w:val="003D7A8E"/>
    <w:rsid w:val="003E2DA1"/>
    <w:rsid w:val="003F7640"/>
    <w:rsid w:val="00422394"/>
    <w:rsid w:val="00423C01"/>
    <w:rsid w:val="00427E9F"/>
    <w:rsid w:val="00432167"/>
    <w:rsid w:val="0045724A"/>
    <w:rsid w:val="004A5A55"/>
    <w:rsid w:val="004A5BFA"/>
    <w:rsid w:val="004B6DEA"/>
    <w:rsid w:val="004E1BBA"/>
    <w:rsid w:val="0050040E"/>
    <w:rsid w:val="00517EAC"/>
    <w:rsid w:val="00527F81"/>
    <w:rsid w:val="00541ABF"/>
    <w:rsid w:val="005C20BC"/>
    <w:rsid w:val="005E576A"/>
    <w:rsid w:val="00606D9A"/>
    <w:rsid w:val="00606F08"/>
    <w:rsid w:val="00657D9D"/>
    <w:rsid w:val="006814DB"/>
    <w:rsid w:val="006900A8"/>
    <w:rsid w:val="006C19BC"/>
    <w:rsid w:val="006C2507"/>
    <w:rsid w:val="006D05B1"/>
    <w:rsid w:val="006E3E1E"/>
    <w:rsid w:val="006E5756"/>
    <w:rsid w:val="007100A8"/>
    <w:rsid w:val="00710BDC"/>
    <w:rsid w:val="007576E0"/>
    <w:rsid w:val="00777538"/>
    <w:rsid w:val="00777DB0"/>
    <w:rsid w:val="00790599"/>
    <w:rsid w:val="00795E11"/>
    <w:rsid w:val="007C1851"/>
    <w:rsid w:val="007C6A10"/>
    <w:rsid w:val="007E74CD"/>
    <w:rsid w:val="007F5B6E"/>
    <w:rsid w:val="0080176B"/>
    <w:rsid w:val="0082685E"/>
    <w:rsid w:val="008434C8"/>
    <w:rsid w:val="00854765"/>
    <w:rsid w:val="00872168"/>
    <w:rsid w:val="00893365"/>
    <w:rsid w:val="008E6612"/>
    <w:rsid w:val="009009B1"/>
    <w:rsid w:val="00920815"/>
    <w:rsid w:val="00925496"/>
    <w:rsid w:val="00952945"/>
    <w:rsid w:val="00953EE8"/>
    <w:rsid w:val="0096032B"/>
    <w:rsid w:val="00973259"/>
    <w:rsid w:val="009743CF"/>
    <w:rsid w:val="0098011B"/>
    <w:rsid w:val="00994D9F"/>
    <w:rsid w:val="009C766A"/>
    <w:rsid w:val="009D78ED"/>
    <w:rsid w:val="009E18EF"/>
    <w:rsid w:val="009E4D33"/>
    <w:rsid w:val="00A25236"/>
    <w:rsid w:val="00A3639E"/>
    <w:rsid w:val="00A6507B"/>
    <w:rsid w:val="00A80C0C"/>
    <w:rsid w:val="00A84BFA"/>
    <w:rsid w:val="00A93612"/>
    <w:rsid w:val="00AD30E9"/>
    <w:rsid w:val="00AF2461"/>
    <w:rsid w:val="00B26DDC"/>
    <w:rsid w:val="00B34549"/>
    <w:rsid w:val="00B7263E"/>
    <w:rsid w:val="00B83E25"/>
    <w:rsid w:val="00BC6464"/>
    <w:rsid w:val="00C1688F"/>
    <w:rsid w:val="00C36153"/>
    <w:rsid w:val="00C72537"/>
    <w:rsid w:val="00C82075"/>
    <w:rsid w:val="00CC2C6C"/>
    <w:rsid w:val="00CD3E4B"/>
    <w:rsid w:val="00CF46DA"/>
    <w:rsid w:val="00D034C6"/>
    <w:rsid w:val="00D17945"/>
    <w:rsid w:val="00D5305D"/>
    <w:rsid w:val="00D87CB8"/>
    <w:rsid w:val="00D9128C"/>
    <w:rsid w:val="00DA2A09"/>
    <w:rsid w:val="00DD3124"/>
    <w:rsid w:val="00DD64C5"/>
    <w:rsid w:val="00E74D36"/>
    <w:rsid w:val="00E8582E"/>
    <w:rsid w:val="00EA6D01"/>
    <w:rsid w:val="00F05CC5"/>
    <w:rsid w:val="00F07153"/>
    <w:rsid w:val="00F15EAC"/>
    <w:rsid w:val="00F36CD3"/>
    <w:rsid w:val="00F42749"/>
    <w:rsid w:val="00F5348B"/>
    <w:rsid w:val="00F714BB"/>
    <w:rsid w:val="00FA24E9"/>
    <w:rsid w:val="00FE64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14A85"/>
  <w15:chartTrackingRefBased/>
  <w15:docId w15:val="{0DBD01D3-62E4-46E1-B3EA-8D61333C3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31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41B30"/>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53EE8"/>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953EE8"/>
    <w:rPr>
      <w:rFonts w:ascii="Times New Roman" w:eastAsiaTheme="majorEastAsia" w:hAnsi="Times New Roman" w:cstheme="majorBidi"/>
      <w:b/>
      <w:spacing w:val="-10"/>
      <w:kern w:val="28"/>
      <w:sz w:val="36"/>
      <w:szCs w:val="56"/>
      <w:u w:val="single"/>
    </w:rPr>
  </w:style>
  <w:style w:type="character" w:customStyle="1" w:styleId="Heading1Char">
    <w:name w:val="Heading 1 Char"/>
    <w:basedOn w:val="DefaultParagraphFont"/>
    <w:link w:val="Heading1"/>
    <w:uiPriority w:val="9"/>
    <w:rsid w:val="00241B30"/>
    <w:rPr>
      <w:rFonts w:ascii="Times New Roman" w:eastAsiaTheme="majorEastAsia" w:hAnsi="Times New Roman" w:cstheme="majorBidi"/>
      <w:b/>
      <w:sz w:val="28"/>
      <w:szCs w:val="32"/>
    </w:rPr>
  </w:style>
  <w:style w:type="paragraph" w:styleId="Header">
    <w:name w:val="header"/>
    <w:basedOn w:val="Normal"/>
    <w:link w:val="HeaderChar"/>
    <w:uiPriority w:val="99"/>
    <w:unhideWhenUsed/>
    <w:rsid w:val="00AF24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2461"/>
    <w:rPr>
      <w:rFonts w:ascii="Times New Roman" w:hAnsi="Times New Roman"/>
      <w:sz w:val="24"/>
    </w:rPr>
  </w:style>
  <w:style w:type="paragraph" w:styleId="Footer">
    <w:name w:val="footer"/>
    <w:basedOn w:val="Normal"/>
    <w:link w:val="FooterChar"/>
    <w:uiPriority w:val="99"/>
    <w:unhideWhenUsed/>
    <w:rsid w:val="00AF24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2461"/>
    <w:rPr>
      <w:rFonts w:ascii="Times New Roman" w:hAnsi="Times New Roman"/>
      <w:sz w:val="24"/>
    </w:rPr>
  </w:style>
  <w:style w:type="character" w:styleId="Hyperlink">
    <w:name w:val="Hyperlink"/>
    <w:basedOn w:val="DefaultParagraphFont"/>
    <w:uiPriority w:val="99"/>
    <w:unhideWhenUsed/>
    <w:rsid w:val="00073C29"/>
    <w:rPr>
      <w:color w:val="0563C1" w:themeColor="hyperlink"/>
      <w:u w:val="single"/>
    </w:rPr>
  </w:style>
  <w:style w:type="character" w:styleId="UnresolvedMention">
    <w:name w:val="Unresolved Mention"/>
    <w:basedOn w:val="DefaultParagraphFont"/>
    <w:uiPriority w:val="99"/>
    <w:semiHidden/>
    <w:unhideWhenUsed/>
    <w:rsid w:val="00073C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655005">
      <w:bodyDiv w:val="1"/>
      <w:marLeft w:val="0"/>
      <w:marRight w:val="0"/>
      <w:marTop w:val="0"/>
      <w:marBottom w:val="0"/>
      <w:divBdr>
        <w:top w:val="none" w:sz="0" w:space="0" w:color="auto"/>
        <w:left w:val="none" w:sz="0" w:space="0" w:color="auto"/>
        <w:bottom w:val="none" w:sz="0" w:space="0" w:color="auto"/>
        <w:right w:val="none" w:sz="0" w:space="0" w:color="auto"/>
      </w:divBdr>
      <w:divsChild>
        <w:div w:id="545292080">
          <w:marLeft w:val="0"/>
          <w:marRight w:val="0"/>
          <w:marTop w:val="0"/>
          <w:marBottom w:val="0"/>
          <w:divBdr>
            <w:top w:val="single" w:sz="2" w:space="0" w:color="D9D9E3"/>
            <w:left w:val="single" w:sz="2" w:space="0" w:color="D9D9E3"/>
            <w:bottom w:val="single" w:sz="2" w:space="0" w:color="D9D9E3"/>
            <w:right w:val="single" w:sz="2" w:space="0" w:color="D9D9E3"/>
          </w:divBdr>
          <w:divsChild>
            <w:div w:id="822964990">
              <w:marLeft w:val="0"/>
              <w:marRight w:val="0"/>
              <w:marTop w:val="0"/>
              <w:marBottom w:val="0"/>
              <w:divBdr>
                <w:top w:val="single" w:sz="2" w:space="0" w:color="D9D9E3"/>
                <w:left w:val="single" w:sz="2" w:space="0" w:color="D9D9E3"/>
                <w:bottom w:val="single" w:sz="2" w:space="0" w:color="D9D9E3"/>
                <w:right w:val="single" w:sz="2" w:space="0" w:color="D9D9E3"/>
              </w:divBdr>
              <w:divsChild>
                <w:div w:id="1137920463">
                  <w:marLeft w:val="0"/>
                  <w:marRight w:val="0"/>
                  <w:marTop w:val="0"/>
                  <w:marBottom w:val="0"/>
                  <w:divBdr>
                    <w:top w:val="single" w:sz="2" w:space="0" w:color="D9D9E3"/>
                    <w:left w:val="single" w:sz="2" w:space="0" w:color="D9D9E3"/>
                    <w:bottom w:val="single" w:sz="2" w:space="0" w:color="D9D9E3"/>
                    <w:right w:val="single" w:sz="2" w:space="0" w:color="D9D9E3"/>
                  </w:divBdr>
                  <w:divsChild>
                    <w:div w:id="2072268323">
                      <w:marLeft w:val="0"/>
                      <w:marRight w:val="0"/>
                      <w:marTop w:val="0"/>
                      <w:marBottom w:val="0"/>
                      <w:divBdr>
                        <w:top w:val="single" w:sz="2" w:space="0" w:color="D9D9E3"/>
                        <w:left w:val="single" w:sz="2" w:space="0" w:color="D9D9E3"/>
                        <w:bottom w:val="single" w:sz="2" w:space="0" w:color="D9D9E3"/>
                        <w:right w:val="single" w:sz="2" w:space="0" w:color="D9D9E3"/>
                      </w:divBdr>
                      <w:divsChild>
                        <w:div w:id="1377655227">
                          <w:marLeft w:val="0"/>
                          <w:marRight w:val="0"/>
                          <w:marTop w:val="0"/>
                          <w:marBottom w:val="0"/>
                          <w:divBdr>
                            <w:top w:val="single" w:sz="2" w:space="0" w:color="auto"/>
                            <w:left w:val="single" w:sz="2" w:space="0" w:color="auto"/>
                            <w:bottom w:val="single" w:sz="6" w:space="0" w:color="auto"/>
                            <w:right w:val="single" w:sz="2" w:space="0" w:color="auto"/>
                          </w:divBdr>
                          <w:divsChild>
                            <w:div w:id="176232475">
                              <w:marLeft w:val="0"/>
                              <w:marRight w:val="0"/>
                              <w:marTop w:val="100"/>
                              <w:marBottom w:val="100"/>
                              <w:divBdr>
                                <w:top w:val="single" w:sz="2" w:space="0" w:color="D9D9E3"/>
                                <w:left w:val="single" w:sz="2" w:space="0" w:color="D9D9E3"/>
                                <w:bottom w:val="single" w:sz="2" w:space="0" w:color="D9D9E3"/>
                                <w:right w:val="single" w:sz="2" w:space="0" w:color="D9D9E3"/>
                              </w:divBdr>
                              <w:divsChild>
                                <w:div w:id="489517551">
                                  <w:marLeft w:val="0"/>
                                  <w:marRight w:val="0"/>
                                  <w:marTop w:val="0"/>
                                  <w:marBottom w:val="0"/>
                                  <w:divBdr>
                                    <w:top w:val="single" w:sz="2" w:space="0" w:color="D9D9E3"/>
                                    <w:left w:val="single" w:sz="2" w:space="0" w:color="D9D9E3"/>
                                    <w:bottom w:val="single" w:sz="2" w:space="0" w:color="D9D9E3"/>
                                    <w:right w:val="single" w:sz="2" w:space="0" w:color="D9D9E3"/>
                                  </w:divBdr>
                                  <w:divsChild>
                                    <w:div w:id="1669479716">
                                      <w:marLeft w:val="0"/>
                                      <w:marRight w:val="0"/>
                                      <w:marTop w:val="0"/>
                                      <w:marBottom w:val="0"/>
                                      <w:divBdr>
                                        <w:top w:val="single" w:sz="2" w:space="0" w:color="D9D9E3"/>
                                        <w:left w:val="single" w:sz="2" w:space="0" w:color="D9D9E3"/>
                                        <w:bottom w:val="single" w:sz="2" w:space="0" w:color="D9D9E3"/>
                                        <w:right w:val="single" w:sz="2" w:space="0" w:color="D9D9E3"/>
                                      </w:divBdr>
                                      <w:divsChild>
                                        <w:div w:id="797648708">
                                          <w:marLeft w:val="0"/>
                                          <w:marRight w:val="0"/>
                                          <w:marTop w:val="0"/>
                                          <w:marBottom w:val="0"/>
                                          <w:divBdr>
                                            <w:top w:val="single" w:sz="2" w:space="0" w:color="D9D9E3"/>
                                            <w:left w:val="single" w:sz="2" w:space="0" w:color="D9D9E3"/>
                                            <w:bottom w:val="single" w:sz="2" w:space="0" w:color="D9D9E3"/>
                                            <w:right w:val="single" w:sz="2" w:space="0" w:color="D9D9E3"/>
                                          </w:divBdr>
                                          <w:divsChild>
                                            <w:div w:id="1812138049">
                                              <w:marLeft w:val="0"/>
                                              <w:marRight w:val="0"/>
                                              <w:marTop w:val="0"/>
                                              <w:marBottom w:val="0"/>
                                              <w:divBdr>
                                                <w:top w:val="single" w:sz="2" w:space="0" w:color="D9D9E3"/>
                                                <w:left w:val="single" w:sz="2" w:space="0" w:color="D9D9E3"/>
                                                <w:bottom w:val="single" w:sz="2" w:space="0" w:color="D9D9E3"/>
                                                <w:right w:val="single" w:sz="2" w:space="0" w:color="D9D9E3"/>
                                              </w:divBdr>
                                              <w:divsChild>
                                                <w:div w:id="906384456">
                                                  <w:marLeft w:val="0"/>
                                                  <w:marRight w:val="0"/>
                                                  <w:marTop w:val="0"/>
                                                  <w:marBottom w:val="0"/>
                                                  <w:divBdr>
                                                    <w:top w:val="single" w:sz="2" w:space="0" w:color="D9D9E3"/>
                                                    <w:left w:val="single" w:sz="2" w:space="0" w:color="D9D9E3"/>
                                                    <w:bottom w:val="single" w:sz="2" w:space="0" w:color="D9D9E3"/>
                                                    <w:right w:val="single" w:sz="2" w:space="0" w:color="D9D9E3"/>
                                                  </w:divBdr>
                                                  <w:divsChild>
                                                    <w:div w:id="7857356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94805035">
          <w:marLeft w:val="0"/>
          <w:marRight w:val="0"/>
          <w:marTop w:val="0"/>
          <w:marBottom w:val="0"/>
          <w:divBdr>
            <w:top w:val="none" w:sz="0" w:space="0" w:color="auto"/>
            <w:left w:val="none" w:sz="0" w:space="0" w:color="auto"/>
            <w:bottom w:val="none" w:sz="0" w:space="0" w:color="auto"/>
            <w:right w:val="none" w:sz="0" w:space="0" w:color="auto"/>
          </w:divBdr>
        </w:div>
      </w:divsChild>
    </w:div>
    <w:div w:id="452335067">
      <w:bodyDiv w:val="1"/>
      <w:marLeft w:val="0"/>
      <w:marRight w:val="0"/>
      <w:marTop w:val="0"/>
      <w:marBottom w:val="0"/>
      <w:divBdr>
        <w:top w:val="none" w:sz="0" w:space="0" w:color="auto"/>
        <w:left w:val="none" w:sz="0" w:space="0" w:color="auto"/>
        <w:bottom w:val="none" w:sz="0" w:space="0" w:color="auto"/>
        <w:right w:val="none" w:sz="0" w:space="0" w:color="auto"/>
      </w:divBdr>
      <w:divsChild>
        <w:div w:id="1839223125">
          <w:marLeft w:val="0"/>
          <w:marRight w:val="0"/>
          <w:marTop w:val="0"/>
          <w:marBottom w:val="0"/>
          <w:divBdr>
            <w:top w:val="none" w:sz="0" w:space="0" w:color="auto"/>
            <w:left w:val="none" w:sz="0" w:space="0" w:color="auto"/>
            <w:bottom w:val="none" w:sz="0" w:space="0" w:color="auto"/>
            <w:right w:val="none" w:sz="0" w:space="0" w:color="auto"/>
          </w:divBdr>
        </w:div>
        <w:div w:id="1119569482">
          <w:marLeft w:val="0"/>
          <w:marRight w:val="0"/>
          <w:marTop w:val="0"/>
          <w:marBottom w:val="0"/>
          <w:divBdr>
            <w:top w:val="none" w:sz="0" w:space="0" w:color="auto"/>
            <w:left w:val="none" w:sz="0" w:space="0" w:color="auto"/>
            <w:bottom w:val="none" w:sz="0" w:space="0" w:color="auto"/>
            <w:right w:val="none" w:sz="0" w:space="0" w:color="auto"/>
          </w:divBdr>
        </w:div>
        <w:div w:id="471364599">
          <w:marLeft w:val="0"/>
          <w:marRight w:val="0"/>
          <w:marTop w:val="0"/>
          <w:marBottom w:val="0"/>
          <w:divBdr>
            <w:top w:val="none" w:sz="0" w:space="0" w:color="auto"/>
            <w:left w:val="none" w:sz="0" w:space="0" w:color="auto"/>
            <w:bottom w:val="none" w:sz="0" w:space="0" w:color="auto"/>
            <w:right w:val="none" w:sz="0" w:space="0" w:color="auto"/>
          </w:divBdr>
        </w:div>
        <w:div w:id="2098624530">
          <w:marLeft w:val="0"/>
          <w:marRight w:val="0"/>
          <w:marTop w:val="0"/>
          <w:marBottom w:val="0"/>
          <w:divBdr>
            <w:top w:val="none" w:sz="0" w:space="0" w:color="auto"/>
            <w:left w:val="none" w:sz="0" w:space="0" w:color="auto"/>
            <w:bottom w:val="none" w:sz="0" w:space="0" w:color="auto"/>
            <w:right w:val="none" w:sz="0" w:space="0" w:color="auto"/>
          </w:divBdr>
        </w:div>
        <w:div w:id="20416677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465/amj.2018.1280" TargetMode="External"/><Relationship Id="rId3" Type="http://schemas.openxmlformats.org/officeDocument/2006/relationships/settings" Target="settings.xml"/><Relationship Id="rId7" Type="http://schemas.openxmlformats.org/officeDocument/2006/relationships/hyperlink" Target="file:///C:/Users/ermaneren/Desktop/standards-of-conduct-performance-and-ethics-easy-read.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forbes.com/sites/forbesbusinesscouncil/2023/08/16/the-power-of-diversity-and-inclusion-driving-innovation-and-suc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0D13A1-5404-45EA-A234-E1F3852F5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1411</Words>
  <Characters>8046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ermaneren</dc:creator>
  <cp:keywords/>
  <dc:description/>
  <cp:lastModifiedBy>Ana Iordache (2215819)</cp:lastModifiedBy>
  <cp:revision>2</cp:revision>
  <dcterms:created xsi:type="dcterms:W3CDTF">2023-12-14T21:30:00Z</dcterms:created>
  <dcterms:modified xsi:type="dcterms:W3CDTF">2023-12-14T21:30:00Z</dcterms:modified>
</cp:coreProperties>
</file>