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EDF668" w14:textId="79AD5614" w:rsidR="00A31B49" w:rsidRDefault="00881EBC">
      <w:pPr>
        <w:pStyle w:val="Heading1"/>
        <w:rPr>
          <w:rFonts w:ascii="Times New Roman" w:eastAsia="Times New Roman" w:hAnsi="Times New Roman" w:cs="Times New Roman"/>
          <w:b/>
          <w:bCs/>
          <w:color w:val="auto"/>
          <w:kern w:val="36"/>
          <w:sz w:val="48"/>
          <w:szCs w:val="48"/>
          <w14:ligatures w14:val="none"/>
        </w:rPr>
      </w:pPr>
      <w:r>
        <w:t xml:space="preserve">                         </w:t>
      </w:r>
      <w:r w:rsidR="003A113A" w:rsidRPr="003A113A">
        <w:rPr>
          <w:rFonts w:ascii="Times New Roman" w:eastAsia="Times New Roman" w:hAnsi="Times New Roman" w:cs="Times New Roman"/>
          <w:b/>
          <w:bCs/>
          <w:color w:val="auto"/>
          <w:kern w:val="36"/>
          <w:sz w:val="48"/>
          <w:szCs w:val="48"/>
          <w14:ligatures w14:val="none"/>
        </w:rPr>
        <w:t>Stakeholder Engagement</w:t>
      </w:r>
    </w:p>
    <w:p w14:paraId="54732D7A" w14:textId="7F906134" w:rsidR="003A113A" w:rsidRPr="00A31B49" w:rsidRDefault="003A113A">
      <w:pPr>
        <w:pStyle w:val="Heading1"/>
      </w:pPr>
      <w:r w:rsidRPr="003A113A">
        <w:rPr>
          <w:rFonts w:ascii="Times New Roman" w:eastAsia="Times New Roman" w:hAnsi="Times New Roman" w:cs="Times New Roman"/>
          <w:b/>
          <w:bCs/>
          <w:color w:val="auto"/>
          <w:kern w:val="36"/>
          <w:sz w:val="48"/>
          <w:szCs w:val="48"/>
          <w14:ligatures w14:val="none"/>
        </w:rPr>
        <w:t>Report: ConnectPlus Digital Loyalty and Customer Engagement Platform</w:t>
      </w:r>
    </w:p>
    <w:p w14:paraId="61A47D68" w14:textId="77777777" w:rsidR="003A113A" w:rsidRPr="003A113A" w:rsidRDefault="003A113A" w:rsidP="003A113A">
      <w:pPr>
        <w:spacing w:before="100" w:beforeAutospacing="1" w:after="100" w:afterAutospacing="1" w:line="240" w:lineRule="auto"/>
        <w:rPr>
          <w:rFonts w:ascii="Times New Roman" w:hAnsi="Times New Roman" w:cs="Times New Roman"/>
          <w:kern w:val="0"/>
          <w14:ligatures w14:val="none"/>
        </w:rPr>
      </w:pPr>
      <w:r w:rsidRPr="003A113A">
        <w:rPr>
          <w:rFonts w:ascii="Times New Roman" w:hAnsi="Times New Roman" w:cs="Times New Roman"/>
          <w:b/>
          <w:bCs/>
          <w:kern w:val="0"/>
          <w14:ligatures w14:val="none"/>
        </w:rPr>
        <w:t>Organisation:</w:t>
      </w:r>
      <w:r w:rsidRPr="003A113A">
        <w:rPr>
          <w:rFonts w:ascii="Times New Roman" w:hAnsi="Times New Roman" w:cs="Times New Roman"/>
          <w:kern w:val="0"/>
          <w14:ligatures w14:val="none"/>
        </w:rPr>
        <w:t xml:space="preserve"> Tesco PLC</w:t>
      </w:r>
      <w:r w:rsidRPr="003A113A">
        <w:rPr>
          <w:rFonts w:ascii="Times New Roman" w:hAnsi="Times New Roman" w:cs="Times New Roman"/>
          <w:kern w:val="0"/>
          <w14:ligatures w14:val="none"/>
        </w:rPr>
        <w:br/>
      </w:r>
      <w:r w:rsidRPr="003A113A">
        <w:rPr>
          <w:rFonts w:ascii="Times New Roman" w:hAnsi="Times New Roman" w:cs="Times New Roman"/>
          <w:b/>
          <w:bCs/>
          <w:kern w:val="0"/>
          <w14:ligatures w14:val="none"/>
        </w:rPr>
        <w:t>Project:</w:t>
      </w:r>
      <w:r w:rsidRPr="003A113A">
        <w:rPr>
          <w:rFonts w:ascii="Times New Roman" w:hAnsi="Times New Roman" w:cs="Times New Roman"/>
          <w:kern w:val="0"/>
          <w14:ligatures w14:val="none"/>
        </w:rPr>
        <w:t xml:space="preserve"> ConnectPlus Global Digital Loyalty and Customer Engagement Platform</w:t>
      </w:r>
      <w:r w:rsidRPr="003A113A">
        <w:rPr>
          <w:rFonts w:ascii="Times New Roman" w:hAnsi="Times New Roman" w:cs="Times New Roman"/>
          <w:kern w:val="0"/>
          <w14:ligatures w14:val="none"/>
        </w:rPr>
        <w:br/>
      </w:r>
      <w:r w:rsidRPr="003A113A">
        <w:rPr>
          <w:rFonts w:ascii="Times New Roman" w:hAnsi="Times New Roman" w:cs="Times New Roman"/>
          <w:b/>
          <w:bCs/>
          <w:kern w:val="0"/>
          <w14:ligatures w14:val="none"/>
        </w:rPr>
        <w:t>Role:</w:t>
      </w:r>
      <w:r w:rsidRPr="003A113A">
        <w:rPr>
          <w:rFonts w:ascii="Times New Roman" w:hAnsi="Times New Roman" w:cs="Times New Roman"/>
          <w:kern w:val="0"/>
          <w14:ligatures w14:val="none"/>
        </w:rPr>
        <w:t xml:space="preserve"> Project Manager</w:t>
      </w:r>
      <w:r w:rsidRPr="003A113A">
        <w:rPr>
          <w:rFonts w:ascii="Times New Roman" w:hAnsi="Times New Roman" w:cs="Times New Roman"/>
          <w:kern w:val="0"/>
          <w14:ligatures w14:val="none"/>
        </w:rPr>
        <w:br/>
      </w:r>
      <w:r w:rsidRPr="003A113A">
        <w:rPr>
          <w:rFonts w:ascii="Times New Roman" w:hAnsi="Times New Roman" w:cs="Times New Roman"/>
          <w:b/>
          <w:bCs/>
          <w:kern w:val="0"/>
          <w14:ligatures w14:val="none"/>
        </w:rPr>
        <w:t>Target implementation:</w:t>
      </w:r>
      <w:r w:rsidRPr="003A113A">
        <w:rPr>
          <w:rFonts w:ascii="Times New Roman" w:hAnsi="Times New Roman" w:cs="Times New Roman"/>
          <w:kern w:val="0"/>
          <w14:ligatures w14:val="none"/>
        </w:rPr>
        <w:t xml:space="preserve"> Six months from project approval</w:t>
      </w:r>
      <w:r w:rsidRPr="003A113A">
        <w:rPr>
          <w:rFonts w:ascii="Times New Roman" w:hAnsi="Times New Roman" w:cs="Times New Roman"/>
          <w:kern w:val="0"/>
          <w14:ligatures w14:val="none"/>
        </w:rPr>
        <w:br/>
      </w:r>
      <w:r w:rsidRPr="003A113A">
        <w:rPr>
          <w:rFonts w:ascii="Times New Roman" w:hAnsi="Times New Roman" w:cs="Times New Roman"/>
          <w:b/>
          <w:bCs/>
          <w:kern w:val="0"/>
          <w14:ligatures w14:val="none"/>
        </w:rPr>
        <w:t>Approximate word count:</w:t>
      </w:r>
      <w:r w:rsidRPr="003A113A">
        <w:rPr>
          <w:rFonts w:ascii="Times New Roman" w:hAnsi="Times New Roman" w:cs="Times New Roman"/>
          <w:kern w:val="0"/>
          <w14:ligatures w14:val="none"/>
        </w:rPr>
        <w:t xml:space="preserve"> 4,050 words excluding references, tables and contents</w:t>
      </w:r>
    </w:p>
    <w:p w14:paraId="7E6BE1AF" w14:textId="77777777" w:rsidR="003A113A" w:rsidRPr="003A113A" w:rsidRDefault="003A113A" w:rsidP="003A113A">
      <w:pPr>
        <w:spacing w:after="0" w:line="240" w:lineRule="auto"/>
        <w:rPr>
          <w:rFonts w:ascii="Times New Roman" w:eastAsia="Times New Roman" w:hAnsi="Times New Roman" w:cs="Times New Roman"/>
          <w:kern w:val="0"/>
          <w14:ligatures w14:val="none"/>
        </w:rPr>
      </w:pPr>
      <w:r w:rsidRPr="003A113A">
        <w:rPr>
          <w:rFonts w:ascii="Times New Roman" w:eastAsia="Times New Roman" w:hAnsi="Times New Roman" w:cs="Times New Roman"/>
          <w:noProof/>
          <w:kern w:val="0"/>
          <w14:ligatures w14:val="none"/>
        </w:rPr>
        <mc:AlternateContent>
          <mc:Choice Requires="wps">
            <w:drawing>
              <wp:inline distT="0" distB="0" distL="0" distR="0" wp14:anchorId="1634570C" wp14:editId="70FC3415">
                <wp:extent cx="5731510" cy="1270"/>
                <wp:effectExtent l="0" t="31750" r="0" b="36830"/>
                <wp:docPr id="27764188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C04C293"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BBDEDCA" w14:textId="77777777" w:rsidR="003A113A" w:rsidRPr="003A113A" w:rsidRDefault="003A113A" w:rsidP="003A113A">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3A113A">
        <w:rPr>
          <w:rFonts w:ascii="Times New Roman" w:eastAsia="Times New Roman" w:hAnsi="Times New Roman" w:cs="Times New Roman"/>
          <w:b/>
          <w:bCs/>
          <w:kern w:val="0"/>
          <w:sz w:val="36"/>
          <w:szCs w:val="36"/>
          <w14:ligatures w14:val="none"/>
        </w:rPr>
        <w:t>Executive Summary</w:t>
      </w:r>
    </w:p>
    <w:p w14:paraId="10581190" w14:textId="33F6A387" w:rsidR="003A113A" w:rsidRPr="003A113A" w:rsidRDefault="003A113A" w:rsidP="003A113A">
      <w:pPr>
        <w:spacing w:before="100" w:beforeAutospacing="1" w:after="100" w:afterAutospacing="1" w:line="240" w:lineRule="auto"/>
        <w:rPr>
          <w:rFonts w:ascii="Times New Roman" w:hAnsi="Times New Roman" w:cs="Times New Roman"/>
          <w:kern w:val="0"/>
          <w14:ligatures w14:val="none"/>
        </w:rPr>
      </w:pPr>
      <w:r w:rsidRPr="003A113A">
        <w:rPr>
          <w:rFonts w:ascii="Times New Roman" w:hAnsi="Times New Roman" w:cs="Times New Roman"/>
          <w:kern w:val="0"/>
          <w14:ligatures w14:val="none"/>
        </w:rPr>
        <w:t xml:space="preserve">This report evaluates the stakeholder engagement strategy required for Tesco PLC to successfully design and launch </w:t>
      </w:r>
      <w:r w:rsidRPr="003A113A">
        <w:rPr>
          <w:rFonts w:ascii="Times New Roman" w:hAnsi="Times New Roman" w:cs="Times New Roman"/>
          <w:b/>
          <w:bCs/>
          <w:kern w:val="0"/>
          <w14:ligatures w14:val="none"/>
        </w:rPr>
        <w:t>ConnectPlus</w:t>
      </w:r>
      <w:r w:rsidRPr="003A113A">
        <w:rPr>
          <w:rFonts w:ascii="Times New Roman" w:hAnsi="Times New Roman" w:cs="Times New Roman"/>
          <w:kern w:val="0"/>
          <w14:ligatures w14:val="none"/>
        </w:rPr>
        <w:t>, a digitally enhanced customer loyalty and engagement platform across selected local and international markets. ConnectPlus is assumed to integrate artificial intelligence (AI)-driven personalised recommendations, mobile rewards and data-driven customer insights. The project is strategically aligned with Tesco’s existing emphasis on customer loyalty, digital transformation and data-driven personalisation. Tesco already has a strong foundation through Clubcard: in 2025, more than 23 million UK households had a Clubcard, while Tesco’s Clubcard Prices and personalised digital services demonstrate the commercial importance of customer data and loyalty. (</w:t>
      </w:r>
      <w:hyperlink r:id="rId7" w:history="1">
        <w:r w:rsidRPr="003A113A">
          <w:rPr>
            <w:rFonts w:ascii="Times New Roman" w:hAnsi="Times New Roman" w:cs="Times New Roman"/>
            <w:color w:val="0000FF"/>
            <w:kern w:val="0"/>
            <w:u w:val="single"/>
            <w14:ligatures w14:val="none"/>
          </w:rPr>
          <w:t>Tesco Bank</w:t>
        </w:r>
      </w:hyperlink>
      <w:r w:rsidRPr="003A113A">
        <w:rPr>
          <w:rFonts w:ascii="Times New Roman" w:hAnsi="Times New Roman" w:cs="Times New Roman"/>
          <w:kern w:val="0"/>
          <w14:ligatures w14:val="none"/>
        </w:rPr>
        <w:t>⁠)</w:t>
      </w:r>
    </w:p>
    <w:p w14:paraId="13A6EB15" w14:textId="77777777" w:rsidR="00E52CD8" w:rsidRDefault="00E52CD8">
      <w:pPr>
        <w:pStyle w:val="p1"/>
        <w:rPr>
          <w:rStyle w:val="s1"/>
        </w:rPr>
      </w:pPr>
      <w:r>
        <w:t xml:space="preserve">The report applies </w:t>
      </w:r>
      <w:r>
        <w:rPr>
          <w:rStyle w:val="s2"/>
          <w:b/>
          <w:bCs/>
        </w:rPr>
        <w:t>Freeman’s stakeholder theory</w:t>
      </w:r>
      <w:r>
        <w:rPr>
          <w:rStyle w:val="s1"/>
        </w:rPr>
        <w:t xml:space="preserve">, </w:t>
      </w:r>
      <w:r>
        <w:rPr>
          <w:rStyle w:val="s2"/>
          <w:b/>
          <w:bCs/>
        </w:rPr>
        <w:t>Mitchell, Agle and Wood’s stakeholder salience model</w:t>
      </w:r>
      <w:r>
        <w:rPr>
          <w:rStyle w:val="s1"/>
        </w:rPr>
        <w:t xml:space="preserve">, </w:t>
      </w:r>
      <w:r>
        <w:rPr>
          <w:rStyle w:val="s2"/>
          <w:b/>
          <w:bCs/>
        </w:rPr>
        <w:t>Mendelow’s power-interest matrix</w:t>
      </w:r>
      <w:r>
        <w:rPr>
          <w:rStyle w:val="s1"/>
        </w:rPr>
        <w:t xml:space="preserve">, a </w:t>
      </w:r>
      <w:r>
        <w:rPr>
          <w:rStyle w:val="s2"/>
          <w:b/>
          <w:bCs/>
        </w:rPr>
        <w:t>RACI framework</w:t>
      </w:r>
      <w:r>
        <w:rPr>
          <w:rStyle w:val="s1"/>
        </w:rPr>
        <w:t xml:space="preserve">, and the </w:t>
      </w:r>
      <w:r>
        <w:rPr>
          <w:rStyle w:val="s2"/>
          <w:b/>
          <w:bCs/>
        </w:rPr>
        <w:t>4Cs model of Communication, Consultation, Collaboration and Commitment</w:t>
      </w:r>
      <w:r>
        <w:rPr>
          <w:rStyle w:val="s1"/>
        </w:rPr>
        <w:t>. These frameworks are used to identify, prioritise and engage stakeholders throughout the six-month implementation.</w:t>
      </w:r>
    </w:p>
    <w:p w14:paraId="059536FC" w14:textId="77777777" w:rsidR="00E52CD8" w:rsidRDefault="00E52CD8">
      <w:pPr>
        <w:pStyle w:val="p1"/>
      </w:pPr>
      <w:r>
        <w:t>The analysis identifies senior management, the project team, IT and AI specialists, marketing, data protection, legal, customer service, store colleagues, finance and regional management as key internal stakeholders. External stakeholders include customers, suppliers, technology partners, regulators, investors, payment providers, loyalty partners and consumer advocacy groups. Stakeholder engagement is treated as a continuous strategic process rather than simply a communication exercise.</w:t>
      </w:r>
    </w:p>
    <w:p w14:paraId="486B176C" w14:textId="763FBE00" w:rsidR="00E52CD8" w:rsidRDefault="00E52CD8">
      <w:pPr>
        <w:pStyle w:val="p1"/>
        <w:rPr>
          <w:rStyle w:val="s2"/>
        </w:rPr>
      </w:pPr>
      <w:r>
        <w:t xml:space="preserve">The report argues that effective engagement can increase innovation, adoption, customer trust, employee commitment, regulatory readiness and commercial performance. However, poor engagement may create resistance, privacy concerns, cultural misunderstandings, data-security risks and reputational damage. These risks are particularly significant because ConnectPlus relies on customer profiling and AI. The Information Commissioner’s Office </w:t>
      </w:r>
      <w:r>
        <w:lastRenderedPageBreak/>
        <w:t>(ICO) emphasises fairness, transparency, lawful processing, data minimisation and mechanisms allowing individuals to object to profiling. (</w:t>
      </w:r>
      <w:hyperlink r:id="rId8" w:history="1">
        <w:r>
          <w:rPr>
            <w:rStyle w:val="Hyperlink"/>
          </w:rPr>
          <w:t>ICO</w:t>
        </w:r>
      </w:hyperlink>
      <w:r w:rsidR="00693CB1">
        <w:rPr>
          <w:rStyle w:val="s2"/>
        </w:rPr>
        <w:t xml:space="preserve">) </w:t>
      </w:r>
    </w:p>
    <w:p w14:paraId="20D369E5" w14:textId="77777777" w:rsidR="008E29F4" w:rsidRDefault="008E29F4">
      <w:pPr>
        <w:pStyle w:val="p1"/>
        <w:rPr>
          <w:rStyle w:val="s1"/>
        </w:rPr>
      </w:pPr>
      <w:r>
        <w:t xml:space="preserve">The report therefore recommends a </w:t>
      </w:r>
      <w:r>
        <w:rPr>
          <w:rStyle w:val="s2"/>
          <w:b/>
          <w:bCs/>
        </w:rPr>
        <w:t>stakeholder-led governance structure</w:t>
      </w:r>
      <w:r>
        <w:rPr>
          <w:rStyle w:val="s1"/>
        </w:rPr>
        <w:t>, local market engagement teams, continuous customer consultation, ethical AI controls, transparent data practices, a RACI matrix, culturally adapted communication and measurable engagement KPIs. Sustainable stakeholder engagement should ultimately become part of Tesco’s long-term digital strategy rather than ending at launch.</w:t>
      </w:r>
    </w:p>
    <w:p w14:paraId="73B31E55" w14:textId="77777777" w:rsidR="00E319BC" w:rsidRPr="00E319BC" w:rsidRDefault="00E319BC" w:rsidP="00E319B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319BC">
        <w:rPr>
          <w:rFonts w:ascii="Times New Roman" w:eastAsia="Times New Roman" w:hAnsi="Times New Roman" w:cs="Times New Roman"/>
          <w:b/>
          <w:bCs/>
          <w:kern w:val="36"/>
          <w:sz w:val="48"/>
          <w:szCs w:val="48"/>
          <w14:ligatures w14:val="none"/>
        </w:rPr>
        <w:t>1. Introduction: Tesco PLC and ConnectPlus</w:t>
      </w:r>
    </w:p>
    <w:p w14:paraId="399F888F" w14:textId="77777777" w:rsidR="00E319BC" w:rsidRPr="00E319BC" w:rsidRDefault="00E319BC" w:rsidP="00E319BC">
      <w:pPr>
        <w:spacing w:before="100" w:beforeAutospacing="1" w:after="100" w:afterAutospacing="1" w:line="240" w:lineRule="auto"/>
        <w:rPr>
          <w:rFonts w:ascii="Times New Roman" w:hAnsi="Times New Roman" w:cs="Times New Roman"/>
          <w:kern w:val="0"/>
          <w14:ligatures w14:val="none"/>
        </w:rPr>
      </w:pPr>
      <w:r w:rsidRPr="00E319BC">
        <w:rPr>
          <w:rFonts w:ascii="Times New Roman" w:hAnsi="Times New Roman" w:cs="Times New Roman"/>
          <w:kern w:val="0"/>
          <w14:ligatures w14:val="none"/>
        </w:rPr>
        <w:t>Tesco PLC is a leading UK-based international retail organisation operating across grocery retail, convenience, online shopping, financial services and other customer-facing businesses. Its business model is built around providing value, convenience and quality while maintaining long-term relationships with customers, colleagues, suppliers and other stakeholders. Tesco’s Clubcard provides a particularly relevant foundation for ConnectPlus because it already combines customer loyalty, rewards, customer data and personalised offers.</w:t>
      </w:r>
    </w:p>
    <w:p w14:paraId="38469C28" w14:textId="77777777" w:rsidR="00E319BC" w:rsidRPr="00E319BC" w:rsidRDefault="00E319BC" w:rsidP="00E319BC">
      <w:pPr>
        <w:spacing w:before="100" w:beforeAutospacing="1" w:after="100" w:afterAutospacing="1" w:line="240" w:lineRule="auto"/>
        <w:rPr>
          <w:rFonts w:ascii="Times New Roman" w:hAnsi="Times New Roman" w:cs="Times New Roman"/>
          <w:kern w:val="0"/>
          <w14:ligatures w14:val="none"/>
        </w:rPr>
      </w:pPr>
      <w:r w:rsidRPr="00E319BC">
        <w:rPr>
          <w:rFonts w:ascii="Times New Roman" w:hAnsi="Times New Roman" w:cs="Times New Roman"/>
          <w:kern w:val="0"/>
          <w14:ligatures w14:val="none"/>
        </w:rPr>
        <w:t>Tesco’s 2025 Annual Report identifies loyalty as an important element of its customer strategy, while Clubcard Prices provide customers with substantial savings. (</w:t>
      </w:r>
      <w:hyperlink r:id="rId9" w:history="1">
        <w:r w:rsidRPr="00E319BC">
          <w:rPr>
            <w:rFonts w:ascii="Times New Roman" w:hAnsi="Times New Roman" w:cs="Times New Roman"/>
            <w:color w:val="0000FF"/>
            <w:kern w:val="0"/>
            <w:u w:val="single"/>
            <w14:ligatures w14:val="none"/>
          </w:rPr>
          <w:t>Tesco</w:t>
        </w:r>
      </w:hyperlink>
      <w:r w:rsidRPr="00E319BC">
        <w:rPr>
          <w:rFonts w:ascii="Times New Roman" w:hAnsi="Times New Roman" w:cs="Times New Roman"/>
          <w:kern w:val="0"/>
          <w14:ligatures w14:val="none"/>
        </w:rPr>
        <w:t>⁠</w:t>
      </w:r>
      <w:r w:rsidRPr="00E319BC">
        <w:rPr>
          <w:rFonts w:ascii="Times New Roman" w:hAnsi="Times New Roman" w:cs="Times New Roman"/>
          <w:noProof/>
          <w:kern w:val="0"/>
          <w14:ligatures w14:val="none"/>
        </w:rPr>
        <mc:AlternateContent>
          <mc:Choice Requires="wps">
            <w:drawing>
              <wp:inline distT="0" distB="0" distL="0" distR="0" wp14:anchorId="0C889187" wp14:editId="6E43AA80">
                <wp:extent cx="306705" cy="306705"/>
                <wp:effectExtent l="0" t="0" r="0" b="0"/>
                <wp:docPr id="1596559232"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C6D551" id="Rectangle 5"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E319BC">
        <w:rPr>
          <w:rFonts w:ascii="Times New Roman" w:hAnsi="Times New Roman" w:cs="Times New Roman"/>
          <w:kern w:val="0"/>
          <w14:ligatures w14:val="none"/>
        </w:rPr>
        <w:t>) Tesco also reported that more than 18 million customers were due to receive its personalised “Clubcard Unpacked” shopping summary in January 2025. This demonstrates how customer data can be transformed into personalised digital experiences. (</w:t>
      </w:r>
      <w:hyperlink r:id="rId10" w:history="1">
        <w:r w:rsidRPr="00E319BC">
          <w:rPr>
            <w:rFonts w:ascii="Times New Roman" w:hAnsi="Times New Roman" w:cs="Times New Roman"/>
            <w:color w:val="0000FF"/>
            <w:kern w:val="0"/>
            <w:u w:val="single"/>
            <w14:ligatures w14:val="none"/>
          </w:rPr>
          <w:t>Tesco Bank</w:t>
        </w:r>
      </w:hyperlink>
      <w:r w:rsidRPr="00E319BC">
        <w:rPr>
          <w:rFonts w:ascii="Times New Roman" w:hAnsi="Times New Roman" w:cs="Times New Roman"/>
          <w:kern w:val="0"/>
          <w14:ligatures w14:val="none"/>
        </w:rPr>
        <w:t>⁠</w:t>
      </w:r>
      <w:r w:rsidRPr="00E319BC">
        <w:rPr>
          <w:rFonts w:ascii="Times New Roman" w:hAnsi="Times New Roman" w:cs="Times New Roman"/>
          <w:noProof/>
          <w:kern w:val="0"/>
          <w14:ligatures w14:val="none"/>
        </w:rPr>
        <mc:AlternateContent>
          <mc:Choice Requires="wps">
            <w:drawing>
              <wp:inline distT="0" distB="0" distL="0" distR="0" wp14:anchorId="34F0F520" wp14:editId="1AF8936F">
                <wp:extent cx="306705" cy="306705"/>
                <wp:effectExtent l="0" t="0" r="0" b="0"/>
                <wp:docPr id="205433196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3552E9" id="Rectangle 4"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E319BC">
        <w:rPr>
          <w:rFonts w:ascii="Times New Roman" w:hAnsi="Times New Roman" w:cs="Times New Roman"/>
          <w:kern w:val="0"/>
          <w14:ligatures w14:val="none"/>
        </w:rPr>
        <w:t>)</w:t>
      </w:r>
    </w:p>
    <w:p w14:paraId="07E18BF1" w14:textId="77777777" w:rsidR="00E319BC" w:rsidRPr="00E319BC" w:rsidRDefault="00E319BC" w:rsidP="00E319BC">
      <w:pPr>
        <w:spacing w:before="100" w:beforeAutospacing="1" w:after="100" w:afterAutospacing="1" w:line="240" w:lineRule="auto"/>
        <w:rPr>
          <w:rFonts w:ascii="Times New Roman" w:hAnsi="Times New Roman" w:cs="Times New Roman"/>
          <w:kern w:val="0"/>
          <w14:ligatures w14:val="none"/>
        </w:rPr>
      </w:pPr>
      <w:r w:rsidRPr="00E319BC">
        <w:rPr>
          <w:rFonts w:ascii="Times New Roman" w:hAnsi="Times New Roman" w:cs="Times New Roman"/>
          <w:kern w:val="0"/>
          <w14:ligatures w14:val="none"/>
        </w:rPr>
        <w:t xml:space="preserve">The proposed </w:t>
      </w:r>
      <w:r w:rsidRPr="00E319BC">
        <w:rPr>
          <w:rFonts w:ascii="Times New Roman" w:hAnsi="Times New Roman" w:cs="Times New Roman"/>
          <w:b/>
          <w:bCs/>
          <w:kern w:val="0"/>
          <w14:ligatures w14:val="none"/>
        </w:rPr>
        <w:t>ConnectPlus</w:t>
      </w:r>
      <w:r w:rsidRPr="00E319BC">
        <w:rPr>
          <w:rFonts w:ascii="Times New Roman" w:hAnsi="Times New Roman" w:cs="Times New Roman"/>
          <w:kern w:val="0"/>
          <w14:ligatures w14:val="none"/>
        </w:rPr>
        <w:t xml:space="preserve"> platform would build upon this digital capability. It would combine three principal functions: first, AI-powered recommendations based on customers’ shopping behaviour and preferences; second, mobile-based rewards and personalised incentives; and third, aggregated customer insights for managerial decision-making. The objective is not simply to introduce another mobile application but to create an integrated stakeholder ecosystem connecting customers, employees, suppliers, technology providers and Tesco’s decision-makers.</w:t>
      </w:r>
    </w:p>
    <w:p w14:paraId="72C2551E" w14:textId="77777777" w:rsidR="00E319BC" w:rsidRPr="00E319BC" w:rsidRDefault="00E319BC" w:rsidP="00E319BC">
      <w:pPr>
        <w:spacing w:before="100" w:beforeAutospacing="1" w:after="100" w:afterAutospacing="1" w:line="240" w:lineRule="auto"/>
        <w:rPr>
          <w:rFonts w:ascii="Times New Roman" w:hAnsi="Times New Roman" w:cs="Times New Roman"/>
          <w:kern w:val="0"/>
          <w14:ligatures w14:val="none"/>
        </w:rPr>
      </w:pPr>
      <w:r w:rsidRPr="00E319BC">
        <w:rPr>
          <w:rFonts w:ascii="Times New Roman" w:hAnsi="Times New Roman" w:cs="Times New Roman"/>
          <w:kern w:val="0"/>
          <w14:ligatures w14:val="none"/>
        </w:rPr>
        <w:t>The business case is strengthened by changing consumer expectations. McKinsey reports that 71% of consumers expect personalised interactions and 76% become frustrated when companies fail to provide them. Its research also indicates that faster-growing companies obtain a greater proportion of revenue from personalisation than slower-growing organisations. (</w:t>
      </w:r>
      <w:hyperlink r:id="rId11" w:history="1">
        <w:r w:rsidRPr="00E319BC">
          <w:rPr>
            <w:rFonts w:ascii="Times New Roman" w:hAnsi="Times New Roman" w:cs="Times New Roman"/>
            <w:color w:val="0000FF"/>
            <w:kern w:val="0"/>
            <w:u w:val="single"/>
            <w14:ligatures w14:val="none"/>
          </w:rPr>
          <w:t>McKinsey &amp; Company</w:t>
        </w:r>
      </w:hyperlink>
      <w:r w:rsidRPr="00E319BC">
        <w:rPr>
          <w:rFonts w:ascii="Times New Roman" w:hAnsi="Times New Roman" w:cs="Times New Roman"/>
          <w:kern w:val="0"/>
          <w14:ligatures w14:val="none"/>
        </w:rPr>
        <w:t>⁠</w:t>
      </w:r>
      <w:r w:rsidRPr="00E319BC">
        <w:rPr>
          <w:rFonts w:ascii="Times New Roman" w:hAnsi="Times New Roman" w:cs="Times New Roman"/>
          <w:noProof/>
          <w:kern w:val="0"/>
          <w14:ligatures w14:val="none"/>
        </w:rPr>
        <mc:AlternateContent>
          <mc:Choice Requires="wps">
            <w:drawing>
              <wp:inline distT="0" distB="0" distL="0" distR="0" wp14:anchorId="4D3CD5C0" wp14:editId="31E10B15">
                <wp:extent cx="306705" cy="306705"/>
                <wp:effectExtent l="0" t="0" r="0" b="0"/>
                <wp:docPr id="145340488"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583E7C" id="Rectangle 3"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E319BC">
        <w:rPr>
          <w:rFonts w:ascii="Times New Roman" w:hAnsi="Times New Roman" w:cs="Times New Roman"/>
          <w:kern w:val="0"/>
          <w14:ligatures w14:val="none"/>
        </w:rPr>
        <w:t>)</w:t>
      </w:r>
    </w:p>
    <w:p w14:paraId="2448656C" w14:textId="77777777" w:rsidR="00E319BC" w:rsidRPr="00E319BC" w:rsidRDefault="00E319BC" w:rsidP="00E319BC">
      <w:pPr>
        <w:spacing w:before="100" w:beforeAutospacing="1" w:after="100" w:afterAutospacing="1" w:line="240" w:lineRule="auto"/>
        <w:rPr>
          <w:rFonts w:ascii="Times New Roman" w:hAnsi="Times New Roman" w:cs="Times New Roman"/>
          <w:kern w:val="0"/>
          <w14:ligatures w14:val="none"/>
        </w:rPr>
      </w:pPr>
      <w:r w:rsidRPr="00E319BC">
        <w:rPr>
          <w:rFonts w:ascii="Times New Roman" w:hAnsi="Times New Roman" w:cs="Times New Roman"/>
          <w:kern w:val="0"/>
          <w14:ligatures w14:val="none"/>
        </w:rPr>
        <w:t>Tesco is already moving further towards AI-supported personalisation. In April 2026, Tesco announced a strategic partnership with Adobe to strengthen AI-driven personalised marketing using Clubcard data. Reuters reported that the partnership is intended to make customer content, offers and experiences more relevant. (</w:t>
      </w:r>
      <w:hyperlink r:id="rId12" w:history="1">
        <w:r w:rsidRPr="00E319BC">
          <w:rPr>
            <w:rFonts w:ascii="Times New Roman" w:hAnsi="Times New Roman" w:cs="Times New Roman"/>
            <w:color w:val="0000FF"/>
            <w:kern w:val="0"/>
            <w:u w:val="single"/>
            <w14:ligatures w14:val="none"/>
          </w:rPr>
          <w:t>Reuters</w:t>
        </w:r>
      </w:hyperlink>
      <w:r w:rsidRPr="00E319BC">
        <w:rPr>
          <w:rFonts w:ascii="Times New Roman" w:hAnsi="Times New Roman" w:cs="Times New Roman"/>
          <w:kern w:val="0"/>
          <w14:ligatures w14:val="none"/>
        </w:rPr>
        <w:t>⁠</w:t>
      </w:r>
      <w:r w:rsidRPr="00E319BC">
        <w:rPr>
          <w:rFonts w:ascii="Times New Roman" w:hAnsi="Times New Roman" w:cs="Times New Roman"/>
          <w:noProof/>
          <w:kern w:val="0"/>
          <w14:ligatures w14:val="none"/>
        </w:rPr>
        <mc:AlternateContent>
          <mc:Choice Requires="wps">
            <w:drawing>
              <wp:inline distT="0" distB="0" distL="0" distR="0" wp14:anchorId="2172E06D" wp14:editId="4F186720">
                <wp:extent cx="306705" cy="306705"/>
                <wp:effectExtent l="0" t="0" r="0" b="0"/>
                <wp:docPr id="185761526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D839CB" id="Rectangle 2"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E319BC">
        <w:rPr>
          <w:rFonts w:ascii="Times New Roman" w:hAnsi="Times New Roman" w:cs="Times New Roman"/>
          <w:kern w:val="0"/>
          <w14:ligatures w14:val="none"/>
        </w:rPr>
        <w:t xml:space="preserve">) Consequently, ConnectPlus is a </w:t>
      </w:r>
      <w:r w:rsidRPr="00E319BC">
        <w:rPr>
          <w:rFonts w:ascii="Times New Roman" w:hAnsi="Times New Roman" w:cs="Times New Roman"/>
          <w:kern w:val="0"/>
          <w14:ligatures w14:val="none"/>
        </w:rPr>
        <w:lastRenderedPageBreak/>
        <w:t>realistic strategic extension of Tesco’s digital transformation rather than an isolated technology project.</w:t>
      </w:r>
    </w:p>
    <w:p w14:paraId="0867ADF0" w14:textId="77777777" w:rsidR="00E319BC" w:rsidRPr="00E319BC" w:rsidRDefault="00E319BC" w:rsidP="00E319BC">
      <w:pPr>
        <w:spacing w:before="100" w:beforeAutospacing="1" w:after="100" w:afterAutospacing="1" w:line="240" w:lineRule="auto"/>
        <w:rPr>
          <w:rFonts w:ascii="Times New Roman" w:hAnsi="Times New Roman" w:cs="Times New Roman"/>
          <w:kern w:val="0"/>
          <w14:ligatures w14:val="none"/>
        </w:rPr>
      </w:pPr>
      <w:r w:rsidRPr="00E319BC">
        <w:rPr>
          <w:rFonts w:ascii="Times New Roman" w:hAnsi="Times New Roman" w:cs="Times New Roman"/>
          <w:kern w:val="0"/>
          <w14:ligatures w14:val="none"/>
        </w:rPr>
        <w:t>However, digital transformation creates stakeholder dependencies. A technically successful platform can still fail if customers distrust its data practices, employees do not promote it, regional managers resist standardisation, regulators identify compliance weaknesses or suppliers fail to integrate their systems. Freeman’s (1984) stakeholder approach is therefore appropriate because it conceptualises organisations as systems for creating value through relationships with multiple stakeholders rather than shareholders alone. (</w:t>
      </w:r>
      <w:hyperlink r:id="rId13" w:history="1">
        <w:r w:rsidRPr="00E319BC">
          <w:rPr>
            <w:rFonts w:ascii="Times New Roman" w:hAnsi="Times New Roman" w:cs="Times New Roman"/>
            <w:color w:val="0000FF"/>
            <w:kern w:val="0"/>
            <w:u w:val="single"/>
            <w14:ligatures w14:val="none"/>
          </w:rPr>
          <w:t>Google Books</w:t>
        </w:r>
      </w:hyperlink>
      <w:r w:rsidRPr="00E319BC">
        <w:rPr>
          <w:rFonts w:ascii="Times New Roman" w:hAnsi="Times New Roman" w:cs="Times New Roman"/>
          <w:kern w:val="0"/>
          <w14:ligatures w14:val="none"/>
        </w:rPr>
        <w:t>⁠</w:t>
      </w:r>
      <w:r w:rsidRPr="00E319BC">
        <w:rPr>
          <w:rFonts w:ascii="Times New Roman" w:hAnsi="Times New Roman" w:cs="Times New Roman"/>
          <w:noProof/>
          <w:kern w:val="0"/>
          <w14:ligatures w14:val="none"/>
        </w:rPr>
        <mc:AlternateContent>
          <mc:Choice Requires="wps">
            <w:drawing>
              <wp:inline distT="0" distB="0" distL="0" distR="0" wp14:anchorId="763912EF" wp14:editId="069852A3">
                <wp:extent cx="306705" cy="306705"/>
                <wp:effectExtent l="0" t="0" r="0" b="0"/>
                <wp:docPr id="7747283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CE8DFE" id="Rectangle 1"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E319BC">
        <w:rPr>
          <w:rFonts w:ascii="Times New Roman" w:hAnsi="Times New Roman" w:cs="Times New Roman"/>
          <w:kern w:val="0"/>
          <w14:ligatures w14:val="none"/>
        </w:rPr>
        <w:t>)</w:t>
      </w:r>
    </w:p>
    <w:p w14:paraId="39CC59A8" w14:textId="77777777" w:rsidR="00EA7887" w:rsidRPr="00EA7887" w:rsidRDefault="00EA7887" w:rsidP="00EA788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A7887">
        <w:rPr>
          <w:rFonts w:ascii="Times New Roman" w:eastAsia="Times New Roman" w:hAnsi="Times New Roman" w:cs="Times New Roman"/>
          <w:b/>
          <w:bCs/>
          <w:kern w:val="36"/>
          <w:sz w:val="48"/>
          <w:szCs w:val="48"/>
          <w14:ligatures w14:val="none"/>
        </w:rPr>
        <w:t>2. SMART Objectives</w:t>
      </w:r>
    </w:p>
    <w:p w14:paraId="6F9866E2" w14:textId="77777777" w:rsidR="00EA7887" w:rsidRPr="00EA7887" w:rsidRDefault="00EA7887" w:rsidP="00EA7887">
      <w:pPr>
        <w:spacing w:before="100" w:beforeAutospacing="1" w:after="100" w:afterAutospacing="1" w:line="240" w:lineRule="auto"/>
        <w:rPr>
          <w:rFonts w:ascii="Times New Roman" w:hAnsi="Times New Roman" w:cs="Times New Roman"/>
          <w:kern w:val="0"/>
          <w14:ligatures w14:val="none"/>
        </w:rPr>
      </w:pPr>
      <w:r w:rsidRPr="00EA7887">
        <w:rPr>
          <w:rFonts w:ascii="Times New Roman" w:hAnsi="Times New Roman" w:cs="Times New Roman"/>
          <w:kern w:val="0"/>
          <w14:ligatures w14:val="none"/>
        </w:rPr>
        <w:t>The following SMART objectives provide measurable targets for the first six months:</w:t>
      </w:r>
    </w:p>
    <w:p w14:paraId="44AFEFAD" w14:textId="77777777" w:rsidR="00EA7887" w:rsidRPr="00EA7887" w:rsidRDefault="00EA7887" w:rsidP="00EA788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A7887">
        <w:rPr>
          <w:rFonts w:ascii="Times New Roman" w:eastAsia="Times New Roman" w:hAnsi="Times New Roman" w:cs="Times New Roman"/>
          <w:b/>
          <w:bCs/>
          <w:kern w:val="0"/>
          <w14:ligatures w14:val="none"/>
        </w:rPr>
        <w:t>Specific:</w:t>
      </w:r>
      <w:r w:rsidRPr="00EA7887">
        <w:rPr>
          <w:rFonts w:ascii="Times New Roman" w:eastAsia="Times New Roman" w:hAnsi="Times New Roman" w:cs="Times New Roman"/>
          <w:kern w:val="0"/>
          <w14:ligatures w14:val="none"/>
        </w:rPr>
        <w:t xml:space="preserve"> Design, test and deploy ConnectPlus across selected Tesco markets within six months, integrating AI recommendations, mobile rewards and customer insight capabilities.</w:t>
      </w:r>
    </w:p>
    <w:p w14:paraId="2C8A9831" w14:textId="77777777" w:rsidR="00EA7887" w:rsidRPr="00EA7887" w:rsidRDefault="00EA7887" w:rsidP="00EA788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A7887">
        <w:rPr>
          <w:rFonts w:ascii="Times New Roman" w:eastAsia="Times New Roman" w:hAnsi="Times New Roman" w:cs="Times New Roman"/>
          <w:b/>
          <w:bCs/>
          <w:kern w:val="0"/>
          <w14:ligatures w14:val="none"/>
        </w:rPr>
        <w:t>Measurable:</w:t>
      </w:r>
      <w:r w:rsidRPr="00EA7887">
        <w:rPr>
          <w:rFonts w:ascii="Times New Roman" w:eastAsia="Times New Roman" w:hAnsi="Times New Roman" w:cs="Times New Roman"/>
          <w:kern w:val="0"/>
          <w14:ligatures w14:val="none"/>
        </w:rPr>
        <w:t xml:space="preserve"> Achieve at least </w:t>
      </w:r>
      <w:r w:rsidRPr="00EA7887">
        <w:rPr>
          <w:rFonts w:ascii="Times New Roman" w:eastAsia="Times New Roman" w:hAnsi="Times New Roman" w:cs="Times New Roman"/>
          <w:b/>
          <w:bCs/>
          <w:kern w:val="0"/>
          <w14:ligatures w14:val="none"/>
        </w:rPr>
        <w:t>70% employee readiness</w:t>
      </w:r>
      <w:r w:rsidRPr="00EA7887">
        <w:rPr>
          <w:rFonts w:ascii="Times New Roman" w:eastAsia="Times New Roman" w:hAnsi="Times New Roman" w:cs="Times New Roman"/>
          <w:kern w:val="0"/>
          <w14:ligatures w14:val="none"/>
        </w:rPr>
        <w:t xml:space="preserve"> and </w:t>
      </w:r>
      <w:r w:rsidRPr="00EA7887">
        <w:rPr>
          <w:rFonts w:ascii="Times New Roman" w:eastAsia="Times New Roman" w:hAnsi="Times New Roman" w:cs="Times New Roman"/>
          <w:b/>
          <w:bCs/>
          <w:kern w:val="0"/>
          <w14:ligatures w14:val="none"/>
        </w:rPr>
        <w:t>60% customer awareness</w:t>
      </w:r>
      <w:r w:rsidRPr="00EA7887">
        <w:rPr>
          <w:rFonts w:ascii="Times New Roman" w:eastAsia="Times New Roman" w:hAnsi="Times New Roman" w:cs="Times New Roman"/>
          <w:kern w:val="0"/>
          <w14:ligatures w14:val="none"/>
        </w:rPr>
        <w:t xml:space="preserve"> in pilot markets before full deployment.</w:t>
      </w:r>
    </w:p>
    <w:p w14:paraId="5BFD4932" w14:textId="77777777" w:rsidR="00EA7887" w:rsidRPr="00EA7887" w:rsidRDefault="00EA7887" w:rsidP="00EA788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A7887">
        <w:rPr>
          <w:rFonts w:ascii="Times New Roman" w:eastAsia="Times New Roman" w:hAnsi="Times New Roman" w:cs="Times New Roman"/>
          <w:b/>
          <w:bCs/>
          <w:kern w:val="0"/>
          <w14:ligatures w14:val="none"/>
        </w:rPr>
        <w:t>Achievable:</w:t>
      </w:r>
      <w:r w:rsidRPr="00EA7887">
        <w:rPr>
          <w:rFonts w:ascii="Times New Roman" w:eastAsia="Times New Roman" w:hAnsi="Times New Roman" w:cs="Times New Roman"/>
          <w:kern w:val="0"/>
          <w14:ligatures w14:val="none"/>
        </w:rPr>
        <w:t xml:space="preserve"> Obtain formal approval from Legal, Data Protection, Information Security, Finance and regional leadership before launch.</w:t>
      </w:r>
    </w:p>
    <w:p w14:paraId="1EEDE240" w14:textId="77777777" w:rsidR="00EA7887" w:rsidRPr="00EA7887" w:rsidRDefault="00EA7887" w:rsidP="00EA788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A7887">
        <w:rPr>
          <w:rFonts w:ascii="Times New Roman" w:eastAsia="Times New Roman" w:hAnsi="Times New Roman" w:cs="Times New Roman"/>
          <w:b/>
          <w:bCs/>
          <w:kern w:val="0"/>
          <w14:ligatures w14:val="none"/>
        </w:rPr>
        <w:t>Relevant:</w:t>
      </w:r>
      <w:r w:rsidRPr="00EA7887">
        <w:rPr>
          <w:rFonts w:ascii="Times New Roman" w:eastAsia="Times New Roman" w:hAnsi="Times New Roman" w:cs="Times New Roman"/>
          <w:kern w:val="0"/>
          <w14:ligatures w14:val="none"/>
        </w:rPr>
        <w:t xml:space="preserve"> Increase digital loyalty engagement and improve the relevance of customer offers while strengthening customer retention and management insight.</w:t>
      </w:r>
    </w:p>
    <w:p w14:paraId="270D77FC" w14:textId="77777777" w:rsidR="00EA7887" w:rsidRPr="00EA7887" w:rsidRDefault="00EA7887" w:rsidP="00EA788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A7887">
        <w:rPr>
          <w:rFonts w:ascii="Times New Roman" w:eastAsia="Times New Roman" w:hAnsi="Times New Roman" w:cs="Times New Roman"/>
          <w:b/>
          <w:bCs/>
          <w:kern w:val="0"/>
          <w14:ligatures w14:val="none"/>
        </w:rPr>
        <w:t>Time-bound:</w:t>
      </w:r>
      <w:r w:rsidRPr="00EA7887">
        <w:rPr>
          <w:rFonts w:ascii="Times New Roman" w:eastAsia="Times New Roman" w:hAnsi="Times New Roman" w:cs="Times New Roman"/>
          <w:kern w:val="0"/>
          <w14:ligatures w14:val="none"/>
        </w:rPr>
        <w:t xml:space="preserve"> Complete stakeholder consultation, technical testing, ethical and regulatory assessment, employee training and pilot evaluation by the end of month six.</w:t>
      </w:r>
    </w:p>
    <w:p w14:paraId="4AC0C401" w14:textId="77777777" w:rsidR="00EA7887" w:rsidRDefault="00EA7887" w:rsidP="00EA7887">
      <w:pPr>
        <w:spacing w:before="100" w:beforeAutospacing="1" w:after="100" w:afterAutospacing="1" w:line="240" w:lineRule="auto"/>
        <w:rPr>
          <w:rFonts w:ascii="Times New Roman" w:hAnsi="Times New Roman" w:cs="Times New Roman"/>
          <w:kern w:val="0"/>
          <w14:ligatures w14:val="none"/>
        </w:rPr>
      </w:pPr>
      <w:r w:rsidRPr="00EA7887">
        <w:rPr>
          <w:rFonts w:ascii="Times New Roman" w:hAnsi="Times New Roman" w:cs="Times New Roman"/>
          <w:kern w:val="0"/>
          <w14:ligatures w14:val="none"/>
        </w:rPr>
        <w:t xml:space="preserve">Post-launch, Tesco should target a </w:t>
      </w:r>
      <w:r w:rsidRPr="00EA7887">
        <w:rPr>
          <w:rFonts w:ascii="Times New Roman" w:hAnsi="Times New Roman" w:cs="Times New Roman"/>
          <w:b/>
          <w:bCs/>
          <w:kern w:val="0"/>
          <w14:ligatures w14:val="none"/>
        </w:rPr>
        <w:t>10% increase in active digital loyalty engagement within 12 months</w:t>
      </w:r>
      <w:r w:rsidRPr="00EA7887">
        <w:rPr>
          <w:rFonts w:ascii="Times New Roman" w:hAnsi="Times New Roman" w:cs="Times New Roman"/>
          <w:kern w:val="0"/>
          <w14:ligatures w14:val="none"/>
        </w:rPr>
        <w:t>, subject to market-specific baselines.</w:t>
      </w:r>
    </w:p>
    <w:p w14:paraId="700064ED" w14:textId="77777777" w:rsidR="0060760F" w:rsidRPr="0060760F" w:rsidRDefault="0060760F" w:rsidP="0060760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0760F">
        <w:rPr>
          <w:rFonts w:ascii="Times New Roman" w:eastAsia="Times New Roman" w:hAnsi="Times New Roman" w:cs="Times New Roman"/>
          <w:b/>
          <w:bCs/>
          <w:kern w:val="36"/>
          <w:sz w:val="48"/>
          <w:szCs w:val="48"/>
          <w14:ligatures w14:val="none"/>
        </w:rPr>
        <w:t>3. Stakeholder Identification and Categorisation</w:t>
      </w:r>
    </w:p>
    <w:p w14:paraId="5A2CBDC6" w14:textId="77777777" w:rsidR="0060760F" w:rsidRPr="0060760F" w:rsidRDefault="0060760F" w:rsidP="0060760F">
      <w:pPr>
        <w:spacing w:before="100" w:beforeAutospacing="1" w:after="100" w:afterAutospacing="1" w:line="240" w:lineRule="auto"/>
        <w:rPr>
          <w:rFonts w:ascii="Times New Roman" w:hAnsi="Times New Roman" w:cs="Times New Roman"/>
          <w:kern w:val="0"/>
          <w14:ligatures w14:val="none"/>
        </w:rPr>
      </w:pPr>
      <w:r w:rsidRPr="0060760F">
        <w:rPr>
          <w:rFonts w:ascii="Times New Roman" w:hAnsi="Times New Roman" w:cs="Times New Roman"/>
          <w:kern w:val="0"/>
          <w14:ligatures w14:val="none"/>
        </w:rPr>
        <w:t>Stakeholder theory defines stakeholders broadly as individuals or groups capable of affecting or being affected by organisational objectives (Freeman, 1984). This is particularly important for ConnectPlus because the platform affects customers directly while simultaneously changing employee processes, marketing activities, technology infrastructure and supplier relationships.</w:t>
      </w:r>
    </w:p>
    <w:p w14:paraId="01794181" w14:textId="77777777" w:rsidR="0060760F" w:rsidRPr="0060760F" w:rsidRDefault="0060760F" w:rsidP="0060760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0760F">
        <w:rPr>
          <w:rFonts w:ascii="Times New Roman" w:eastAsia="Times New Roman" w:hAnsi="Times New Roman" w:cs="Times New Roman"/>
          <w:b/>
          <w:bCs/>
          <w:kern w:val="0"/>
          <w:sz w:val="36"/>
          <w:szCs w:val="36"/>
          <w14:ligatures w14:val="none"/>
        </w:rPr>
        <w:t>3.1 Internal stakeholders</w:t>
      </w:r>
    </w:p>
    <w:p w14:paraId="23D2ACE9" w14:textId="77777777" w:rsidR="0060760F" w:rsidRPr="0060760F" w:rsidRDefault="0060760F" w:rsidP="0060760F">
      <w:pPr>
        <w:spacing w:before="100" w:beforeAutospacing="1" w:after="100" w:afterAutospacing="1" w:line="240" w:lineRule="auto"/>
        <w:rPr>
          <w:rFonts w:ascii="Times New Roman" w:hAnsi="Times New Roman" w:cs="Times New Roman"/>
          <w:kern w:val="0"/>
          <w14:ligatures w14:val="none"/>
        </w:rPr>
      </w:pPr>
      <w:r w:rsidRPr="0060760F">
        <w:rPr>
          <w:rFonts w:ascii="Times New Roman" w:hAnsi="Times New Roman" w:cs="Times New Roman"/>
          <w:kern w:val="0"/>
          <w14:ligatures w14:val="none"/>
        </w:rPr>
        <w:t>Key internal stakeholders include:</w:t>
      </w:r>
    </w:p>
    <w:p w14:paraId="64401F37"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Board of Directors and Executive Committee</w:t>
      </w:r>
    </w:p>
    <w:p w14:paraId="0AFA6BA5"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Project Sponsor</w:t>
      </w:r>
    </w:p>
    <w:p w14:paraId="44004EF7"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lastRenderedPageBreak/>
        <w:t>Project Manager and Project Management Office</w:t>
      </w:r>
    </w:p>
    <w:p w14:paraId="5AE23225"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IT and digital transformation teams</w:t>
      </w:r>
    </w:p>
    <w:p w14:paraId="32AA9C2B"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AI, data analytics and data science teams</w:t>
      </w:r>
    </w:p>
    <w:p w14:paraId="5635F895"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Marketing and customer relationship management teams</w:t>
      </w:r>
    </w:p>
    <w:p w14:paraId="6F8E5999"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Store and online operations</w:t>
      </w:r>
    </w:p>
    <w:p w14:paraId="43102AE2"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Customer service teams</w:t>
      </w:r>
    </w:p>
    <w:p w14:paraId="5E49F3F2"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Finance</w:t>
      </w:r>
    </w:p>
    <w:p w14:paraId="56206E91"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Legal and Data Protection</w:t>
      </w:r>
    </w:p>
    <w:p w14:paraId="353EA0D8"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Information Security and Cybersecurity</w:t>
      </w:r>
    </w:p>
    <w:p w14:paraId="3EAD5516"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Human Resources and Learning &amp; Development</w:t>
      </w:r>
    </w:p>
    <w:p w14:paraId="1AA605EF"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Regional and international market managers</w:t>
      </w:r>
    </w:p>
    <w:p w14:paraId="6E3E6C9A" w14:textId="77777777" w:rsidR="0060760F" w:rsidRP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Procurement</w:t>
      </w:r>
    </w:p>
    <w:p w14:paraId="6BD9346C" w14:textId="77777777" w:rsidR="0060760F" w:rsidRDefault="0060760F" w:rsidP="0060760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760F">
        <w:rPr>
          <w:rFonts w:ascii="Times New Roman" w:eastAsia="Times New Roman" w:hAnsi="Times New Roman" w:cs="Times New Roman"/>
          <w:kern w:val="0"/>
          <w14:ligatures w14:val="none"/>
        </w:rPr>
        <w:t>Corporate communications</w:t>
      </w:r>
    </w:p>
    <w:p w14:paraId="4488A5EF" w14:textId="77777777" w:rsidR="00F5235C" w:rsidRPr="00F5235C" w:rsidRDefault="00F5235C" w:rsidP="00F5235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235C">
        <w:rPr>
          <w:rFonts w:ascii="Times New Roman" w:eastAsia="Times New Roman" w:hAnsi="Times New Roman" w:cs="Times New Roman"/>
          <w:b/>
          <w:bCs/>
          <w:kern w:val="0"/>
          <w:sz w:val="36"/>
          <w:szCs w:val="36"/>
          <w14:ligatures w14:val="none"/>
        </w:rPr>
        <w:t>3.2 External stakeholders</w:t>
      </w:r>
    </w:p>
    <w:p w14:paraId="4952A7E0" w14:textId="77777777" w:rsidR="00F5235C" w:rsidRPr="00F5235C" w:rsidRDefault="00F5235C" w:rsidP="00F5235C">
      <w:pPr>
        <w:spacing w:before="100" w:beforeAutospacing="1" w:after="100" w:afterAutospacing="1" w:line="240" w:lineRule="auto"/>
        <w:rPr>
          <w:rFonts w:ascii="Times New Roman" w:hAnsi="Times New Roman" w:cs="Times New Roman"/>
          <w:kern w:val="0"/>
          <w14:ligatures w14:val="none"/>
        </w:rPr>
      </w:pPr>
      <w:r w:rsidRPr="00F5235C">
        <w:rPr>
          <w:rFonts w:ascii="Times New Roman" w:hAnsi="Times New Roman" w:cs="Times New Roman"/>
          <w:kern w:val="0"/>
          <w14:ligatures w14:val="none"/>
        </w:rPr>
        <w:t>External stakeholders include:</w:t>
      </w:r>
    </w:p>
    <w:p w14:paraId="02FF255B"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Existing and prospective customers</w:t>
      </w:r>
    </w:p>
    <w:p w14:paraId="1148B388"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Technology providers</w:t>
      </w:r>
    </w:p>
    <w:p w14:paraId="2D1C26FA"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AI and cloud providers</w:t>
      </w:r>
    </w:p>
    <w:p w14:paraId="2C1002A3"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Payment and mobile technology providers</w:t>
      </w:r>
    </w:p>
    <w:p w14:paraId="7D41FB6E"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Suppliers and product partners</w:t>
      </w:r>
    </w:p>
    <w:p w14:paraId="6757B175"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Clubcard/reward partners</w:t>
      </w:r>
    </w:p>
    <w:p w14:paraId="2A3FB125"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Regulators and data protection authorities</w:t>
      </w:r>
    </w:p>
    <w:p w14:paraId="687B9189"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Consumer advocacy organisations</w:t>
      </w:r>
    </w:p>
    <w:p w14:paraId="678B1E57"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Investors and shareholders</w:t>
      </w:r>
    </w:p>
    <w:p w14:paraId="5F17ED2F"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Industry bodies</w:t>
      </w:r>
    </w:p>
    <w:p w14:paraId="33F30E66"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Local communities</w:t>
      </w:r>
    </w:p>
    <w:p w14:paraId="0E7C2F3B" w14:textId="77777777" w:rsidR="00F5235C" w:rsidRPr="00F5235C" w:rsidRDefault="00F5235C" w:rsidP="00F5235C">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235C">
        <w:rPr>
          <w:rFonts w:ascii="Times New Roman" w:eastAsia="Times New Roman" w:hAnsi="Times New Roman" w:cs="Times New Roman"/>
          <w:kern w:val="0"/>
          <w14:ligatures w14:val="none"/>
        </w:rPr>
        <w:t>Third-party delivery and e-commerce partners</w:t>
      </w:r>
    </w:p>
    <w:p w14:paraId="4D2CAB8C" w14:textId="2DD20776" w:rsidR="00F5235C" w:rsidRPr="00F5235C" w:rsidRDefault="00F5235C" w:rsidP="00F5235C">
      <w:pPr>
        <w:spacing w:before="100" w:beforeAutospacing="1" w:after="100" w:afterAutospacing="1" w:line="240" w:lineRule="auto"/>
        <w:rPr>
          <w:rFonts w:ascii="Times New Roman" w:hAnsi="Times New Roman" w:cs="Times New Roman"/>
          <w:kern w:val="0"/>
          <w14:ligatures w14:val="none"/>
        </w:rPr>
      </w:pPr>
      <w:r w:rsidRPr="00F5235C">
        <w:rPr>
          <w:rFonts w:ascii="Times New Roman" w:hAnsi="Times New Roman" w:cs="Times New Roman"/>
          <w:kern w:val="0"/>
          <w14:ligatures w14:val="none"/>
        </w:rPr>
        <w:t>Christopher, Payne and Ballantyne (2013) argue that relationship marketing should extend beyond customers to employees, suppliers, influencers and other stakeholder markets. This is particularly relevant to ConnectPlus because the platform depends upon a network of relationships rather than a single customer-organisation interaction. (</w:t>
      </w:r>
      <w:hyperlink r:id="rId14" w:history="1">
        <w:r w:rsidRPr="00F5235C">
          <w:rPr>
            <w:rFonts w:ascii="Times New Roman" w:hAnsi="Times New Roman" w:cs="Times New Roman"/>
            <w:color w:val="0000FF"/>
            <w:kern w:val="0"/>
            <w:u w:val="single"/>
            <w14:ligatures w14:val="none"/>
          </w:rPr>
          <w:t>Google Books</w:t>
        </w:r>
      </w:hyperlink>
      <w:r w:rsidR="000D0A59">
        <w:rPr>
          <w:rFonts w:ascii="Times New Roman" w:hAnsi="Times New Roman" w:cs="Times New Roman"/>
          <w:kern w:val="0"/>
          <w14:ligatures w14:val="none"/>
        </w:rPr>
        <w:t>)</w:t>
      </w:r>
    </w:p>
    <w:p w14:paraId="45BDEDC7" w14:textId="77777777" w:rsidR="00F5235C" w:rsidRPr="00F5235C" w:rsidRDefault="00F5235C" w:rsidP="00F5235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235C">
        <w:rPr>
          <w:rFonts w:ascii="Times New Roman" w:eastAsia="Times New Roman" w:hAnsi="Times New Roman" w:cs="Times New Roman"/>
          <w:b/>
          <w:bCs/>
          <w:kern w:val="0"/>
          <w:sz w:val="36"/>
          <w:szCs w:val="36"/>
          <w14:ligatures w14:val="none"/>
        </w:rPr>
        <w:t>3.3 Mendelow Power-Interest Matrix</w:t>
      </w:r>
    </w:p>
    <w:p w14:paraId="2257D5EB" w14:textId="7BA5E480" w:rsidR="00F5235C" w:rsidRDefault="00F5235C" w:rsidP="00F5235C">
      <w:pPr>
        <w:spacing w:before="100" w:beforeAutospacing="1" w:after="100" w:afterAutospacing="1" w:line="240" w:lineRule="auto"/>
        <w:rPr>
          <w:rFonts w:ascii="Times New Roman" w:hAnsi="Times New Roman" w:cs="Times New Roman"/>
          <w:kern w:val="0"/>
          <w14:ligatures w14:val="none"/>
        </w:rPr>
      </w:pPr>
      <w:r w:rsidRPr="00F5235C">
        <w:rPr>
          <w:rFonts w:ascii="Times New Roman" w:hAnsi="Times New Roman" w:cs="Times New Roman"/>
          <w:kern w:val="0"/>
          <w14:ligatures w14:val="none"/>
        </w:rPr>
        <w:t>Mendelow’s power-interest matrix categorises stakeholders according to their ability to influence a project and their level of interest. The model is widely used to distinguish between high-power/high-interest “key players”, high-power/low-interest stakeholders who should be kept satisfied, low-power/high-interest stakeholders who should be kept informed, and low-power/low-interest stakeholders requiring monitoring. (</w:t>
      </w:r>
      <w:hyperlink r:id="rId15" w:history="1">
        <w:r w:rsidRPr="00F5235C">
          <w:rPr>
            <w:rFonts w:ascii="Times New Roman" w:hAnsi="Times New Roman" w:cs="Times New Roman"/>
            <w:color w:val="0000FF"/>
            <w:kern w:val="0"/>
            <w:u w:val="single"/>
            <w14:ligatures w14:val="none"/>
          </w:rPr>
          <w:t>Springer</w:t>
        </w:r>
      </w:hyperlink>
      <w:r w:rsidRPr="00F5235C">
        <w:rPr>
          <w:rFonts w:ascii="Times New Roman" w:hAnsi="Times New Roman" w:cs="Times New Roman"/>
          <w:kern w:val="0"/>
          <w14:ligatures w14:val="none"/>
        </w:rPr>
        <w:t>⁠)</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278"/>
        <w:gridCol w:w="1311"/>
        <w:gridCol w:w="929"/>
        <w:gridCol w:w="1978"/>
        <w:gridCol w:w="2514"/>
      </w:tblGrid>
      <w:tr w:rsidR="0039471D" w:rsidRPr="0039471D" w14:paraId="722D68FD"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3704A6" w14:textId="77777777" w:rsidR="0039471D" w:rsidRPr="0039471D" w:rsidRDefault="0039471D" w:rsidP="0039471D">
            <w:pPr>
              <w:spacing w:before="100" w:beforeAutospacing="1" w:after="100" w:afterAutospacing="1" w:line="240" w:lineRule="auto"/>
              <w:jc w:val="center"/>
              <w:rPr>
                <w:rFonts w:ascii="Times New Roman" w:hAnsi="Times New Roman" w:cs="Times New Roman"/>
                <w:b/>
                <w:bCs/>
                <w:kern w:val="0"/>
                <w14:ligatures w14:val="none"/>
              </w:rPr>
            </w:pPr>
            <w:r w:rsidRPr="0039471D">
              <w:rPr>
                <w:rFonts w:ascii="Times New Roman" w:hAnsi="Times New Roman" w:cs="Times New Roman"/>
                <w:b/>
                <w:bCs/>
                <w:kern w:val="0"/>
                <w14:ligatures w14:val="none"/>
              </w:rPr>
              <w:lastRenderedPageBreak/>
              <w:t>Stakeholder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BA52DC" w14:textId="77777777" w:rsidR="0039471D" w:rsidRPr="0039471D" w:rsidRDefault="0039471D" w:rsidP="0039471D">
            <w:pPr>
              <w:spacing w:before="100" w:beforeAutospacing="1" w:after="100" w:afterAutospacing="1" w:line="240" w:lineRule="auto"/>
              <w:jc w:val="center"/>
              <w:rPr>
                <w:rFonts w:ascii="Times New Roman" w:hAnsi="Times New Roman" w:cs="Times New Roman"/>
                <w:b/>
                <w:bCs/>
                <w:kern w:val="0"/>
                <w14:ligatures w14:val="none"/>
              </w:rPr>
            </w:pPr>
            <w:r w:rsidRPr="0039471D">
              <w:rPr>
                <w:rFonts w:ascii="Times New Roman" w:hAnsi="Times New Roman" w:cs="Times New Roman"/>
                <w:b/>
                <w:bCs/>
                <w:kern w:val="0"/>
                <w14:ligatures w14:val="none"/>
              </w:rPr>
              <w:t>Power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0993D1" w14:textId="77777777" w:rsidR="0039471D" w:rsidRPr="0039471D" w:rsidRDefault="0039471D" w:rsidP="0039471D">
            <w:pPr>
              <w:spacing w:before="100" w:beforeAutospacing="1" w:after="100" w:afterAutospacing="1" w:line="240" w:lineRule="auto"/>
              <w:jc w:val="center"/>
              <w:rPr>
                <w:rFonts w:ascii="Times New Roman" w:hAnsi="Times New Roman" w:cs="Times New Roman"/>
                <w:b/>
                <w:bCs/>
                <w:kern w:val="0"/>
                <w14:ligatures w14:val="none"/>
              </w:rPr>
            </w:pPr>
            <w:r w:rsidRPr="0039471D">
              <w:rPr>
                <w:rFonts w:ascii="Times New Roman" w:hAnsi="Times New Roman" w:cs="Times New Roman"/>
                <w:b/>
                <w:bCs/>
                <w:kern w:val="0"/>
                <w14:ligatures w14:val="none"/>
              </w:rPr>
              <w:t>Interest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78A738" w14:textId="77777777" w:rsidR="0039471D" w:rsidRPr="0039471D" w:rsidRDefault="0039471D" w:rsidP="0039471D">
            <w:pPr>
              <w:spacing w:before="100" w:beforeAutospacing="1" w:after="100" w:afterAutospacing="1" w:line="240" w:lineRule="auto"/>
              <w:jc w:val="center"/>
              <w:rPr>
                <w:rFonts w:ascii="Times New Roman" w:hAnsi="Times New Roman" w:cs="Times New Roman"/>
                <w:b/>
                <w:bCs/>
                <w:kern w:val="0"/>
                <w14:ligatures w14:val="none"/>
              </w:rPr>
            </w:pPr>
            <w:r w:rsidRPr="0039471D">
              <w:rPr>
                <w:rFonts w:ascii="Times New Roman" w:hAnsi="Times New Roman" w:cs="Times New Roman"/>
                <w:b/>
                <w:bCs/>
                <w:kern w:val="0"/>
                <w14:ligatures w14:val="none"/>
              </w:rPr>
              <w:t>Classification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B3F791" w14:textId="77777777" w:rsidR="0039471D" w:rsidRPr="0039471D" w:rsidRDefault="0039471D" w:rsidP="0039471D">
            <w:pPr>
              <w:spacing w:before="100" w:beforeAutospacing="1" w:after="100" w:afterAutospacing="1" w:line="240" w:lineRule="auto"/>
              <w:jc w:val="center"/>
              <w:rPr>
                <w:rFonts w:ascii="Times New Roman" w:hAnsi="Times New Roman" w:cs="Times New Roman"/>
                <w:b/>
                <w:bCs/>
                <w:kern w:val="0"/>
                <w14:ligatures w14:val="none"/>
              </w:rPr>
            </w:pPr>
            <w:r w:rsidRPr="0039471D">
              <w:rPr>
                <w:rFonts w:ascii="Times New Roman" w:hAnsi="Times New Roman" w:cs="Times New Roman"/>
                <w:b/>
                <w:bCs/>
                <w:kern w:val="0"/>
                <w14:ligatures w14:val="none"/>
              </w:rPr>
              <w:t>Engagement approach</w:t>
            </w:r>
          </w:p>
        </w:tc>
      </w:tr>
      <w:tr w:rsidR="0039471D" w:rsidRPr="0039471D" w14:paraId="6905666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21A0BA"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Board/Executive Committee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1FF249"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9EB7E2"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011903"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Key player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2985F9"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Manage closely</w:t>
            </w:r>
          </w:p>
        </w:tc>
      </w:tr>
      <w:tr w:rsidR="0039471D" w:rsidRPr="0039471D" w14:paraId="5C68679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35E85E"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Project Sponsor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20100E"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149B83"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9ED3CC"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Key player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2FFF77"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Manage closely</w:t>
            </w:r>
          </w:p>
        </w:tc>
      </w:tr>
      <w:tr w:rsidR="0039471D" w:rsidRPr="0039471D" w14:paraId="6C4F186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5A4919"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IT/AI leadership</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B2FDA1"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B8D025"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16004B"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Key player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1629D2"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Collaborate</w:t>
            </w:r>
          </w:p>
        </w:tc>
      </w:tr>
      <w:tr w:rsidR="0039471D" w:rsidRPr="0039471D" w14:paraId="6D437B2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6833AF"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Data Protection/Legal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939B9E"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C5A41D"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35AA5A"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Key player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D512EA"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Consult and approve</w:t>
            </w:r>
          </w:p>
        </w:tc>
      </w:tr>
      <w:tr w:rsidR="0039471D" w:rsidRPr="0039471D" w14:paraId="29E5CE6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D7EFA4"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Regional managers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113F12"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AD5CDF"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D0ADDC"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Key player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AA720A"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Collaborate</w:t>
            </w:r>
          </w:p>
        </w:tc>
      </w:tr>
      <w:tr w:rsidR="0039471D" w:rsidRPr="0039471D" w14:paraId="0F5ABFB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2C77BF"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Customers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FABFE9"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A152A4"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EC474E"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Keep informed/engaged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783A21"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Consult continuously</w:t>
            </w:r>
          </w:p>
        </w:tc>
      </w:tr>
      <w:tr w:rsidR="0039471D" w:rsidRPr="0039471D" w14:paraId="687D33D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7953AE"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Store colleagues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8BF447"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273F3B"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B18270"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Engage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E5F1E2"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Training and consultation</w:t>
            </w:r>
          </w:p>
        </w:tc>
      </w:tr>
      <w:tr w:rsidR="0039471D" w:rsidRPr="0039471D" w14:paraId="66CF506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3B40B6"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Technology suppliers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2E4C06"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Medium/High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276E13"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B6BE53"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Key player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B02D87"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Collaborative governance</w:t>
            </w:r>
          </w:p>
        </w:tc>
      </w:tr>
      <w:tr w:rsidR="0039471D" w:rsidRPr="0039471D" w14:paraId="7AEB669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4D9B99"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Regulators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571E4A"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31D153"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385231"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Keep satisfied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B5F100"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Formal compliance engagement</w:t>
            </w:r>
          </w:p>
        </w:tc>
      </w:tr>
      <w:tr w:rsidR="0039471D" w:rsidRPr="0039471D" w14:paraId="47773A1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CC782B"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Investors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2AC916"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71250F"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A7A901"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Keep satisfied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0B959B"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Board-level reporting</w:t>
            </w:r>
          </w:p>
        </w:tc>
      </w:tr>
      <w:tr w:rsidR="0039471D" w:rsidRPr="0039471D" w14:paraId="21BDA32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FC7BF1"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Marketing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2BA27E"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05A2B9"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408313"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Key player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F15103"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Collaborate</w:t>
            </w:r>
          </w:p>
        </w:tc>
      </w:tr>
      <w:tr w:rsidR="0039471D" w:rsidRPr="0039471D" w14:paraId="67C0A43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28D874"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Consumer groups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0496FB"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2107E8"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392F43"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Keep informed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D71154"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Consultation</w:t>
            </w:r>
          </w:p>
        </w:tc>
      </w:tr>
      <w:tr w:rsidR="0039471D" w:rsidRPr="0039471D" w14:paraId="4D3B443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69F1D5"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General public/media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6F5643"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Low/Medium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4D3907"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91C8F1"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Monitor/inform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D681B7" w14:textId="77777777" w:rsidR="0039471D" w:rsidRPr="0039471D" w:rsidRDefault="0039471D" w:rsidP="0039471D">
            <w:pPr>
              <w:spacing w:before="100" w:beforeAutospacing="1" w:after="100" w:afterAutospacing="1" w:line="240" w:lineRule="auto"/>
              <w:rPr>
                <w:rFonts w:ascii="Times New Roman" w:hAnsi="Times New Roman" w:cs="Times New Roman"/>
                <w:kern w:val="0"/>
                <w14:ligatures w14:val="none"/>
              </w:rPr>
            </w:pPr>
            <w:r w:rsidRPr="0039471D">
              <w:rPr>
                <w:rFonts w:ascii="Times New Roman" w:hAnsi="Times New Roman" w:cs="Times New Roman"/>
                <w:kern w:val="0"/>
                <w14:ligatures w14:val="none"/>
              </w:rPr>
              <w:t>Transparent communication</w:t>
            </w:r>
          </w:p>
        </w:tc>
      </w:tr>
    </w:tbl>
    <w:p w14:paraId="433CD663" w14:textId="77777777" w:rsidR="006B396A" w:rsidRPr="006B396A" w:rsidRDefault="006B396A" w:rsidP="006B396A">
      <w:pPr>
        <w:spacing w:before="100" w:beforeAutospacing="1" w:after="100" w:afterAutospacing="1" w:line="240" w:lineRule="auto"/>
        <w:rPr>
          <w:rFonts w:ascii="Times New Roman" w:hAnsi="Times New Roman" w:cs="Times New Roman"/>
          <w:kern w:val="0"/>
          <w14:ligatures w14:val="none"/>
        </w:rPr>
      </w:pPr>
      <w:r w:rsidRPr="006B396A">
        <w:rPr>
          <w:rFonts w:ascii="Times New Roman" w:hAnsi="Times New Roman" w:cs="Times New Roman"/>
          <w:kern w:val="0"/>
          <w14:ligatures w14:val="none"/>
        </w:rPr>
        <w:t>The matrix should not be static. Stakeholder power and interest can change as ConnectPlus progresses. For example, regulators become more important before launch, while customer-service teams become increasingly influential during implementation.</w:t>
      </w:r>
    </w:p>
    <w:p w14:paraId="0FF96FE8" w14:textId="77777777" w:rsidR="006B396A" w:rsidRPr="006B396A" w:rsidRDefault="006B396A" w:rsidP="006B396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B396A">
        <w:rPr>
          <w:rFonts w:ascii="Times New Roman" w:eastAsia="Times New Roman" w:hAnsi="Times New Roman" w:cs="Times New Roman"/>
          <w:b/>
          <w:bCs/>
          <w:kern w:val="0"/>
          <w:sz w:val="36"/>
          <w:szCs w:val="36"/>
          <w14:ligatures w14:val="none"/>
        </w:rPr>
        <w:t>3.4 Stakeholder Salience</w:t>
      </w:r>
    </w:p>
    <w:p w14:paraId="6F46C5E2" w14:textId="79F153FD" w:rsidR="006B396A" w:rsidRPr="006B396A" w:rsidRDefault="006B396A" w:rsidP="006B396A">
      <w:pPr>
        <w:spacing w:before="100" w:beforeAutospacing="1" w:after="100" w:afterAutospacing="1" w:line="240" w:lineRule="auto"/>
        <w:rPr>
          <w:rFonts w:ascii="Times New Roman" w:hAnsi="Times New Roman" w:cs="Times New Roman"/>
          <w:kern w:val="0"/>
          <w14:ligatures w14:val="none"/>
        </w:rPr>
      </w:pPr>
      <w:r w:rsidRPr="006B396A">
        <w:rPr>
          <w:rFonts w:ascii="Times New Roman" w:hAnsi="Times New Roman" w:cs="Times New Roman"/>
          <w:kern w:val="0"/>
          <w14:ligatures w14:val="none"/>
        </w:rPr>
        <w:t xml:space="preserve">Mitchell, Agle and Wood (1997) propose that stakeholder salience depends on </w:t>
      </w:r>
      <w:r w:rsidRPr="006B396A">
        <w:rPr>
          <w:rFonts w:ascii="Times New Roman" w:hAnsi="Times New Roman" w:cs="Times New Roman"/>
          <w:b/>
          <w:bCs/>
          <w:kern w:val="0"/>
          <w14:ligatures w14:val="none"/>
        </w:rPr>
        <w:t>power, legitimacy and urgency</w:t>
      </w:r>
      <w:r w:rsidRPr="006B396A">
        <w:rPr>
          <w:rFonts w:ascii="Times New Roman" w:hAnsi="Times New Roman" w:cs="Times New Roman"/>
          <w:kern w:val="0"/>
          <w14:ligatures w14:val="none"/>
        </w:rPr>
        <w:t>. (</w:t>
      </w:r>
      <w:hyperlink r:id="rId16" w:history="1">
        <w:r w:rsidRPr="006B396A">
          <w:rPr>
            <w:rFonts w:ascii="Times New Roman" w:hAnsi="Times New Roman" w:cs="Times New Roman"/>
            <w:color w:val="0000FF"/>
            <w:kern w:val="0"/>
            <w:u w:val="single"/>
            <w14:ligatures w14:val="none"/>
          </w:rPr>
          <w:t>Academy of Management Journals</w:t>
        </w:r>
      </w:hyperlink>
      <w:r w:rsidRPr="006B396A">
        <w:rPr>
          <w:rFonts w:ascii="Times New Roman" w:hAnsi="Times New Roman" w:cs="Times New Roman"/>
          <w:kern w:val="0"/>
          <w14:ligatures w14:val="none"/>
        </w:rPr>
        <w:t>⁠) Using this model, the Board has power and legitimacy, while customers possess legitimacy and increasing urgency regarding privacy, value and service quality. Regulators possess substantial power and legitimacy, particularly regarding data protection and AI governance.</w:t>
      </w:r>
    </w:p>
    <w:p w14:paraId="09226E8F" w14:textId="77777777" w:rsidR="006B396A" w:rsidRPr="006B396A" w:rsidRDefault="006B396A" w:rsidP="006B396A">
      <w:pPr>
        <w:spacing w:before="100" w:beforeAutospacing="1" w:after="100" w:afterAutospacing="1" w:line="240" w:lineRule="auto"/>
        <w:rPr>
          <w:rFonts w:ascii="Times New Roman" w:hAnsi="Times New Roman" w:cs="Times New Roman"/>
          <w:kern w:val="0"/>
          <w14:ligatures w14:val="none"/>
        </w:rPr>
      </w:pPr>
      <w:r w:rsidRPr="006B396A">
        <w:rPr>
          <w:rFonts w:ascii="Times New Roman" w:hAnsi="Times New Roman" w:cs="Times New Roman"/>
          <w:kern w:val="0"/>
          <w14:ligatures w14:val="none"/>
        </w:rPr>
        <w:lastRenderedPageBreak/>
        <w:t>The salience model is valuable because it challenges the assumption that every stakeholder should receive identical attention. ConnectPlus should instead allocate engagement resources according to the stakeholder’s ability to affect project outcomes and the consequences of failing to address their concerns.</w:t>
      </w:r>
    </w:p>
    <w:p w14:paraId="08F81661" w14:textId="77777777" w:rsidR="006B396A" w:rsidRPr="006B396A" w:rsidRDefault="006B396A" w:rsidP="006B396A">
      <w:pPr>
        <w:spacing w:after="0" w:line="240" w:lineRule="auto"/>
        <w:rPr>
          <w:rFonts w:ascii="Times New Roman" w:eastAsia="Times New Roman" w:hAnsi="Times New Roman" w:cs="Times New Roman"/>
          <w:kern w:val="0"/>
          <w14:ligatures w14:val="none"/>
        </w:rPr>
      </w:pPr>
      <w:r w:rsidRPr="006B396A">
        <w:rPr>
          <w:rFonts w:ascii="Times New Roman" w:eastAsia="Times New Roman" w:hAnsi="Times New Roman" w:cs="Times New Roman"/>
          <w:noProof/>
          <w:kern w:val="0"/>
          <w14:ligatures w14:val="none"/>
        </w:rPr>
        <mc:AlternateContent>
          <mc:Choice Requires="wps">
            <w:drawing>
              <wp:inline distT="0" distB="0" distL="0" distR="0" wp14:anchorId="291D398E" wp14:editId="6135B23C">
                <wp:extent cx="5731510" cy="1270"/>
                <wp:effectExtent l="0" t="31750" r="0" b="36830"/>
                <wp:docPr id="137072927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1A815B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07F4415" w14:textId="77777777" w:rsidR="006B396A" w:rsidRPr="006B396A" w:rsidRDefault="006B396A" w:rsidP="006B396A">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6B396A">
        <w:rPr>
          <w:rFonts w:ascii="Times New Roman" w:eastAsia="Times New Roman" w:hAnsi="Times New Roman" w:cs="Times New Roman"/>
          <w:b/>
          <w:bCs/>
          <w:kern w:val="36"/>
          <w:sz w:val="48"/>
          <w:szCs w:val="48"/>
          <w14:ligatures w14:val="none"/>
        </w:rPr>
        <w:t>4. Roles, Responsibilities, Benefits and Challenges</w:t>
      </w:r>
    </w:p>
    <w:p w14:paraId="1D639FFD" w14:textId="77777777" w:rsidR="006B396A" w:rsidRPr="006B396A" w:rsidRDefault="006B396A" w:rsidP="006B396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B396A">
        <w:rPr>
          <w:rFonts w:ascii="Times New Roman" w:eastAsia="Times New Roman" w:hAnsi="Times New Roman" w:cs="Times New Roman"/>
          <w:b/>
          <w:bCs/>
          <w:kern w:val="0"/>
          <w:sz w:val="36"/>
          <w:szCs w:val="36"/>
          <w14:ligatures w14:val="none"/>
        </w:rPr>
        <w:t>4.1 Board and Executive Management</w:t>
      </w:r>
    </w:p>
    <w:p w14:paraId="11FD75E5" w14:textId="77777777" w:rsidR="006B396A" w:rsidRPr="006B396A" w:rsidRDefault="006B396A" w:rsidP="006B396A">
      <w:pPr>
        <w:spacing w:before="100" w:beforeAutospacing="1" w:after="100" w:afterAutospacing="1" w:line="240" w:lineRule="auto"/>
        <w:rPr>
          <w:rFonts w:ascii="Times New Roman" w:hAnsi="Times New Roman" w:cs="Times New Roman"/>
          <w:kern w:val="0"/>
          <w14:ligatures w14:val="none"/>
        </w:rPr>
      </w:pPr>
      <w:r w:rsidRPr="006B396A">
        <w:rPr>
          <w:rFonts w:ascii="Times New Roman" w:hAnsi="Times New Roman" w:cs="Times New Roman"/>
          <w:kern w:val="0"/>
          <w14:ligatures w14:val="none"/>
        </w:rPr>
        <w:t>The Board provides strategic direction, funding approval and governance. It ensures that ConnectPlus contributes to Tesco’s wider objectives rather than becoming a technology project without measurable commercial value.</w:t>
      </w:r>
    </w:p>
    <w:p w14:paraId="43A08285" w14:textId="77777777" w:rsidR="006B396A" w:rsidRPr="006B396A" w:rsidRDefault="006B396A" w:rsidP="006B396A">
      <w:pPr>
        <w:spacing w:before="100" w:beforeAutospacing="1" w:after="100" w:afterAutospacing="1" w:line="240" w:lineRule="auto"/>
        <w:rPr>
          <w:rFonts w:ascii="Times New Roman" w:hAnsi="Times New Roman" w:cs="Times New Roman"/>
          <w:kern w:val="0"/>
          <w14:ligatures w14:val="none"/>
        </w:rPr>
      </w:pPr>
      <w:r w:rsidRPr="006B396A">
        <w:rPr>
          <w:rFonts w:ascii="Times New Roman" w:hAnsi="Times New Roman" w:cs="Times New Roman"/>
          <w:b/>
          <w:bCs/>
          <w:kern w:val="0"/>
          <w14:ligatures w14:val="none"/>
        </w:rPr>
        <w:t>Benefit:</w:t>
      </w:r>
      <w:r w:rsidRPr="006B396A">
        <w:rPr>
          <w:rFonts w:ascii="Times New Roman" w:hAnsi="Times New Roman" w:cs="Times New Roman"/>
          <w:kern w:val="0"/>
          <w14:ligatures w14:val="none"/>
        </w:rPr>
        <w:t xml:space="preserve"> strategic alignment, investment authority and organisational legitimacy.</w:t>
      </w:r>
    </w:p>
    <w:p w14:paraId="7FBC0839" w14:textId="77777777" w:rsidR="006B396A" w:rsidRPr="006B396A" w:rsidRDefault="006B396A" w:rsidP="006B396A">
      <w:pPr>
        <w:spacing w:before="100" w:beforeAutospacing="1" w:after="100" w:afterAutospacing="1" w:line="240" w:lineRule="auto"/>
        <w:rPr>
          <w:rFonts w:ascii="Times New Roman" w:hAnsi="Times New Roman" w:cs="Times New Roman"/>
          <w:kern w:val="0"/>
          <w14:ligatures w14:val="none"/>
        </w:rPr>
      </w:pPr>
      <w:r w:rsidRPr="006B396A">
        <w:rPr>
          <w:rFonts w:ascii="Times New Roman" w:hAnsi="Times New Roman" w:cs="Times New Roman"/>
          <w:b/>
          <w:bCs/>
          <w:kern w:val="0"/>
          <w14:ligatures w14:val="none"/>
        </w:rPr>
        <w:t>Challenge:</w:t>
      </w:r>
      <w:r w:rsidRPr="006B396A">
        <w:rPr>
          <w:rFonts w:ascii="Times New Roman" w:hAnsi="Times New Roman" w:cs="Times New Roman"/>
          <w:kern w:val="0"/>
          <w14:ligatures w14:val="none"/>
        </w:rPr>
        <w:t xml:space="preserve"> senior leaders may focus on financial returns and launch deadlines, potentially underestimating longer-term ethical or cultural issues.</w:t>
      </w:r>
    </w:p>
    <w:p w14:paraId="6B945FBA" w14:textId="77777777" w:rsidR="006B396A" w:rsidRPr="006B396A" w:rsidRDefault="006B396A" w:rsidP="006B396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B396A">
        <w:rPr>
          <w:rFonts w:ascii="Times New Roman" w:eastAsia="Times New Roman" w:hAnsi="Times New Roman" w:cs="Times New Roman"/>
          <w:b/>
          <w:bCs/>
          <w:kern w:val="0"/>
          <w:sz w:val="36"/>
          <w:szCs w:val="36"/>
          <w14:ligatures w14:val="none"/>
        </w:rPr>
        <w:t>4.2 Project Manager</w:t>
      </w:r>
    </w:p>
    <w:p w14:paraId="36294780" w14:textId="77777777" w:rsidR="006B396A" w:rsidRDefault="006B396A" w:rsidP="006B396A">
      <w:pPr>
        <w:spacing w:before="100" w:beforeAutospacing="1" w:after="100" w:afterAutospacing="1" w:line="240" w:lineRule="auto"/>
        <w:rPr>
          <w:rFonts w:ascii="Times New Roman" w:hAnsi="Times New Roman" w:cs="Times New Roman"/>
          <w:kern w:val="0"/>
          <w14:ligatures w14:val="none"/>
        </w:rPr>
      </w:pPr>
      <w:r w:rsidRPr="006B396A">
        <w:rPr>
          <w:rFonts w:ascii="Times New Roman" w:hAnsi="Times New Roman" w:cs="Times New Roman"/>
          <w:kern w:val="0"/>
          <w14:ligatures w14:val="none"/>
        </w:rPr>
        <w:t>The Project Manager coordinates the entire programme, manages scope, risk, resources, timelines and stakeholder expectations. The Project Manager is also responsible for ensuring that stakeholder feedback is converted into actionable decisions.</w:t>
      </w:r>
    </w:p>
    <w:p w14:paraId="169B30D7"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b/>
          <w:bCs/>
          <w:kern w:val="0"/>
          <w14:ligatures w14:val="none"/>
        </w:rPr>
        <w:t>Benefit:</w:t>
      </w:r>
      <w:r w:rsidRPr="00216BF8">
        <w:rPr>
          <w:rFonts w:ascii="Times New Roman" w:hAnsi="Times New Roman" w:cs="Times New Roman"/>
          <w:kern w:val="0"/>
          <w14:ligatures w14:val="none"/>
        </w:rPr>
        <w:t xml:space="preserve"> integration across functional and geographical boundaries.</w:t>
      </w:r>
    </w:p>
    <w:p w14:paraId="5AAD5AAE"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b/>
          <w:bCs/>
          <w:kern w:val="0"/>
          <w14:ligatures w14:val="none"/>
        </w:rPr>
        <w:t>Challenge:</w:t>
      </w:r>
      <w:r w:rsidRPr="00216BF8">
        <w:rPr>
          <w:rFonts w:ascii="Times New Roman" w:hAnsi="Times New Roman" w:cs="Times New Roman"/>
          <w:kern w:val="0"/>
          <w14:ligatures w14:val="none"/>
        </w:rPr>
        <w:t xml:space="preserve"> stakeholders may have competing objectives. Marketing may prioritise personalisation while Data Protection prioritises minimisation and Legal prioritises risk reduction.</w:t>
      </w:r>
    </w:p>
    <w:p w14:paraId="477CB65A" w14:textId="77777777" w:rsidR="00216BF8" w:rsidRPr="00216BF8" w:rsidRDefault="00216BF8" w:rsidP="00216BF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16BF8">
        <w:rPr>
          <w:rFonts w:ascii="Times New Roman" w:eastAsia="Times New Roman" w:hAnsi="Times New Roman" w:cs="Times New Roman"/>
          <w:b/>
          <w:bCs/>
          <w:kern w:val="0"/>
          <w:sz w:val="36"/>
          <w:szCs w:val="36"/>
          <w14:ligatures w14:val="none"/>
        </w:rPr>
        <w:t>4.3 IT, AI and Data Teams</w:t>
      </w:r>
    </w:p>
    <w:p w14:paraId="166C7F2D"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kern w:val="0"/>
          <w14:ligatures w14:val="none"/>
        </w:rPr>
        <w:t>These teams design and maintain the platform, recommendation algorithms, data architecture, cybersecurity controls and analytics capabilities.</w:t>
      </w:r>
    </w:p>
    <w:p w14:paraId="5B57AB13"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b/>
          <w:bCs/>
          <w:kern w:val="0"/>
          <w14:ligatures w14:val="none"/>
        </w:rPr>
        <w:t>Benefit:</w:t>
      </w:r>
      <w:r w:rsidRPr="00216BF8">
        <w:rPr>
          <w:rFonts w:ascii="Times New Roman" w:hAnsi="Times New Roman" w:cs="Times New Roman"/>
          <w:kern w:val="0"/>
          <w14:ligatures w14:val="none"/>
        </w:rPr>
        <w:t xml:space="preserve"> technical innovation and scalable personalisation.</w:t>
      </w:r>
    </w:p>
    <w:p w14:paraId="4D4AEDEA"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b/>
          <w:bCs/>
          <w:kern w:val="0"/>
          <w14:ligatures w14:val="none"/>
        </w:rPr>
        <w:t>Challenge:</w:t>
      </w:r>
      <w:r w:rsidRPr="00216BF8">
        <w:rPr>
          <w:rFonts w:ascii="Times New Roman" w:hAnsi="Times New Roman" w:cs="Times New Roman"/>
          <w:kern w:val="0"/>
          <w14:ligatures w14:val="none"/>
        </w:rPr>
        <w:t xml:space="preserve"> algorithmic bias, poor-quality data, cyberattacks, integration difficulties and insufficient explainability.</w:t>
      </w:r>
    </w:p>
    <w:p w14:paraId="4E960711" w14:textId="77777777" w:rsidR="00216BF8" w:rsidRPr="00216BF8" w:rsidRDefault="00216BF8" w:rsidP="00216BF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16BF8">
        <w:rPr>
          <w:rFonts w:ascii="Times New Roman" w:eastAsia="Times New Roman" w:hAnsi="Times New Roman" w:cs="Times New Roman"/>
          <w:b/>
          <w:bCs/>
          <w:kern w:val="0"/>
          <w:sz w:val="36"/>
          <w:szCs w:val="36"/>
          <w14:ligatures w14:val="none"/>
        </w:rPr>
        <w:t>4.4 Marketing and Customer Teams</w:t>
      </w:r>
    </w:p>
    <w:p w14:paraId="6C9A07F1"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kern w:val="0"/>
          <w14:ligatures w14:val="none"/>
        </w:rPr>
        <w:lastRenderedPageBreak/>
        <w:t>Marketing determines how ConnectPlus is positioned, while customer-service teams manage customer questions and complaints.</w:t>
      </w:r>
    </w:p>
    <w:p w14:paraId="6C2F908D"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b/>
          <w:bCs/>
          <w:kern w:val="0"/>
          <w14:ligatures w14:val="none"/>
        </w:rPr>
        <w:t>Benefit:</w:t>
      </w:r>
      <w:r w:rsidRPr="00216BF8">
        <w:rPr>
          <w:rFonts w:ascii="Times New Roman" w:hAnsi="Times New Roman" w:cs="Times New Roman"/>
          <w:kern w:val="0"/>
          <w14:ligatures w14:val="none"/>
        </w:rPr>
        <w:t xml:space="preserve"> improved customer engagement, loyalty and campaign effectiveness.</w:t>
      </w:r>
    </w:p>
    <w:p w14:paraId="77C94F8E" w14:textId="3A300114"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b/>
          <w:bCs/>
          <w:kern w:val="0"/>
          <w14:ligatures w14:val="none"/>
        </w:rPr>
        <w:t>Challenge:</w:t>
      </w:r>
      <w:r w:rsidRPr="00216BF8">
        <w:rPr>
          <w:rFonts w:ascii="Times New Roman" w:hAnsi="Times New Roman" w:cs="Times New Roman"/>
          <w:kern w:val="0"/>
          <w14:ligatures w14:val="none"/>
        </w:rPr>
        <w:t xml:space="preserve"> excessive personalisation can become intrusive. Accenture found that 91% of consumers were more likely to shop with brands that recognised them and provided relevant recommendations, demonstrating the potential value of personalisation; however, relevance must be balanced against privacy and trust. (</w:t>
      </w:r>
      <w:hyperlink r:id="rId17" w:history="1">
        <w:r w:rsidRPr="00216BF8">
          <w:rPr>
            <w:rFonts w:ascii="Times New Roman" w:hAnsi="Times New Roman" w:cs="Times New Roman"/>
            <w:color w:val="0000FF"/>
            <w:kern w:val="0"/>
            <w:u w:val="single"/>
            <w14:ligatures w14:val="none"/>
          </w:rPr>
          <w:t>Accenture Newsroom</w:t>
        </w:r>
      </w:hyperlink>
      <w:r w:rsidRPr="00216BF8">
        <w:rPr>
          <w:rFonts w:ascii="Times New Roman" w:hAnsi="Times New Roman" w:cs="Times New Roman"/>
          <w:kern w:val="0"/>
          <w14:ligatures w14:val="none"/>
        </w:rPr>
        <w:t>⁠)</w:t>
      </w:r>
    </w:p>
    <w:p w14:paraId="00FDEECE" w14:textId="77777777" w:rsidR="00216BF8" w:rsidRPr="00216BF8" w:rsidRDefault="00216BF8" w:rsidP="00216BF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16BF8">
        <w:rPr>
          <w:rFonts w:ascii="Times New Roman" w:eastAsia="Times New Roman" w:hAnsi="Times New Roman" w:cs="Times New Roman"/>
          <w:b/>
          <w:bCs/>
          <w:kern w:val="0"/>
          <w:sz w:val="36"/>
          <w:szCs w:val="36"/>
          <w14:ligatures w14:val="none"/>
        </w:rPr>
        <w:t>4.5 Customers</w:t>
      </w:r>
    </w:p>
    <w:p w14:paraId="28BEFDD3"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kern w:val="0"/>
          <w14:ligatures w14:val="none"/>
        </w:rPr>
        <w:t>Customers are both users and critical stakeholders. Their data enables ConnectPlus to function, while their adoption determines whether the platform produces commercial value.</w:t>
      </w:r>
    </w:p>
    <w:p w14:paraId="421C48D7"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b/>
          <w:bCs/>
          <w:kern w:val="0"/>
          <w14:ligatures w14:val="none"/>
        </w:rPr>
        <w:t>Benefit:</w:t>
      </w:r>
      <w:r w:rsidRPr="00216BF8">
        <w:rPr>
          <w:rFonts w:ascii="Times New Roman" w:hAnsi="Times New Roman" w:cs="Times New Roman"/>
          <w:kern w:val="0"/>
          <w14:ligatures w14:val="none"/>
        </w:rPr>
        <w:t xml:space="preserve"> personalised rewards, relevant recommendations and improved convenience.</w:t>
      </w:r>
    </w:p>
    <w:p w14:paraId="5223467F"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b/>
          <w:bCs/>
          <w:kern w:val="0"/>
          <w14:ligatures w14:val="none"/>
        </w:rPr>
        <w:t>Challenge:</w:t>
      </w:r>
      <w:r w:rsidRPr="00216BF8">
        <w:rPr>
          <w:rFonts w:ascii="Times New Roman" w:hAnsi="Times New Roman" w:cs="Times New Roman"/>
          <w:kern w:val="0"/>
          <w14:ligatures w14:val="none"/>
        </w:rPr>
        <w:t xml:space="preserve"> privacy concerns, digital exclusion, distrust of AI, excessive notifications and unequal value between different customer groups.</w:t>
      </w:r>
    </w:p>
    <w:p w14:paraId="2E5444F6" w14:textId="77777777" w:rsidR="00216BF8" w:rsidRPr="00216BF8" w:rsidRDefault="00216BF8" w:rsidP="00216BF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16BF8">
        <w:rPr>
          <w:rFonts w:ascii="Times New Roman" w:eastAsia="Times New Roman" w:hAnsi="Times New Roman" w:cs="Times New Roman"/>
          <w:b/>
          <w:bCs/>
          <w:kern w:val="0"/>
          <w:sz w:val="36"/>
          <w:szCs w:val="36"/>
          <w14:ligatures w14:val="none"/>
        </w:rPr>
        <w:t>4.6 Regulators</w:t>
      </w:r>
    </w:p>
    <w:p w14:paraId="71E66E80"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kern w:val="0"/>
          <w14:ligatures w14:val="none"/>
        </w:rPr>
        <w:t>Regulators provide external oversight concerning data protection, consumer rights and AI-related obligations.</w:t>
      </w:r>
    </w:p>
    <w:p w14:paraId="302A1C3D"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b/>
          <w:bCs/>
          <w:kern w:val="0"/>
          <w14:ligatures w14:val="none"/>
        </w:rPr>
        <w:t>Benefit:</w:t>
      </w:r>
      <w:r w:rsidRPr="00216BF8">
        <w:rPr>
          <w:rFonts w:ascii="Times New Roman" w:hAnsi="Times New Roman" w:cs="Times New Roman"/>
          <w:kern w:val="0"/>
          <w14:ligatures w14:val="none"/>
        </w:rPr>
        <w:t xml:space="preserve"> compliance and public trust.</w:t>
      </w:r>
    </w:p>
    <w:p w14:paraId="5A8A0DAD" w14:textId="77777777" w:rsidR="00216BF8" w:rsidRPr="00216BF8" w:rsidRDefault="00216BF8" w:rsidP="00216BF8">
      <w:pPr>
        <w:spacing w:before="100" w:beforeAutospacing="1" w:after="100" w:afterAutospacing="1" w:line="240" w:lineRule="auto"/>
        <w:rPr>
          <w:rFonts w:ascii="Times New Roman" w:hAnsi="Times New Roman" w:cs="Times New Roman"/>
          <w:kern w:val="0"/>
          <w14:ligatures w14:val="none"/>
        </w:rPr>
      </w:pPr>
      <w:r w:rsidRPr="00216BF8">
        <w:rPr>
          <w:rFonts w:ascii="Times New Roman" w:hAnsi="Times New Roman" w:cs="Times New Roman"/>
          <w:b/>
          <w:bCs/>
          <w:kern w:val="0"/>
          <w14:ligatures w14:val="none"/>
        </w:rPr>
        <w:t>Challenge:</w:t>
      </w:r>
      <w:r w:rsidRPr="00216BF8">
        <w:rPr>
          <w:rFonts w:ascii="Times New Roman" w:hAnsi="Times New Roman" w:cs="Times New Roman"/>
          <w:kern w:val="0"/>
          <w14:ligatures w14:val="none"/>
        </w:rPr>
        <w:t xml:space="preserve"> different international markets may impose different requirements, creating cost and complexity.</w:t>
      </w:r>
    </w:p>
    <w:p w14:paraId="5A8D9339" w14:textId="77777777" w:rsidR="0046535C" w:rsidRPr="0046535C" w:rsidRDefault="0046535C" w:rsidP="0046535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6535C">
        <w:rPr>
          <w:rFonts w:ascii="Times New Roman" w:eastAsia="Times New Roman" w:hAnsi="Times New Roman" w:cs="Times New Roman"/>
          <w:b/>
          <w:bCs/>
          <w:kern w:val="36"/>
          <w:sz w:val="48"/>
          <w:szCs w:val="48"/>
          <w14:ligatures w14:val="none"/>
        </w:rPr>
        <w:t>5. Stakeholder Engagement Process</w:t>
      </w:r>
    </w:p>
    <w:p w14:paraId="0455D0A5" w14:textId="77777777" w:rsidR="0046535C" w:rsidRPr="0046535C" w:rsidRDefault="0046535C" w:rsidP="0046535C">
      <w:pPr>
        <w:spacing w:before="100" w:beforeAutospacing="1" w:after="100" w:afterAutospacing="1" w:line="240" w:lineRule="auto"/>
        <w:rPr>
          <w:rFonts w:ascii="Times New Roman" w:hAnsi="Times New Roman" w:cs="Times New Roman"/>
          <w:kern w:val="0"/>
          <w14:ligatures w14:val="none"/>
        </w:rPr>
      </w:pPr>
      <w:r w:rsidRPr="0046535C">
        <w:rPr>
          <w:rFonts w:ascii="Times New Roman" w:hAnsi="Times New Roman" w:cs="Times New Roman"/>
          <w:kern w:val="0"/>
          <w14:ligatures w14:val="none"/>
        </w:rPr>
        <w:t>Effective stakeholder engagement should begin before the platform is technically complete. The proposed process contains six stages.</w:t>
      </w:r>
    </w:p>
    <w:p w14:paraId="6B3202BC" w14:textId="77777777" w:rsidR="0046535C" w:rsidRPr="0046535C" w:rsidRDefault="0046535C" w:rsidP="0046535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6535C">
        <w:rPr>
          <w:rFonts w:ascii="Times New Roman" w:eastAsia="Times New Roman" w:hAnsi="Times New Roman" w:cs="Times New Roman"/>
          <w:b/>
          <w:bCs/>
          <w:kern w:val="0"/>
          <w:sz w:val="36"/>
          <w:szCs w:val="36"/>
          <w14:ligatures w14:val="none"/>
        </w:rPr>
        <w:t>Stage 1: Stakeholder Identification and Baseline Assessment</w:t>
      </w:r>
    </w:p>
    <w:p w14:paraId="789FDA5C" w14:textId="77777777" w:rsidR="0046535C" w:rsidRPr="0046535C" w:rsidRDefault="0046535C" w:rsidP="0046535C">
      <w:pPr>
        <w:spacing w:before="100" w:beforeAutospacing="1" w:after="100" w:afterAutospacing="1" w:line="240" w:lineRule="auto"/>
        <w:rPr>
          <w:rFonts w:ascii="Times New Roman" w:hAnsi="Times New Roman" w:cs="Times New Roman"/>
          <w:kern w:val="0"/>
          <w14:ligatures w14:val="none"/>
        </w:rPr>
      </w:pPr>
      <w:r w:rsidRPr="0046535C">
        <w:rPr>
          <w:rFonts w:ascii="Times New Roman" w:hAnsi="Times New Roman" w:cs="Times New Roman"/>
          <w:kern w:val="0"/>
          <w14:ligatures w14:val="none"/>
        </w:rPr>
        <w:t>During month one, the Project Manager should conduct stakeholder interviews, workshops and document analysis to identify interests, expectations, influence and potential resistance. Stakeholders should then be categorised using Mendelow and Mitchell et al.’s models.</w:t>
      </w:r>
    </w:p>
    <w:p w14:paraId="2788E333" w14:textId="77777777" w:rsidR="0046535C" w:rsidRPr="0046535C" w:rsidRDefault="0046535C" w:rsidP="0046535C">
      <w:pPr>
        <w:spacing w:before="100" w:beforeAutospacing="1" w:after="100" w:afterAutospacing="1" w:line="240" w:lineRule="auto"/>
        <w:rPr>
          <w:rFonts w:ascii="Times New Roman" w:hAnsi="Times New Roman" w:cs="Times New Roman"/>
          <w:kern w:val="0"/>
          <w14:ligatures w14:val="none"/>
        </w:rPr>
      </w:pPr>
      <w:r w:rsidRPr="0046535C">
        <w:rPr>
          <w:rFonts w:ascii="Times New Roman" w:hAnsi="Times New Roman" w:cs="Times New Roman"/>
          <w:kern w:val="0"/>
          <w14:ligatures w14:val="none"/>
        </w:rPr>
        <w:t>Stakeholder assessments should also include cultural and market characteristics. A centralised UK communication strategy should not automatically be translated and applied unchanged internationally. Language, attitudes towards privacy, communication preferences, regulatory requirements and attitudes towards technology may differ.</w:t>
      </w:r>
    </w:p>
    <w:p w14:paraId="4980E508" w14:textId="77777777" w:rsidR="0046535C" w:rsidRPr="0046535C" w:rsidRDefault="0046535C" w:rsidP="0046535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6535C">
        <w:rPr>
          <w:rFonts w:ascii="Times New Roman" w:eastAsia="Times New Roman" w:hAnsi="Times New Roman" w:cs="Times New Roman"/>
          <w:b/>
          <w:bCs/>
          <w:kern w:val="0"/>
          <w:sz w:val="36"/>
          <w:szCs w:val="36"/>
          <w14:ligatures w14:val="none"/>
        </w:rPr>
        <w:lastRenderedPageBreak/>
        <w:t>Stage 2: Stakeholder Requirements</w:t>
      </w:r>
    </w:p>
    <w:p w14:paraId="70DF4503" w14:textId="77777777" w:rsidR="0046535C" w:rsidRPr="0046535C" w:rsidRDefault="0046535C" w:rsidP="0046535C">
      <w:pPr>
        <w:spacing w:before="100" w:beforeAutospacing="1" w:after="100" w:afterAutospacing="1" w:line="240" w:lineRule="auto"/>
        <w:rPr>
          <w:rFonts w:ascii="Times New Roman" w:hAnsi="Times New Roman" w:cs="Times New Roman"/>
          <w:kern w:val="0"/>
          <w14:ligatures w14:val="none"/>
        </w:rPr>
      </w:pPr>
      <w:r w:rsidRPr="0046535C">
        <w:rPr>
          <w:rFonts w:ascii="Times New Roman" w:hAnsi="Times New Roman" w:cs="Times New Roman"/>
          <w:kern w:val="0"/>
          <w14:ligatures w14:val="none"/>
        </w:rPr>
        <w:t>The second stage should establish what each stakeholder requires from ConnectPlus.</w:t>
      </w:r>
    </w:p>
    <w:p w14:paraId="40676D84" w14:textId="77777777" w:rsidR="0046535C" w:rsidRPr="0046535C" w:rsidRDefault="0046535C" w:rsidP="0046535C">
      <w:pPr>
        <w:spacing w:before="100" w:beforeAutospacing="1" w:after="100" w:afterAutospacing="1" w:line="240" w:lineRule="auto"/>
        <w:rPr>
          <w:rFonts w:ascii="Times New Roman" w:hAnsi="Times New Roman" w:cs="Times New Roman"/>
          <w:kern w:val="0"/>
          <w14:ligatures w14:val="none"/>
        </w:rPr>
      </w:pPr>
      <w:r w:rsidRPr="0046535C">
        <w:rPr>
          <w:rFonts w:ascii="Times New Roman" w:hAnsi="Times New Roman" w:cs="Times New Roman"/>
          <w:kern w:val="0"/>
          <w14:ligatures w14:val="none"/>
        </w:rPr>
        <w:t>Customers may require transparency and meaningful rewards. Marketing requires actionable customer insight. IT requires stable requirements. Legal requires compliance. Finance requires a credible return on investment. Store employees require training and manageable processes.</w:t>
      </w:r>
    </w:p>
    <w:p w14:paraId="5AE12A4E" w14:textId="77777777" w:rsidR="0046535C" w:rsidRPr="0046535C" w:rsidRDefault="0046535C" w:rsidP="0046535C">
      <w:pPr>
        <w:spacing w:before="100" w:beforeAutospacing="1" w:after="100" w:afterAutospacing="1" w:line="240" w:lineRule="auto"/>
        <w:rPr>
          <w:rFonts w:ascii="Times New Roman" w:hAnsi="Times New Roman" w:cs="Times New Roman"/>
          <w:kern w:val="0"/>
          <w14:ligatures w14:val="none"/>
        </w:rPr>
      </w:pPr>
      <w:r w:rsidRPr="0046535C">
        <w:rPr>
          <w:rFonts w:ascii="Times New Roman" w:hAnsi="Times New Roman" w:cs="Times New Roman"/>
          <w:kern w:val="0"/>
          <w14:ligatures w14:val="none"/>
        </w:rPr>
        <w:t xml:space="preserve">This stage should follow a </w:t>
      </w:r>
      <w:r w:rsidRPr="0046535C">
        <w:rPr>
          <w:rFonts w:ascii="Times New Roman" w:hAnsi="Times New Roman" w:cs="Times New Roman"/>
          <w:b/>
          <w:bCs/>
          <w:kern w:val="0"/>
          <w14:ligatures w14:val="none"/>
        </w:rPr>
        <w:t>“listen before launch”</w:t>
      </w:r>
      <w:r w:rsidRPr="0046535C">
        <w:rPr>
          <w:rFonts w:ascii="Times New Roman" w:hAnsi="Times New Roman" w:cs="Times New Roman"/>
          <w:kern w:val="0"/>
          <w14:ligatures w14:val="none"/>
        </w:rPr>
        <w:t xml:space="preserve"> principle. Stakeholder engagement becomes more valuable when stakeholders influence decisions rather than simply receive information.</w:t>
      </w:r>
    </w:p>
    <w:p w14:paraId="0B20EBE0" w14:textId="6E909585" w:rsidR="0046535C" w:rsidRPr="0046535C" w:rsidRDefault="0046535C" w:rsidP="0046535C">
      <w:pPr>
        <w:spacing w:before="100" w:beforeAutospacing="1" w:after="100" w:afterAutospacing="1" w:line="240" w:lineRule="auto"/>
        <w:rPr>
          <w:rFonts w:ascii="Times New Roman" w:hAnsi="Times New Roman" w:cs="Times New Roman"/>
          <w:kern w:val="0"/>
          <w14:ligatures w14:val="none"/>
        </w:rPr>
      </w:pPr>
      <w:r w:rsidRPr="0046535C">
        <w:rPr>
          <w:rFonts w:ascii="Times New Roman" w:hAnsi="Times New Roman" w:cs="Times New Roman"/>
          <w:kern w:val="0"/>
          <w14:ligatures w14:val="none"/>
        </w:rPr>
        <w:t>Payne, Ballantyne and Christopher’s stakeholder-oriented relationship marketing approach emphasises understanding stakeholder interests and managing relationships systematically rather than treating stakeholder contact as isolated transactions. (</w:t>
      </w:r>
      <w:hyperlink r:id="rId18" w:history="1">
        <w:r w:rsidRPr="0046535C">
          <w:rPr>
            <w:rFonts w:ascii="Times New Roman" w:hAnsi="Times New Roman" w:cs="Times New Roman"/>
            <w:color w:val="0000FF"/>
            <w:kern w:val="0"/>
            <w:u w:val="single"/>
            <w14:ligatures w14:val="none"/>
          </w:rPr>
          <w:t>ResearchGate</w:t>
        </w:r>
      </w:hyperlink>
      <w:r w:rsidRPr="0046535C">
        <w:rPr>
          <w:rFonts w:ascii="Times New Roman" w:hAnsi="Times New Roman" w:cs="Times New Roman"/>
          <w:kern w:val="0"/>
          <w14:ligatures w14:val="none"/>
        </w:rPr>
        <w:t>⁠)</w:t>
      </w:r>
    </w:p>
    <w:p w14:paraId="09059551" w14:textId="77777777" w:rsidR="0046535C" w:rsidRPr="0046535C" w:rsidRDefault="0046535C" w:rsidP="0046535C">
      <w:pPr>
        <w:spacing w:after="0" w:line="240" w:lineRule="auto"/>
        <w:rPr>
          <w:rFonts w:ascii="Times New Roman" w:eastAsia="Times New Roman" w:hAnsi="Times New Roman" w:cs="Times New Roman"/>
          <w:kern w:val="0"/>
          <w14:ligatures w14:val="none"/>
        </w:rPr>
      </w:pPr>
      <w:r w:rsidRPr="0046535C">
        <w:rPr>
          <w:rFonts w:ascii="Times New Roman" w:eastAsia="Times New Roman" w:hAnsi="Times New Roman" w:cs="Times New Roman"/>
          <w:noProof/>
          <w:kern w:val="0"/>
          <w14:ligatures w14:val="none"/>
        </w:rPr>
        <mc:AlternateContent>
          <mc:Choice Requires="wps">
            <w:drawing>
              <wp:inline distT="0" distB="0" distL="0" distR="0" wp14:anchorId="369609FA" wp14:editId="35098A92">
                <wp:extent cx="5731510" cy="1270"/>
                <wp:effectExtent l="0" t="31750" r="0" b="36830"/>
                <wp:docPr id="135975133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3CA6DD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3E0CF5" w14:textId="77777777" w:rsidR="0046535C" w:rsidRPr="0046535C" w:rsidRDefault="0046535C" w:rsidP="0046535C">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46535C">
        <w:rPr>
          <w:rFonts w:ascii="Times New Roman" w:eastAsia="Times New Roman" w:hAnsi="Times New Roman" w:cs="Times New Roman"/>
          <w:b/>
          <w:bCs/>
          <w:kern w:val="36"/>
          <w:sz w:val="48"/>
          <w:szCs w:val="48"/>
          <w14:ligatures w14:val="none"/>
        </w:rPr>
        <w:t>6. RACI Governance Framework</w:t>
      </w:r>
    </w:p>
    <w:p w14:paraId="0583E641" w14:textId="77777777" w:rsidR="0046535C" w:rsidRDefault="0046535C" w:rsidP="0046535C">
      <w:pPr>
        <w:spacing w:before="100" w:beforeAutospacing="1" w:after="100" w:afterAutospacing="1" w:line="240" w:lineRule="auto"/>
        <w:rPr>
          <w:rFonts w:ascii="Times New Roman" w:hAnsi="Times New Roman" w:cs="Times New Roman"/>
          <w:kern w:val="0"/>
          <w14:ligatures w14:val="none"/>
        </w:rPr>
      </w:pPr>
      <w:r w:rsidRPr="0046535C">
        <w:rPr>
          <w:rFonts w:ascii="Times New Roman" w:hAnsi="Times New Roman" w:cs="Times New Roman"/>
          <w:kern w:val="0"/>
          <w14:ligatures w14:val="none"/>
        </w:rPr>
        <w:t>A RACI matrix clarifies accountability and prevents ambiguity.</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617"/>
        <w:gridCol w:w="810"/>
        <w:gridCol w:w="622"/>
        <w:gridCol w:w="772"/>
        <w:gridCol w:w="1128"/>
        <w:gridCol w:w="1165"/>
        <w:gridCol w:w="1759"/>
        <w:gridCol w:w="1137"/>
      </w:tblGrid>
      <w:tr w:rsidR="00D12F47" w:rsidRPr="00D12F47" w14:paraId="272E4A10"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14DE98" w14:textId="77777777" w:rsidR="00D12F47" w:rsidRPr="00D12F47" w:rsidRDefault="00D12F47" w:rsidP="00D12F47">
            <w:pPr>
              <w:spacing w:before="100" w:beforeAutospacing="1" w:after="100" w:afterAutospacing="1" w:line="240" w:lineRule="auto"/>
              <w:jc w:val="center"/>
              <w:rPr>
                <w:rFonts w:ascii="Times New Roman" w:hAnsi="Times New Roman" w:cs="Times New Roman"/>
                <w:b/>
                <w:bCs/>
                <w:kern w:val="0"/>
                <w14:ligatures w14:val="none"/>
              </w:rPr>
            </w:pPr>
            <w:r w:rsidRPr="00D12F47">
              <w:rPr>
                <w:rFonts w:ascii="Times New Roman" w:hAnsi="Times New Roman" w:cs="Times New Roman"/>
                <w:b/>
                <w:bCs/>
                <w:kern w:val="0"/>
                <w14:ligatures w14:val="none"/>
              </w:rPr>
              <w:t>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AC3DC4" w14:textId="77777777" w:rsidR="00D12F47" w:rsidRPr="00D12F47" w:rsidRDefault="00D12F47" w:rsidP="00D12F47">
            <w:pPr>
              <w:spacing w:before="100" w:beforeAutospacing="1" w:after="100" w:afterAutospacing="1" w:line="240" w:lineRule="auto"/>
              <w:jc w:val="center"/>
              <w:rPr>
                <w:rFonts w:ascii="Times New Roman" w:hAnsi="Times New Roman" w:cs="Times New Roman"/>
                <w:b/>
                <w:bCs/>
                <w:kern w:val="0"/>
                <w14:ligatures w14:val="none"/>
              </w:rPr>
            </w:pPr>
            <w:r w:rsidRPr="00D12F47">
              <w:rPr>
                <w:rFonts w:ascii="Times New Roman" w:hAnsi="Times New Roman" w:cs="Times New Roman"/>
                <w:b/>
                <w:bCs/>
                <w:kern w:val="0"/>
                <w14:ligatures w14:val="none"/>
              </w:rPr>
              <w:t>Board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CA6C29" w14:textId="77777777" w:rsidR="00D12F47" w:rsidRPr="00D12F47" w:rsidRDefault="00D12F47" w:rsidP="00D12F47">
            <w:pPr>
              <w:spacing w:before="100" w:beforeAutospacing="1" w:after="100" w:afterAutospacing="1" w:line="240" w:lineRule="auto"/>
              <w:jc w:val="center"/>
              <w:rPr>
                <w:rFonts w:ascii="Times New Roman" w:hAnsi="Times New Roman" w:cs="Times New Roman"/>
                <w:b/>
                <w:bCs/>
                <w:kern w:val="0"/>
                <w14:ligatures w14:val="none"/>
              </w:rPr>
            </w:pPr>
            <w:r w:rsidRPr="00D12F47">
              <w:rPr>
                <w:rFonts w:ascii="Times New Roman" w:hAnsi="Times New Roman" w:cs="Times New Roman"/>
                <w:b/>
                <w:bCs/>
                <w:kern w:val="0"/>
                <w14:ligatures w14:val="none"/>
              </w:rPr>
              <w:t>PM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A42035" w14:textId="77777777" w:rsidR="00D12F47" w:rsidRPr="00D12F47" w:rsidRDefault="00D12F47" w:rsidP="00D12F47">
            <w:pPr>
              <w:spacing w:before="100" w:beforeAutospacing="1" w:after="100" w:afterAutospacing="1" w:line="240" w:lineRule="auto"/>
              <w:jc w:val="center"/>
              <w:rPr>
                <w:rFonts w:ascii="Times New Roman" w:hAnsi="Times New Roman" w:cs="Times New Roman"/>
                <w:b/>
                <w:bCs/>
                <w:kern w:val="0"/>
                <w14:ligatures w14:val="none"/>
              </w:rPr>
            </w:pPr>
            <w:r w:rsidRPr="00D12F47">
              <w:rPr>
                <w:rFonts w:ascii="Times New Roman" w:hAnsi="Times New Roman" w:cs="Times New Roman"/>
                <w:b/>
                <w:bCs/>
                <w:kern w:val="0"/>
                <w14:ligatures w14:val="none"/>
              </w:rPr>
              <w:t>IT/AI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747DBF" w14:textId="77777777" w:rsidR="00D12F47" w:rsidRPr="00D12F47" w:rsidRDefault="00D12F47" w:rsidP="00D12F47">
            <w:pPr>
              <w:spacing w:before="100" w:beforeAutospacing="1" w:after="100" w:afterAutospacing="1" w:line="240" w:lineRule="auto"/>
              <w:jc w:val="center"/>
              <w:rPr>
                <w:rFonts w:ascii="Times New Roman" w:hAnsi="Times New Roman" w:cs="Times New Roman"/>
                <w:b/>
                <w:bCs/>
                <w:kern w:val="0"/>
                <w14:ligatures w14:val="none"/>
              </w:rPr>
            </w:pPr>
            <w:r w:rsidRPr="00D12F47">
              <w:rPr>
                <w:rFonts w:ascii="Times New Roman" w:hAnsi="Times New Roman" w:cs="Times New Roman"/>
                <w:b/>
                <w:bCs/>
                <w:kern w:val="0"/>
                <w14:ligatures w14:val="none"/>
              </w:rPr>
              <w:t>Marketing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090931" w14:textId="77777777" w:rsidR="00D12F47" w:rsidRPr="00D12F47" w:rsidRDefault="00D12F47" w:rsidP="00D12F47">
            <w:pPr>
              <w:spacing w:before="100" w:beforeAutospacing="1" w:after="100" w:afterAutospacing="1" w:line="240" w:lineRule="auto"/>
              <w:jc w:val="center"/>
              <w:rPr>
                <w:rFonts w:ascii="Times New Roman" w:hAnsi="Times New Roman" w:cs="Times New Roman"/>
                <w:b/>
                <w:bCs/>
                <w:kern w:val="0"/>
                <w14:ligatures w14:val="none"/>
              </w:rPr>
            </w:pPr>
            <w:r w:rsidRPr="00D12F47">
              <w:rPr>
                <w:rFonts w:ascii="Times New Roman" w:hAnsi="Times New Roman" w:cs="Times New Roman"/>
                <w:b/>
                <w:bCs/>
                <w:kern w:val="0"/>
                <w14:ligatures w14:val="none"/>
              </w:rPr>
              <w:t>Legal/DPO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B25990" w14:textId="77777777" w:rsidR="00D12F47" w:rsidRPr="00D12F47" w:rsidRDefault="00D12F47" w:rsidP="00D12F47">
            <w:pPr>
              <w:spacing w:before="100" w:beforeAutospacing="1" w:after="100" w:afterAutospacing="1" w:line="240" w:lineRule="auto"/>
              <w:jc w:val="center"/>
              <w:rPr>
                <w:rFonts w:ascii="Times New Roman" w:hAnsi="Times New Roman" w:cs="Times New Roman"/>
                <w:b/>
                <w:bCs/>
                <w:kern w:val="0"/>
                <w14:ligatures w14:val="none"/>
              </w:rPr>
            </w:pPr>
            <w:r w:rsidRPr="00D12F47">
              <w:rPr>
                <w:rFonts w:ascii="Times New Roman" w:hAnsi="Times New Roman" w:cs="Times New Roman"/>
                <w:b/>
                <w:bCs/>
                <w:kern w:val="0"/>
                <w14:ligatures w14:val="none"/>
              </w:rPr>
              <w:t>Regional Managers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22F56E" w14:textId="77777777" w:rsidR="00D12F47" w:rsidRPr="00D12F47" w:rsidRDefault="00D12F47" w:rsidP="00D12F47">
            <w:pPr>
              <w:spacing w:before="100" w:beforeAutospacing="1" w:after="100" w:afterAutospacing="1" w:line="240" w:lineRule="auto"/>
              <w:jc w:val="center"/>
              <w:rPr>
                <w:rFonts w:ascii="Times New Roman" w:hAnsi="Times New Roman" w:cs="Times New Roman"/>
                <w:b/>
                <w:bCs/>
                <w:kern w:val="0"/>
                <w14:ligatures w14:val="none"/>
              </w:rPr>
            </w:pPr>
            <w:r w:rsidRPr="00D12F47">
              <w:rPr>
                <w:rFonts w:ascii="Times New Roman" w:hAnsi="Times New Roman" w:cs="Times New Roman"/>
                <w:b/>
                <w:bCs/>
                <w:kern w:val="0"/>
                <w14:ligatures w14:val="none"/>
              </w:rPr>
              <w:t>Customers</w:t>
            </w:r>
          </w:p>
        </w:tc>
      </w:tr>
      <w:tr w:rsidR="00D12F47" w:rsidRPr="00D12F47" w14:paraId="7CE1A5F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DC1E21"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Business case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7CBB6B"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2ED322"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66A255"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6E6EB2"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997801"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9DBA4C"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00B9B7"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I</w:t>
            </w:r>
          </w:p>
        </w:tc>
      </w:tr>
      <w:tr w:rsidR="00D12F47" w:rsidRPr="00D12F47" w14:paraId="0F24234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A860DF"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Platform design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99461F"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23D786"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0FF55D"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44C7C8"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B0F2B7"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5C0CA8"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5E4904"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r>
      <w:tr w:rsidR="00D12F47" w:rsidRPr="00D12F47" w14:paraId="03C577F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6B1CC2"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Data governance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3B2BDF"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0EEB58"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6766F0"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E4C21A"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F75322"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3D2A93"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972079"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I</w:t>
            </w:r>
          </w:p>
        </w:tc>
      </w:tr>
      <w:tr w:rsidR="00D12F47" w:rsidRPr="00D12F47" w14:paraId="4F5B025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98B099"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Customer research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BBC450"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66E5AA"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8571DE"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6E2A96"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64ADA2"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660454"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C0FA9B"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r>
      <w:tr w:rsidR="00D12F47" w:rsidRPr="00D12F47" w14:paraId="0232582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74E0D9"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AI testing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E2D59A"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2936A9"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22B056"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D39CE5"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36EC3C"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119AFA"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735937"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r>
      <w:tr w:rsidR="00D12F47" w:rsidRPr="00D12F47" w14:paraId="2ECD034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6C29A7"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Employee 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86DDF0"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FD0ABE"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91EA99"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E1C5AC"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694C5E"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A3C024"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0EE0A6"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I</w:t>
            </w:r>
          </w:p>
        </w:tc>
      </w:tr>
      <w:tr w:rsidR="00D12F47" w:rsidRPr="00D12F47" w14:paraId="0F4273B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041690"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Pilot launch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E23C45"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2F187A"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CAF25C"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C09ECB"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98B6C0"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A7B7E6"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46A55A"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r>
      <w:tr w:rsidR="00D12F47" w:rsidRPr="00D12F47" w14:paraId="2A326DA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5F1838"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Final approval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30C7CD"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6DEACC"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D58089"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B0B4E0"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17DC8D"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74EBB5"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835A77" w14:textId="77777777" w:rsidR="00D12F47" w:rsidRPr="00D12F47" w:rsidRDefault="00D12F47" w:rsidP="00D12F47">
            <w:pPr>
              <w:spacing w:before="100" w:beforeAutospacing="1" w:after="100" w:afterAutospacing="1" w:line="240" w:lineRule="auto"/>
              <w:rPr>
                <w:rFonts w:ascii="Times New Roman" w:hAnsi="Times New Roman" w:cs="Times New Roman"/>
                <w:kern w:val="0"/>
                <w14:ligatures w14:val="none"/>
              </w:rPr>
            </w:pPr>
            <w:r w:rsidRPr="00D12F47">
              <w:rPr>
                <w:rFonts w:ascii="Times New Roman" w:hAnsi="Times New Roman" w:cs="Times New Roman"/>
                <w:kern w:val="0"/>
                <w14:ligatures w14:val="none"/>
              </w:rPr>
              <w:t>I</w:t>
            </w:r>
          </w:p>
        </w:tc>
      </w:tr>
    </w:tbl>
    <w:p w14:paraId="4DE51F72" w14:textId="77777777" w:rsidR="00935BED" w:rsidRPr="00935BED" w:rsidRDefault="00935BED" w:rsidP="00935BED">
      <w:pPr>
        <w:spacing w:before="100" w:beforeAutospacing="1" w:after="100" w:afterAutospacing="1" w:line="240" w:lineRule="auto"/>
        <w:rPr>
          <w:rFonts w:ascii="Times New Roman" w:hAnsi="Times New Roman" w:cs="Times New Roman"/>
          <w:kern w:val="0"/>
          <w14:ligatures w14:val="none"/>
        </w:rPr>
      </w:pPr>
      <w:r w:rsidRPr="00935BED">
        <w:rPr>
          <w:rFonts w:ascii="Times New Roman" w:hAnsi="Times New Roman" w:cs="Times New Roman"/>
          <w:b/>
          <w:bCs/>
          <w:kern w:val="0"/>
          <w14:ligatures w14:val="none"/>
        </w:rPr>
        <w:lastRenderedPageBreak/>
        <w:t>R = Responsible, A = Accountable, C = Consulted, I = Informed.</w:t>
      </w:r>
    </w:p>
    <w:p w14:paraId="69F4352C" w14:textId="77777777" w:rsidR="00935BED" w:rsidRPr="00935BED" w:rsidRDefault="00935BED" w:rsidP="00935BED">
      <w:pPr>
        <w:spacing w:before="100" w:beforeAutospacing="1" w:after="100" w:afterAutospacing="1" w:line="240" w:lineRule="auto"/>
        <w:rPr>
          <w:rFonts w:ascii="Times New Roman" w:hAnsi="Times New Roman" w:cs="Times New Roman"/>
          <w:kern w:val="0"/>
          <w14:ligatures w14:val="none"/>
        </w:rPr>
      </w:pPr>
      <w:r w:rsidRPr="00935BED">
        <w:rPr>
          <w:rFonts w:ascii="Times New Roman" w:hAnsi="Times New Roman" w:cs="Times New Roman"/>
          <w:kern w:val="0"/>
          <w14:ligatures w14:val="none"/>
        </w:rPr>
        <w:t>The RACI model should be accompanied by clear escalation routes. For example, if customer testing reveals a significant privacy concern, the Project Manager should have authority to escalate the issue to the Data Protection Officer and Project Sponsor rather than allowing commercial pressure to override the concern.</w:t>
      </w:r>
    </w:p>
    <w:p w14:paraId="58A8D43D" w14:textId="77777777" w:rsidR="00935BED" w:rsidRPr="00935BED" w:rsidRDefault="00935BED" w:rsidP="00935BED">
      <w:pPr>
        <w:spacing w:after="0"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noProof/>
          <w:kern w:val="0"/>
          <w14:ligatures w14:val="none"/>
        </w:rPr>
        <mc:AlternateContent>
          <mc:Choice Requires="wps">
            <w:drawing>
              <wp:inline distT="0" distB="0" distL="0" distR="0" wp14:anchorId="239FA6A4" wp14:editId="3EC8A8FC">
                <wp:extent cx="5731510" cy="1270"/>
                <wp:effectExtent l="0" t="31750" r="0" b="36830"/>
                <wp:docPr id="11067005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1D2403"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FE320A5" w14:textId="77777777" w:rsidR="00935BED" w:rsidRPr="00935BED" w:rsidRDefault="00935BED" w:rsidP="00935BE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35BED">
        <w:rPr>
          <w:rFonts w:ascii="Times New Roman" w:eastAsia="Times New Roman" w:hAnsi="Times New Roman" w:cs="Times New Roman"/>
          <w:b/>
          <w:bCs/>
          <w:kern w:val="36"/>
          <w:sz w:val="48"/>
          <w:szCs w:val="48"/>
          <w14:ligatures w14:val="none"/>
        </w:rPr>
        <w:t>7. Applying the 4Cs Model</w:t>
      </w:r>
    </w:p>
    <w:p w14:paraId="276836C8" w14:textId="77777777" w:rsidR="00935BED" w:rsidRPr="00935BED" w:rsidRDefault="00935BED" w:rsidP="00935BED">
      <w:pPr>
        <w:spacing w:before="100" w:beforeAutospacing="1" w:after="100" w:afterAutospacing="1" w:line="240" w:lineRule="auto"/>
        <w:rPr>
          <w:rFonts w:ascii="Times New Roman" w:hAnsi="Times New Roman" w:cs="Times New Roman"/>
          <w:kern w:val="0"/>
          <w14:ligatures w14:val="none"/>
        </w:rPr>
      </w:pPr>
      <w:r w:rsidRPr="00935BED">
        <w:rPr>
          <w:rFonts w:ascii="Times New Roman" w:hAnsi="Times New Roman" w:cs="Times New Roman"/>
          <w:kern w:val="0"/>
          <w14:ligatures w14:val="none"/>
        </w:rPr>
        <w:t xml:space="preserve">The </w:t>
      </w:r>
      <w:r w:rsidRPr="00935BED">
        <w:rPr>
          <w:rFonts w:ascii="Times New Roman" w:hAnsi="Times New Roman" w:cs="Times New Roman"/>
          <w:b/>
          <w:bCs/>
          <w:kern w:val="0"/>
          <w14:ligatures w14:val="none"/>
        </w:rPr>
        <w:t>4Cs—Communication, Consultation, Collaboration and Commitment—</w:t>
      </w:r>
      <w:r w:rsidRPr="00935BED">
        <w:rPr>
          <w:rFonts w:ascii="Times New Roman" w:hAnsi="Times New Roman" w:cs="Times New Roman"/>
          <w:kern w:val="0"/>
          <w14:ligatures w14:val="none"/>
        </w:rPr>
        <w:t xml:space="preserve"> provide a practical framework for moving stakeholders from awareness towards active ownership.</w:t>
      </w:r>
    </w:p>
    <w:p w14:paraId="640A4C27" w14:textId="77777777" w:rsidR="00935BED" w:rsidRPr="00935BED" w:rsidRDefault="00935BED" w:rsidP="00935BE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5BED">
        <w:rPr>
          <w:rFonts w:ascii="Times New Roman" w:eastAsia="Times New Roman" w:hAnsi="Times New Roman" w:cs="Times New Roman"/>
          <w:b/>
          <w:bCs/>
          <w:kern w:val="0"/>
          <w:sz w:val="36"/>
          <w:szCs w:val="36"/>
          <w14:ligatures w14:val="none"/>
        </w:rPr>
        <w:t>7.1 Communication</w:t>
      </w:r>
    </w:p>
    <w:p w14:paraId="7A186887" w14:textId="77777777" w:rsidR="00935BED" w:rsidRPr="00935BED" w:rsidRDefault="00935BED" w:rsidP="00935BED">
      <w:pPr>
        <w:spacing w:before="100" w:beforeAutospacing="1" w:after="100" w:afterAutospacing="1" w:line="240" w:lineRule="auto"/>
        <w:rPr>
          <w:rFonts w:ascii="Times New Roman" w:hAnsi="Times New Roman" w:cs="Times New Roman"/>
          <w:kern w:val="0"/>
          <w14:ligatures w14:val="none"/>
        </w:rPr>
      </w:pPr>
      <w:r w:rsidRPr="00935BED">
        <w:rPr>
          <w:rFonts w:ascii="Times New Roman" w:hAnsi="Times New Roman" w:cs="Times New Roman"/>
          <w:kern w:val="0"/>
          <w14:ligatures w14:val="none"/>
        </w:rPr>
        <w:t>Communication should explain what ConnectPlus is, why Tesco is introducing it, how customer data will be used and what benefits stakeholders can expect.</w:t>
      </w:r>
    </w:p>
    <w:p w14:paraId="156F069F" w14:textId="77777777" w:rsidR="00935BED" w:rsidRPr="00935BED" w:rsidRDefault="00935BED" w:rsidP="00935BED">
      <w:pPr>
        <w:spacing w:before="100" w:beforeAutospacing="1" w:after="100" w:afterAutospacing="1" w:line="240" w:lineRule="auto"/>
        <w:rPr>
          <w:rFonts w:ascii="Times New Roman" w:hAnsi="Times New Roman" w:cs="Times New Roman"/>
          <w:kern w:val="0"/>
          <w14:ligatures w14:val="none"/>
        </w:rPr>
      </w:pPr>
      <w:r w:rsidRPr="00935BED">
        <w:rPr>
          <w:rFonts w:ascii="Times New Roman" w:hAnsi="Times New Roman" w:cs="Times New Roman"/>
          <w:kern w:val="0"/>
          <w14:ligatures w14:val="none"/>
        </w:rPr>
        <w:t>Different stakeholders require different channels:</w:t>
      </w:r>
    </w:p>
    <w:p w14:paraId="5F5DB3BD" w14:textId="77777777" w:rsidR="00935BED" w:rsidRPr="00935BED" w:rsidRDefault="00935BED" w:rsidP="00935BE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Board: monthly executive dashboards</w:t>
      </w:r>
    </w:p>
    <w:p w14:paraId="28C5396C" w14:textId="77777777" w:rsidR="00935BED" w:rsidRPr="00935BED" w:rsidRDefault="00935BED" w:rsidP="00935BE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Project team: weekly project meetings</w:t>
      </w:r>
    </w:p>
    <w:p w14:paraId="31389CF5" w14:textId="77777777" w:rsidR="00935BED" w:rsidRPr="00935BED" w:rsidRDefault="00935BED" w:rsidP="00935BE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Store colleagues: workshops, intranet and training</w:t>
      </w:r>
    </w:p>
    <w:p w14:paraId="63EA29BC" w14:textId="77777777" w:rsidR="00935BED" w:rsidRPr="00935BED" w:rsidRDefault="00935BED" w:rsidP="00935BE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Customers: app notifications, email, website and in-store messaging</w:t>
      </w:r>
    </w:p>
    <w:p w14:paraId="294FFD1F" w14:textId="77777777" w:rsidR="00935BED" w:rsidRPr="00935BED" w:rsidRDefault="00935BED" w:rsidP="00935BE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Regulators: formal documentation and compliance meetings</w:t>
      </w:r>
    </w:p>
    <w:p w14:paraId="7CAE5058" w14:textId="77777777" w:rsidR="00935BED" w:rsidRPr="00935BED" w:rsidRDefault="00935BED" w:rsidP="00935BE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Technology suppliers: technical governance meetings</w:t>
      </w:r>
    </w:p>
    <w:p w14:paraId="464D481D" w14:textId="77777777" w:rsidR="00935BED" w:rsidRPr="00935BED" w:rsidRDefault="00935BED" w:rsidP="00935BE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International markets: translated and culturally adapted communications</w:t>
      </w:r>
    </w:p>
    <w:p w14:paraId="1DD45C06" w14:textId="77777777" w:rsidR="00935BED" w:rsidRPr="00935BED" w:rsidRDefault="00935BED" w:rsidP="00935BED">
      <w:pPr>
        <w:spacing w:before="100" w:beforeAutospacing="1" w:after="100" w:afterAutospacing="1" w:line="240" w:lineRule="auto"/>
        <w:rPr>
          <w:rFonts w:ascii="Times New Roman" w:hAnsi="Times New Roman" w:cs="Times New Roman"/>
          <w:kern w:val="0"/>
          <w14:ligatures w14:val="none"/>
        </w:rPr>
      </w:pPr>
      <w:r w:rsidRPr="00935BED">
        <w:rPr>
          <w:rFonts w:ascii="Times New Roman" w:hAnsi="Times New Roman" w:cs="Times New Roman"/>
          <w:kern w:val="0"/>
          <w14:ligatures w14:val="none"/>
        </w:rPr>
        <w:t>Communication should be two-way wherever possible. Simply announcing the platform is unlikely to create commitment.</w:t>
      </w:r>
    </w:p>
    <w:p w14:paraId="76DB23B3" w14:textId="77777777" w:rsidR="00935BED" w:rsidRPr="00935BED" w:rsidRDefault="00935BED" w:rsidP="00935BE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35BED">
        <w:rPr>
          <w:rFonts w:ascii="Times New Roman" w:eastAsia="Times New Roman" w:hAnsi="Times New Roman" w:cs="Times New Roman"/>
          <w:b/>
          <w:bCs/>
          <w:kern w:val="0"/>
          <w:sz w:val="36"/>
          <w:szCs w:val="36"/>
          <w14:ligatures w14:val="none"/>
        </w:rPr>
        <w:t>7.2 Consultation</w:t>
      </w:r>
    </w:p>
    <w:p w14:paraId="4FF57BD8" w14:textId="77777777" w:rsidR="00935BED" w:rsidRPr="00935BED" w:rsidRDefault="00935BED" w:rsidP="00935BED">
      <w:pPr>
        <w:spacing w:before="100" w:beforeAutospacing="1" w:after="100" w:afterAutospacing="1" w:line="240" w:lineRule="auto"/>
        <w:rPr>
          <w:rFonts w:ascii="Times New Roman" w:hAnsi="Times New Roman" w:cs="Times New Roman"/>
          <w:kern w:val="0"/>
          <w14:ligatures w14:val="none"/>
        </w:rPr>
      </w:pPr>
      <w:r w:rsidRPr="00935BED">
        <w:rPr>
          <w:rFonts w:ascii="Times New Roman" w:hAnsi="Times New Roman" w:cs="Times New Roman"/>
          <w:kern w:val="0"/>
          <w14:ligatures w14:val="none"/>
        </w:rPr>
        <w:t>Consultation should allow stakeholders to influence design decisions. Customer focus groups, employee surveys, usability testing and regional workshops should be conducted before the pilot.</w:t>
      </w:r>
    </w:p>
    <w:p w14:paraId="179CE404" w14:textId="77777777" w:rsidR="00935BED" w:rsidRPr="00935BED" w:rsidRDefault="00935BED" w:rsidP="00935BED">
      <w:pPr>
        <w:spacing w:before="100" w:beforeAutospacing="1" w:after="100" w:afterAutospacing="1" w:line="240" w:lineRule="auto"/>
        <w:rPr>
          <w:rFonts w:ascii="Times New Roman" w:hAnsi="Times New Roman" w:cs="Times New Roman"/>
          <w:kern w:val="0"/>
          <w14:ligatures w14:val="none"/>
        </w:rPr>
      </w:pPr>
      <w:r w:rsidRPr="00935BED">
        <w:rPr>
          <w:rFonts w:ascii="Times New Roman" w:hAnsi="Times New Roman" w:cs="Times New Roman"/>
          <w:kern w:val="0"/>
          <w14:ligatures w14:val="none"/>
        </w:rPr>
        <w:t>Customers should be asked:</w:t>
      </w:r>
    </w:p>
    <w:p w14:paraId="78E4190F" w14:textId="77777777" w:rsidR="00935BED" w:rsidRPr="00935BED" w:rsidRDefault="00935BED" w:rsidP="00935BE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Which rewards are genuinely valuable?</w:t>
      </w:r>
    </w:p>
    <w:p w14:paraId="61A249B6" w14:textId="77777777" w:rsidR="00935BED" w:rsidRPr="00935BED" w:rsidRDefault="00935BED" w:rsidP="00935BE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How comfortable are they with AI recommendations?</w:t>
      </w:r>
    </w:p>
    <w:p w14:paraId="29F2AF4C" w14:textId="77777777" w:rsidR="00935BED" w:rsidRPr="00935BED" w:rsidRDefault="00935BED" w:rsidP="00935BE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What information do they expect Tesco to explain?</w:t>
      </w:r>
    </w:p>
    <w:p w14:paraId="5E3BCAD4" w14:textId="77777777" w:rsidR="00935BED" w:rsidRPr="00935BED" w:rsidRDefault="00935BED" w:rsidP="00935BE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How frequently should personalised notifications be provided?</w:t>
      </w:r>
    </w:p>
    <w:p w14:paraId="36E10726" w14:textId="77777777" w:rsidR="00935BED" w:rsidRPr="00935BED" w:rsidRDefault="00935BED" w:rsidP="00935BE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35BED">
        <w:rPr>
          <w:rFonts w:ascii="Times New Roman" w:eastAsia="Times New Roman" w:hAnsi="Times New Roman" w:cs="Times New Roman"/>
          <w:kern w:val="0"/>
          <w14:ligatures w14:val="none"/>
        </w:rPr>
        <w:t>How easily should personalisation be switched off?</w:t>
      </w:r>
    </w:p>
    <w:p w14:paraId="71DC185D" w14:textId="1C2F0114" w:rsidR="00935BED" w:rsidRDefault="00935BED" w:rsidP="00935BED">
      <w:pPr>
        <w:spacing w:before="100" w:beforeAutospacing="1" w:after="100" w:afterAutospacing="1" w:line="240" w:lineRule="auto"/>
        <w:rPr>
          <w:rFonts w:ascii="Times New Roman" w:hAnsi="Times New Roman" w:cs="Times New Roman"/>
          <w:kern w:val="0"/>
          <w14:ligatures w14:val="none"/>
        </w:rPr>
      </w:pPr>
      <w:r w:rsidRPr="00935BED">
        <w:rPr>
          <w:rFonts w:ascii="Times New Roman" w:hAnsi="Times New Roman" w:cs="Times New Roman"/>
          <w:kern w:val="0"/>
          <w14:ligatures w14:val="none"/>
        </w:rPr>
        <w:lastRenderedPageBreak/>
        <w:t>The ICO specifically recommends that organisations explain profiling practices, ensure fairness, provide appropriate lawful bases and enable individuals to exercise rights including objection. (</w:t>
      </w:r>
      <w:hyperlink r:id="rId19" w:history="1">
        <w:r w:rsidRPr="00935BED">
          <w:rPr>
            <w:rFonts w:ascii="Times New Roman" w:hAnsi="Times New Roman" w:cs="Times New Roman"/>
            <w:color w:val="0000FF"/>
            <w:kern w:val="0"/>
            <w:u w:val="single"/>
            <w14:ligatures w14:val="none"/>
          </w:rPr>
          <w:t>ICO</w:t>
        </w:r>
      </w:hyperlink>
      <w:r w:rsidRPr="00935BED">
        <w:rPr>
          <w:rFonts w:ascii="Times New Roman" w:hAnsi="Times New Roman" w:cs="Times New Roman"/>
          <w:kern w:val="0"/>
          <w14:ligatures w14:val="none"/>
        </w:rPr>
        <w:t>⁠)</w:t>
      </w:r>
    </w:p>
    <w:p w14:paraId="0693D006" w14:textId="77777777" w:rsidR="003A24D9" w:rsidRPr="003A24D9" w:rsidRDefault="003A24D9" w:rsidP="003A24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24D9">
        <w:rPr>
          <w:rFonts w:ascii="Times New Roman" w:eastAsia="Times New Roman" w:hAnsi="Times New Roman" w:cs="Times New Roman"/>
          <w:b/>
          <w:bCs/>
          <w:kern w:val="0"/>
          <w:sz w:val="36"/>
          <w:szCs w:val="36"/>
          <w14:ligatures w14:val="none"/>
        </w:rPr>
        <w:t>7.3 Collaboration</w:t>
      </w:r>
    </w:p>
    <w:p w14:paraId="6FA0230F" w14:textId="77777777" w:rsidR="003A24D9" w:rsidRPr="003A24D9" w:rsidRDefault="003A24D9" w:rsidP="003A24D9">
      <w:pPr>
        <w:spacing w:before="100" w:beforeAutospacing="1" w:after="100" w:afterAutospacing="1" w:line="240" w:lineRule="auto"/>
        <w:rPr>
          <w:rFonts w:ascii="Times New Roman" w:hAnsi="Times New Roman" w:cs="Times New Roman"/>
          <w:kern w:val="0"/>
          <w14:ligatures w14:val="none"/>
        </w:rPr>
      </w:pPr>
      <w:r w:rsidRPr="003A24D9">
        <w:rPr>
          <w:rFonts w:ascii="Times New Roman" w:hAnsi="Times New Roman" w:cs="Times New Roman"/>
          <w:kern w:val="0"/>
          <w14:ligatures w14:val="none"/>
        </w:rPr>
        <w:t>Collaboration moves beyond consultation because stakeholders jointly develop solutions. Tesco should establish cross-functional “ConnectPlus Labs” involving customers, store employees, marketing, technology, data protection and regional representatives.</w:t>
      </w:r>
    </w:p>
    <w:p w14:paraId="6D6DEF15" w14:textId="55B15213" w:rsidR="003A24D9" w:rsidRPr="003A24D9" w:rsidRDefault="003A24D9" w:rsidP="003A24D9">
      <w:pPr>
        <w:spacing w:before="100" w:beforeAutospacing="1" w:after="100" w:afterAutospacing="1" w:line="240" w:lineRule="auto"/>
        <w:rPr>
          <w:rFonts w:ascii="Times New Roman" w:hAnsi="Times New Roman" w:cs="Times New Roman"/>
          <w:kern w:val="0"/>
          <w14:ligatures w14:val="none"/>
        </w:rPr>
      </w:pPr>
      <w:r w:rsidRPr="003A24D9">
        <w:rPr>
          <w:rFonts w:ascii="Times New Roman" w:hAnsi="Times New Roman" w:cs="Times New Roman"/>
          <w:kern w:val="0"/>
          <w14:ligatures w14:val="none"/>
        </w:rPr>
        <w:t>Technology partners should also participate in technical workshops. This is particularly relevant given Tesco’s existing 2026 partnership with Adobe to develop AI-driven personalisation. (</w:t>
      </w:r>
      <w:hyperlink r:id="rId20" w:history="1">
        <w:r w:rsidRPr="003A24D9">
          <w:rPr>
            <w:rFonts w:ascii="Times New Roman" w:hAnsi="Times New Roman" w:cs="Times New Roman"/>
            <w:color w:val="0000FF"/>
            <w:kern w:val="0"/>
            <w:u w:val="single"/>
            <w14:ligatures w14:val="none"/>
          </w:rPr>
          <w:t>Reuters</w:t>
        </w:r>
      </w:hyperlink>
      <w:r w:rsidRPr="003A24D9">
        <w:rPr>
          <w:rFonts w:ascii="Times New Roman" w:hAnsi="Times New Roman" w:cs="Times New Roman"/>
          <w:kern w:val="0"/>
          <w14:ligatures w14:val="none"/>
        </w:rPr>
        <w:t>⁠)</w:t>
      </w:r>
    </w:p>
    <w:p w14:paraId="2D79E367" w14:textId="77777777" w:rsidR="003A24D9" w:rsidRPr="003A24D9" w:rsidRDefault="003A24D9" w:rsidP="003A24D9">
      <w:pPr>
        <w:spacing w:before="100" w:beforeAutospacing="1" w:after="100" w:afterAutospacing="1" w:line="240" w:lineRule="auto"/>
        <w:rPr>
          <w:rFonts w:ascii="Times New Roman" w:hAnsi="Times New Roman" w:cs="Times New Roman"/>
          <w:kern w:val="0"/>
          <w14:ligatures w14:val="none"/>
        </w:rPr>
      </w:pPr>
      <w:r w:rsidRPr="003A24D9">
        <w:rPr>
          <w:rFonts w:ascii="Times New Roman" w:hAnsi="Times New Roman" w:cs="Times New Roman"/>
          <w:kern w:val="0"/>
          <w14:ligatures w14:val="none"/>
        </w:rPr>
        <w:t>International collaboration should include local market representatives rather than assuming that headquarters understands every market equally well.</w:t>
      </w:r>
    </w:p>
    <w:p w14:paraId="3815BA1D" w14:textId="77777777" w:rsidR="003A24D9" w:rsidRPr="003A24D9" w:rsidRDefault="003A24D9" w:rsidP="003A24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A24D9">
        <w:rPr>
          <w:rFonts w:ascii="Times New Roman" w:eastAsia="Times New Roman" w:hAnsi="Times New Roman" w:cs="Times New Roman"/>
          <w:b/>
          <w:bCs/>
          <w:kern w:val="0"/>
          <w:sz w:val="36"/>
          <w:szCs w:val="36"/>
          <w14:ligatures w14:val="none"/>
        </w:rPr>
        <w:t>7.4 Commitment</w:t>
      </w:r>
    </w:p>
    <w:p w14:paraId="3491C041" w14:textId="77777777" w:rsidR="003A24D9" w:rsidRPr="003A24D9" w:rsidRDefault="003A24D9" w:rsidP="003A24D9">
      <w:pPr>
        <w:spacing w:before="100" w:beforeAutospacing="1" w:after="100" w:afterAutospacing="1" w:line="240" w:lineRule="auto"/>
        <w:rPr>
          <w:rFonts w:ascii="Times New Roman" w:hAnsi="Times New Roman" w:cs="Times New Roman"/>
          <w:kern w:val="0"/>
          <w14:ligatures w14:val="none"/>
        </w:rPr>
      </w:pPr>
      <w:r w:rsidRPr="003A24D9">
        <w:rPr>
          <w:rFonts w:ascii="Times New Roman" w:hAnsi="Times New Roman" w:cs="Times New Roman"/>
          <w:kern w:val="0"/>
          <w14:ligatures w14:val="none"/>
        </w:rPr>
        <w:t>Commitment represents the highest engagement stage. Stakeholders should become owners of the project’s success.</w:t>
      </w:r>
    </w:p>
    <w:p w14:paraId="56894FA9" w14:textId="77777777" w:rsidR="003A24D9" w:rsidRPr="003A24D9" w:rsidRDefault="003A24D9" w:rsidP="003A24D9">
      <w:pPr>
        <w:spacing w:before="100" w:beforeAutospacing="1" w:after="100" w:afterAutospacing="1" w:line="240" w:lineRule="auto"/>
        <w:rPr>
          <w:rFonts w:ascii="Times New Roman" w:hAnsi="Times New Roman" w:cs="Times New Roman"/>
          <w:kern w:val="0"/>
          <w14:ligatures w14:val="none"/>
        </w:rPr>
      </w:pPr>
      <w:r w:rsidRPr="003A24D9">
        <w:rPr>
          <w:rFonts w:ascii="Times New Roman" w:hAnsi="Times New Roman" w:cs="Times New Roman"/>
          <w:kern w:val="0"/>
          <w14:ligatures w14:val="none"/>
        </w:rPr>
        <w:t>For employees, commitment could involve ConnectPlus champions in stores. For regional managers, commitment could be demonstrated through signed implementation plans. For customers, commitment could develop through transparent value exchange and voluntary participation.</w:t>
      </w:r>
    </w:p>
    <w:p w14:paraId="6CC1DC43" w14:textId="77777777" w:rsidR="003A24D9" w:rsidRPr="003A24D9" w:rsidRDefault="003A24D9" w:rsidP="003A24D9">
      <w:pPr>
        <w:spacing w:before="100" w:beforeAutospacing="1" w:after="100" w:afterAutospacing="1" w:line="240" w:lineRule="auto"/>
        <w:rPr>
          <w:rFonts w:ascii="Times New Roman" w:hAnsi="Times New Roman" w:cs="Times New Roman"/>
          <w:kern w:val="0"/>
          <w14:ligatures w14:val="none"/>
        </w:rPr>
      </w:pPr>
      <w:r w:rsidRPr="003A24D9">
        <w:rPr>
          <w:rFonts w:ascii="Times New Roman" w:hAnsi="Times New Roman" w:cs="Times New Roman"/>
          <w:kern w:val="0"/>
          <w14:ligatures w14:val="none"/>
        </w:rPr>
        <w:t>The objective is therefore to move stakeholders from:</w:t>
      </w:r>
    </w:p>
    <w:p w14:paraId="642BD652" w14:textId="77777777" w:rsidR="003A24D9" w:rsidRDefault="003A24D9" w:rsidP="003A24D9">
      <w:pPr>
        <w:spacing w:before="100" w:beforeAutospacing="1" w:after="100" w:afterAutospacing="1" w:line="240" w:lineRule="auto"/>
        <w:rPr>
          <w:rFonts w:ascii="Times New Roman" w:hAnsi="Times New Roman" w:cs="Times New Roman"/>
          <w:b/>
          <w:bCs/>
          <w:kern w:val="0"/>
          <w14:ligatures w14:val="none"/>
        </w:rPr>
      </w:pPr>
      <w:r w:rsidRPr="003A24D9">
        <w:rPr>
          <w:rFonts w:ascii="Times New Roman" w:hAnsi="Times New Roman" w:cs="Times New Roman"/>
          <w:b/>
          <w:bCs/>
          <w:kern w:val="0"/>
          <w14:ligatures w14:val="none"/>
        </w:rPr>
        <w:t>“I know about ConnectPlus” → “I understand it” → “I helped shape it” → “I support it” → “I actively promote it.”</w:t>
      </w:r>
    </w:p>
    <w:p w14:paraId="2B019B6D" w14:textId="77777777" w:rsidR="00853919" w:rsidRPr="00853919" w:rsidRDefault="00853919" w:rsidP="0085391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53919">
        <w:rPr>
          <w:rFonts w:ascii="Times New Roman" w:eastAsia="Times New Roman" w:hAnsi="Times New Roman" w:cs="Times New Roman"/>
          <w:b/>
          <w:bCs/>
          <w:kern w:val="36"/>
          <w:sz w:val="48"/>
          <w:szCs w:val="48"/>
          <w14:ligatures w14:val="none"/>
        </w:rPr>
        <w:t>8. Communication and Engagement Plan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288"/>
        <w:gridCol w:w="1672"/>
        <w:gridCol w:w="1770"/>
        <w:gridCol w:w="1017"/>
        <w:gridCol w:w="1245"/>
        <w:gridCol w:w="2018"/>
      </w:tblGrid>
      <w:tr w:rsidR="0080692A" w:rsidRPr="0080692A" w14:paraId="3D18C927"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6A8990" w14:textId="77777777" w:rsidR="0080692A" w:rsidRPr="0080692A" w:rsidRDefault="0080692A" w:rsidP="0080692A">
            <w:pPr>
              <w:spacing w:before="100" w:beforeAutospacing="1" w:after="100" w:afterAutospacing="1" w:line="240" w:lineRule="auto"/>
              <w:jc w:val="center"/>
              <w:rPr>
                <w:rFonts w:ascii="Times New Roman" w:hAnsi="Times New Roman" w:cs="Times New Roman"/>
                <w:b/>
                <w:bCs/>
                <w:kern w:val="0"/>
                <w14:ligatures w14:val="none"/>
              </w:rPr>
            </w:pPr>
            <w:r w:rsidRPr="0080692A">
              <w:rPr>
                <w:rFonts w:ascii="Times New Roman" w:hAnsi="Times New Roman" w:cs="Times New Roman"/>
                <w:b/>
                <w:bCs/>
                <w:kern w:val="0"/>
                <w14:ligatures w14:val="none"/>
              </w:rPr>
              <w:t>Stakeholder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2C4A7E" w14:textId="77777777" w:rsidR="0080692A" w:rsidRPr="0080692A" w:rsidRDefault="0080692A" w:rsidP="0080692A">
            <w:pPr>
              <w:spacing w:before="100" w:beforeAutospacing="1" w:after="100" w:afterAutospacing="1" w:line="240" w:lineRule="auto"/>
              <w:jc w:val="center"/>
              <w:rPr>
                <w:rFonts w:ascii="Times New Roman" w:hAnsi="Times New Roman" w:cs="Times New Roman"/>
                <w:b/>
                <w:bCs/>
                <w:kern w:val="0"/>
                <w14:ligatures w14:val="none"/>
              </w:rPr>
            </w:pPr>
            <w:r w:rsidRPr="0080692A">
              <w:rPr>
                <w:rFonts w:ascii="Times New Roman" w:hAnsi="Times New Roman" w:cs="Times New Roman"/>
                <w:b/>
                <w:bCs/>
                <w:kern w:val="0"/>
                <w14:ligatures w14:val="none"/>
              </w:rPr>
              <w:t>Key need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329898" w14:textId="77777777" w:rsidR="0080692A" w:rsidRPr="0080692A" w:rsidRDefault="0080692A" w:rsidP="0080692A">
            <w:pPr>
              <w:spacing w:before="100" w:beforeAutospacing="1" w:after="100" w:afterAutospacing="1" w:line="240" w:lineRule="auto"/>
              <w:jc w:val="center"/>
              <w:rPr>
                <w:rFonts w:ascii="Times New Roman" w:hAnsi="Times New Roman" w:cs="Times New Roman"/>
                <w:b/>
                <w:bCs/>
                <w:kern w:val="0"/>
                <w14:ligatures w14:val="none"/>
              </w:rPr>
            </w:pPr>
            <w:r w:rsidRPr="0080692A">
              <w:rPr>
                <w:rFonts w:ascii="Times New Roman" w:hAnsi="Times New Roman" w:cs="Times New Roman"/>
                <w:b/>
                <w:bCs/>
                <w:kern w:val="0"/>
                <w14:ligatures w14:val="none"/>
              </w:rPr>
              <w:t>Method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14CA5F" w14:textId="77777777" w:rsidR="0080692A" w:rsidRPr="0080692A" w:rsidRDefault="0080692A" w:rsidP="0080692A">
            <w:pPr>
              <w:spacing w:before="100" w:beforeAutospacing="1" w:after="100" w:afterAutospacing="1" w:line="240" w:lineRule="auto"/>
              <w:jc w:val="center"/>
              <w:rPr>
                <w:rFonts w:ascii="Times New Roman" w:hAnsi="Times New Roman" w:cs="Times New Roman"/>
                <w:b/>
                <w:bCs/>
                <w:kern w:val="0"/>
                <w14:ligatures w14:val="none"/>
              </w:rPr>
            </w:pPr>
            <w:r w:rsidRPr="0080692A">
              <w:rPr>
                <w:rFonts w:ascii="Times New Roman" w:hAnsi="Times New Roman" w:cs="Times New Roman"/>
                <w:b/>
                <w:bCs/>
                <w:kern w:val="0"/>
                <w14:ligatures w14:val="none"/>
              </w:rPr>
              <w:t>Frequency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A47F79" w14:textId="77777777" w:rsidR="0080692A" w:rsidRPr="0080692A" w:rsidRDefault="0080692A" w:rsidP="0080692A">
            <w:pPr>
              <w:spacing w:before="100" w:beforeAutospacing="1" w:after="100" w:afterAutospacing="1" w:line="240" w:lineRule="auto"/>
              <w:jc w:val="center"/>
              <w:rPr>
                <w:rFonts w:ascii="Times New Roman" w:hAnsi="Times New Roman" w:cs="Times New Roman"/>
                <w:b/>
                <w:bCs/>
                <w:kern w:val="0"/>
                <w14:ligatures w14:val="none"/>
              </w:rPr>
            </w:pPr>
            <w:r w:rsidRPr="0080692A">
              <w:rPr>
                <w:rFonts w:ascii="Times New Roman" w:hAnsi="Times New Roman" w:cs="Times New Roman"/>
                <w:b/>
                <w:bCs/>
                <w:kern w:val="0"/>
                <w14:ligatures w14:val="none"/>
              </w:rPr>
              <w:t>Owner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BAFA15" w14:textId="77777777" w:rsidR="0080692A" w:rsidRPr="0080692A" w:rsidRDefault="0080692A" w:rsidP="0080692A">
            <w:pPr>
              <w:spacing w:before="100" w:beforeAutospacing="1" w:after="100" w:afterAutospacing="1" w:line="240" w:lineRule="auto"/>
              <w:jc w:val="center"/>
              <w:rPr>
                <w:rFonts w:ascii="Times New Roman" w:hAnsi="Times New Roman" w:cs="Times New Roman"/>
                <w:b/>
                <w:bCs/>
                <w:kern w:val="0"/>
                <w14:ligatures w14:val="none"/>
              </w:rPr>
            </w:pPr>
            <w:r w:rsidRPr="0080692A">
              <w:rPr>
                <w:rFonts w:ascii="Times New Roman" w:hAnsi="Times New Roman" w:cs="Times New Roman"/>
                <w:b/>
                <w:bCs/>
                <w:kern w:val="0"/>
                <w14:ligatures w14:val="none"/>
              </w:rPr>
              <w:t>Success measure</w:t>
            </w:r>
          </w:p>
        </w:tc>
      </w:tr>
      <w:tr w:rsidR="0080692A" w:rsidRPr="0080692A" w14:paraId="0725691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E9B415"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Board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AE7E70"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Strategic progress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3595C9"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Dashboard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C006AD"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Monthly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CCFFB3"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PM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7A629A"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Decisions made on time</w:t>
            </w:r>
          </w:p>
        </w:tc>
      </w:tr>
      <w:tr w:rsidR="0080692A" w:rsidRPr="0080692A" w14:paraId="6350656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3C70B7"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IT/AI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BCF785"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Requirements and risks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707764"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Workshops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A11B82"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Weekly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A91E72"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PM/CTO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01DB8B"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Milestones achieved</w:t>
            </w:r>
          </w:p>
        </w:tc>
      </w:tr>
      <w:tr w:rsidR="0080692A" w:rsidRPr="0080692A" w14:paraId="02C7DB6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4FB8BA"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Legal/DPO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6E7EE6"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Compliance evidence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073AC2"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Review meetings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661266"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Fortnightly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DC9884"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DPO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D3C20B"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Zero critical compliance gaps</w:t>
            </w:r>
          </w:p>
        </w:tc>
      </w:tr>
      <w:tr w:rsidR="0080692A" w:rsidRPr="0080692A" w14:paraId="6376BD7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394CEC"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lastRenderedPageBreak/>
              <w:t>Store employees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48C44A"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Understanding/training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9F3175"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Workshops/e-learning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3948E6"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Monthly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AE488A"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HR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21BDB0"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&gt;70% readiness</w:t>
            </w:r>
          </w:p>
        </w:tc>
      </w:tr>
      <w:tr w:rsidR="0080692A" w:rsidRPr="0080692A" w14:paraId="4350094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4F3E5F"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Customers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189F93"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Benefits/privacy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AE94CD"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App, email, focus groups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8F8AD6"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Continuous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CE1215"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Marketing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98570A"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Awareness and satisfaction</w:t>
            </w:r>
          </w:p>
        </w:tc>
      </w:tr>
      <w:tr w:rsidR="0080692A" w:rsidRPr="0080692A" w14:paraId="3317325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81B3AC"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Regional teams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D6D27C"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Local adaptation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55A268"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Regional forums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4454F0"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Fortnightly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7B36E8"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PM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F63334"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Local readiness</w:t>
            </w:r>
          </w:p>
        </w:tc>
      </w:tr>
      <w:tr w:rsidR="0080692A" w:rsidRPr="0080692A" w14:paraId="4F38E9F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F26B3A"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Suppliers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085814"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Integration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27C018"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Technical meetings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0147D6"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Weekly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2DC4E4"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Procurement/IT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E74B1A"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Integration milestones</w:t>
            </w:r>
          </w:p>
        </w:tc>
      </w:tr>
      <w:tr w:rsidR="0080692A" w:rsidRPr="0080692A" w14:paraId="5000621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750B3D"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Regulators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3D00D3"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Compliance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555413"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Formal engagement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874A4B"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As required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3A26F1"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Legal/DPO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F4C398"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Regulatory approval</w:t>
            </w:r>
          </w:p>
        </w:tc>
      </w:tr>
      <w:tr w:rsidR="0080692A" w:rsidRPr="0080692A" w14:paraId="14989D0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C06F04"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Investors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6FB1B0"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Business value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00807C"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Corporate reporting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4DDCD3"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Quarterly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1D8B4E"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CFO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760487" w14:textId="77777777" w:rsidR="0080692A" w:rsidRPr="0080692A" w:rsidRDefault="0080692A" w:rsidP="0080692A">
            <w:pPr>
              <w:spacing w:before="100" w:beforeAutospacing="1" w:after="100" w:afterAutospacing="1" w:line="240" w:lineRule="auto"/>
              <w:rPr>
                <w:rFonts w:ascii="Times New Roman" w:hAnsi="Times New Roman" w:cs="Times New Roman"/>
                <w:kern w:val="0"/>
                <w14:ligatures w14:val="none"/>
              </w:rPr>
            </w:pPr>
            <w:r w:rsidRPr="0080692A">
              <w:rPr>
                <w:rFonts w:ascii="Times New Roman" w:hAnsi="Times New Roman" w:cs="Times New Roman"/>
                <w:kern w:val="0"/>
                <w14:ligatures w14:val="none"/>
              </w:rPr>
              <w:t>Confidence/clarity</w:t>
            </w:r>
          </w:p>
        </w:tc>
      </w:tr>
    </w:tbl>
    <w:p w14:paraId="246AB110" w14:textId="77777777" w:rsidR="009722C8" w:rsidRPr="009722C8" w:rsidRDefault="009722C8" w:rsidP="009722C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722C8">
        <w:rPr>
          <w:rFonts w:ascii="Times New Roman" w:eastAsia="Times New Roman" w:hAnsi="Times New Roman" w:cs="Times New Roman"/>
          <w:b/>
          <w:bCs/>
          <w:kern w:val="36"/>
          <w:sz w:val="48"/>
          <w:szCs w:val="48"/>
          <w14:ligatures w14:val="none"/>
        </w:rPr>
        <w:t>9. Conflict Management</w:t>
      </w:r>
    </w:p>
    <w:p w14:paraId="2C178144"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 xml:space="preserve">Conflict is unavoidable because stakeholders have different interests. The key is to distinguish between </w:t>
      </w:r>
      <w:r w:rsidRPr="009722C8">
        <w:rPr>
          <w:rFonts w:ascii="Times New Roman" w:hAnsi="Times New Roman" w:cs="Times New Roman"/>
          <w:b/>
          <w:bCs/>
          <w:kern w:val="0"/>
          <w14:ligatures w14:val="none"/>
        </w:rPr>
        <w:t>constructive conflict</w:t>
      </w:r>
      <w:r w:rsidRPr="009722C8">
        <w:rPr>
          <w:rFonts w:ascii="Times New Roman" w:hAnsi="Times New Roman" w:cs="Times New Roman"/>
          <w:kern w:val="0"/>
          <w14:ligatures w14:val="none"/>
        </w:rPr>
        <w:t>, which can improve the project, and destructive conflict, which can delay implementation.</w:t>
      </w:r>
    </w:p>
    <w:p w14:paraId="1CC6C800"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For example, Marketing may request extensive customer data to improve personalisation, while the Data Protection team may argue that only necessary data should be collected. Rather than treating this as a win/lose conflict, the Project Manager should facilitate a structured decision based on customer value, legal requirements, risk and evidence.</w:t>
      </w:r>
    </w:p>
    <w:p w14:paraId="10F3679E"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A five-step conflict-management process is recommended:</w:t>
      </w:r>
    </w:p>
    <w:p w14:paraId="64DAD40A" w14:textId="77777777" w:rsidR="009722C8" w:rsidRPr="009722C8" w:rsidRDefault="009722C8" w:rsidP="009722C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b/>
          <w:bCs/>
          <w:kern w:val="0"/>
          <w14:ligatures w14:val="none"/>
        </w:rPr>
        <w:t>Identify the underlying interest</w:t>
      </w:r>
      <w:r w:rsidRPr="009722C8">
        <w:rPr>
          <w:rFonts w:ascii="Times New Roman" w:eastAsia="Times New Roman" w:hAnsi="Times New Roman" w:cs="Times New Roman"/>
          <w:kern w:val="0"/>
          <w14:ligatures w14:val="none"/>
        </w:rPr>
        <w:t xml:space="preserve"> rather than focusing only on the stated position.</w:t>
      </w:r>
    </w:p>
    <w:p w14:paraId="3A0573F3" w14:textId="77777777" w:rsidR="009722C8" w:rsidRPr="009722C8" w:rsidRDefault="009722C8" w:rsidP="009722C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b/>
          <w:bCs/>
          <w:kern w:val="0"/>
          <w14:ligatures w14:val="none"/>
        </w:rPr>
        <w:t>Collect evidence</w:t>
      </w:r>
      <w:r w:rsidRPr="009722C8">
        <w:rPr>
          <w:rFonts w:ascii="Times New Roman" w:eastAsia="Times New Roman" w:hAnsi="Times New Roman" w:cs="Times New Roman"/>
          <w:kern w:val="0"/>
          <w14:ligatures w14:val="none"/>
        </w:rPr>
        <w:t>, including customer research, regulatory requirements and technical analysis.</w:t>
      </w:r>
    </w:p>
    <w:p w14:paraId="7E3E15D4" w14:textId="77777777" w:rsidR="009722C8" w:rsidRPr="009722C8" w:rsidRDefault="009722C8" w:rsidP="009722C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b/>
          <w:bCs/>
          <w:kern w:val="0"/>
          <w14:ligatures w14:val="none"/>
        </w:rPr>
        <w:t>Facilitate a joint discussion</w:t>
      </w:r>
      <w:r w:rsidRPr="009722C8">
        <w:rPr>
          <w:rFonts w:ascii="Times New Roman" w:eastAsia="Times New Roman" w:hAnsi="Times New Roman" w:cs="Times New Roman"/>
          <w:kern w:val="0"/>
          <w14:ligatures w14:val="none"/>
        </w:rPr>
        <w:t xml:space="preserve"> between conflicting parties.</w:t>
      </w:r>
    </w:p>
    <w:p w14:paraId="2ED85D14" w14:textId="77777777" w:rsidR="009722C8" w:rsidRPr="009722C8" w:rsidRDefault="009722C8" w:rsidP="009722C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b/>
          <w:bCs/>
          <w:kern w:val="0"/>
          <w14:ligatures w14:val="none"/>
        </w:rPr>
        <w:t>Develop alternative solutions</w:t>
      </w:r>
      <w:r w:rsidRPr="009722C8">
        <w:rPr>
          <w:rFonts w:ascii="Times New Roman" w:eastAsia="Times New Roman" w:hAnsi="Times New Roman" w:cs="Times New Roman"/>
          <w:kern w:val="0"/>
          <w14:ligatures w14:val="none"/>
        </w:rPr>
        <w:t>, such as privacy-preserving analytics or optional personalisation.</w:t>
      </w:r>
    </w:p>
    <w:p w14:paraId="3D7793DE" w14:textId="77777777" w:rsidR="009722C8" w:rsidRPr="009722C8" w:rsidRDefault="009722C8" w:rsidP="009722C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b/>
          <w:bCs/>
          <w:kern w:val="0"/>
          <w14:ligatures w14:val="none"/>
        </w:rPr>
        <w:t>Escalate unresolved strategic conflicts</w:t>
      </w:r>
      <w:r w:rsidRPr="009722C8">
        <w:rPr>
          <w:rFonts w:ascii="Times New Roman" w:eastAsia="Times New Roman" w:hAnsi="Times New Roman" w:cs="Times New Roman"/>
          <w:kern w:val="0"/>
          <w14:ligatures w14:val="none"/>
        </w:rPr>
        <w:t xml:space="preserve"> to the Project Sponsor or governance board.</w:t>
      </w:r>
    </w:p>
    <w:p w14:paraId="2F70900E"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The Project Manager should prioritise collaboration over avoidance. Avoiding conflict may create short-term harmony but leave critical issues unresolved.</w:t>
      </w:r>
    </w:p>
    <w:p w14:paraId="0C532BDA" w14:textId="77777777" w:rsidR="009722C8" w:rsidRPr="009722C8" w:rsidRDefault="009722C8" w:rsidP="009722C8">
      <w:pPr>
        <w:spacing w:after="0"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noProof/>
          <w:kern w:val="0"/>
          <w14:ligatures w14:val="none"/>
        </w:rPr>
        <mc:AlternateContent>
          <mc:Choice Requires="wps">
            <w:drawing>
              <wp:inline distT="0" distB="0" distL="0" distR="0" wp14:anchorId="22D57882" wp14:editId="727CCE91">
                <wp:extent cx="5731510" cy="1270"/>
                <wp:effectExtent l="0" t="31750" r="0" b="36830"/>
                <wp:docPr id="303974035"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AA533E6"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DC5F799" w14:textId="77777777" w:rsidR="009722C8" w:rsidRPr="009722C8" w:rsidRDefault="009722C8" w:rsidP="009722C8">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9722C8">
        <w:rPr>
          <w:rFonts w:ascii="Times New Roman" w:eastAsia="Times New Roman" w:hAnsi="Times New Roman" w:cs="Times New Roman"/>
          <w:b/>
          <w:bCs/>
          <w:kern w:val="36"/>
          <w:sz w:val="48"/>
          <w:szCs w:val="48"/>
          <w14:ligatures w14:val="none"/>
        </w:rPr>
        <w:lastRenderedPageBreak/>
        <w:t>10. Ethical and Cultural Considerations</w:t>
      </w:r>
    </w:p>
    <w:p w14:paraId="5EB8ABA1" w14:textId="58A11F7A"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 xml:space="preserve">The greatest ethical issue is the relationship between </w:t>
      </w:r>
      <w:r w:rsidRPr="009722C8">
        <w:rPr>
          <w:rFonts w:ascii="Times New Roman" w:hAnsi="Times New Roman" w:cs="Times New Roman"/>
          <w:b/>
          <w:bCs/>
          <w:kern w:val="0"/>
          <w14:ligatures w14:val="none"/>
        </w:rPr>
        <w:t>personalisation and privacy</w:t>
      </w:r>
      <w:r w:rsidRPr="009722C8">
        <w:rPr>
          <w:rFonts w:ascii="Times New Roman" w:hAnsi="Times New Roman" w:cs="Times New Roman"/>
          <w:kern w:val="0"/>
          <w14:ligatures w14:val="none"/>
        </w:rPr>
        <w:t>. ConnectPlus would analyse purchasing behaviour and potentially infer customer preferences. The ICO defines profiling as automated processing that evaluates or predicts characteristics, preferences or behaviour. (</w:t>
      </w:r>
      <w:hyperlink r:id="rId21" w:history="1">
        <w:r w:rsidRPr="009722C8">
          <w:rPr>
            <w:rFonts w:ascii="Times New Roman" w:hAnsi="Times New Roman" w:cs="Times New Roman"/>
            <w:color w:val="0000FF"/>
            <w:kern w:val="0"/>
            <w:u w:val="single"/>
            <w14:ligatures w14:val="none"/>
          </w:rPr>
          <w:t>ICO</w:t>
        </w:r>
      </w:hyperlink>
      <w:r w:rsidRPr="009722C8">
        <w:rPr>
          <w:rFonts w:ascii="Times New Roman" w:hAnsi="Times New Roman" w:cs="Times New Roman"/>
          <w:kern w:val="0"/>
          <w14:ligatures w14:val="none"/>
        </w:rPr>
        <w:t>⁠)</w:t>
      </w:r>
    </w:p>
    <w:p w14:paraId="6D9D33D9"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Customers may therefore perceive ConnectPlus differently. Some may view personalised recommendations as useful, while others may perceive them as intrusive. Tesco should establish a transparent “value exchange”: customers should understand what data is collected, why it is used and what benefit they receive.</w:t>
      </w:r>
    </w:p>
    <w:p w14:paraId="42DB0F68"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The platform should follow principles of:</w:t>
      </w:r>
    </w:p>
    <w:p w14:paraId="68EAE11F" w14:textId="77777777" w:rsidR="009722C8" w:rsidRPr="009722C8" w:rsidRDefault="009722C8" w:rsidP="009722C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kern w:val="0"/>
          <w14:ligatures w14:val="none"/>
        </w:rPr>
        <w:t>Data minimisation</w:t>
      </w:r>
    </w:p>
    <w:p w14:paraId="15CB4206" w14:textId="77777777" w:rsidR="009722C8" w:rsidRPr="009722C8" w:rsidRDefault="009722C8" w:rsidP="009722C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kern w:val="0"/>
          <w14:ligatures w14:val="none"/>
        </w:rPr>
        <w:t>Transparency</w:t>
      </w:r>
    </w:p>
    <w:p w14:paraId="31B098E7" w14:textId="77777777" w:rsidR="009722C8" w:rsidRPr="009722C8" w:rsidRDefault="009722C8" w:rsidP="009722C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kern w:val="0"/>
          <w14:ligatures w14:val="none"/>
        </w:rPr>
        <w:t>Fairness</w:t>
      </w:r>
    </w:p>
    <w:p w14:paraId="5EE69CA6" w14:textId="77777777" w:rsidR="009722C8" w:rsidRPr="009722C8" w:rsidRDefault="009722C8" w:rsidP="009722C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kern w:val="0"/>
          <w14:ligatures w14:val="none"/>
        </w:rPr>
        <w:t>Security</w:t>
      </w:r>
    </w:p>
    <w:p w14:paraId="50147820" w14:textId="77777777" w:rsidR="009722C8" w:rsidRPr="009722C8" w:rsidRDefault="009722C8" w:rsidP="009722C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kern w:val="0"/>
          <w14:ligatures w14:val="none"/>
        </w:rPr>
        <w:t>Purpose limitation</w:t>
      </w:r>
    </w:p>
    <w:p w14:paraId="3C514C13" w14:textId="77777777" w:rsidR="009722C8" w:rsidRPr="009722C8" w:rsidRDefault="009722C8" w:rsidP="009722C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kern w:val="0"/>
          <w14:ligatures w14:val="none"/>
        </w:rPr>
        <w:t>Appropriate retention</w:t>
      </w:r>
    </w:p>
    <w:p w14:paraId="15E056B0" w14:textId="77777777" w:rsidR="009722C8" w:rsidRPr="009722C8" w:rsidRDefault="009722C8" w:rsidP="009722C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kern w:val="0"/>
          <w14:ligatures w14:val="none"/>
        </w:rPr>
        <w:t>Customer choice</w:t>
      </w:r>
    </w:p>
    <w:p w14:paraId="5A6A52FC" w14:textId="77777777" w:rsidR="009722C8" w:rsidRPr="009722C8" w:rsidRDefault="009722C8" w:rsidP="009722C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kern w:val="0"/>
          <w14:ligatures w14:val="none"/>
        </w:rPr>
        <w:t>Human oversight</w:t>
      </w:r>
    </w:p>
    <w:p w14:paraId="3BFE7E77" w14:textId="77777777" w:rsidR="009722C8" w:rsidRPr="009722C8" w:rsidRDefault="009722C8" w:rsidP="009722C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kern w:val="0"/>
          <w14:ligatures w14:val="none"/>
        </w:rPr>
        <w:t>Algorithmic testing</w:t>
      </w:r>
    </w:p>
    <w:p w14:paraId="2D466ACE" w14:textId="77777777" w:rsidR="009722C8" w:rsidRPr="009722C8" w:rsidRDefault="009722C8" w:rsidP="009722C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kern w:val="0"/>
          <w14:ligatures w14:val="none"/>
        </w:rPr>
        <w:t>Accessibility</w:t>
      </w:r>
    </w:p>
    <w:p w14:paraId="017C36EF" w14:textId="5354006C"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AI governance is increasingly important internationally. The European Commission’s July 2026 guidance on AI Act transparency obligations explains that Article 50 transparency requirements apply from 2 August 2026. (</w:t>
      </w:r>
      <w:hyperlink r:id="rId22" w:history="1">
        <w:r w:rsidRPr="009722C8">
          <w:rPr>
            <w:rFonts w:ascii="Times New Roman" w:hAnsi="Times New Roman" w:cs="Times New Roman"/>
            <w:color w:val="0000FF"/>
            <w:kern w:val="0"/>
            <w:u w:val="single"/>
            <w14:ligatures w14:val="none"/>
          </w:rPr>
          <w:t>Digital Strategy</w:t>
        </w:r>
      </w:hyperlink>
      <w:r w:rsidRPr="009722C8">
        <w:rPr>
          <w:rFonts w:ascii="Times New Roman" w:hAnsi="Times New Roman" w:cs="Times New Roman"/>
          <w:kern w:val="0"/>
          <w14:ligatures w14:val="none"/>
        </w:rPr>
        <w:t>⁠) Therefore, Tesco cannot rely exclusively on UK requirements when deploying ConnectPlus across European markets.</w:t>
      </w:r>
    </w:p>
    <w:p w14:paraId="155416FD"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 xml:space="preserve">Cultural differences also matter. Customers in different countries may have different expectations concerning data privacy, loyalty schemes, mobile technology and personalised advertising. Consequently, Tesco should establish </w:t>
      </w:r>
      <w:r w:rsidRPr="009722C8">
        <w:rPr>
          <w:rFonts w:ascii="Times New Roman" w:hAnsi="Times New Roman" w:cs="Times New Roman"/>
          <w:b/>
          <w:bCs/>
          <w:kern w:val="0"/>
          <w14:ligatures w14:val="none"/>
        </w:rPr>
        <w:t>global standards with local adaptation</w:t>
      </w:r>
      <w:r w:rsidRPr="009722C8">
        <w:rPr>
          <w:rFonts w:ascii="Times New Roman" w:hAnsi="Times New Roman" w:cs="Times New Roman"/>
          <w:kern w:val="0"/>
          <w14:ligatures w14:val="none"/>
        </w:rPr>
        <w:t xml:space="preserve"> rather than either complete centralisation or complete decentralisation.</w:t>
      </w:r>
    </w:p>
    <w:p w14:paraId="5602A92C" w14:textId="77777777" w:rsidR="009722C8" w:rsidRPr="009722C8" w:rsidRDefault="009722C8" w:rsidP="009722C8">
      <w:pPr>
        <w:spacing w:after="0" w:line="240" w:lineRule="auto"/>
        <w:rPr>
          <w:rFonts w:ascii="Times New Roman" w:eastAsia="Times New Roman" w:hAnsi="Times New Roman" w:cs="Times New Roman"/>
          <w:kern w:val="0"/>
          <w14:ligatures w14:val="none"/>
        </w:rPr>
      </w:pPr>
      <w:r w:rsidRPr="009722C8">
        <w:rPr>
          <w:rFonts w:ascii="Times New Roman" w:eastAsia="Times New Roman" w:hAnsi="Times New Roman" w:cs="Times New Roman"/>
          <w:noProof/>
          <w:kern w:val="0"/>
          <w14:ligatures w14:val="none"/>
        </w:rPr>
        <mc:AlternateContent>
          <mc:Choice Requires="wps">
            <w:drawing>
              <wp:inline distT="0" distB="0" distL="0" distR="0" wp14:anchorId="7461DB05" wp14:editId="691C5769">
                <wp:extent cx="5731510" cy="1270"/>
                <wp:effectExtent l="0" t="31750" r="0" b="36830"/>
                <wp:docPr id="1171053898"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9106DC"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F20EA58" w14:textId="77777777" w:rsidR="009722C8" w:rsidRPr="009722C8" w:rsidRDefault="009722C8" w:rsidP="009722C8">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9722C8">
        <w:rPr>
          <w:rFonts w:ascii="Times New Roman" w:eastAsia="Times New Roman" w:hAnsi="Times New Roman" w:cs="Times New Roman"/>
          <w:b/>
          <w:bCs/>
          <w:kern w:val="36"/>
          <w:sz w:val="48"/>
          <w:szCs w:val="48"/>
          <w14:ligatures w14:val="none"/>
        </w:rPr>
        <w:t>11. Benefits and Challenges of Sustainable Stakeholder Engagement</w:t>
      </w:r>
    </w:p>
    <w:p w14:paraId="6CCAFCAB"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Sustainable engagement means maintaining meaningful stakeholder relationships throughout the lifecycle rather than increasing communication temporarily during launch.</w:t>
      </w:r>
    </w:p>
    <w:p w14:paraId="424C2FFF" w14:textId="77777777" w:rsidR="009722C8" w:rsidRPr="009722C8" w:rsidRDefault="009722C8" w:rsidP="009722C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722C8">
        <w:rPr>
          <w:rFonts w:ascii="Times New Roman" w:eastAsia="Times New Roman" w:hAnsi="Times New Roman" w:cs="Times New Roman"/>
          <w:b/>
          <w:bCs/>
          <w:kern w:val="0"/>
          <w:sz w:val="36"/>
          <w:szCs w:val="36"/>
          <w14:ligatures w14:val="none"/>
        </w:rPr>
        <w:t>11.1 Customer retention</w:t>
      </w:r>
    </w:p>
    <w:p w14:paraId="7FDA177C" w14:textId="0B338A79"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lastRenderedPageBreak/>
        <w:t>Personalisation can strengthen customer relationships by making offers more relevant. McKinsey’s research indicates that consumers increasingly expect personalised interactions and that effective personalisation can improve loyalty and revenue performance. (</w:t>
      </w:r>
      <w:hyperlink r:id="rId23" w:history="1">
        <w:r w:rsidRPr="009722C8">
          <w:rPr>
            <w:rFonts w:ascii="Times New Roman" w:hAnsi="Times New Roman" w:cs="Times New Roman"/>
            <w:color w:val="0000FF"/>
            <w:kern w:val="0"/>
            <w:u w:val="single"/>
            <w14:ligatures w14:val="none"/>
          </w:rPr>
          <w:t>McKinsey &amp; Company</w:t>
        </w:r>
      </w:hyperlink>
      <w:r w:rsidRPr="009722C8">
        <w:rPr>
          <w:rFonts w:ascii="Times New Roman" w:hAnsi="Times New Roman" w:cs="Times New Roman"/>
          <w:kern w:val="0"/>
          <w14:ligatures w14:val="none"/>
        </w:rPr>
        <w:t>⁠)</w:t>
      </w:r>
    </w:p>
    <w:p w14:paraId="6CC3E5AF"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For Tesco, ConnectPlus could therefore increase customer frequency, basket value and retention.</w:t>
      </w:r>
    </w:p>
    <w:p w14:paraId="324F4B28" w14:textId="77777777" w:rsidR="009722C8" w:rsidRPr="009722C8" w:rsidRDefault="009722C8" w:rsidP="009722C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722C8">
        <w:rPr>
          <w:rFonts w:ascii="Times New Roman" w:eastAsia="Times New Roman" w:hAnsi="Times New Roman" w:cs="Times New Roman"/>
          <w:b/>
          <w:bCs/>
          <w:kern w:val="0"/>
          <w:sz w:val="36"/>
          <w:szCs w:val="36"/>
          <w14:ligatures w14:val="none"/>
        </w:rPr>
        <w:t>11.2 Innovation</w:t>
      </w:r>
    </w:p>
    <w:p w14:paraId="27031C9E"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Customers and employees can identify problems that technical teams may overlook. Continuous engagement can therefore improve product-market fit.</w:t>
      </w:r>
    </w:p>
    <w:p w14:paraId="44D5E974" w14:textId="5D69EFD0" w:rsidR="00304921"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Research by Ghassim and Bogers (2019) found that stakeholder engagement can contribute to innovation outcomes, although engagement alone does not automatically generate financial performance. The financial benefits depend on the organisation’s ability to convert stakeholder input into valuable innovation. (</w:t>
      </w:r>
      <w:hyperlink r:id="rId24" w:history="1">
        <w:r w:rsidRPr="009722C8">
          <w:rPr>
            <w:rFonts w:ascii="Times New Roman" w:hAnsi="Times New Roman" w:cs="Times New Roman"/>
            <w:color w:val="0000FF"/>
            <w:kern w:val="0"/>
            <w:u w:val="single"/>
            <w14:ligatures w14:val="none"/>
          </w:rPr>
          <w:t>ScienceDirect</w:t>
        </w:r>
      </w:hyperlink>
      <w:r w:rsidR="00304921">
        <w:rPr>
          <w:rFonts w:ascii="Times New Roman" w:hAnsi="Times New Roman" w:cs="Times New Roman"/>
          <w:kern w:val="0"/>
          <w14:ligatures w14:val="none"/>
        </w:rPr>
        <w:t xml:space="preserve">) </w:t>
      </w:r>
    </w:p>
    <w:p w14:paraId="31A4FDD0"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This is an important critical point: Tesco should not measure engagement by the number of meetings held. It should measure whether engagement improves decisions and outcomes.</w:t>
      </w:r>
    </w:p>
    <w:p w14:paraId="21A9D6A7" w14:textId="77777777" w:rsidR="009722C8" w:rsidRPr="009722C8" w:rsidRDefault="009722C8" w:rsidP="009722C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722C8">
        <w:rPr>
          <w:rFonts w:ascii="Times New Roman" w:eastAsia="Times New Roman" w:hAnsi="Times New Roman" w:cs="Times New Roman"/>
          <w:b/>
          <w:bCs/>
          <w:kern w:val="0"/>
          <w:sz w:val="36"/>
          <w:szCs w:val="36"/>
          <w14:ligatures w14:val="none"/>
        </w:rPr>
        <w:t>11.3 Employee adoption</w:t>
      </w:r>
    </w:p>
    <w:p w14:paraId="0B9C8017"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Employees are central to digital transformation because they often become the customer’s first source of assistance. If employees do not understand ConnectPlus, customers may receive inconsistent information.</w:t>
      </w:r>
    </w:p>
    <w:p w14:paraId="0DEAA768"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Engagement therefore creates internal ambassadors who can encourage adoption and identify implementation problems.</w:t>
      </w:r>
    </w:p>
    <w:p w14:paraId="7E250B55" w14:textId="77777777" w:rsidR="009722C8" w:rsidRPr="009722C8" w:rsidRDefault="009722C8" w:rsidP="009722C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722C8">
        <w:rPr>
          <w:rFonts w:ascii="Times New Roman" w:eastAsia="Times New Roman" w:hAnsi="Times New Roman" w:cs="Times New Roman"/>
          <w:b/>
          <w:bCs/>
          <w:kern w:val="0"/>
          <w:sz w:val="36"/>
          <w:szCs w:val="36"/>
          <w14:ligatures w14:val="none"/>
        </w:rPr>
        <w:t>11.4 Trust and reputation</w:t>
      </w:r>
    </w:p>
    <w:p w14:paraId="6E30B1D0"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Transparent stakeholder engagement can increase organisational legitimacy. Conversely, a data breach, unexplained algorithmic decision or misleading reward could damage customer trust.</w:t>
      </w:r>
    </w:p>
    <w:p w14:paraId="5D227504"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Trust should therefore be treated as a strategic asset. A successful launch is not simply one where the application works technically; it is one where stakeholders believe Tesco is using the technology responsibly.</w:t>
      </w:r>
    </w:p>
    <w:p w14:paraId="0DF00F6B" w14:textId="77777777" w:rsidR="009722C8" w:rsidRPr="009722C8" w:rsidRDefault="009722C8" w:rsidP="009722C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722C8">
        <w:rPr>
          <w:rFonts w:ascii="Times New Roman" w:eastAsia="Times New Roman" w:hAnsi="Times New Roman" w:cs="Times New Roman"/>
          <w:b/>
          <w:bCs/>
          <w:kern w:val="0"/>
          <w:sz w:val="36"/>
          <w:szCs w:val="36"/>
          <w14:ligatures w14:val="none"/>
        </w:rPr>
        <w:t>11.5 Financial performance</w:t>
      </w:r>
    </w:p>
    <w:p w14:paraId="4D8C441A" w14:textId="77777777"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Sustainable engagement can contribute to performance through retention, improved marketing efficiency, stronger innovation and better decision-making. However, the relationship is not automatic.</w:t>
      </w:r>
    </w:p>
    <w:p w14:paraId="191D772F" w14:textId="0C73D4CF" w:rsidR="009722C8" w:rsidRP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lastRenderedPageBreak/>
        <w:t>Research by Manning, Braam and Reimsbach (2019) found positive relationships between stakeholder engagement, sustainability reporting and aspects of corporate sustainability performance, suggesting that active stakeholder involvement can support more sustainable business conduct. (</w:t>
      </w:r>
      <w:hyperlink r:id="rId25" w:history="1">
        <w:r w:rsidRPr="009722C8">
          <w:rPr>
            <w:rFonts w:ascii="Times New Roman" w:hAnsi="Times New Roman" w:cs="Times New Roman"/>
            <w:color w:val="0000FF"/>
            <w:kern w:val="0"/>
            <w:u w:val="single"/>
            <w14:ligatures w14:val="none"/>
          </w:rPr>
          <w:t>Wiley Online Library</w:t>
        </w:r>
      </w:hyperlink>
      <w:r w:rsidRPr="009722C8">
        <w:rPr>
          <w:rFonts w:ascii="Times New Roman" w:hAnsi="Times New Roman" w:cs="Times New Roman"/>
          <w:kern w:val="0"/>
          <w14:ligatures w14:val="none"/>
        </w:rPr>
        <w:t>⁠)</w:t>
      </w:r>
    </w:p>
    <w:p w14:paraId="1A720278" w14:textId="0CE14AE9" w:rsidR="009722C8" w:rsidRDefault="009722C8" w:rsidP="009722C8">
      <w:pPr>
        <w:spacing w:before="100" w:beforeAutospacing="1" w:after="100" w:afterAutospacing="1" w:line="240" w:lineRule="auto"/>
        <w:rPr>
          <w:rFonts w:ascii="Times New Roman" w:hAnsi="Times New Roman" w:cs="Times New Roman"/>
          <w:kern w:val="0"/>
          <w14:ligatures w14:val="none"/>
        </w:rPr>
      </w:pPr>
      <w:r w:rsidRPr="009722C8">
        <w:rPr>
          <w:rFonts w:ascii="Times New Roman" w:hAnsi="Times New Roman" w:cs="Times New Roman"/>
          <w:kern w:val="0"/>
          <w14:ligatures w14:val="none"/>
        </w:rPr>
        <w:t>Similarly, recent systematic review evidence concludes that stakeholder engagement tends to have a positive relationship with social, environmental and economic sustainability performance, although regulatory context, governance and communication can moderate the relationship. (</w:t>
      </w:r>
      <w:hyperlink r:id="rId26" w:history="1">
        <w:r w:rsidRPr="009722C8">
          <w:rPr>
            <w:rFonts w:ascii="Times New Roman" w:hAnsi="Times New Roman" w:cs="Times New Roman"/>
            <w:color w:val="0000FF"/>
            <w:kern w:val="0"/>
            <w:u w:val="single"/>
            <w14:ligatures w14:val="none"/>
          </w:rPr>
          <w:t>Journal UII</w:t>
        </w:r>
      </w:hyperlink>
      <w:r w:rsidRPr="009722C8">
        <w:rPr>
          <w:rFonts w:ascii="Times New Roman" w:hAnsi="Times New Roman" w:cs="Times New Roman"/>
          <w:kern w:val="0"/>
          <w14:ligatures w14:val="none"/>
        </w:rPr>
        <w:t>⁠)</w:t>
      </w:r>
    </w:p>
    <w:p w14:paraId="329F29BD" w14:textId="3EB38405"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kern w:val="0"/>
          <w14:ligatures w14:val="none"/>
        </w:rPr>
        <w:t>reporting and aspects of corporate sustainability performance, suggesting that active stakeholder involvement can support more sustainable business conduct. (</w:t>
      </w:r>
      <w:hyperlink r:id="rId27" w:history="1">
        <w:r w:rsidRPr="00DF2ED7">
          <w:rPr>
            <w:rFonts w:ascii="Times New Roman" w:hAnsi="Times New Roman" w:cs="Times New Roman"/>
            <w:color w:val="0000FF"/>
            <w:kern w:val="0"/>
            <w:u w:val="single"/>
            <w14:ligatures w14:val="none"/>
          </w:rPr>
          <w:t>Wiley Online Library</w:t>
        </w:r>
      </w:hyperlink>
      <w:r w:rsidRPr="00DF2ED7">
        <w:rPr>
          <w:rFonts w:ascii="Times New Roman" w:hAnsi="Times New Roman" w:cs="Times New Roman"/>
          <w:kern w:val="0"/>
          <w14:ligatures w14:val="none"/>
        </w:rPr>
        <w:t>⁠)</w:t>
      </w:r>
    </w:p>
    <w:p w14:paraId="1F11042A" w14:textId="5313EE8D"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kern w:val="0"/>
          <w14:ligatures w14:val="none"/>
        </w:rPr>
        <w:t>Similarly, recent systematic review evidence concludes that stakeholder engagement tends to have a positive relationship with social, environmental and economic sustainability performance, although regulatory context, governance and communication can moderate the relationship. (</w:t>
      </w:r>
      <w:hyperlink r:id="rId28" w:history="1">
        <w:r w:rsidRPr="00DF2ED7">
          <w:rPr>
            <w:rFonts w:ascii="Times New Roman" w:hAnsi="Times New Roman" w:cs="Times New Roman"/>
            <w:color w:val="0000FF"/>
            <w:kern w:val="0"/>
            <w:u w:val="single"/>
            <w14:ligatures w14:val="none"/>
          </w:rPr>
          <w:t>Journal UII</w:t>
        </w:r>
      </w:hyperlink>
      <w:r w:rsidRPr="00DF2ED7">
        <w:rPr>
          <w:rFonts w:ascii="Times New Roman" w:hAnsi="Times New Roman" w:cs="Times New Roman"/>
          <w:kern w:val="0"/>
          <w14:ligatures w14:val="none"/>
        </w:rPr>
        <w:t>⁠)</w:t>
      </w:r>
    </w:p>
    <w:p w14:paraId="6AD98431" w14:textId="77777777" w:rsidR="00DF2ED7" w:rsidRPr="00DF2ED7" w:rsidRDefault="00DF2ED7" w:rsidP="00DF2ED7">
      <w:pPr>
        <w:spacing w:after="0"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noProof/>
          <w:kern w:val="0"/>
          <w14:ligatures w14:val="none"/>
        </w:rPr>
        <mc:AlternateContent>
          <mc:Choice Requires="wps">
            <w:drawing>
              <wp:inline distT="0" distB="0" distL="0" distR="0" wp14:anchorId="0AD64D7F" wp14:editId="5A67A626">
                <wp:extent cx="5731510" cy="1270"/>
                <wp:effectExtent l="0" t="31750" r="0" b="36830"/>
                <wp:docPr id="166503559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6D6D42"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5B129D6" w14:textId="77777777" w:rsidR="00DF2ED7" w:rsidRPr="00DF2ED7" w:rsidRDefault="00DF2ED7" w:rsidP="00DF2E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DF2ED7">
        <w:rPr>
          <w:rFonts w:ascii="Times New Roman" w:eastAsia="Times New Roman" w:hAnsi="Times New Roman" w:cs="Times New Roman"/>
          <w:b/>
          <w:bCs/>
          <w:kern w:val="36"/>
          <w:sz w:val="48"/>
          <w:szCs w:val="48"/>
          <w14:ligatures w14:val="none"/>
        </w:rPr>
        <w:t>12. Measuring Stakeholder Engagement Performance</w:t>
      </w:r>
    </w:p>
    <w:p w14:paraId="689ECF15" w14:textId="77777777"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kern w:val="0"/>
          <w14:ligatures w14:val="none"/>
        </w:rPr>
        <w:t>A balanced scorecard should evaluate both engagement and business outcomes.</w:t>
      </w:r>
    </w:p>
    <w:p w14:paraId="2F7B3863" w14:textId="77777777" w:rsidR="00DF2ED7" w:rsidRPr="00DF2ED7" w:rsidRDefault="00DF2ED7" w:rsidP="00DF2E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ED7">
        <w:rPr>
          <w:rFonts w:ascii="Times New Roman" w:eastAsia="Times New Roman" w:hAnsi="Times New Roman" w:cs="Times New Roman"/>
          <w:b/>
          <w:bCs/>
          <w:kern w:val="0"/>
          <w:sz w:val="27"/>
          <w:szCs w:val="27"/>
          <w14:ligatures w14:val="none"/>
        </w:rPr>
        <w:t>Customer KPIs</w:t>
      </w:r>
    </w:p>
    <w:p w14:paraId="252F0D0D" w14:textId="77777777" w:rsidR="00DF2ED7" w:rsidRPr="00DF2ED7" w:rsidRDefault="00DF2ED7" w:rsidP="00DF2ED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ConnectPlus registration rate</w:t>
      </w:r>
    </w:p>
    <w:p w14:paraId="19147275" w14:textId="77777777" w:rsidR="00DF2ED7" w:rsidRPr="00DF2ED7" w:rsidRDefault="00DF2ED7" w:rsidP="00DF2ED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Monthly active users</w:t>
      </w:r>
    </w:p>
    <w:p w14:paraId="4077B7F6" w14:textId="77777777" w:rsidR="00DF2ED7" w:rsidRPr="00DF2ED7" w:rsidRDefault="00DF2ED7" w:rsidP="00DF2ED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Customer satisfaction</w:t>
      </w:r>
    </w:p>
    <w:p w14:paraId="4BD940D1" w14:textId="77777777" w:rsidR="00DF2ED7" w:rsidRPr="00DF2ED7" w:rsidRDefault="00DF2ED7" w:rsidP="00DF2ED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Personalised-offer redemption</w:t>
      </w:r>
    </w:p>
    <w:p w14:paraId="689873B4" w14:textId="77777777" w:rsidR="00DF2ED7" w:rsidRPr="00DF2ED7" w:rsidRDefault="00DF2ED7" w:rsidP="00DF2ED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Customer retention</w:t>
      </w:r>
    </w:p>
    <w:p w14:paraId="3B9BC22B" w14:textId="77777777" w:rsidR="00DF2ED7" w:rsidRPr="00DF2ED7" w:rsidRDefault="00DF2ED7" w:rsidP="00DF2ED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Customer complaints</w:t>
      </w:r>
    </w:p>
    <w:p w14:paraId="6174B62C" w14:textId="77777777" w:rsidR="00DF2ED7" w:rsidRPr="00DF2ED7" w:rsidRDefault="00DF2ED7" w:rsidP="00DF2ED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Opt-out rate</w:t>
      </w:r>
    </w:p>
    <w:p w14:paraId="557DABEC" w14:textId="77777777" w:rsidR="00DF2ED7" w:rsidRPr="00DF2ED7" w:rsidRDefault="00DF2ED7" w:rsidP="00DF2E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ED7">
        <w:rPr>
          <w:rFonts w:ascii="Times New Roman" w:eastAsia="Times New Roman" w:hAnsi="Times New Roman" w:cs="Times New Roman"/>
          <w:b/>
          <w:bCs/>
          <w:kern w:val="0"/>
          <w:sz w:val="27"/>
          <w:szCs w:val="27"/>
          <w14:ligatures w14:val="none"/>
        </w:rPr>
        <w:t>Employee KPIs</w:t>
      </w:r>
    </w:p>
    <w:p w14:paraId="513952D4" w14:textId="77777777" w:rsidR="00DF2ED7" w:rsidRPr="00DF2ED7" w:rsidRDefault="00DF2ED7" w:rsidP="00DF2ED7">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Training completion</w:t>
      </w:r>
    </w:p>
    <w:p w14:paraId="1F2B5D8B" w14:textId="77777777" w:rsidR="00DF2ED7" w:rsidRPr="00DF2ED7" w:rsidRDefault="00DF2ED7" w:rsidP="00DF2ED7">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Employee readiness</w:t>
      </w:r>
    </w:p>
    <w:p w14:paraId="5DB05EC2" w14:textId="77777777" w:rsidR="00DF2ED7" w:rsidRPr="00DF2ED7" w:rsidRDefault="00DF2ED7" w:rsidP="00DF2ED7">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Employee confidence</w:t>
      </w:r>
    </w:p>
    <w:p w14:paraId="52301A55" w14:textId="77777777" w:rsidR="00DF2ED7" w:rsidRPr="00DF2ED7" w:rsidRDefault="00DF2ED7" w:rsidP="00DF2ED7">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Number of ConnectPlus champions</w:t>
      </w:r>
    </w:p>
    <w:p w14:paraId="1A6F1143" w14:textId="77777777" w:rsidR="00DF2ED7" w:rsidRPr="00DF2ED7" w:rsidRDefault="00DF2ED7" w:rsidP="00DF2ED7">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Implementation issues reported and resolved</w:t>
      </w:r>
    </w:p>
    <w:p w14:paraId="31F5FDC6" w14:textId="77777777" w:rsidR="00DF2ED7" w:rsidRPr="00DF2ED7" w:rsidRDefault="00DF2ED7" w:rsidP="00DF2E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ED7">
        <w:rPr>
          <w:rFonts w:ascii="Times New Roman" w:eastAsia="Times New Roman" w:hAnsi="Times New Roman" w:cs="Times New Roman"/>
          <w:b/>
          <w:bCs/>
          <w:kern w:val="0"/>
          <w:sz w:val="27"/>
          <w:szCs w:val="27"/>
          <w14:ligatures w14:val="none"/>
        </w:rPr>
        <w:t>Governance KPIs</w:t>
      </w:r>
    </w:p>
    <w:p w14:paraId="451564E1" w14:textId="77777777" w:rsidR="00DF2ED7" w:rsidRPr="00DF2ED7" w:rsidRDefault="00DF2ED7" w:rsidP="00DF2ED7">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Number of unresolved compliance issues</w:t>
      </w:r>
    </w:p>
    <w:p w14:paraId="60CBDE4F" w14:textId="77777777" w:rsidR="00DF2ED7" w:rsidRPr="00DF2ED7" w:rsidRDefault="00DF2ED7" w:rsidP="00DF2ED7">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lastRenderedPageBreak/>
        <w:t>Data protection incidents</w:t>
      </w:r>
    </w:p>
    <w:p w14:paraId="081C5CFC" w14:textId="77777777" w:rsidR="00DF2ED7" w:rsidRPr="00DF2ED7" w:rsidRDefault="00DF2ED7" w:rsidP="00DF2ED7">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AI bias-testing outcomes</w:t>
      </w:r>
    </w:p>
    <w:p w14:paraId="4327F2AF" w14:textId="77777777" w:rsidR="00DF2ED7" w:rsidRPr="00DF2ED7" w:rsidRDefault="00DF2ED7" w:rsidP="00DF2ED7">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Security incidents</w:t>
      </w:r>
    </w:p>
    <w:p w14:paraId="6E95F3D2" w14:textId="77777777" w:rsidR="00DF2ED7" w:rsidRPr="00DF2ED7" w:rsidRDefault="00DF2ED7" w:rsidP="00DF2ED7">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Stakeholder issues resolved within agreed timescales</w:t>
      </w:r>
    </w:p>
    <w:p w14:paraId="09B7ADBD" w14:textId="77777777" w:rsidR="00DF2ED7" w:rsidRPr="00DF2ED7" w:rsidRDefault="00DF2ED7" w:rsidP="00DF2E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ED7">
        <w:rPr>
          <w:rFonts w:ascii="Times New Roman" w:eastAsia="Times New Roman" w:hAnsi="Times New Roman" w:cs="Times New Roman"/>
          <w:b/>
          <w:bCs/>
          <w:kern w:val="0"/>
          <w:sz w:val="27"/>
          <w:szCs w:val="27"/>
          <w14:ligatures w14:val="none"/>
        </w:rPr>
        <w:t>Commercial KPIs</w:t>
      </w:r>
    </w:p>
    <w:p w14:paraId="6690D518" w14:textId="77777777" w:rsidR="00DF2ED7" w:rsidRPr="00DF2ED7" w:rsidRDefault="00DF2ED7" w:rsidP="00DF2ED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Customer lifetime value</w:t>
      </w:r>
    </w:p>
    <w:p w14:paraId="5D4BE4B7" w14:textId="77777777" w:rsidR="00DF2ED7" w:rsidRPr="00DF2ED7" w:rsidRDefault="00DF2ED7" w:rsidP="00DF2ED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Average basket value</w:t>
      </w:r>
    </w:p>
    <w:p w14:paraId="43922901" w14:textId="77777777" w:rsidR="00DF2ED7" w:rsidRPr="00DF2ED7" w:rsidRDefault="00DF2ED7" w:rsidP="00DF2ED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Digital sales</w:t>
      </w:r>
    </w:p>
    <w:p w14:paraId="593BF41D" w14:textId="77777777" w:rsidR="00DF2ED7" w:rsidRPr="00DF2ED7" w:rsidRDefault="00DF2ED7" w:rsidP="00DF2ED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Loyalty engagement</w:t>
      </w:r>
    </w:p>
    <w:p w14:paraId="6C10D3D3" w14:textId="77777777" w:rsidR="00DF2ED7" w:rsidRPr="00DF2ED7" w:rsidRDefault="00DF2ED7" w:rsidP="00DF2ED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Marketing conversion</w:t>
      </w:r>
    </w:p>
    <w:p w14:paraId="5C9B36F1" w14:textId="77777777" w:rsidR="00DF2ED7" w:rsidRPr="00DF2ED7" w:rsidRDefault="00DF2ED7" w:rsidP="00DF2ED7">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Return on investment</w:t>
      </w:r>
    </w:p>
    <w:p w14:paraId="4997ADF7" w14:textId="77777777" w:rsidR="00DF2ED7" w:rsidRPr="00DF2ED7" w:rsidRDefault="00DF2ED7" w:rsidP="00DF2ED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F2ED7">
        <w:rPr>
          <w:rFonts w:ascii="Times New Roman" w:eastAsia="Times New Roman" w:hAnsi="Times New Roman" w:cs="Times New Roman"/>
          <w:b/>
          <w:bCs/>
          <w:kern w:val="0"/>
          <w:sz w:val="27"/>
          <w:szCs w:val="27"/>
          <w14:ligatures w14:val="none"/>
        </w:rPr>
        <w:t>Sustainability KPIs</w:t>
      </w:r>
    </w:p>
    <w:p w14:paraId="5AF9C494" w14:textId="77777777" w:rsidR="00DF2ED7" w:rsidRPr="00DF2ED7" w:rsidRDefault="00DF2ED7" w:rsidP="00DF2ED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Digital accessibility</w:t>
      </w:r>
    </w:p>
    <w:p w14:paraId="3AF75887" w14:textId="77777777" w:rsidR="00DF2ED7" w:rsidRPr="00DF2ED7" w:rsidRDefault="00DF2ED7" w:rsidP="00DF2ED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Stakeholder satisfaction</w:t>
      </w:r>
    </w:p>
    <w:p w14:paraId="3E0C0910" w14:textId="77777777" w:rsidR="00DF2ED7" w:rsidRPr="00DF2ED7" w:rsidRDefault="00DF2ED7" w:rsidP="00DF2ED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Responsible AI compliance</w:t>
      </w:r>
    </w:p>
    <w:p w14:paraId="6EC4725E" w14:textId="77777777" w:rsidR="00DF2ED7" w:rsidRPr="00DF2ED7" w:rsidRDefault="00DF2ED7" w:rsidP="00DF2ED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Supplier participation</w:t>
      </w:r>
    </w:p>
    <w:p w14:paraId="01646BE6" w14:textId="77777777" w:rsidR="00DF2ED7" w:rsidRPr="00DF2ED7" w:rsidRDefault="00DF2ED7" w:rsidP="00DF2ED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Customer trust</w:t>
      </w:r>
    </w:p>
    <w:p w14:paraId="048C11AD" w14:textId="77777777" w:rsidR="00DF2ED7" w:rsidRPr="00DF2ED7" w:rsidRDefault="00DF2ED7" w:rsidP="00DF2ED7">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kern w:val="0"/>
          <w14:ligatures w14:val="none"/>
        </w:rPr>
        <w:t>Inclusion across demographic and market groups</w:t>
      </w:r>
    </w:p>
    <w:p w14:paraId="0C8ED964" w14:textId="77777777"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kern w:val="0"/>
          <w14:ligatures w14:val="none"/>
        </w:rPr>
        <w:t>This balanced approach prevents Tesco from defining success solely as revenue growth. A platform that increases sales but creates significant privacy complaints or excludes vulnerable customers should not be considered an unqualified success.</w:t>
      </w:r>
    </w:p>
    <w:p w14:paraId="5F369181" w14:textId="77777777" w:rsidR="00DF2ED7" w:rsidRPr="00DF2ED7" w:rsidRDefault="00DF2ED7" w:rsidP="00DF2ED7">
      <w:pPr>
        <w:spacing w:after="0"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noProof/>
          <w:kern w:val="0"/>
          <w14:ligatures w14:val="none"/>
        </w:rPr>
        <mc:AlternateContent>
          <mc:Choice Requires="wps">
            <w:drawing>
              <wp:inline distT="0" distB="0" distL="0" distR="0" wp14:anchorId="555DF5AA" wp14:editId="10A67040">
                <wp:extent cx="5731510" cy="1270"/>
                <wp:effectExtent l="0" t="31750" r="0" b="36830"/>
                <wp:docPr id="118729775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8425CB"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B78DE96" w14:textId="77777777" w:rsidR="00DF2ED7" w:rsidRPr="00DF2ED7" w:rsidRDefault="00DF2ED7" w:rsidP="00DF2E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DF2ED7">
        <w:rPr>
          <w:rFonts w:ascii="Times New Roman" w:eastAsia="Times New Roman" w:hAnsi="Times New Roman" w:cs="Times New Roman"/>
          <w:b/>
          <w:bCs/>
          <w:kern w:val="36"/>
          <w:sz w:val="48"/>
          <w:szCs w:val="48"/>
          <w14:ligatures w14:val="none"/>
        </w:rPr>
        <w:t>13. Recommendations</w:t>
      </w:r>
    </w:p>
    <w:p w14:paraId="7700051E" w14:textId="77777777"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b/>
          <w:bCs/>
          <w:kern w:val="0"/>
          <w14:ligatures w14:val="none"/>
        </w:rPr>
        <w:t>Recommendation 1: Establish a ConnectPlus Stakeholder Governance Board.</w:t>
      </w:r>
      <w:r w:rsidRPr="00DF2ED7">
        <w:rPr>
          <w:rFonts w:ascii="Times New Roman" w:hAnsi="Times New Roman" w:cs="Times New Roman"/>
          <w:kern w:val="0"/>
          <w14:ligatures w14:val="none"/>
        </w:rPr>
        <w:br/>
        <w:t>The Board should include the Project Sponsor, Project Manager, IT/AI, Marketing, Data Protection, Legal, Customer, Finance and regional representatives. This will provide cross-functional accountability.</w:t>
      </w:r>
    </w:p>
    <w:p w14:paraId="56D14DED" w14:textId="77777777"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b/>
          <w:bCs/>
          <w:kern w:val="0"/>
          <w14:ligatures w14:val="none"/>
        </w:rPr>
        <w:t>Recommendation 2: Introduce continuous customer consultation.</w:t>
      </w:r>
      <w:r w:rsidRPr="00DF2ED7">
        <w:rPr>
          <w:rFonts w:ascii="Times New Roman" w:hAnsi="Times New Roman" w:cs="Times New Roman"/>
          <w:kern w:val="0"/>
          <w14:ligatures w14:val="none"/>
        </w:rPr>
        <w:br/>
        <w:t>Customers should participate in research, usability testing and pilot evaluation. Feedback should be demonstrably incorporated into design decisions.</w:t>
      </w:r>
    </w:p>
    <w:p w14:paraId="36A76ADE" w14:textId="77777777"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b/>
          <w:bCs/>
          <w:kern w:val="0"/>
          <w14:ligatures w14:val="none"/>
        </w:rPr>
        <w:t>Recommendation 3: Adopt global standards with local adaptation.</w:t>
      </w:r>
      <w:r w:rsidRPr="00DF2ED7">
        <w:rPr>
          <w:rFonts w:ascii="Times New Roman" w:hAnsi="Times New Roman" w:cs="Times New Roman"/>
          <w:kern w:val="0"/>
          <w14:ligatures w14:val="none"/>
        </w:rPr>
        <w:br/>
        <w:t>Tesco should maintain common principles for privacy, security, accessibility and ethical AI while allowing local markets to adapt communication, rewards and implementation processes.</w:t>
      </w:r>
    </w:p>
    <w:p w14:paraId="4FBBA475" w14:textId="77777777"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b/>
          <w:bCs/>
          <w:kern w:val="0"/>
          <w14:ligatures w14:val="none"/>
        </w:rPr>
        <w:t>Recommendation 4: Make ethical AI a launch requirement.</w:t>
      </w:r>
      <w:r w:rsidRPr="00DF2ED7">
        <w:rPr>
          <w:rFonts w:ascii="Times New Roman" w:hAnsi="Times New Roman" w:cs="Times New Roman"/>
          <w:kern w:val="0"/>
          <w14:ligatures w14:val="none"/>
        </w:rPr>
        <w:br/>
        <w:t>Algorithmic testing, privacy impact assessments, transparency and human oversight should be completed before full deployment.</w:t>
      </w:r>
    </w:p>
    <w:p w14:paraId="6CA1063A" w14:textId="77777777"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b/>
          <w:bCs/>
          <w:kern w:val="0"/>
          <w14:ligatures w14:val="none"/>
        </w:rPr>
        <w:lastRenderedPageBreak/>
        <w:t>Recommendation 5: Create local ConnectPlus champions.</w:t>
      </w:r>
      <w:r w:rsidRPr="00DF2ED7">
        <w:rPr>
          <w:rFonts w:ascii="Times New Roman" w:hAnsi="Times New Roman" w:cs="Times New Roman"/>
          <w:kern w:val="0"/>
          <w14:ligatures w14:val="none"/>
        </w:rPr>
        <w:br/>
        <w:t>Selected store and regional employees should receive additional training and become first-line advocates for the platform.</w:t>
      </w:r>
    </w:p>
    <w:p w14:paraId="7878C438" w14:textId="77777777"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b/>
          <w:bCs/>
          <w:kern w:val="0"/>
          <w14:ligatures w14:val="none"/>
        </w:rPr>
        <w:t>Recommendation 6: Link engagement to measurable performance.</w:t>
      </w:r>
      <w:r w:rsidRPr="00DF2ED7">
        <w:rPr>
          <w:rFonts w:ascii="Times New Roman" w:hAnsi="Times New Roman" w:cs="Times New Roman"/>
          <w:kern w:val="0"/>
          <w14:ligatures w14:val="none"/>
        </w:rPr>
        <w:br/>
        <w:t>Stakeholder engagement should be incorporated into project KPIs rather than treated as a soft activity. The Board should receive monthly reporting on customer, employee, governance and commercial indicators.</w:t>
      </w:r>
    </w:p>
    <w:p w14:paraId="4C0CA0CA" w14:textId="77777777" w:rsidR="00DF2ED7" w:rsidRPr="00DF2ED7" w:rsidRDefault="00DF2ED7" w:rsidP="00DF2ED7">
      <w:pPr>
        <w:spacing w:after="0" w:line="240" w:lineRule="auto"/>
        <w:rPr>
          <w:rFonts w:ascii="Times New Roman" w:eastAsia="Times New Roman" w:hAnsi="Times New Roman" w:cs="Times New Roman"/>
          <w:kern w:val="0"/>
          <w14:ligatures w14:val="none"/>
        </w:rPr>
      </w:pPr>
      <w:r w:rsidRPr="00DF2ED7">
        <w:rPr>
          <w:rFonts w:ascii="Times New Roman" w:eastAsia="Times New Roman" w:hAnsi="Times New Roman" w:cs="Times New Roman"/>
          <w:noProof/>
          <w:kern w:val="0"/>
          <w14:ligatures w14:val="none"/>
        </w:rPr>
        <mc:AlternateContent>
          <mc:Choice Requires="wps">
            <w:drawing>
              <wp:inline distT="0" distB="0" distL="0" distR="0" wp14:anchorId="5C2CF388" wp14:editId="43878FA8">
                <wp:extent cx="5731510" cy="1270"/>
                <wp:effectExtent l="0" t="31750" r="0" b="36830"/>
                <wp:docPr id="628703079"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48780A7"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B813662" w14:textId="77777777" w:rsidR="00DF2ED7" w:rsidRPr="00DF2ED7" w:rsidRDefault="00DF2ED7" w:rsidP="00DF2E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DF2ED7">
        <w:rPr>
          <w:rFonts w:ascii="Times New Roman" w:eastAsia="Times New Roman" w:hAnsi="Times New Roman" w:cs="Times New Roman"/>
          <w:b/>
          <w:bCs/>
          <w:kern w:val="36"/>
          <w:sz w:val="48"/>
          <w:szCs w:val="48"/>
          <w14:ligatures w14:val="none"/>
        </w:rPr>
        <w:t>14. Conclusion</w:t>
      </w:r>
    </w:p>
    <w:p w14:paraId="47100EA4" w14:textId="3670A71E"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kern w:val="0"/>
          <w14:ligatures w14:val="none"/>
        </w:rPr>
        <w:t>The successful launch of ConnectPlus depends on stakeholder engagement as much as technological capability. Tesco already possesses significant advantages through its Clubcard ecosystem, digital infrastructure and large customer base. Its continuing investment in AI-driven personalisation demonstrates the strategic relevance of ConnectPlus. (</w:t>
      </w:r>
      <w:hyperlink r:id="rId29" w:history="1">
        <w:r w:rsidRPr="00DF2ED7">
          <w:rPr>
            <w:rFonts w:ascii="Times New Roman" w:hAnsi="Times New Roman" w:cs="Times New Roman"/>
            <w:color w:val="0000FF"/>
            <w:kern w:val="0"/>
            <w:u w:val="single"/>
            <w14:ligatures w14:val="none"/>
          </w:rPr>
          <w:t>Reuters</w:t>
        </w:r>
      </w:hyperlink>
      <w:r w:rsidRPr="00DF2ED7">
        <w:rPr>
          <w:rFonts w:ascii="Times New Roman" w:hAnsi="Times New Roman" w:cs="Times New Roman"/>
          <w:kern w:val="0"/>
          <w14:ligatures w14:val="none"/>
        </w:rPr>
        <w:t>⁠)</w:t>
      </w:r>
    </w:p>
    <w:p w14:paraId="4E0E7687" w14:textId="77777777"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kern w:val="0"/>
          <w14:ligatures w14:val="none"/>
        </w:rPr>
        <w:t>However, stakeholder theory demonstrates that value cannot be created by Tesco acting independently. Customers provide data and adoption; employees provide implementation capability; technology providers provide specialist knowledge; regulators provide oversight; and senior management provides strategic direction.</w:t>
      </w:r>
    </w:p>
    <w:p w14:paraId="1BE607CA" w14:textId="77777777"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kern w:val="0"/>
          <w14:ligatures w14:val="none"/>
        </w:rPr>
        <w:t>Mendelow’s power-interest matrix and Mitchell, Agle and Wood’s salience model provide useful methods for prioritising stakeholder relationships, while the RACI framework clarifies accountability. The 4Cs model provides a progression from communication towards consultation, collaboration and commitment.</w:t>
      </w:r>
    </w:p>
    <w:p w14:paraId="62C595B1" w14:textId="14ED4549" w:rsidR="00DF2ED7" w:rsidRP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kern w:val="0"/>
          <w14:ligatures w14:val="none"/>
        </w:rPr>
        <w:t xml:space="preserve">The critical issue is therefore not whether Tesco can build ConnectPlus, but whether it can build a platform that stakeholders </w:t>
      </w:r>
      <w:r w:rsidRPr="00DF2ED7">
        <w:rPr>
          <w:rFonts w:ascii="Times New Roman" w:hAnsi="Times New Roman" w:cs="Times New Roman"/>
          <w:b/>
          <w:bCs/>
          <w:kern w:val="0"/>
          <w14:ligatures w14:val="none"/>
        </w:rPr>
        <w:t>trust, understand and willingly adopt</w:t>
      </w:r>
      <w:r w:rsidRPr="00DF2ED7">
        <w:rPr>
          <w:rFonts w:ascii="Times New Roman" w:hAnsi="Times New Roman" w:cs="Times New Roman"/>
          <w:kern w:val="0"/>
          <w14:ligatures w14:val="none"/>
        </w:rPr>
        <w:t>. Personalisation creates significant commercial opportunities, but it also creates ethical risks surrounding profiling, privacy, bias, transparency and cultural differences. The ICO’s guidance makes clear that responsible profiling requires fairness, transparency, lawful processing and appropriate safeguards. (</w:t>
      </w:r>
      <w:hyperlink r:id="rId30" w:history="1">
        <w:r w:rsidRPr="00DF2ED7">
          <w:rPr>
            <w:rFonts w:ascii="Times New Roman" w:hAnsi="Times New Roman" w:cs="Times New Roman"/>
            <w:color w:val="0000FF"/>
            <w:kern w:val="0"/>
            <w:u w:val="single"/>
            <w14:ligatures w14:val="none"/>
          </w:rPr>
          <w:t>ICO</w:t>
        </w:r>
      </w:hyperlink>
      <w:r w:rsidRPr="00DF2ED7">
        <w:rPr>
          <w:rFonts w:ascii="Times New Roman" w:hAnsi="Times New Roman" w:cs="Times New Roman"/>
          <w:kern w:val="0"/>
          <w14:ligatures w14:val="none"/>
        </w:rPr>
        <w:t>⁠)</w:t>
      </w:r>
    </w:p>
    <w:p w14:paraId="510C81D0" w14:textId="77777777" w:rsidR="00DF2ED7" w:rsidRDefault="00DF2ED7" w:rsidP="00DF2ED7">
      <w:pPr>
        <w:spacing w:before="100" w:beforeAutospacing="1" w:after="100" w:afterAutospacing="1" w:line="240" w:lineRule="auto"/>
        <w:rPr>
          <w:rFonts w:ascii="Times New Roman" w:hAnsi="Times New Roman" w:cs="Times New Roman"/>
          <w:kern w:val="0"/>
          <w14:ligatures w14:val="none"/>
        </w:rPr>
      </w:pPr>
      <w:r w:rsidRPr="00DF2ED7">
        <w:rPr>
          <w:rFonts w:ascii="Times New Roman" w:hAnsi="Times New Roman" w:cs="Times New Roman"/>
          <w:kern w:val="0"/>
          <w14:ligatures w14:val="none"/>
        </w:rPr>
        <w:t xml:space="preserve">Sustainable stakeholder engagement should consequently continue after launch. By integrating stakeholder participation into governance, customer research, ethical AI, employee development and performance measurement, Tesco can increase the likelihood that ConnectPlus creates long-term value for customers, employees, shareholders and wider society. The ultimate measure of success should therefore be a combination of </w:t>
      </w:r>
      <w:r w:rsidRPr="00DF2ED7">
        <w:rPr>
          <w:rFonts w:ascii="Times New Roman" w:hAnsi="Times New Roman" w:cs="Times New Roman"/>
          <w:b/>
          <w:bCs/>
          <w:kern w:val="0"/>
          <w14:ligatures w14:val="none"/>
        </w:rPr>
        <w:t>commercial performance, customer value, stakeholder trust, responsible technology and sustainable organisational relationships</w:t>
      </w:r>
      <w:r w:rsidRPr="00DF2ED7">
        <w:rPr>
          <w:rFonts w:ascii="Times New Roman" w:hAnsi="Times New Roman" w:cs="Times New Roman"/>
          <w:kern w:val="0"/>
          <w14:ligatures w14:val="none"/>
        </w:rPr>
        <w:t>.</w:t>
      </w:r>
    </w:p>
    <w:p w14:paraId="6BC23FE1" w14:textId="77777777" w:rsidR="0084579E" w:rsidRPr="0084579E" w:rsidRDefault="0084579E" w:rsidP="0084579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4579E">
        <w:rPr>
          <w:rFonts w:ascii="Times New Roman" w:eastAsia="Times New Roman" w:hAnsi="Times New Roman" w:cs="Times New Roman"/>
          <w:b/>
          <w:bCs/>
          <w:kern w:val="36"/>
          <w:sz w:val="48"/>
          <w:szCs w:val="48"/>
          <w14:ligatures w14:val="none"/>
        </w:rPr>
        <w:t>References</w:t>
      </w:r>
    </w:p>
    <w:p w14:paraId="16199B05" w14:textId="77777777"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lastRenderedPageBreak/>
        <w:t xml:space="preserve">Accenture (2018) </w:t>
      </w:r>
      <w:r w:rsidRPr="0084579E">
        <w:rPr>
          <w:rFonts w:ascii="Times New Roman" w:hAnsi="Times New Roman" w:cs="Times New Roman"/>
          <w:i/>
          <w:iCs/>
          <w:kern w:val="0"/>
          <w14:ligatures w14:val="none"/>
        </w:rPr>
        <w:t>Making it personal: moving from communication to conversation</w:t>
      </w:r>
      <w:r w:rsidRPr="0084579E">
        <w:rPr>
          <w:rFonts w:ascii="Times New Roman" w:hAnsi="Times New Roman" w:cs="Times New Roman"/>
          <w:kern w:val="0"/>
          <w14:ligatures w14:val="none"/>
        </w:rPr>
        <w:t xml:space="preserve">. Accenture Interactive. </w:t>
      </w:r>
      <w:hyperlink r:id="rId31" w:history="1">
        <w:r w:rsidRPr="0084579E">
          <w:rPr>
            <w:rFonts w:ascii="Times New Roman" w:hAnsi="Times New Roman" w:cs="Times New Roman"/>
            <w:color w:val="0000FF"/>
            <w:kern w:val="0"/>
            <w:u w:val="single"/>
            <w14:ligatures w14:val="none"/>
          </w:rPr>
          <w:t>Accenture research report</w:t>
        </w:r>
      </w:hyperlink>
      <w:r w:rsidRPr="0084579E">
        <w:rPr>
          <w:rFonts w:ascii="Times New Roman" w:hAnsi="Times New Roman" w:cs="Times New Roman"/>
          <w:kern w:val="0"/>
          <w14:ligatures w14:val="none"/>
        </w:rPr>
        <w:t>⁠</w:t>
      </w:r>
      <w:r w:rsidRPr="0084579E">
        <w:rPr>
          <w:rFonts w:ascii="Times New Roman" w:hAnsi="Times New Roman" w:cs="Times New Roman"/>
          <w:noProof/>
          <w:kern w:val="0"/>
          <w14:ligatures w14:val="none"/>
        </w:rPr>
        <mc:AlternateContent>
          <mc:Choice Requires="wps">
            <w:drawing>
              <wp:inline distT="0" distB="0" distL="0" distR="0" wp14:anchorId="4A897977" wp14:editId="17059B9B">
                <wp:extent cx="306705" cy="306705"/>
                <wp:effectExtent l="0" t="0" r="0" b="0"/>
                <wp:docPr id="550462275"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6926E8" id="Rectangle 14"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p>
    <w:p w14:paraId="6F5CC117" w14:textId="7376D6A2"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Christopher, M., Payne, A. and Ballantyne, D. (2013) </w:t>
      </w:r>
      <w:r w:rsidRPr="0084579E">
        <w:rPr>
          <w:rFonts w:ascii="Times New Roman" w:hAnsi="Times New Roman" w:cs="Times New Roman"/>
          <w:i/>
          <w:iCs/>
          <w:kern w:val="0"/>
          <w14:ligatures w14:val="none"/>
        </w:rPr>
        <w:t>Relationship Marketing: Creating Stakeholder Value</w:t>
      </w:r>
      <w:r w:rsidRPr="0084579E">
        <w:rPr>
          <w:rFonts w:ascii="Times New Roman" w:hAnsi="Times New Roman" w:cs="Times New Roman"/>
          <w:kern w:val="0"/>
          <w14:ligatures w14:val="none"/>
        </w:rPr>
        <w:t>. 2nd edn. Abingdon: Routledge. (</w:t>
      </w:r>
      <w:hyperlink r:id="rId32" w:history="1">
        <w:r w:rsidRPr="0084579E">
          <w:rPr>
            <w:rFonts w:ascii="Times New Roman" w:hAnsi="Times New Roman" w:cs="Times New Roman"/>
            <w:color w:val="0000FF"/>
            <w:kern w:val="0"/>
            <w:u w:val="single"/>
            <w14:ligatures w14:val="none"/>
          </w:rPr>
          <w:t>Google Books</w:t>
        </w:r>
      </w:hyperlink>
      <w:r w:rsidRPr="0084579E">
        <w:rPr>
          <w:rFonts w:ascii="Times New Roman" w:hAnsi="Times New Roman" w:cs="Times New Roman"/>
          <w:kern w:val="0"/>
          <w14:ligatures w14:val="none"/>
        </w:rPr>
        <w:t>⁠)</w:t>
      </w:r>
    </w:p>
    <w:p w14:paraId="54688AFC" w14:textId="027F94A9"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Freeman, R.E. (1984) </w:t>
      </w:r>
      <w:r w:rsidRPr="0084579E">
        <w:rPr>
          <w:rFonts w:ascii="Times New Roman" w:hAnsi="Times New Roman" w:cs="Times New Roman"/>
          <w:i/>
          <w:iCs/>
          <w:kern w:val="0"/>
          <w14:ligatures w14:val="none"/>
        </w:rPr>
        <w:t>Strategic Management: A Stakeholder Approach</w:t>
      </w:r>
      <w:r w:rsidRPr="0084579E">
        <w:rPr>
          <w:rFonts w:ascii="Times New Roman" w:hAnsi="Times New Roman" w:cs="Times New Roman"/>
          <w:kern w:val="0"/>
          <w14:ligatures w14:val="none"/>
        </w:rPr>
        <w:t>. Boston: Pitman. (</w:t>
      </w:r>
      <w:hyperlink r:id="rId33" w:history="1">
        <w:r w:rsidRPr="0084579E">
          <w:rPr>
            <w:rFonts w:ascii="Times New Roman" w:hAnsi="Times New Roman" w:cs="Times New Roman"/>
            <w:color w:val="0000FF"/>
            <w:kern w:val="0"/>
            <w:u w:val="single"/>
            <w14:ligatures w14:val="none"/>
          </w:rPr>
          <w:t>Google Books</w:t>
        </w:r>
      </w:hyperlink>
      <w:r w:rsidRPr="0084579E">
        <w:rPr>
          <w:rFonts w:ascii="Times New Roman" w:hAnsi="Times New Roman" w:cs="Times New Roman"/>
          <w:kern w:val="0"/>
          <w14:ligatures w14:val="none"/>
        </w:rPr>
        <w:t>⁠)</w:t>
      </w:r>
    </w:p>
    <w:p w14:paraId="49A8DA82" w14:textId="77777777"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Ghassim, B. and Bogers, M. (2019) ‘Linking stakeholder engagement to profitability through sustainability-oriented innovation: A quantitative study of the minerals industry’, </w:t>
      </w:r>
      <w:r w:rsidRPr="0084579E">
        <w:rPr>
          <w:rFonts w:ascii="Times New Roman" w:hAnsi="Times New Roman" w:cs="Times New Roman"/>
          <w:i/>
          <w:iCs/>
          <w:kern w:val="0"/>
          <w14:ligatures w14:val="none"/>
        </w:rPr>
        <w:t>Journal of Cleaner Production</w:t>
      </w:r>
      <w:r w:rsidRPr="0084579E">
        <w:rPr>
          <w:rFonts w:ascii="Times New Roman" w:hAnsi="Times New Roman" w:cs="Times New Roman"/>
          <w:kern w:val="0"/>
          <w14:ligatures w14:val="none"/>
        </w:rPr>
        <w:t>, 224, pp. 905–919. doi:10.1016/j.jclepro.2019.03.226. (</w:t>
      </w:r>
      <w:hyperlink r:id="rId34" w:history="1">
        <w:r w:rsidRPr="0084579E">
          <w:rPr>
            <w:rFonts w:ascii="Times New Roman" w:hAnsi="Times New Roman" w:cs="Times New Roman"/>
            <w:color w:val="0000FF"/>
            <w:kern w:val="0"/>
            <w:u w:val="single"/>
            <w14:ligatures w14:val="none"/>
          </w:rPr>
          <w:t>ScienceDirect</w:t>
        </w:r>
      </w:hyperlink>
      <w:r w:rsidRPr="0084579E">
        <w:rPr>
          <w:rFonts w:ascii="Times New Roman" w:hAnsi="Times New Roman" w:cs="Times New Roman"/>
          <w:kern w:val="0"/>
          <w14:ligatures w14:val="none"/>
        </w:rPr>
        <w:t>⁠</w:t>
      </w:r>
      <w:r w:rsidRPr="0084579E">
        <w:rPr>
          <w:rFonts w:ascii="Times New Roman" w:hAnsi="Times New Roman" w:cs="Times New Roman"/>
          <w:noProof/>
          <w:kern w:val="0"/>
          <w14:ligatures w14:val="none"/>
        </w:rPr>
        <mc:AlternateContent>
          <mc:Choice Requires="wps">
            <w:drawing>
              <wp:inline distT="0" distB="0" distL="0" distR="0" wp14:anchorId="732A893D" wp14:editId="41DFDCA0">
                <wp:extent cx="306705" cy="306705"/>
                <wp:effectExtent l="0" t="0" r="0" b="0"/>
                <wp:docPr id="1046094673"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A5825D" id="Rectangle 11"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84579E">
        <w:rPr>
          <w:rFonts w:ascii="Times New Roman" w:hAnsi="Times New Roman" w:cs="Times New Roman"/>
          <w:kern w:val="0"/>
          <w14:ligatures w14:val="none"/>
        </w:rPr>
        <w:t>)</w:t>
      </w:r>
    </w:p>
    <w:p w14:paraId="6DD39BD1" w14:textId="77777777"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ICO (2026a) </w:t>
      </w:r>
      <w:r w:rsidRPr="0084579E">
        <w:rPr>
          <w:rFonts w:ascii="Times New Roman" w:hAnsi="Times New Roman" w:cs="Times New Roman"/>
          <w:i/>
          <w:iCs/>
          <w:kern w:val="0"/>
          <w14:ligatures w14:val="none"/>
        </w:rPr>
        <w:t>Rights related to automated decision making including profiling</w:t>
      </w:r>
      <w:r w:rsidRPr="0084579E">
        <w:rPr>
          <w:rFonts w:ascii="Times New Roman" w:hAnsi="Times New Roman" w:cs="Times New Roman"/>
          <w:kern w:val="0"/>
          <w14:ligatures w14:val="none"/>
        </w:rPr>
        <w:t xml:space="preserve">. Information Commissioner’s Office. </w:t>
      </w:r>
      <w:hyperlink r:id="rId35" w:history="1">
        <w:r w:rsidRPr="0084579E">
          <w:rPr>
            <w:rFonts w:ascii="Times New Roman" w:hAnsi="Times New Roman" w:cs="Times New Roman"/>
            <w:color w:val="0000FF"/>
            <w:kern w:val="0"/>
            <w:u w:val="single"/>
            <w14:ligatures w14:val="none"/>
          </w:rPr>
          <w:t>ICO guidance on profiling and automated decision-making</w:t>
        </w:r>
      </w:hyperlink>
      <w:r w:rsidRPr="0084579E">
        <w:rPr>
          <w:rFonts w:ascii="Times New Roman" w:hAnsi="Times New Roman" w:cs="Times New Roman"/>
          <w:kern w:val="0"/>
          <w14:ligatures w14:val="none"/>
        </w:rPr>
        <w:t>⁠</w:t>
      </w:r>
      <w:r w:rsidRPr="0084579E">
        <w:rPr>
          <w:rFonts w:ascii="Times New Roman" w:hAnsi="Times New Roman" w:cs="Times New Roman"/>
          <w:noProof/>
          <w:kern w:val="0"/>
          <w14:ligatures w14:val="none"/>
        </w:rPr>
        <mc:AlternateContent>
          <mc:Choice Requires="wps">
            <w:drawing>
              <wp:inline distT="0" distB="0" distL="0" distR="0" wp14:anchorId="441FBC84" wp14:editId="108FFE5B">
                <wp:extent cx="306705" cy="306705"/>
                <wp:effectExtent l="0" t="0" r="0" b="0"/>
                <wp:docPr id="1224349601"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85EE73" id="Rectangle 10"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p>
    <w:p w14:paraId="6A0DA506" w14:textId="77777777"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ICO (2026b) </w:t>
      </w:r>
      <w:r w:rsidRPr="0084579E">
        <w:rPr>
          <w:rFonts w:ascii="Times New Roman" w:hAnsi="Times New Roman" w:cs="Times New Roman"/>
          <w:i/>
          <w:iCs/>
          <w:kern w:val="0"/>
          <w14:ligatures w14:val="none"/>
        </w:rPr>
        <w:t>Collect information and generate leads: Profiling for direct marketing</w:t>
      </w:r>
      <w:r w:rsidRPr="0084579E">
        <w:rPr>
          <w:rFonts w:ascii="Times New Roman" w:hAnsi="Times New Roman" w:cs="Times New Roman"/>
          <w:kern w:val="0"/>
          <w14:ligatures w14:val="none"/>
        </w:rPr>
        <w:t xml:space="preserve">. Information Commissioner’s Office. </w:t>
      </w:r>
      <w:hyperlink r:id="rId36" w:history="1">
        <w:r w:rsidRPr="0084579E">
          <w:rPr>
            <w:rFonts w:ascii="Times New Roman" w:hAnsi="Times New Roman" w:cs="Times New Roman"/>
            <w:color w:val="0000FF"/>
            <w:kern w:val="0"/>
            <w:u w:val="single"/>
            <w14:ligatures w14:val="none"/>
          </w:rPr>
          <w:t>ICO direct marketing guidance</w:t>
        </w:r>
      </w:hyperlink>
      <w:r w:rsidRPr="0084579E">
        <w:rPr>
          <w:rFonts w:ascii="Times New Roman" w:hAnsi="Times New Roman" w:cs="Times New Roman"/>
          <w:kern w:val="0"/>
          <w14:ligatures w14:val="none"/>
        </w:rPr>
        <w:t>⁠</w:t>
      </w:r>
      <w:r w:rsidRPr="0084579E">
        <w:rPr>
          <w:rFonts w:ascii="Times New Roman" w:hAnsi="Times New Roman" w:cs="Times New Roman"/>
          <w:noProof/>
          <w:kern w:val="0"/>
          <w14:ligatures w14:val="none"/>
        </w:rPr>
        <mc:AlternateContent>
          <mc:Choice Requires="wps">
            <w:drawing>
              <wp:inline distT="0" distB="0" distL="0" distR="0" wp14:anchorId="7F1D99D5" wp14:editId="2DA38A19">
                <wp:extent cx="306705" cy="306705"/>
                <wp:effectExtent l="0" t="0" r="0" b="0"/>
                <wp:docPr id="693747216"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0D3BFB" id="Rectangle 9"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p>
    <w:p w14:paraId="2880BA03" w14:textId="77777777"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Manning, B., Braam, G. and Reimsbach, D. (2019) ‘Corporate governance and sustainable business conduct—Effects of board monitoring effectiveness and stakeholder engagement on corporate sustainability performance and disclosure choices’, </w:t>
      </w:r>
      <w:r w:rsidRPr="0084579E">
        <w:rPr>
          <w:rFonts w:ascii="Times New Roman" w:hAnsi="Times New Roman" w:cs="Times New Roman"/>
          <w:i/>
          <w:iCs/>
          <w:kern w:val="0"/>
          <w14:ligatures w14:val="none"/>
        </w:rPr>
        <w:t>Corporate Social Responsibility and Environmental Management</w:t>
      </w:r>
      <w:r w:rsidRPr="0084579E">
        <w:rPr>
          <w:rFonts w:ascii="Times New Roman" w:hAnsi="Times New Roman" w:cs="Times New Roman"/>
          <w:kern w:val="0"/>
          <w14:ligatures w14:val="none"/>
        </w:rPr>
        <w:t>, 26, pp. 351–366. doi:10.1002/csr.1687. (</w:t>
      </w:r>
      <w:hyperlink r:id="rId37" w:history="1">
        <w:r w:rsidRPr="0084579E">
          <w:rPr>
            <w:rFonts w:ascii="Times New Roman" w:hAnsi="Times New Roman" w:cs="Times New Roman"/>
            <w:color w:val="0000FF"/>
            <w:kern w:val="0"/>
            <w:u w:val="single"/>
            <w14:ligatures w14:val="none"/>
          </w:rPr>
          <w:t>Wiley Online Library</w:t>
        </w:r>
      </w:hyperlink>
      <w:r w:rsidRPr="0084579E">
        <w:rPr>
          <w:rFonts w:ascii="Times New Roman" w:hAnsi="Times New Roman" w:cs="Times New Roman"/>
          <w:kern w:val="0"/>
          <w14:ligatures w14:val="none"/>
        </w:rPr>
        <w:t>⁠</w:t>
      </w:r>
      <w:r w:rsidRPr="0084579E">
        <w:rPr>
          <w:rFonts w:ascii="Times New Roman" w:hAnsi="Times New Roman" w:cs="Times New Roman"/>
          <w:noProof/>
          <w:kern w:val="0"/>
          <w14:ligatures w14:val="none"/>
        </w:rPr>
        <mc:AlternateContent>
          <mc:Choice Requires="wps">
            <w:drawing>
              <wp:inline distT="0" distB="0" distL="0" distR="0" wp14:anchorId="75F5B560" wp14:editId="6E3C0AF9">
                <wp:extent cx="306705" cy="306705"/>
                <wp:effectExtent l="0" t="0" r="0" b="0"/>
                <wp:docPr id="2077128622"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204422" id="Rectangle 8"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84579E">
        <w:rPr>
          <w:rFonts w:ascii="Times New Roman" w:hAnsi="Times New Roman" w:cs="Times New Roman"/>
          <w:kern w:val="0"/>
          <w14:ligatures w14:val="none"/>
        </w:rPr>
        <w:t>)</w:t>
      </w:r>
    </w:p>
    <w:p w14:paraId="6D6CCEF7" w14:textId="77777777"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McKinsey &amp; Company (2021) ‘The value of getting personalization right—or wrong—is multiplying’. </w:t>
      </w:r>
      <w:hyperlink r:id="rId38" w:history="1">
        <w:r w:rsidRPr="0084579E">
          <w:rPr>
            <w:rFonts w:ascii="Times New Roman" w:hAnsi="Times New Roman" w:cs="Times New Roman"/>
            <w:color w:val="0000FF"/>
            <w:kern w:val="0"/>
            <w:u w:val="single"/>
            <w14:ligatures w14:val="none"/>
          </w:rPr>
          <w:t>McKinsey personalization research</w:t>
        </w:r>
      </w:hyperlink>
      <w:r w:rsidRPr="0084579E">
        <w:rPr>
          <w:rFonts w:ascii="Times New Roman" w:hAnsi="Times New Roman" w:cs="Times New Roman"/>
          <w:kern w:val="0"/>
          <w14:ligatures w14:val="none"/>
        </w:rPr>
        <w:t>⁠</w:t>
      </w:r>
      <w:r w:rsidRPr="0084579E">
        <w:rPr>
          <w:rFonts w:ascii="Times New Roman" w:hAnsi="Times New Roman" w:cs="Times New Roman"/>
          <w:noProof/>
          <w:kern w:val="0"/>
          <w14:ligatures w14:val="none"/>
        </w:rPr>
        <mc:AlternateContent>
          <mc:Choice Requires="wps">
            <w:drawing>
              <wp:inline distT="0" distB="0" distL="0" distR="0" wp14:anchorId="107DF044" wp14:editId="4A771348">
                <wp:extent cx="306705" cy="306705"/>
                <wp:effectExtent l="0" t="0" r="0" b="0"/>
                <wp:docPr id="115538478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8A0F8F" id="Rectangle 7"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p>
    <w:p w14:paraId="024CDDAF" w14:textId="0A588F56"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Mitchell, R.K., Agle, B.R. and Wood, D.J. (1997) ‘Toward a theory of stakeholder identification and salience: Defining the principle of who and what really counts’, </w:t>
      </w:r>
      <w:r w:rsidRPr="0084579E">
        <w:rPr>
          <w:rFonts w:ascii="Times New Roman" w:hAnsi="Times New Roman" w:cs="Times New Roman"/>
          <w:i/>
          <w:iCs/>
          <w:kern w:val="0"/>
          <w14:ligatures w14:val="none"/>
        </w:rPr>
        <w:t>Academy of Management Review</w:t>
      </w:r>
      <w:r w:rsidRPr="0084579E">
        <w:rPr>
          <w:rFonts w:ascii="Times New Roman" w:hAnsi="Times New Roman" w:cs="Times New Roman"/>
          <w:kern w:val="0"/>
          <w14:ligatures w14:val="none"/>
        </w:rPr>
        <w:t>, 22(4), pp. 853–886. doi:10.5465/amr.1997.9711022105. (</w:t>
      </w:r>
      <w:hyperlink r:id="rId39" w:history="1">
        <w:r w:rsidRPr="0084579E">
          <w:rPr>
            <w:rFonts w:ascii="Times New Roman" w:hAnsi="Times New Roman" w:cs="Times New Roman"/>
            <w:color w:val="0000FF"/>
            <w:kern w:val="0"/>
            <w:u w:val="single"/>
            <w14:ligatures w14:val="none"/>
          </w:rPr>
          <w:t>Academy of Management Journals</w:t>
        </w:r>
      </w:hyperlink>
      <w:r w:rsidRPr="0084579E">
        <w:rPr>
          <w:rFonts w:ascii="Times New Roman" w:hAnsi="Times New Roman" w:cs="Times New Roman"/>
          <w:kern w:val="0"/>
          <w14:ligatures w14:val="none"/>
        </w:rPr>
        <w:t>⁠)</w:t>
      </w:r>
    </w:p>
    <w:p w14:paraId="59E1311A" w14:textId="77777777"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Nursida, N., Oktaviani, R.N. and Hudayati, A. (2025) ‘The nexus of stakeholder engagement and sustainability performance: A systematic literature review and research agenda’, </w:t>
      </w:r>
      <w:r w:rsidRPr="0084579E">
        <w:rPr>
          <w:rFonts w:ascii="Times New Roman" w:hAnsi="Times New Roman" w:cs="Times New Roman"/>
          <w:i/>
          <w:iCs/>
          <w:kern w:val="0"/>
          <w14:ligatures w14:val="none"/>
        </w:rPr>
        <w:t>Jurnal Akuntansi dan Auditing Indonesia</w:t>
      </w:r>
      <w:r w:rsidRPr="0084579E">
        <w:rPr>
          <w:rFonts w:ascii="Times New Roman" w:hAnsi="Times New Roman" w:cs="Times New Roman"/>
          <w:kern w:val="0"/>
          <w14:ligatures w14:val="none"/>
        </w:rPr>
        <w:t>, 29(2). doi:10.20885/jaai.vol29.iss2.art5. (</w:t>
      </w:r>
      <w:hyperlink r:id="rId40" w:history="1">
        <w:r w:rsidRPr="0084579E">
          <w:rPr>
            <w:rFonts w:ascii="Times New Roman" w:hAnsi="Times New Roman" w:cs="Times New Roman"/>
            <w:color w:val="0000FF"/>
            <w:kern w:val="0"/>
            <w:u w:val="single"/>
            <w14:ligatures w14:val="none"/>
          </w:rPr>
          <w:t>Journal UII</w:t>
        </w:r>
      </w:hyperlink>
      <w:r w:rsidRPr="0084579E">
        <w:rPr>
          <w:rFonts w:ascii="Times New Roman" w:hAnsi="Times New Roman" w:cs="Times New Roman"/>
          <w:kern w:val="0"/>
          <w14:ligatures w14:val="none"/>
        </w:rPr>
        <w:t>⁠</w:t>
      </w:r>
      <w:r w:rsidRPr="0084579E">
        <w:rPr>
          <w:rFonts w:ascii="Times New Roman" w:hAnsi="Times New Roman" w:cs="Times New Roman"/>
          <w:noProof/>
          <w:kern w:val="0"/>
          <w14:ligatures w14:val="none"/>
        </w:rPr>
        <mc:AlternateContent>
          <mc:Choice Requires="wps">
            <w:drawing>
              <wp:inline distT="0" distB="0" distL="0" distR="0" wp14:anchorId="749ACE10" wp14:editId="71E031D3">
                <wp:extent cx="306705" cy="306705"/>
                <wp:effectExtent l="0" t="0" r="0" b="0"/>
                <wp:docPr id="1676901159"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95B573" id="Rectangle 5"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84579E">
        <w:rPr>
          <w:rFonts w:ascii="Times New Roman" w:hAnsi="Times New Roman" w:cs="Times New Roman"/>
          <w:kern w:val="0"/>
          <w14:ligatures w14:val="none"/>
        </w:rPr>
        <w:t>)</w:t>
      </w:r>
    </w:p>
    <w:p w14:paraId="2F25AAEF" w14:textId="43A775A2"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Payne, A., Ballantyne, D. and Christopher, M. (2005) ‘A stakeholder approach to relationship marketing strategy: The development and use of the six markets model’, </w:t>
      </w:r>
      <w:r w:rsidRPr="0084579E">
        <w:rPr>
          <w:rFonts w:ascii="Times New Roman" w:hAnsi="Times New Roman" w:cs="Times New Roman"/>
          <w:i/>
          <w:iCs/>
          <w:kern w:val="0"/>
          <w14:ligatures w14:val="none"/>
        </w:rPr>
        <w:t>European Journal of Marketing</w:t>
      </w:r>
      <w:r w:rsidRPr="0084579E">
        <w:rPr>
          <w:rFonts w:ascii="Times New Roman" w:hAnsi="Times New Roman" w:cs="Times New Roman"/>
          <w:kern w:val="0"/>
          <w14:ligatures w14:val="none"/>
        </w:rPr>
        <w:t>, 39(7/8), pp. 855–871. doi:10.1108/03090560510601806. (</w:t>
      </w:r>
      <w:hyperlink r:id="rId41" w:history="1">
        <w:r w:rsidRPr="0084579E">
          <w:rPr>
            <w:rFonts w:ascii="Times New Roman" w:hAnsi="Times New Roman" w:cs="Times New Roman"/>
            <w:color w:val="0000FF"/>
            <w:kern w:val="0"/>
            <w:u w:val="single"/>
            <w14:ligatures w14:val="none"/>
          </w:rPr>
          <w:t>ResearchGate</w:t>
        </w:r>
      </w:hyperlink>
      <w:r w:rsidRPr="0084579E">
        <w:rPr>
          <w:rFonts w:ascii="Times New Roman" w:hAnsi="Times New Roman" w:cs="Times New Roman"/>
          <w:kern w:val="0"/>
          <w14:ligatures w14:val="none"/>
        </w:rPr>
        <w:t>⁠)</w:t>
      </w:r>
    </w:p>
    <w:p w14:paraId="531B604D" w14:textId="77777777"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lastRenderedPageBreak/>
        <w:t xml:space="preserve">Tesco PLC (2025a) </w:t>
      </w:r>
      <w:r w:rsidRPr="0084579E">
        <w:rPr>
          <w:rFonts w:ascii="Times New Roman" w:hAnsi="Times New Roman" w:cs="Times New Roman"/>
          <w:i/>
          <w:iCs/>
          <w:kern w:val="0"/>
          <w14:ligatures w14:val="none"/>
        </w:rPr>
        <w:t>Annual Report and Financial Statements 2025</w:t>
      </w:r>
      <w:r w:rsidRPr="0084579E">
        <w:rPr>
          <w:rFonts w:ascii="Times New Roman" w:hAnsi="Times New Roman" w:cs="Times New Roman"/>
          <w:kern w:val="0"/>
          <w14:ligatures w14:val="none"/>
        </w:rPr>
        <w:t xml:space="preserve">. </w:t>
      </w:r>
      <w:hyperlink r:id="rId42" w:history="1">
        <w:r w:rsidRPr="0084579E">
          <w:rPr>
            <w:rFonts w:ascii="Times New Roman" w:hAnsi="Times New Roman" w:cs="Times New Roman"/>
            <w:color w:val="0000FF"/>
            <w:kern w:val="0"/>
            <w:u w:val="single"/>
            <w14:ligatures w14:val="none"/>
          </w:rPr>
          <w:t>Tesco Annual Report 2025</w:t>
        </w:r>
      </w:hyperlink>
      <w:r w:rsidRPr="0084579E">
        <w:rPr>
          <w:rFonts w:ascii="Times New Roman" w:hAnsi="Times New Roman" w:cs="Times New Roman"/>
          <w:kern w:val="0"/>
          <w14:ligatures w14:val="none"/>
        </w:rPr>
        <w:t>⁠</w:t>
      </w:r>
      <w:r w:rsidRPr="0084579E">
        <w:rPr>
          <w:rFonts w:ascii="Times New Roman" w:hAnsi="Times New Roman" w:cs="Times New Roman"/>
          <w:noProof/>
          <w:kern w:val="0"/>
          <w14:ligatures w14:val="none"/>
        </w:rPr>
        <mc:AlternateContent>
          <mc:Choice Requires="wps">
            <w:drawing>
              <wp:inline distT="0" distB="0" distL="0" distR="0" wp14:anchorId="6BBECD16" wp14:editId="11CEC067">
                <wp:extent cx="306705" cy="306705"/>
                <wp:effectExtent l="0" t="0" r="0" b="0"/>
                <wp:docPr id="37619800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8981AE" id="Rectangle 3"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p>
    <w:p w14:paraId="5C4A3CC4" w14:textId="77777777"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Tesco PLC (2025b) ‘New nation’s favourite meal deal is revealed as Tesco announces the return of Clubcard Unpacked’. </w:t>
      </w:r>
      <w:hyperlink r:id="rId43" w:history="1">
        <w:r w:rsidRPr="0084579E">
          <w:rPr>
            <w:rFonts w:ascii="Times New Roman" w:hAnsi="Times New Roman" w:cs="Times New Roman"/>
            <w:color w:val="0000FF"/>
            <w:kern w:val="0"/>
            <w:u w:val="single"/>
            <w14:ligatures w14:val="none"/>
          </w:rPr>
          <w:t>Tesco Clubcard Unpacked announcement</w:t>
        </w:r>
      </w:hyperlink>
      <w:r w:rsidRPr="0084579E">
        <w:rPr>
          <w:rFonts w:ascii="Times New Roman" w:hAnsi="Times New Roman" w:cs="Times New Roman"/>
          <w:kern w:val="0"/>
          <w14:ligatures w14:val="none"/>
        </w:rPr>
        <w:t>⁠</w:t>
      </w:r>
      <w:r w:rsidRPr="0084579E">
        <w:rPr>
          <w:rFonts w:ascii="Times New Roman" w:hAnsi="Times New Roman" w:cs="Times New Roman"/>
          <w:noProof/>
          <w:kern w:val="0"/>
          <w14:ligatures w14:val="none"/>
        </w:rPr>
        <mc:AlternateContent>
          <mc:Choice Requires="wps">
            <w:drawing>
              <wp:inline distT="0" distB="0" distL="0" distR="0" wp14:anchorId="43B7E930" wp14:editId="0179B201">
                <wp:extent cx="306705" cy="306705"/>
                <wp:effectExtent l="0" t="0" r="0" b="0"/>
                <wp:docPr id="74450239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88F4CF" id="Rectangle 2"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p>
    <w:p w14:paraId="270A2065" w14:textId="64985951" w:rsidR="0084579E" w:rsidRPr="0084579E" w:rsidRDefault="0084579E" w:rsidP="0084579E">
      <w:pPr>
        <w:spacing w:before="100" w:beforeAutospacing="1" w:after="100" w:afterAutospacing="1" w:line="240" w:lineRule="auto"/>
        <w:rPr>
          <w:rFonts w:ascii="Times New Roman" w:hAnsi="Times New Roman" w:cs="Times New Roman"/>
          <w:kern w:val="0"/>
          <w14:ligatures w14:val="none"/>
        </w:rPr>
      </w:pPr>
      <w:r w:rsidRPr="0084579E">
        <w:rPr>
          <w:rFonts w:ascii="Times New Roman" w:hAnsi="Times New Roman" w:cs="Times New Roman"/>
          <w:kern w:val="0"/>
          <w14:ligatures w14:val="none"/>
        </w:rPr>
        <w:t xml:space="preserve">European Commission (2026) </w:t>
      </w:r>
      <w:r w:rsidRPr="0084579E">
        <w:rPr>
          <w:rFonts w:ascii="Times New Roman" w:hAnsi="Times New Roman" w:cs="Times New Roman"/>
          <w:i/>
          <w:iCs/>
          <w:kern w:val="0"/>
          <w14:ligatures w14:val="none"/>
        </w:rPr>
        <w:t>Guidelines on transparency obligations for providers and deployers of AI systems</w:t>
      </w:r>
      <w:r w:rsidRPr="0084579E">
        <w:rPr>
          <w:rFonts w:ascii="Times New Roman" w:hAnsi="Times New Roman" w:cs="Times New Roman"/>
          <w:kern w:val="0"/>
          <w14:ligatures w14:val="none"/>
        </w:rPr>
        <w:t>. European Commission, 20 July. (</w:t>
      </w:r>
      <w:hyperlink r:id="rId44" w:history="1">
        <w:r w:rsidRPr="0084579E">
          <w:rPr>
            <w:rFonts w:ascii="Times New Roman" w:hAnsi="Times New Roman" w:cs="Times New Roman"/>
            <w:color w:val="0000FF"/>
            <w:kern w:val="0"/>
            <w:u w:val="single"/>
            <w14:ligatures w14:val="none"/>
          </w:rPr>
          <w:t>Digital Strategy</w:t>
        </w:r>
      </w:hyperlink>
      <w:r w:rsidRPr="0084579E">
        <w:rPr>
          <w:rFonts w:ascii="Times New Roman" w:hAnsi="Times New Roman" w:cs="Times New Roman"/>
          <w:kern w:val="0"/>
          <w14:ligatures w14:val="none"/>
        </w:rPr>
        <w:t>⁠)</w:t>
      </w:r>
    </w:p>
    <w:p w14:paraId="535D92C5" w14:textId="77777777" w:rsidR="0084579E" w:rsidRDefault="0084579E" w:rsidP="00DF2ED7">
      <w:pPr>
        <w:spacing w:before="100" w:beforeAutospacing="1" w:after="100" w:afterAutospacing="1" w:line="240" w:lineRule="auto"/>
        <w:rPr>
          <w:rFonts w:ascii="Times New Roman" w:hAnsi="Times New Roman" w:cs="Times New Roman"/>
          <w:kern w:val="0"/>
          <w14:ligatures w14:val="none"/>
        </w:rPr>
      </w:pPr>
    </w:p>
    <w:p w14:paraId="1F11913C" w14:textId="77777777" w:rsidR="009C15FA" w:rsidRPr="00DF2ED7" w:rsidRDefault="009C15FA" w:rsidP="00DF2ED7">
      <w:pPr>
        <w:spacing w:before="100" w:beforeAutospacing="1" w:after="100" w:afterAutospacing="1" w:line="240" w:lineRule="auto"/>
        <w:rPr>
          <w:rFonts w:ascii="Times New Roman" w:hAnsi="Times New Roman" w:cs="Times New Roman"/>
          <w:kern w:val="0"/>
          <w14:ligatures w14:val="none"/>
        </w:rPr>
      </w:pPr>
    </w:p>
    <w:p w14:paraId="64226438" w14:textId="77777777" w:rsidR="00152C93" w:rsidRPr="009722C8" w:rsidRDefault="00152C93" w:rsidP="009722C8">
      <w:pPr>
        <w:spacing w:before="100" w:beforeAutospacing="1" w:after="100" w:afterAutospacing="1" w:line="240" w:lineRule="auto"/>
        <w:rPr>
          <w:rFonts w:ascii="Times New Roman" w:hAnsi="Times New Roman" w:cs="Times New Roman"/>
          <w:kern w:val="0"/>
          <w14:ligatures w14:val="none"/>
        </w:rPr>
      </w:pPr>
    </w:p>
    <w:p w14:paraId="06A26D16" w14:textId="77777777" w:rsidR="00853919" w:rsidRPr="003A24D9" w:rsidRDefault="00853919" w:rsidP="003A24D9">
      <w:pPr>
        <w:spacing w:before="100" w:beforeAutospacing="1" w:after="100" w:afterAutospacing="1" w:line="240" w:lineRule="auto"/>
        <w:rPr>
          <w:rFonts w:ascii="Times New Roman" w:hAnsi="Times New Roman" w:cs="Times New Roman"/>
          <w:kern w:val="0"/>
          <w14:ligatures w14:val="none"/>
        </w:rPr>
      </w:pPr>
    </w:p>
    <w:p w14:paraId="49A7FACD" w14:textId="77777777" w:rsidR="00D12F47" w:rsidRPr="0046535C" w:rsidRDefault="00D12F47" w:rsidP="0046535C">
      <w:pPr>
        <w:spacing w:before="100" w:beforeAutospacing="1" w:after="100" w:afterAutospacing="1" w:line="240" w:lineRule="auto"/>
        <w:rPr>
          <w:rFonts w:ascii="Times New Roman" w:hAnsi="Times New Roman" w:cs="Times New Roman"/>
          <w:kern w:val="0"/>
          <w14:ligatures w14:val="none"/>
        </w:rPr>
      </w:pPr>
    </w:p>
    <w:p w14:paraId="5407E8CD" w14:textId="77777777" w:rsidR="002D6DEB" w:rsidRPr="006B396A" w:rsidRDefault="002D6DEB" w:rsidP="006B396A">
      <w:pPr>
        <w:spacing w:before="100" w:beforeAutospacing="1" w:after="100" w:afterAutospacing="1" w:line="240" w:lineRule="auto"/>
        <w:rPr>
          <w:rFonts w:ascii="Times New Roman" w:hAnsi="Times New Roman" w:cs="Times New Roman"/>
          <w:kern w:val="0"/>
          <w14:ligatures w14:val="none"/>
        </w:rPr>
      </w:pPr>
    </w:p>
    <w:p w14:paraId="7DEADDE7" w14:textId="77777777" w:rsidR="0039471D" w:rsidRPr="00F5235C" w:rsidRDefault="0039471D" w:rsidP="00F5235C">
      <w:pPr>
        <w:spacing w:before="100" w:beforeAutospacing="1" w:after="100" w:afterAutospacing="1" w:line="240" w:lineRule="auto"/>
        <w:rPr>
          <w:rFonts w:ascii="Times New Roman" w:hAnsi="Times New Roman" w:cs="Times New Roman"/>
          <w:kern w:val="0"/>
          <w14:ligatures w14:val="none"/>
        </w:rPr>
      </w:pPr>
    </w:p>
    <w:p w14:paraId="10372694" w14:textId="77777777" w:rsidR="00F5235C" w:rsidRPr="0060760F" w:rsidRDefault="00F5235C" w:rsidP="00F5235C">
      <w:pPr>
        <w:spacing w:before="100" w:beforeAutospacing="1" w:after="100" w:afterAutospacing="1" w:line="240" w:lineRule="auto"/>
        <w:ind w:left="720"/>
        <w:rPr>
          <w:rFonts w:ascii="Times New Roman" w:eastAsia="Times New Roman" w:hAnsi="Times New Roman" w:cs="Times New Roman"/>
          <w:kern w:val="0"/>
          <w14:ligatures w14:val="none"/>
        </w:rPr>
      </w:pPr>
    </w:p>
    <w:p w14:paraId="78DBB6CF" w14:textId="77777777" w:rsidR="00832AB3" w:rsidRPr="00EA7887" w:rsidRDefault="00832AB3" w:rsidP="00EA7887">
      <w:pPr>
        <w:spacing w:before="100" w:beforeAutospacing="1" w:after="100" w:afterAutospacing="1" w:line="240" w:lineRule="auto"/>
        <w:rPr>
          <w:rFonts w:ascii="Times New Roman" w:hAnsi="Times New Roman" w:cs="Times New Roman"/>
          <w:kern w:val="0"/>
          <w14:ligatures w14:val="none"/>
        </w:rPr>
      </w:pPr>
    </w:p>
    <w:p w14:paraId="181E21DC" w14:textId="77777777" w:rsidR="00B54646" w:rsidRDefault="00B54646">
      <w:pPr>
        <w:pStyle w:val="p1"/>
        <w:rPr>
          <w:rStyle w:val="s1"/>
        </w:rPr>
      </w:pPr>
    </w:p>
    <w:p w14:paraId="6A49BC2F" w14:textId="1DA6771D" w:rsidR="00881EBC" w:rsidRDefault="00881EBC"/>
    <w:sectPr w:rsidR="00881EBC">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B76746A" w14:textId="77777777" w:rsidR="00F77188" w:rsidRDefault="00F77188" w:rsidP="00F77188">
      <w:pPr>
        <w:spacing w:after="0" w:line="240" w:lineRule="auto"/>
      </w:pPr>
      <w:r>
        <w:separator/>
      </w:r>
    </w:p>
  </w:endnote>
  <w:endnote w:type="continuationSeparator" w:id="0">
    <w:p w14:paraId="5A19F716" w14:textId="77777777" w:rsidR="00F77188" w:rsidRDefault="00F77188" w:rsidP="00F77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6C216B" w14:textId="77777777" w:rsidR="00F77188" w:rsidRDefault="00F77188" w:rsidP="00F77188">
      <w:pPr>
        <w:spacing w:after="0" w:line="240" w:lineRule="auto"/>
      </w:pPr>
      <w:r>
        <w:separator/>
      </w:r>
    </w:p>
  </w:footnote>
  <w:footnote w:type="continuationSeparator" w:id="0">
    <w:p w14:paraId="525F54AE" w14:textId="77777777" w:rsidR="00F77188" w:rsidRDefault="00F77188" w:rsidP="00F771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7DAC50" w14:textId="571E0C6B" w:rsidR="00F77188" w:rsidRDefault="002F2981">
    <w:pPr>
      <w:pStyle w:val="Header"/>
    </w:pPr>
    <w:r>
      <w:t xml:space="preserve">                                                 Student name: Anderson Cruz </w:t>
    </w:r>
  </w:p>
  <w:p w14:paraId="3B94D342" w14:textId="1B90B8D7" w:rsidR="002F2981" w:rsidRDefault="002F2981">
    <w:pPr>
      <w:pStyle w:val="Header"/>
    </w:pPr>
    <w:r>
      <w:t xml:space="preserve">                                                  Student number: 2438462</w:t>
    </w:r>
  </w:p>
  <w:p w14:paraId="49888810" w14:textId="54CBD780" w:rsidR="002F2981" w:rsidRDefault="002F2981">
    <w:pPr>
      <w:pStyle w:val="Header"/>
    </w:pPr>
    <w:r>
      <w:t xml:space="preserve">                                                   </w:t>
    </w:r>
    <w:r w:rsidR="00B07F6A">
      <w:t>Module</w:t>
    </w:r>
    <w:r w:rsidR="000C2C0B">
      <w:t xml:space="preserve">: understanding and engaging </w:t>
    </w:r>
    <w:r w:rsidR="00BD0773">
      <w:t xml:space="preserve">stakeholders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2853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C1BA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334B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413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756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CF72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E68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DA02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E453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F944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8038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6764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7206410">
    <w:abstractNumId w:val="4"/>
  </w:num>
  <w:num w:numId="2" w16cid:durableId="1755740104">
    <w:abstractNumId w:val="0"/>
  </w:num>
  <w:num w:numId="3" w16cid:durableId="2044473566">
    <w:abstractNumId w:val="5"/>
  </w:num>
  <w:num w:numId="4" w16cid:durableId="2131967402">
    <w:abstractNumId w:val="8"/>
  </w:num>
  <w:num w:numId="5" w16cid:durableId="1852144190">
    <w:abstractNumId w:val="11"/>
  </w:num>
  <w:num w:numId="6" w16cid:durableId="1277912455">
    <w:abstractNumId w:val="1"/>
  </w:num>
  <w:num w:numId="7" w16cid:durableId="869804860">
    <w:abstractNumId w:val="7"/>
  </w:num>
  <w:num w:numId="8" w16cid:durableId="2048525926">
    <w:abstractNumId w:val="9"/>
  </w:num>
  <w:num w:numId="9" w16cid:durableId="394595476">
    <w:abstractNumId w:val="3"/>
  </w:num>
  <w:num w:numId="10" w16cid:durableId="1963146687">
    <w:abstractNumId w:val="6"/>
  </w:num>
  <w:num w:numId="11" w16cid:durableId="1288468353">
    <w:abstractNumId w:val="2"/>
  </w:num>
  <w:num w:numId="12" w16cid:durableId="602033732">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EBC"/>
    <w:rsid w:val="000C2C0B"/>
    <w:rsid w:val="000D0A59"/>
    <w:rsid w:val="00152C93"/>
    <w:rsid w:val="00216BF8"/>
    <w:rsid w:val="002D6DEB"/>
    <w:rsid w:val="002F2981"/>
    <w:rsid w:val="00304921"/>
    <w:rsid w:val="0039471D"/>
    <w:rsid w:val="003A113A"/>
    <w:rsid w:val="003A24D9"/>
    <w:rsid w:val="0044232F"/>
    <w:rsid w:val="0046535C"/>
    <w:rsid w:val="005035F6"/>
    <w:rsid w:val="006047F1"/>
    <w:rsid w:val="0060760F"/>
    <w:rsid w:val="00693CB1"/>
    <w:rsid w:val="006B396A"/>
    <w:rsid w:val="007D6BC4"/>
    <w:rsid w:val="0080692A"/>
    <w:rsid w:val="00832AB3"/>
    <w:rsid w:val="0084579E"/>
    <w:rsid w:val="00853919"/>
    <w:rsid w:val="00881EBC"/>
    <w:rsid w:val="00887375"/>
    <w:rsid w:val="008B1D5E"/>
    <w:rsid w:val="008E2177"/>
    <w:rsid w:val="008E29F4"/>
    <w:rsid w:val="00901F74"/>
    <w:rsid w:val="00935BED"/>
    <w:rsid w:val="009722C8"/>
    <w:rsid w:val="009C15FA"/>
    <w:rsid w:val="00A31B49"/>
    <w:rsid w:val="00A62AEC"/>
    <w:rsid w:val="00AD6820"/>
    <w:rsid w:val="00AF2891"/>
    <w:rsid w:val="00B07F6A"/>
    <w:rsid w:val="00B4576A"/>
    <w:rsid w:val="00B54646"/>
    <w:rsid w:val="00B92B97"/>
    <w:rsid w:val="00BD0773"/>
    <w:rsid w:val="00C22D76"/>
    <w:rsid w:val="00C34050"/>
    <w:rsid w:val="00C47A9A"/>
    <w:rsid w:val="00D12F47"/>
    <w:rsid w:val="00DA6912"/>
    <w:rsid w:val="00DF2ED7"/>
    <w:rsid w:val="00E319BC"/>
    <w:rsid w:val="00E52CD8"/>
    <w:rsid w:val="00EA06B9"/>
    <w:rsid w:val="00EA09A2"/>
    <w:rsid w:val="00EA7887"/>
    <w:rsid w:val="00F5235C"/>
    <w:rsid w:val="00F77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45B463"/>
  <w15:chartTrackingRefBased/>
  <w15:docId w15:val="{A1B50B1B-E143-6C43-9199-E6ED2C72C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E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1E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1E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1E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1E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1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1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1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1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E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1E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1E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1E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1E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1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1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1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1EBC"/>
    <w:rPr>
      <w:rFonts w:eastAsiaTheme="majorEastAsia" w:cstheme="majorBidi"/>
      <w:color w:val="272727" w:themeColor="text1" w:themeTint="D8"/>
    </w:rPr>
  </w:style>
  <w:style w:type="paragraph" w:styleId="Title">
    <w:name w:val="Title"/>
    <w:basedOn w:val="Normal"/>
    <w:next w:val="Normal"/>
    <w:link w:val="TitleChar"/>
    <w:uiPriority w:val="10"/>
    <w:qFormat/>
    <w:rsid w:val="00881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1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1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1EBC"/>
    <w:pPr>
      <w:spacing w:before="160"/>
      <w:jc w:val="center"/>
    </w:pPr>
    <w:rPr>
      <w:i/>
      <w:iCs/>
      <w:color w:val="404040" w:themeColor="text1" w:themeTint="BF"/>
    </w:rPr>
  </w:style>
  <w:style w:type="character" w:customStyle="1" w:styleId="QuoteChar">
    <w:name w:val="Quote Char"/>
    <w:basedOn w:val="DefaultParagraphFont"/>
    <w:link w:val="Quote"/>
    <w:uiPriority w:val="29"/>
    <w:rsid w:val="00881EBC"/>
    <w:rPr>
      <w:i/>
      <w:iCs/>
      <w:color w:val="404040" w:themeColor="text1" w:themeTint="BF"/>
    </w:rPr>
  </w:style>
  <w:style w:type="paragraph" w:styleId="ListParagraph">
    <w:name w:val="List Paragraph"/>
    <w:basedOn w:val="Normal"/>
    <w:uiPriority w:val="34"/>
    <w:qFormat/>
    <w:rsid w:val="00881EBC"/>
    <w:pPr>
      <w:ind w:left="720"/>
      <w:contextualSpacing/>
    </w:pPr>
  </w:style>
  <w:style w:type="character" w:styleId="IntenseEmphasis">
    <w:name w:val="Intense Emphasis"/>
    <w:basedOn w:val="DefaultParagraphFont"/>
    <w:uiPriority w:val="21"/>
    <w:qFormat/>
    <w:rsid w:val="00881EBC"/>
    <w:rPr>
      <w:i/>
      <w:iCs/>
      <w:color w:val="0F4761" w:themeColor="accent1" w:themeShade="BF"/>
    </w:rPr>
  </w:style>
  <w:style w:type="paragraph" w:styleId="IntenseQuote">
    <w:name w:val="Intense Quote"/>
    <w:basedOn w:val="Normal"/>
    <w:next w:val="Normal"/>
    <w:link w:val="IntenseQuoteChar"/>
    <w:uiPriority w:val="30"/>
    <w:qFormat/>
    <w:rsid w:val="00881E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1EBC"/>
    <w:rPr>
      <w:i/>
      <w:iCs/>
      <w:color w:val="0F4761" w:themeColor="accent1" w:themeShade="BF"/>
    </w:rPr>
  </w:style>
  <w:style w:type="character" w:styleId="IntenseReference">
    <w:name w:val="Intense Reference"/>
    <w:basedOn w:val="DefaultParagraphFont"/>
    <w:uiPriority w:val="32"/>
    <w:qFormat/>
    <w:rsid w:val="00881EBC"/>
    <w:rPr>
      <w:b/>
      <w:bCs/>
      <w:smallCaps/>
      <w:color w:val="0F4761" w:themeColor="accent1" w:themeShade="BF"/>
      <w:spacing w:val="5"/>
    </w:rPr>
  </w:style>
  <w:style w:type="character" w:customStyle="1" w:styleId="s1">
    <w:name w:val="s1"/>
    <w:basedOn w:val="DefaultParagraphFont"/>
    <w:rsid w:val="003A113A"/>
  </w:style>
  <w:style w:type="paragraph" w:customStyle="1" w:styleId="p2">
    <w:name w:val="p2"/>
    <w:basedOn w:val="Normal"/>
    <w:rsid w:val="003A113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A113A"/>
  </w:style>
  <w:style w:type="paragraph" w:customStyle="1" w:styleId="p3">
    <w:name w:val="p3"/>
    <w:basedOn w:val="Normal"/>
    <w:rsid w:val="003A113A"/>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3A113A"/>
    <w:rPr>
      <w:color w:val="0000FF"/>
      <w:u w:val="single"/>
    </w:rPr>
  </w:style>
  <w:style w:type="paragraph" w:customStyle="1" w:styleId="p1">
    <w:name w:val="p1"/>
    <w:basedOn w:val="Normal"/>
    <w:rsid w:val="00E52CD8"/>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F5235C"/>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935BED"/>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F77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188"/>
  </w:style>
  <w:style w:type="paragraph" w:styleId="Footer">
    <w:name w:val="footer"/>
    <w:basedOn w:val="Normal"/>
    <w:link w:val="FooterChar"/>
    <w:uiPriority w:val="99"/>
    <w:unhideWhenUsed/>
    <w:rsid w:val="00F77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about/Strategic_Management.html?id=4PUJAQAAMAAJ&amp;utm_source=chatgpt.com" TargetMode="External"/><Relationship Id="rId18" Type="http://schemas.openxmlformats.org/officeDocument/2006/relationships/hyperlink" Target="https://www.researchgate.net/publication/239732023_A_stakeholder_approach_to_relationship_marketing_strategy_The_development_and_use_of_the_six_markets_model?utm_source=chatgpt.com" TargetMode="External"/><Relationship Id="rId26" Type="http://schemas.openxmlformats.org/officeDocument/2006/relationships/hyperlink" Target="https://journal.uii.ac.id/JAAI/article/view/39270?utm_source=chatgpt.com" TargetMode="External"/><Relationship Id="rId39" Type="http://schemas.openxmlformats.org/officeDocument/2006/relationships/hyperlink" Target="https://journals.aom.org/doi/abs/10.5465/amr.1997.9711022105?utm_source=chatgpt.com" TargetMode="External"/><Relationship Id="rId21" Type="http://schemas.openxmlformats.org/officeDocument/2006/relationships/hyperlink" Target="https://ico.org.uk/for-organisations/uk-gdpr-guidance-and-resources/childrens-information/childrens-code-guidance-and-resources/age-appropriate-design-a-code-of-practice-for-online-services/12-profiling/?q=neutral&amp;utm_source=chatgpt.com" TargetMode="External"/><Relationship Id="rId34" Type="http://schemas.openxmlformats.org/officeDocument/2006/relationships/hyperlink" Target="https://www.sciencedirect.com/science/article/pii/S0959652619309357?utm_source=chatgpt.com" TargetMode="External"/><Relationship Id="rId42" Type="http://schemas.openxmlformats.org/officeDocument/2006/relationships/hyperlink" Target="https://www.tescoplc.com/media/ky0bfwpo/tesco_ar25_interactive.pdf?utm_source=chatgpt.com" TargetMode="External"/><Relationship Id="rId47" Type="http://schemas.openxmlformats.org/officeDocument/2006/relationships/theme" Target="theme/theme1.xml"/><Relationship Id="rId7" Type="http://schemas.openxmlformats.org/officeDocument/2006/relationships/hyperlink" Target="https://bank.tescoplc.com/new-nation-s-favourite-meal-deal-is-revealed-as-tesco-announces-the-return-of-clubcard-unpacked/?utm_source=chatgpt.com" TargetMode="External"/><Relationship Id="rId2" Type="http://schemas.openxmlformats.org/officeDocument/2006/relationships/styles" Target="styles.xml"/><Relationship Id="rId16" Type="http://schemas.openxmlformats.org/officeDocument/2006/relationships/hyperlink" Target="https://journals.aom.org/doi/abs/10.5465/amr.1997.9711022105?utm_source=chatgpt.com" TargetMode="External"/><Relationship Id="rId29" Type="http://schemas.openxmlformats.org/officeDocument/2006/relationships/hyperlink" Target="https://www.reuters.com/business/media-telecom/tesco-partners-with-adobe-ramp-up-aidriven-personalised-marketing-2026-04-13/?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capabilities/growth-marketing-and-sales/our-insights/the-value-of-getting-personalization-right-or-wrong-is-multiplying?hctky=2439256&amp;hdpid=e81bd902-1cc9-4cfd-861c-acb6cb95ae08&amp;hlkid=5690446a38e54003bc8d021fba24fa53&amp;utm_source=chatgpt.com" TargetMode="External"/><Relationship Id="rId24" Type="http://schemas.openxmlformats.org/officeDocument/2006/relationships/hyperlink" Target="https://www.sciencedirect.com/science/article/pii/S0959652619309357?utm_source=chatgpt.com" TargetMode="External"/><Relationship Id="rId32" Type="http://schemas.openxmlformats.org/officeDocument/2006/relationships/hyperlink" Target="https://books.google.com/books/about/Relationship_Marketing.html?id=cP60SQrJlJgC&amp;utm_source=chatgpt.com" TargetMode="External"/><Relationship Id="rId37" Type="http://schemas.openxmlformats.org/officeDocument/2006/relationships/hyperlink" Target="https://onlinelibrary.wiley.com/doi/10.1002/csr.1687?utm_source=chatgpt.com" TargetMode="External"/><Relationship Id="rId40" Type="http://schemas.openxmlformats.org/officeDocument/2006/relationships/hyperlink" Target="https://journal.uii.ac.id/JAAI/article/view/39270?utm_source=chatgpt.com"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ink.springer.com/article/10.1186/s43058-020-00030-8?utm_source=chatgpt.com" TargetMode="External"/><Relationship Id="rId23" Type="http://schemas.openxmlformats.org/officeDocument/2006/relationships/hyperlink" Target="https://www.mckinsey.com/capabilities/growth-marketing-and-sales/our-insights/the-value-of-getting-personalization-right-or-wrong-is-multiplying?hctky=2439256&amp;hdpid=e81bd902-1cc9-4cfd-861c-acb6cb95ae08&amp;hlkid=5690446a38e54003bc8d021fba24fa53&amp;utm_source=chatgpt.com" TargetMode="External"/><Relationship Id="rId28" Type="http://schemas.openxmlformats.org/officeDocument/2006/relationships/hyperlink" Target="https://journal.uii.ac.id/JAAI/article/view/39270?utm_source=chatgpt.com" TargetMode="External"/><Relationship Id="rId36" Type="http://schemas.openxmlformats.org/officeDocument/2006/relationships/hyperlink" Target="https://ico.org.uk/for-organisations/direct-marketing-and-direct-marketing-guidance/collect-information-and-generate-leads/?utm_source=chatgpt.com" TargetMode="External"/><Relationship Id="rId10" Type="http://schemas.openxmlformats.org/officeDocument/2006/relationships/hyperlink" Target="https://bank.tescoplc.com/new-nation-s-favourite-meal-deal-is-revealed-as-tesco-announces-the-return-of-clubcard-unpacked/?utm_source=chatgpt.com" TargetMode="External"/><Relationship Id="rId19" Type="http://schemas.openxmlformats.org/officeDocument/2006/relationships/hyperlink" Target="https://ico.org.uk/for-organisations/direct-marketing-and-privacy-and-electronic-communications/direct-marketing-guidance/collect-information-and-generate-leads/?utm_source=chatgpt.com" TargetMode="External"/><Relationship Id="rId31" Type="http://schemas.openxmlformats.org/officeDocument/2006/relationships/hyperlink" Target="https://www.accenture.com/content/dam/accenture/final/a-com-migration/pdf/pdf-83/accenture-making-personal.pdf?utm_source=chatgpt.com" TargetMode="External"/><Relationship Id="rId44" Type="http://schemas.openxmlformats.org/officeDocument/2006/relationships/hyperlink" Target="https://digital-strategy.ec.europa.eu/en/library/guidelines-transparency-obligations-providers-and-deployers-ai-systems?utm_source=chatgpt.com" TargetMode="External"/><Relationship Id="rId4" Type="http://schemas.openxmlformats.org/officeDocument/2006/relationships/webSettings" Target="webSettings.xml"/><Relationship Id="rId9" Type="http://schemas.openxmlformats.org/officeDocument/2006/relationships/hyperlink" Target="https://www.tescoplc.com/media/ky0bfwpo/tesco_ar25_interactive.pdf?utm_source=chatgpt.com" TargetMode="External"/><Relationship Id="rId14" Type="http://schemas.openxmlformats.org/officeDocument/2006/relationships/hyperlink" Target="https://books.google.com/books/about/Relationship_Marketing.html?id=cP60SQrJlJgC&amp;utm_source=chatgpt.com" TargetMode="External"/><Relationship Id="rId22" Type="http://schemas.openxmlformats.org/officeDocument/2006/relationships/hyperlink" Target="https://digital-strategy.ec.europa.eu/en/library/guidelines-transparency-obligations-providers-and-deployers-ai-systems?utm_source=chatgpt.com" TargetMode="External"/><Relationship Id="rId27" Type="http://schemas.openxmlformats.org/officeDocument/2006/relationships/hyperlink" Target="https://onlinelibrary.wiley.com/doi/10.1002/csr.1687?utm_source=chatgpt.com" TargetMode="External"/><Relationship Id="rId30" Type="http://schemas.openxmlformats.org/officeDocument/2006/relationships/hyperlink" Target="https://ico.org.uk/for-organisations/uk-gdpr-guidance-and-resources/individual-rights/individual-rights/rights-related-to-automated-decision-making-including-profiling/?q=public+authority&amp;utm_source=chatgpt.com" TargetMode="External"/><Relationship Id="rId35" Type="http://schemas.openxmlformats.org/officeDocument/2006/relationships/hyperlink" Target="https://ico.org.uk/for-organisations/uk-gdpr-guidance-and-resources/individual-rights/individual-rights/rights-related-to-automated-decision-making-including-profiling/?utm_source=chatgpt.com" TargetMode="External"/><Relationship Id="rId43" Type="http://schemas.openxmlformats.org/officeDocument/2006/relationships/hyperlink" Target="https://bank.tescoplc.com/new-nation-s-favourite-meal-deal-is-revealed-as-tesco-announces-the-return-of-clubcard-unpacked/?utm_source=chatgpt.com" TargetMode="External"/><Relationship Id="rId8" Type="http://schemas.openxmlformats.org/officeDocument/2006/relationships/hyperlink" Target="https://ico.org.uk/for-organisations/uk-gdpr-guidance-and-resources/individual-rights/individual-rights/rights-related-to-automated-decision-making-including-profiling/?q=public+authority&amp;utm_source=chatgpt.com" TargetMode="External"/><Relationship Id="rId3" Type="http://schemas.openxmlformats.org/officeDocument/2006/relationships/settings" Target="settings.xml"/><Relationship Id="rId12" Type="http://schemas.openxmlformats.org/officeDocument/2006/relationships/hyperlink" Target="https://www.reuters.com/business/media-telecom/tesco-partners-with-adobe-ramp-up-aidriven-personalised-marketing-2026-04-13/?utm_source=chatgpt.com" TargetMode="External"/><Relationship Id="rId17" Type="http://schemas.openxmlformats.org/officeDocument/2006/relationships/hyperlink" Target="https://newsroom.accenture.com/news/2018/widening-gap-between-consumer-expectations-and-reality-in-personalization-signals-warning-for-brands-accenture-interactive-research-finds?utm_source=chatgpt.com" TargetMode="External"/><Relationship Id="rId25" Type="http://schemas.openxmlformats.org/officeDocument/2006/relationships/hyperlink" Target="https://onlinelibrary.wiley.com/doi/10.1002/csr.1687?utm_source=chatgpt.com" TargetMode="External"/><Relationship Id="rId33" Type="http://schemas.openxmlformats.org/officeDocument/2006/relationships/hyperlink" Target="https://books.google.com/books/about/Strategic_Management.html?id=4PUJAQAAMAAJ&amp;utm_source=chatgpt.com" TargetMode="External"/><Relationship Id="rId38" Type="http://schemas.openxmlformats.org/officeDocument/2006/relationships/hyperlink" Target="https://www.mckinsey.com/capabilities/growth-marketing-and-sales/our-insights/the-value-of-getting-personalization-right-or-wrong-is-multiplying?utm_source=chatgpt.com" TargetMode="External"/><Relationship Id="rId46" Type="http://schemas.openxmlformats.org/officeDocument/2006/relationships/fontTable" Target="fontTable.xml"/><Relationship Id="rId20" Type="http://schemas.openxmlformats.org/officeDocument/2006/relationships/hyperlink" Target="https://www.reuters.com/business/media-telecom/tesco-partners-with-adobe-ramp-up-aidriven-personalised-marketing-2026-04-13/?utm_source=chatgpt.com" TargetMode="External"/><Relationship Id="rId41" Type="http://schemas.openxmlformats.org/officeDocument/2006/relationships/hyperlink" Target="https://www.researchgate.net/publication/239732023_A_stakeholder_approach_to_relationship_marketing_strategy_The_development_and_use_of_the_six_markets_mode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5814</Words>
  <Characters>33142</Characters>
  <Application>Microsoft Office Word</Application>
  <DocSecurity>0</DocSecurity>
  <Lines>276</Lines>
  <Paragraphs>77</Paragraphs>
  <ScaleCrop>false</ScaleCrop>
  <Company/>
  <LinksUpToDate>false</LinksUpToDate>
  <CharactersWithSpaces>38879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E Silva Cruz (2438462)</dc:creator>
  <cp:keywords/>
  <dc:description/>
  <cp:lastModifiedBy>Anderson E Silva Cruz (2438462)</cp:lastModifiedBy>
  <cp:revision>2</cp:revision>
  <dcterms:created xsi:type="dcterms:W3CDTF">2026-08-16T16:55:00Z</dcterms:created>
  <dcterms:modified xsi:type="dcterms:W3CDTF">2026-08-16T16:55:00Z</dcterms:modified>
</cp:coreProperties>
</file>