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0CFB7" w14:textId="50A8355B" w:rsidR="00E73760" w:rsidRPr="00E73760" w:rsidRDefault="00E73760" w:rsidP="00E90701">
      <w:pPr>
        <w:spacing w:line="360" w:lineRule="auto"/>
        <w:rPr>
          <w:rFonts w:cstheme="minorHAnsi"/>
          <w:u w:val="single"/>
        </w:rPr>
      </w:pPr>
      <w:r w:rsidRPr="00E73760">
        <w:rPr>
          <w:rFonts w:cstheme="minorHAnsi"/>
          <w:u w:val="single"/>
        </w:rPr>
        <w:t>Children Young People and Families 2</w:t>
      </w:r>
    </w:p>
    <w:p w14:paraId="1DA806DB" w14:textId="521BC491" w:rsidR="00E73760" w:rsidRDefault="00E73760" w:rsidP="00E90701">
      <w:pPr>
        <w:spacing w:line="360" w:lineRule="auto"/>
      </w:pPr>
    </w:p>
    <w:p w14:paraId="0E78F052" w14:textId="48F9CD3E" w:rsidR="00E73760" w:rsidRDefault="00E73760" w:rsidP="00E90701">
      <w:pPr>
        <w:spacing w:line="360" w:lineRule="auto"/>
      </w:pPr>
      <w:r>
        <w:t>This essay will focus on the development of childhood and how education influences children, young people and families, comparing childhood and education in the Victorian Era (1820-1914) with childhood and education now, this era and topic was selected as it is very important to know how society evolves and changes and how this has good effects on children, such as polices to keep them safe, medicines to keep them healthy and schools to give them and education. It will display the legislations that have been put in place to help children, young people and families keep safe</w:t>
      </w:r>
      <w:r w:rsidR="00E90701">
        <w:t>,</w:t>
      </w:r>
      <w:r>
        <w:t xml:space="preserve"> including different policies that are used and rights the children have. Using analysing and evaluation skills it will compare how these legislations and policies have an influence on any children, young people and families involved. The essay will also look at the effects that different ideas and ambitions schools are including to have a positive impact on the lives on children, young people, and families and how these are growing. Education was not always available to children and therefore children will have vast differences from each era including social skills and intelligence. British Library (2009) explains how the times have changed as in 1870 in London, there were 250 schools in London, these taught the fundamentals of life such as reading so the children could read the bible, whereas now there are around 3250 schools in London teaching children from all different backgrounds a multitude of subjects to give them a wide variety of job opportunities to choose from</w:t>
      </w:r>
      <w:r w:rsidR="00E90701">
        <w:t>,</w:t>
      </w:r>
      <w:r>
        <w:t xml:space="preserve"> with their skills they have learnt (Simply London 2022). Some aspects of childhood for Victorian children were like they are now, Shuttleworth (2004) presents the fact that children did not have a voice to make their own legal decisions then, just as they cannot now, and it is up to the parents to make decisions for them until they are at the age where they can make decisions for themselves. </w:t>
      </w:r>
    </w:p>
    <w:p w14:paraId="2A75ED57" w14:textId="77777777" w:rsidR="00E73760" w:rsidRDefault="00E73760" w:rsidP="00E90701">
      <w:pPr>
        <w:spacing w:line="360" w:lineRule="auto"/>
        <w:rPr>
          <w:rFonts w:cstheme="minorHAnsi"/>
        </w:rPr>
      </w:pPr>
    </w:p>
    <w:p w14:paraId="13E51C71" w14:textId="324397AB" w:rsidR="00E73760" w:rsidRDefault="00E73760" w:rsidP="00E90701">
      <w:pPr>
        <w:spacing w:line="360" w:lineRule="auto"/>
        <w:rPr>
          <w:rFonts w:cstheme="minorHAnsi"/>
        </w:rPr>
      </w:pPr>
      <w:r>
        <w:rPr>
          <w:rFonts w:cstheme="minorHAnsi"/>
        </w:rPr>
        <w:t xml:space="preserve">Childhood has not always been as simple as it is now, it has changed through the centuries making life more fun and enjoyable for most children. Childhood is described by Evans (2012) as a period of life up until a person is 18, through these ages the child will have immaturities associated with their physical and emotional qualities. They are vulnerable as they cannot survive on their own and need help with everyday tasks, they are constantly developing and will require adult protection to care for them. Childhood is viewed as a social construct by some people, which implies that childhood is different in all cultures and eras, for example, some may see children as a blessing, and some may see children as a curse and hinderance (Helpful Professor 2022). Childhood constructs were not always there, at the end </w:t>
      </w:r>
      <w:r>
        <w:rPr>
          <w:rFonts w:cstheme="minorHAnsi"/>
        </w:rPr>
        <w:lastRenderedPageBreak/>
        <w:t>of the nineteenth century, childhood development theories started to come into place, and adults realised that children needed supervision, the child-centred society then began and where childhood first developed (Study Smarter 2022) In the Victorian era, Frost (2008) describes childhood very differently than it is today, children became adults when they began working, children did not have to attend school, children who came from poor families began working at as young as seven years old. In the wealthier families, girls were often children until they were married whereas boys would attend work. Many children would slave away in factories and be abused by adults, but they also had close knit families and simpler lives. Today, children life vastly different lives in comparison to the Victorian era, education is a must for children, Heller (2019) expresses that child now are in school more now than ever before, childhood is not perceived as a joyful and unique experience that children and young people get to grow though. Today, most children and young people have better qualities of life compared to the Victorian era, activities such as play are integrated into their everyday lives, this is because it is now known that play and other simple activities are essential for the development of children as it plays a part in the physical, social, emotional, and cognitive growth (Ginsburg 2007). Factors such as play development would not have been thought about in the Victorian era throughout childhood.</w:t>
      </w:r>
    </w:p>
    <w:p w14:paraId="3B1D6EB7" w14:textId="732D3187" w:rsidR="00E73760" w:rsidRDefault="00E73760" w:rsidP="00E90701">
      <w:pPr>
        <w:spacing w:line="360" w:lineRule="auto"/>
        <w:rPr>
          <w:rFonts w:cstheme="minorHAnsi"/>
        </w:rPr>
      </w:pPr>
    </w:p>
    <w:p w14:paraId="4C8BEA51" w14:textId="610F971C" w:rsidR="00E90701" w:rsidRDefault="00E73760" w:rsidP="00E90701">
      <w:pPr>
        <w:spacing w:line="360" w:lineRule="auto"/>
        <w:rPr>
          <w:rFonts w:cstheme="minorHAnsi"/>
        </w:rPr>
      </w:pPr>
      <w:r>
        <w:rPr>
          <w:rFonts w:cstheme="minorHAnsi"/>
        </w:rPr>
        <w:t xml:space="preserve">Family life in the Victorian era was also different compared to today. </w:t>
      </w:r>
      <w:proofErr w:type="spellStart"/>
      <w:r>
        <w:rPr>
          <w:rFonts w:cstheme="minorHAnsi"/>
        </w:rPr>
        <w:t>Ittmann</w:t>
      </w:r>
      <w:proofErr w:type="spellEnd"/>
      <w:r>
        <w:rPr>
          <w:rFonts w:cstheme="minorHAnsi"/>
        </w:rPr>
        <w:t xml:space="preserve"> (2016) reveals that in the Victorian era, poorer families who worked in factories had higher rates of child mortality and lower levels of education, families often had parents who would work in factories therefore many of the families would have these issues, they would not have much money, and the family would suffer because of this. Families were usually large and lived in crowded areas, they had poor living conditions and couldn’t afford simple things such as food (National Archives 2022). This is different to family life now as today a lot more families have a roof over their head and are living in sanitary houses. They are not as large as they were in Victorian times, and if they were not able to afford food, there are now initiatives such as food banks that families can use to get food to </w:t>
      </w:r>
      <w:r w:rsidR="00E90701">
        <w:rPr>
          <w:rFonts w:cstheme="minorHAnsi"/>
        </w:rPr>
        <w:t xml:space="preserve">help </w:t>
      </w:r>
      <w:r>
        <w:rPr>
          <w:rFonts w:cstheme="minorHAnsi"/>
        </w:rPr>
        <w:t>feed their family</w:t>
      </w:r>
      <w:r w:rsidR="00E90701">
        <w:rPr>
          <w:rFonts w:cstheme="minorHAnsi"/>
        </w:rPr>
        <w:t>.</w:t>
      </w:r>
      <w:r>
        <w:rPr>
          <w:rFonts w:cstheme="minorHAnsi"/>
        </w:rPr>
        <w:t xml:space="preserve"> </w:t>
      </w:r>
      <w:r w:rsidR="00E90701">
        <w:rPr>
          <w:rFonts w:cstheme="minorHAnsi"/>
        </w:rPr>
        <w:t xml:space="preserve">As well as this, </w:t>
      </w:r>
      <w:r w:rsidR="00E90701" w:rsidRPr="00E90701">
        <w:rPr>
          <w:rFonts w:cstheme="minorHAnsi"/>
        </w:rPr>
        <w:t xml:space="preserve">people could be hired </w:t>
      </w:r>
      <w:r w:rsidR="00E90701">
        <w:rPr>
          <w:rFonts w:cstheme="minorHAnsi"/>
        </w:rPr>
        <w:t>for</w:t>
      </w:r>
      <w:r w:rsidR="00E90701" w:rsidRPr="00E90701">
        <w:rPr>
          <w:rFonts w:cstheme="minorHAnsi"/>
        </w:rPr>
        <w:t xml:space="preserve"> jobs such a</w:t>
      </w:r>
      <w:r w:rsidR="00E90701">
        <w:rPr>
          <w:rFonts w:cstheme="minorHAnsi"/>
        </w:rPr>
        <w:t>s in farms and major companies which can hire people for work.</w:t>
      </w:r>
    </w:p>
    <w:p w14:paraId="5022945A" w14:textId="77777777" w:rsidR="00E90701" w:rsidRDefault="00E90701" w:rsidP="00E90701">
      <w:pPr>
        <w:spacing w:line="360" w:lineRule="auto"/>
        <w:rPr>
          <w:rFonts w:cstheme="minorHAnsi"/>
        </w:rPr>
      </w:pPr>
    </w:p>
    <w:p w14:paraId="067B945F" w14:textId="674C5C32" w:rsidR="000924AE" w:rsidRDefault="00E73760" w:rsidP="00E90701">
      <w:pPr>
        <w:spacing w:line="360" w:lineRule="auto"/>
        <w:rPr>
          <w:rFonts w:cstheme="minorHAnsi"/>
        </w:rPr>
      </w:pPr>
      <w:proofErr w:type="spellStart"/>
      <w:r>
        <w:rPr>
          <w:rFonts w:cstheme="minorHAnsi"/>
        </w:rPr>
        <w:t>Norozi</w:t>
      </w:r>
      <w:proofErr w:type="spellEnd"/>
      <w:r>
        <w:rPr>
          <w:rFonts w:cstheme="minorHAnsi"/>
        </w:rPr>
        <w:t xml:space="preserve"> &amp; Moen (2016) helps to grasp the idea that childhood and family life is not the same for every child, different walks of life can give children different childhoods. Beliefs, cultures, genders, and social classes can all impact childhood, for instance, a child who has a </w:t>
      </w:r>
      <w:r>
        <w:rPr>
          <w:rFonts w:cstheme="minorHAnsi"/>
        </w:rPr>
        <w:lastRenderedPageBreak/>
        <w:t>poorer family is going to have a different way of growing up, they may have to have free school dinners, or they may not have many toys in comparison to wealthier families. The poorer children and young people can relate to Victorian times as many children did not have toys as they did not have the money for luxuries like toys, Harrison (1994) exhibits that the famous people and rich people had objects that were of quality for example, the toys such as dolls and toy soldiers.</w:t>
      </w:r>
    </w:p>
    <w:p w14:paraId="33F20D87" w14:textId="77777777" w:rsidR="000924AE" w:rsidRDefault="000924AE" w:rsidP="00E90701">
      <w:pPr>
        <w:spacing w:line="360" w:lineRule="auto"/>
      </w:pPr>
    </w:p>
    <w:p w14:paraId="7B857853" w14:textId="28A8827D" w:rsidR="00E73760" w:rsidRDefault="000924AE" w:rsidP="00E90701">
      <w:pPr>
        <w:spacing w:line="360" w:lineRule="auto"/>
        <w:rPr>
          <w:rFonts w:cstheme="minorHAnsi"/>
        </w:rPr>
      </w:pPr>
      <w:r>
        <w:rPr>
          <w:rFonts w:cstheme="minorHAnsi"/>
        </w:rPr>
        <w:t xml:space="preserve">To protect children and young people in the UK, there are legislations, practices, polices and acts put into place so that there are goals and targets to follow to protect children and ensure they are living in a safe country which aims to look after them, even though these are in place, </w:t>
      </w:r>
      <w:r w:rsidR="00E90701">
        <w:rPr>
          <w:rFonts w:cstheme="minorHAnsi"/>
        </w:rPr>
        <w:t>some</w:t>
      </w:r>
      <w:r>
        <w:rPr>
          <w:rFonts w:cstheme="minorHAnsi"/>
        </w:rPr>
        <w:t xml:space="preserve"> children and young people are not always protected and slip through the cracks and are failed by the authority’s, this can be seen in some of the NSPCC Recently published case reviews where children who are for example, being abused are not looked after by the countries protective plans that are in place (NSPCC 2022). </w:t>
      </w:r>
    </w:p>
    <w:p w14:paraId="20BD652E" w14:textId="77B0CB21" w:rsidR="000924AE" w:rsidRDefault="000924AE" w:rsidP="00E90701">
      <w:pPr>
        <w:spacing w:line="360" w:lineRule="auto"/>
        <w:rPr>
          <w:rFonts w:cstheme="minorHAnsi"/>
        </w:rPr>
      </w:pPr>
      <w:r>
        <w:rPr>
          <w:rFonts w:cstheme="minorHAnsi"/>
        </w:rPr>
        <w:t xml:space="preserve">The 1989 Children Act is used in Wales in addition to England, this act is used when a child’s welfare arises in court surrounding their upbringing or any income coming from the child and their property. In these cases, the court takes extreme thought to work out what is best for the child to keep them safe, they work through circumstances involved, for example, what the child would like to happen, their needs such as physical, emotional, and educational, and the effects the outcome will have (Legislation.gov.uk 2014). Despite the fact that the </w:t>
      </w:r>
      <w:proofErr w:type="spellStart"/>
      <w:r>
        <w:rPr>
          <w:rFonts w:cstheme="minorHAnsi"/>
        </w:rPr>
        <w:t>childrens</w:t>
      </w:r>
      <w:proofErr w:type="spellEnd"/>
      <w:r>
        <w:rPr>
          <w:rFonts w:cstheme="minorHAnsi"/>
        </w:rPr>
        <w:t xml:space="preserve"> act 1989 is trying to protect children, there are some arguments against this, Jack &amp; Stepney (1995) perceives that during the 1990s, the act was not fair as the courts and government would make assumptions on who would be more likely to abuse children, this included parents who were single, gay or poor and they would be victimised and subject to harsher intervention, therefore it is believed that the act brought up family support problems. </w:t>
      </w:r>
    </w:p>
    <w:p w14:paraId="18E9CCF5" w14:textId="77777777" w:rsidR="000924AE" w:rsidRDefault="000924AE" w:rsidP="00E90701">
      <w:pPr>
        <w:spacing w:line="360" w:lineRule="auto"/>
        <w:rPr>
          <w:rFonts w:cstheme="minorHAnsi"/>
        </w:rPr>
      </w:pPr>
    </w:p>
    <w:p w14:paraId="7A5958AB" w14:textId="51F99B48" w:rsidR="000924AE" w:rsidRDefault="000924AE" w:rsidP="00E90701">
      <w:pPr>
        <w:spacing w:line="360" w:lineRule="auto"/>
        <w:rPr>
          <w:rFonts w:cstheme="minorHAnsi"/>
        </w:rPr>
      </w:pPr>
      <w:r>
        <w:rPr>
          <w:rFonts w:cstheme="minorHAnsi"/>
        </w:rPr>
        <w:t xml:space="preserve">The Social Services and Well-being Act- Children and Young People (2014) was made available in Wales April 2016, the aim of the act was to transform the way the social services work. It was said that the children’s rights would still be the key point of the act to keep them safe. The act focussed on a handful of points to lay out the framework these include intervention, which had to happen as soon as a problem arose to prevent the child getting into danger. Multi-agency work had to happen within schools and families working with police and social workers, this was the first step to keeping a child safe. Assessments had to take place, which was a first for children’s acts, the child’s needs would be assessed to see how </w:t>
      </w:r>
      <w:r>
        <w:rPr>
          <w:rFonts w:cstheme="minorHAnsi"/>
        </w:rPr>
        <w:lastRenderedPageBreak/>
        <w:t>the local authority and services c</w:t>
      </w:r>
      <w:r w:rsidR="00E90701">
        <w:rPr>
          <w:rFonts w:cstheme="minorHAnsi"/>
        </w:rPr>
        <w:t xml:space="preserve">ould </w:t>
      </w:r>
      <w:r>
        <w:rPr>
          <w:rFonts w:cstheme="minorHAnsi"/>
        </w:rPr>
        <w:t>help the child to be comfortable and safe for example, they may need to remove the child from the home and move them into a safer environment. Charging was the final piece of the puzzle which gives the local authority’s permission to charge the carer of the child if their care is inadequate (Welsh Government 2015). This act was key to ensuring children were kept safe, it focusses on very important points</w:t>
      </w:r>
      <w:r w:rsidR="00E90701">
        <w:rPr>
          <w:rFonts w:cstheme="minorHAnsi"/>
        </w:rPr>
        <w:t>,</w:t>
      </w:r>
      <w:r>
        <w:rPr>
          <w:rFonts w:cstheme="minorHAnsi"/>
        </w:rPr>
        <w:t xml:space="preserve"> in particular the use of multi-agency approaches, this is important as if the agencies work together, they can see correlations</w:t>
      </w:r>
      <w:r w:rsidR="00E90701">
        <w:rPr>
          <w:rFonts w:cstheme="minorHAnsi"/>
        </w:rPr>
        <w:t>,</w:t>
      </w:r>
      <w:r>
        <w:rPr>
          <w:rFonts w:cstheme="minorHAnsi"/>
        </w:rPr>
        <w:t xml:space="preserve"> </w:t>
      </w:r>
      <w:r w:rsidR="00E90701">
        <w:rPr>
          <w:rFonts w:cstheme="minorHAnsi"/>
        </w:rPr>
        <w:t>for example,</w:t>
      </w:r>
      <w:r>
        <w:rPr>
          <w:rFonts w:cstheme="minorHAnsi"/>
        </w:rPr>
        <w:t xml:space="preserve"> within the family and school and pinpoint what is going wrong and where. There are not many negatives to this act as it focuses on the children and gives specific framework, if there was one thing, it should highlight that everything should be kept recorded on an online database with copies available, this way nothing can get lost the way papers can, keeping the child’s information private and accessible to all relevant bodies. </w:t>
      </w:r>
    </w:p>
    <w:p w14:paraId="45961212" w14:textId="77777777" w:rsidR="000924AE" w:rsidRDefault="000924AE" w:rsidP="00E90701">
      <w:pPr>
        <w:spacing w:line="360" w:lineRule="auto"/>
        <w:rPr>
          <w:rFonts w:cstheme="minorHAnsi"/>
        </w:rPr>
      </w:pPr>
    </w:p>
    <w:p w14:paraId="2E4ED43A" w14:textId="5F960F96" w:rsidR="000924AE" w:rsidRDefault="000924AE" w:rsidP="00E90701">
      <w:pPr>
        <w:spacing w:line="360" w:lineRule="auto"/>
        <w:rPr>
          <w:rFonts w:cstheme="minorHAnsi"/>
        </w:rPr>
      </w:pPr>
      <w:r>
        <w:rPr>
          <w:rFonts w:cstheme="minorHAnsi"/>
        </w:rPr>
        <w:t>Theobald (2019) teaches that the UNCRC is the United Nations Convention on the Rights of the Child. This is used internationally to protect the rights of children. The UK joined this treaty in 1990, which then began working in 1992. It sets out the rights for children and young people under the age of 18, it is used worldwide and safeguards children. The government in the UK reports to the committee talking about what they do to make this work for the UK. They work alongside children to get their opinions on what they would do, this means that children get to have an opinion on a subject that matters to them. The UNCRC is applicable to children’s education, this is because the UNCRC focusses on different ways of keeping children safe, this does not just mean at home this applies to different settings including primary and secondary schools. It helps to keep children safe online which applies to school</w:t>
      </w:r>
      <w:r w:rsidR="00E90701">
        <w:rPr>
          <w:rFonts w:cstheme="minorHAnsi"/>
        </w:rPr>
        <w:t xml:space="preserve"> </w:t>
      </w:r>
      <w:r>
        <w:rPr>
          <w:rFonts w:cstheme="minorHAnsi"/>
        </w:rPr>
        <w:t xml:space="preserve">computers and iPads </w:t>
      </w:r>
      <w:r w:rsidR="00E90701">
        <w:rPr>
          <w:rFonts w:cstheme="minorHAnsi"/>
        </w:rPr>
        <w:t xml:space="preserve">that </w:t>
      </w:r>
      <w:r>
        <w:rPr>
          <w:rFonts w:cstheme="minorHAnsi"/>
        </w:rPr>
        <w:t>are being used more and more. It helps to listen to children, this means if a child has an issue, they can feel they can trust their teacher who will listen and pass the information on to the correct bodies. They help everyone to be treated the same no matter what background you come from; this is extremely important in schools as bullying can be taken seriously. Finally, they can help</w:t>
      </w:r>
      <w:r w:rsidR="00E90701">
        <w:rPr>
          <w:rFonts w:cstheme="minorHAnsi"/>
        </w:rPr>
        <w:t xml:space="preserve"> support</w:t>
      </w:r>
      <w:r>
        <w:rPr>
          <w:rFonts w:cstheme="minorHAnsi"/>
        </w:rPr>
        <w:t xml:space="preserve"> children who come f</w:t>
      </w:r>
      <w:r w:rsidR="00E90701">
        <w:rPr>
          <w:rFonts w:cstheme="minorHAnsi"/>
        </w:rPr>
        <w:t>rom</w:t>
      </w:r>
      <w:r>
        <w:rPr>
          <w:rFonts w:cstheme="minorHAnsi"/>
        </w:rPr>
        <w:t xml:space="preserve"> poorer families who may not have enough money for things like school uniform and school dinners (Gov.UK 2022).</w:t>
      </w:r>
    </w:p>
    <w:p w14:paraId="6FC775EC" w14:textId="5203DDD0" w:rsidR="000924AE" w:rsidRDefault="000924AE" w:rsidP="00E90701">
      <w:pPr>
        <w:spacing w:line="360" w:lineRule="auto"/>
        <w:rPr>
          <w:rFonts w:cstheme="minorHAnsi"/>
        </w:rPr>
      </w:pPr>
    </w:p>
    <w:p w14:paraId="796150CC" w14:textId="0DFA94E9" w:rsidR="000924AE" w:rsidRDefault="00356E64" w:rsidP="00E90701">
      <w:pPr>
        <w:spacing w:line="360" w:lineRule="auto"/>
        <w:rPr>
          <w:rFonts w:cstheme="minorHAnsi"/>
        </w:rPr>
      </w:pPr>
      <w:r>
        <w:rPr>
          <w:rFonts w:cstheme="minorHAnsi"/>
        </w:rPr>
        <w:t>In the Victorian era, school wasn’t a must, although Burton &amp; Baxter (2018) explains that at the end of the 18</w:t>
      </w:r>
      <w:r w:rsidRPr="00356E64">
        <w:rPr>
          <w:rFonts w:cstheme="minorHAnsi"/>
          <w:vertAlign w:val="superscript"/>
        </w:rPr>
        <w:t>th</w:t>
      </w:r>
      <w:r>
        <w:rPr>
          <w:rFonts w:cstheme="minorHAnsi"/>
        </w:rPr>
        <w:t xml:space="preserve"> century, most boys were going to school to learn literacy at </w:t>
      </w:r>
      <w:r w:rsidR="00E90701">
        <w:rPr>
          <w:rFonts w:cstheme="minorHAnsi"/>
        </w:rPr>
        <w:t xml:space="preserve">a </w:t>
      </w:r>
      <w:r>
        <w:rPr>
          <w:rFonts w:cstheme="minorHAnsi"/>
        </w:rPr>
        <w:t xml:space="preserve">basic level, schools were preparing boys to learn a trade to work. Girls didn’t have the right to education </w:t>
      </w:r>
      <w:r>
        <w:rPr>
          <w:rFonts w:cstheme="minorHAnsi"/>
        </w:rPr>
        <w:lastRenderedPageBreak/>
        <w:t>at this stage, but by the 19</w:t>
      </w:r>
      <w:r w:rsidRPr="00356E64">
        <w:rPr>
          <w:rFonts w:cstheme="minorHAnsi"/>
          <w:vertAlign w:val="superscript"/>
        </w:rPr>
        <w:t>th</w:t>
      </w:r>
      <w:r>
        <w:rPr>
          <w:rFonts w:cstheme="minorHAnsi"/>
        </w:rPr>
        <w:t xml:space="preserve"> century, school included, lower class boys, girls and even deaf and blind children. During the 18</w:t>
      </w:r>
      <w:r w:rsidRPr="00356E64">
        <w:rPr>
          <w:rFonts w:cstheme="minorHAnsi"/>
          <w:vertAlign w:val="superscript"/>
        </w:rPr>
        <w:t>th</w:t>
      </w:r>
      <w:r>
        <w:rPr>
          <w:rFonts w:cstheme="minorHAnsi"/>
        </w:rPr>
        <w:t xml:space="preserve"> century when only middle- and upper-class boys could attend school, girls stayed home with their mothers, they were told that school wasn’t for them as they would be housewives, their mothers taught them the way of life at home with tasks such as cooking and cleaning (</w:t>
      </w:r>
      <w:proofErr w:type="spellStart"/>
      <w:r>
        <w:rPr>
          <w:rFonts w:cstheme="minorHAnsi"/>
        </w:rPr>
        <w:t>Hubner</w:t>
      </w:r>
      <w:proofErr w:type="spellEnd"/>
      <w:r>
        <w:rPr>
          <w:rFonts w:cstheme="minorHAnsi"/>
        </w:rPr>
        <w:t xml:space="preserve"> 2011). It can be clearly seen that education then and now are completely different, schools now are a place for everyone, school is mandatory until the age of 16, and through those years a wide range of lessons are taught, such as </w:t>
      </w:r>
      <w:r w:rsidR="00E90701">
        <w:rPr>
          <w:rFonts w:cstheme="minorHAnsi"/>
        </w:rPr>
        <w:t xml:space="preserve">foreign </w:t>
      </w:r>
      <w:r>
        <w:rPr>
          <w:rFonts w:cstheme="minorHAnsi"/>
        </w:rPr>
        <w:t>languages, physical education and engineering rather than the basic reading skills they would have learnt in the Victorian era</w:t>
      </w:r>
      <w:r w:rsidR="00E90701">
        <w:rPr>
          <w:rFonts w:cstheme="minorHAnsi"/>
        </w:rPr>
        <w:t>,</w:t>
      </w:r>
      <w:r>
        <w:rPr>
          <w:rFonts w:cstheme="minorHAnsi"/>
        </w:rPr>
        <w:t xml:space="preserve"> this gives children more skills to develop as they grow older. Widdowson et al (2014) teaches that different people have mixed reviews and beliefs on going to school, </w:t>
      </w:r>
      <w:r w:rsidR="00E90701">
        <w:rPr>
          <w:rFonts w:cstheme="minorHAnsi"/>
        </w:rPr>
        <w:t>many</w:t>
      </w:r>
      <w:r>
        <w:rPr>
          <w:rFonts w:cstheme="minorHAnsi"/>
        </w:rPr>
        <w:t xml:space="preserve"> people believe that it helps to unlock creativity, helps children to enjoy learning</w:t>
      </w:r>
      <w:r w:rsidR="00E90701">
        <w:rPr>
          <w:rFonts w:cstheme="minorHAnsi"/>
        </w:rPr>
        <w:t>, expands social skills</w:t>
      </w:r>
      <w:r>
        <w:rPr>
          <w:rFonts w:cstheme="minorHAnsi"/>
        </w:rPr>
        <w:t xml:space="preserve"> and gives them the </w:t>
      </w:r>
      <w:r w:rsidR="00E90701">
        <w:rPr>
          <w:rFonts w:cstheme="minorHAnsi"/>
        </w:rPr>
        <w:t>abilities</w:t>
      </w:r>
      <w:r>
        <w:rPr>
          <w:rFonts w:cstheme="minorHAnsi"/>
        </w:rPr>
        <w:t xml:space="preserve"> to grow until they are old enough to start working whereas other people believe that school prevents children from being creative as  they are shown how to work and are taught what to do rather than using their own creative ability, </w:t>
      </w:r>
      <w:proofErr w:type="spellStart"/>
      <w:r>
        <w:rPr>
          <w:rFonts w:cstheme="minorHAnsi"/>
        </w:rPr>
        <w:t>Raghupathi</w:t>
      </w:r>
      <w:proofErr w:type="spellEnd"/>
      <w:r>
        <w:rPr>
          <w:rFonts w:cstheme="minorHAnsi"/>
        </w:rPr>
        <w:t xml:space="preserve"> &amp; </w:t>
      </w:r>
      <w:proofErr w:type="spellStart"/>
      <w:r>
        <w:rPr>
          <w:rFonts w:cstheme="minorHAnsi"/>
        </w:rPr>
        <w:t>Ragupathi</w:t>
      </w:r>
      <w:proofErr w:type="spellEnd"/>
      <w:r>
        <w:rPr>
          <w:rFonts w:cstheme="minorHAnsi"/>
        </w:rPr>
        <w:t xml:space="preserve"> (2020) shows that education is important as adults who completed higher education have a longer lifespan and their health is better, giving </w:t>
      </w:r>
      <w:r w:rsidR="00E90701">
        <w:rPr>
          <w:rFonts w:cstheme="minorHAnsi"/>
        </w:rPr>
        <w:t>more</w:t>
      </w:r>
      <w:r>
        <w:rPr>
          <w:rFonts w:cstheme="minorHAnsi"/>
        </w:rPr>
        <w:t xml:space="preserve"> benefit</w:t>
      </w:r>
      <w:r w:rsidR="00E90701">
        <w:rPr>
          <w:rFonts w:cstheme="minorHAnsi"/>
        </w:rPr>
        <w:t>s</w:t>
      </w:r>
      <w:r>
        <w:rPr>
          <w:rFonts w:cstheme="minorHAnsi"/>
        </w:rPr>
        <w:t xml:space="preserve"> to education.</w:t>
      </w:r>
    </w:p>
    <w:p w14:paraId="1A116E82" w14:textId="29C93E2E" w:rsidR="00356E64" w:rsidRDefault="00356E64" w:rsidP="00E90701">
      <w:pPr>
        <w:spacing w:line="360" w:lineRule="auto"/>
        <w:rPr>
          <w:rFonts w:cstheme="minorHAnsi"/>
        </w:rPr>
      </w:pPr>
    </w:p>
    <w:p w14:paraId="28633318" w14:textId="7ED5A39D" w:rsidR="00356E64" w:rsidRDefault="00356E64" w:rsidP="00E90701">
      <w:pPr>
        <w:spacing w:line="360" w:lineRule="auto"/>
        <w:rPr>
          <w:rFonts w:cstheme="minorHAnsi"/>
        </w:rPr>
      </w:pPr>
      <w:r>
        <w:rPr>
          <w:rFonts w:cstheme="minorHAnsi"/>
        </w:rPr>
        <w:t xml:space="preserve">Schools today have many initiatives to help and support children. Holford &amp; Rabe (2022) exhibits that </w:t>
      </w:r>
      <w:r w:rsidR="00E90701">
        <w:rPr>
          <w:rFonts w:cstheme="minorHAnsi"/>
        </w:rPr>
        <w:t xml:space="preserve">in </w:t>
      </w:r>
      <w:r>
        <w:rPr>
          <w:rFonts w:cstheme="minorHAnsi"/>
        </w:rPr>
        <w:t>England, there is a free school meal policy, this policy means that children in their first three years of a state school can access a free school lunch, this is a lifesaver for some families who are struggling to afford food for their children at school and has a vast impact on the children and young people receiving the meals</w:t>
      </w:r>
      <w:r w:rsidR="00E90701">
        <w:rPr>
          <w:rFonts w:cstheme="minorHAnsi"/>
        </w:rPr>
        <w:t xml:space="preserve">. </w:t>
      </w:r>
      <w:proofErr w:type="spellStart"/>
      <w:r>
        <w:rPr>
          <w:rFonts w:cstheme="minorHAnsi"/>
        </w:rPr>
        <w:t>Illokken</w:t>
      </w:r>
      <w:proofErr w:type="spellEnd"/>
      <w:r>
        <w:rPr>
          <w:rFonts w:cstheme="minorHAnsi"/>
        </w:rPr>
        <w:t xml:space="preserve"> et al (2021) shows that the children </w:t>
      </w:r>
      <w:r w:rsidR="00E90701">
        <w:rPr>
          <w:rFonts w:cstheme="minorHAnsi"/>
        </w:rPr>
        <w:t>can</w:t>
      </w:r>
      <w:r>
        <w:rPr>
          <w:rFonts w:cstheme="minorHAnsi"/>
        </w:rPr>
        <w:t xml:space="preserve"> socialise with friends over food, the same as adults do, it helps to implement eating healthier as the children are eating fruit and vegetables and are able to visually see portion control, and finally, it helps the children feel </w:t>
      </w:r>
      <w:r w:rsidR="00E90701">
        <w:rPr>
          <w:rFonts w:cstheme="minorHAnsi"/>
        </w:rPr>
        <w:t>equal</w:t>
      </w:r>
      <w:r>
        <w:rPr>
          <w:rFonts w:cstheme="minorHAnsi"/>
        </w:rPr>
        <w:t xml:space="preserve"> as they are eating the same food and the same amount of food meaning everyone is equal. </w:t>
      </w:r>
    </w:p>
    <w:p w14:paraId="44C36365" w14:textId="63DF5081" w:rsidR="000924AE" w:rsidRDefault="000924AE" w:rsidP="00E90701">
      <w:pPr>
        <w:spacing w:line="360" w:lineRule="auto"/>
        <w:rPr>
          <w:rFonts w:cstheme="minorHAnsi"/>
        </w:rPr>
      </w:pPr>
    </w:p>
    <w:p w14:paraId="770E4C62" w14:textId="0C424376" w:rsidR="003F624E" w:rsidRDefault="00356E64" w:rsidP="00E90701">
      <w:pPr>
        <w:spacing w:line="360" w:lineRule="auto"/>
        <w:rPr>
          <w:rFonts w:cstheme="minorHAnsi"/>
        </w:rPr>
      </w:pPr>
      <w:r>
        <w:rPr>
          <w:rFonts w:cstheme="minorHAnsi"/>
        </w:rPr>
        <w:t>Another initiative could be after school clubs, after school clubs are sports or activity clubs including IT, football, netball and cooking that happen usually between 3:15pm (school finish time) and 4:15pm. These afterschool clubs give parents an hour of respite where they may for example, need to finish their job or finish errands</w:t>
      </w:r>
      <w:r w:rsidR="003F624E">
        <w:rPr>
          <w:rFonts w:cstheme="minorHAnsi"/>
        </w:rPr>
        <w:t xml:space="preserve">, </w:t>
      </w:r>
      <w:proofErr w:type="spellStart"/>
      <w:r w:rsidR="003F624E">
        <w:rPr>
          <w:rFonts w:cstheme="minorHAnsi"/>
        </w:rPr>
        <w:t>Genadek</w:t>
      </w:r>
      <w:proofErr w:type="spellEnd"/>
      <w:r w:rsidR="003F624E">
        <w:rPr>
          <w:rFonts w:cstheme="minorHAnsi"/>
        </w:rPr>
        <w:t xml:space="preserve"> &amp; Hill (2017) validates that being both a parent and having a job means it is hard to balance time, therefore it can be hard for parents who work to get to school at 3:15pm.</w:t>
      </w:r>
      <w:r>
        <w:rPr>
          <w:rFonts w:cstheme="minorHAnsi"/>
        </w:rPr>
        <w:t xml:space="preserve"> These clubs don’t just help the parents they also </w:t>
      </w:r>
      <w:r>
        <w:rPr>
          <w:rFonts w:cstheme="minorHAnsi"/>
        </w:rPr>
        <w:lastRenderedPageBreak/>
        <w:t>he</w:t>
      </w:r>
      <w:r w:rsidR="003F624E">
        <w:rPr>
          <w:rFonts w:cstheme="minorHAnsi"/>
        </w:rPr>
        <w:t>l</w:t>
      </w:r>
      <w:r>
        <w:rPr>
          <w:rFonts w:cstheme="minorHAnsi"/>
        </w:rPr>
        <w:t xml:space="preserve">p any children that may be disadvantaged as their parents may be unable to afford out of school clubs which may include a cost. Finally, after school clubs help children keep fit which is extremely important for their health. </w:t>
      </w:r>
    </w:p>
    <w:p w14:paraId="1BD55202" w14:textId="38A678D2" w:rsidR="00356E64" w:rsidRDefault="00356E64" w:rsidP="00E90701">
      <w:pPr>
        <w:spacing w:line="360" w:lineRule="auto"/>
        <w:rPr>
          <w:rFonts w:cstheme="minorHAnsi"/>
        </w:rPr>
      </w:pPr>
      <w:proofErr w:type="spellStart"/>
      <w:r>
        <w:rPr>
          <w:rFonts w:cstheme="minorHAnsi"/>
        </w:rPr>
        <w:t>Salway</w:t>
      </w:r>
      <w:proofErr w:type="spellEnd"/>
      <w:r>
        <w:rPr>
          <w:rFonts w:cstheme="minorHAnsi"/>
        </w:rPr>
        <w:t xml:space="preserve"> et al (2019) found that after school clubs which include an active element </w:t>
      </w:r>
      <w:proofErr w:type="gramStart"/>
      <w:r>
        <w:rPr>
          <w:rFonts w:cstheme="minorHAnsi"/>
        </w:rPr>
        <w:t>e.g.</w:t>
      </w:r>
      <w:proofErr w:type="gramEnd"/>
      <w:r>
        <w:rPr>
          <w:rFonts w:cstheme="minorHAnsi"/>
        </w:rPr>
        <w:t xml:space="preserve"> </w:t>
      </w:r>
      <w:r w:rsidR="003F624E">
        <w:rPr>
          <w:rFonts w:cstheme="minorHAnsi"/>
        </w:rPr>
        <w:t>football</w:t>
      </w:r>
      <w:r>
        <w:rPr>
          <w:rFonts w:cstheme="minorHAnsi"/>
        </w:rPr>
        <w:t xml:space="preserve"> club resulted in a greater movement and activity for that day for each child. this </w:t>
      </w:r>
      <w:r w:rsidR="003F624E">
        <w:rPr>
          <w:rFonts w:cstheme="minorHAnsi"/>
        </w:rPr>
        <w:t>is</w:t>
      </w:r>
      <w:r>
        <w:rPr>
          <w:rFonts w:cstheme="minorHAnsi"/>
        </w:rPr>
        <w:t xml:space="preserve"> important for the child as this can improve the child’s emotional health as well as it can reduce the risk of obesity for the child. children may not have the opportunity, </w:t>
      </w:r>
      <w:r w:rsidR="003F624E">
        <w:rPr>
          <w:rFonts w:cstheme="minorHAnsi"/>
        </w:rPr>
        <w:t>equipment,</w:t>
      </w:r>
      <w:r>
        <w:rPr>
          <w:rFonts w:cstheme="minorHAnsi"/>
        </w:rPr>
        <w:t xml:space="preserve"> or space to be as active at </w:t>
      </w:r>
      <w:r w:rsidR="00F6188D">
        <w:rPr>
          <w:rFonts w:cstheme="minorHAnsi"/>
        </w:rPr>
        <w:t>home,</w:t>
      </w:r>
      <w:r>
        <w:rPr>
          <w:rFonts w:cstheme="minorHAnsi"/>
        </w:rPr>
        <w:t xml:space="preserve"> so these clubs are a great initiative.</w:t>
      </w:r>
      <w:r w:rsidR="00F6188D">
        <w:rPr>
          <w:rFonts w:cstheme="minorHAnsi"/>
        </w:rPr>
        <w:t xml:space="preserve"> </w:t>
      </w:r>
    </w:p>
    <w:p w14:paraId="1AF9350B" w14:textId="41F2B681" w:rsidR="000924AE" w:rsidRDefault="000924AE" w:rsidP="00E90701">
      <w:pPr>
        <w:spacing w:line="360" w:lineRule="auto"/>
        <w:rPr>
          <w:rFonts w:cstheme="minorHAnsi"/>
        </w:rPr>
      </w:pPr>
    </w:p>
    <w:p w14:paraId="701B68B6" w14:textId="77777777" w:rsidR="00E90701" w:rsidRDefault="003F624E" w:rsidP="00E90701">
      <w:pPr>
        <w:spacing w:line="360" w:lineRule="auto"/>
        <w:rPr>
          <w:rFonts w:cstheme="minorHAnsi"/>
        </w:rPr>
      </w:pPr>
      <w:r>
        <w:rPr>
          <w:rFonts w:cstheme="minorHAnsi"/>
        </w:rPr>
        <w:t>In conclusion, it has been shown that life in the Victorian era and life today are very different</w:t>
      </w:r>
      <w:r w:rsidR="00E90701">
        <w:rPr>
          <w:rFonts w:cstheme="minorHAnsi"/>
        </w:rPr>
        <w:t>.</w:t>
      </w:r>
      <w:r>
        <w:rPr>
          <w:rFonts w:cstheme="minorHAnsi"/>
        </w:rPr>
        <w:t xml:space="preserve"> </w:t>
      </w:r>
      <w:r w:rsidR="00E90701">
        <w:rPr>
          <w:rFonts w:cstheme="minorHAnsi"/>
        </w:rPr>
        <w:t>P</w:t>
      </w:r>
      <w:r>
        <w:rPr>
          <w:rFonts w:cstheme="minorHAnsi"/>
        </w:rPr>
        <w:t>olicies and procedures have grown to make children, young people and families lives safer</w:t>
      </w:r>
      <w:r w:rsidR="00E90701">
        <w:rPr>
          <w:rFonts w:cstheme="minorHAnsi"/>
        </w:rPr>
        <w:t>.</w:t>
      </w:r>
      <w:r>
        <w:rPr>
          <w:rFonts w:cstheme="minorHAnsi"/>
        </w:rPr>
        <w:t xml:space="preserve"> </w:t>
      </w:r>
      <w:r w:rsidR="00E90701">
        <w:rPr>
          <w:rFonts w:cstheme="minorHAnsi"/>
        </w:rPr>
        <w:t xml:space="preserve">Education </w:t>
      </w:r>
      <w:r>
        <w:rPr>
          <w:rFonts w:cstheme="minorHAnsi"/>
        </w:rPr>
        <w:t xml:space="preserve">has grown </w:t>
      </w:r>
      <w:r w:rsidR="00E90701">
        <w:rPr>
          <w:rFonts w:cstheme="minorHAnsi"/>
        </w:rPr>
        <w:t>which</w:t>
      </w:r>
      <w:r>
        <w:rPr>
          <w:rFonts w:cstheme="minorHAnsi"/>
        </w:rPr>
        <w:t xml:space="preserve"> give</w:t>
      </w:r>
      <w:r w:rsidR="00E90701">
        <w:rPr>
          <w:rFonts w:cstheme="minorHAnsi"/>
        </w:rPr>
        <w:t>s</w:t>
      </w:r>
      <w:r>
        <w:rPr>
          <w:rFonts w:cstheme="minorHAnsi"/>
        </w:rPr>
        <w:t xml:space="preserve"> children a wide range of lessons and extra-curricular activities </w:t>
      </w:r>
      <w:r w:rsidR="00E90701">
        <w:rPr>
          <w:rFonts w:cstheme="minorHAnsi"/>
        </w:rPr>
        <w:t>which</w:t>
      </w:r>
      <w:r>
        <w:rPr>
          <w:rFonts w:cstheme="minorHAnsi"/>
        </w:rPr>
        <w:t xml:space="preserve"> help them to develop their creative</w:t>
      </w:r>
      <w:r w:rsidR="00E90701">
        <w:rPr>
          <w:rFonts w:cstheme="minorHAnsi"/>
        </w:rPr>
        <w:t xml:space="preserve">, social </w:t>
      </w:r>
      <w:r>
        <w:rPr>
          <w:rFonts w:cstheme="minorHAnsi"/>
        </w:rPr>
        <w:t xml:space="preserve">and literature skills. </w:t>
      </w:r>
    </w:p>
    <w:p w14:paraId="17504224" w14:textId="46FF28A4" w:rsidR="003F624E" w:rsidRDefault="003F624E" w:rsidP="00E90701">
      <w:pPr>
        <w:spacing w:line="360" w:lineRule="auto"/>
        <w:rPr>
          <w:rFonts w:cstheme="minorHAnsi"/>
        </w:rPr>
      </w:pPr>
      <w:r>
        <w:rPr>
          <w:rFonts w:cstheme="minorHAnsi"/>
        </w:rPr>
        <w:t xml:space="preserve">To improve education and schooling now, there should be more negative behaviour consequences for a better schooling experience for children who display good behaviour, Haydn (2014) explains that negative behaviour in some schools is serious and happens in a multitude of schools, punishments such as loss of school activities, ringing parents and star charts/points can all contribute to a better experience for positive behaved students as students can see that actions have consequences. </w:t>
      </w:r>
      <w:proofErr w:type="spellStart"/>
      <w:r>
        <w:rPr>
          <w:rFonts w:cstheme="minorHAnsi"/>
        </w:rPr>
        <w:t>Topor</w:t>
      </w:r>
      <w:proofErr w:type="spellEnd"/>
      <w:r>
        <w:rPr>
          <w:rFonts w:cstheme="minorHAnsi"/>
        </w:rPr>
        <w:t xml:space="preserve"> et all (2011) portrays that when parents are involved, the child’s academic performance grows, and the child has positive benefits, this shows that another way schools can improve is to have parents be more involved in their child’s schooling, whether that be through frequent contact with the class teacher or an app to track their child’s progress, the child is going to positively benefit from this, for example, they know that any issues they may have can be relayed to the teacher.</w:t>
      </w:r>
    </w:p>
    <w:p w14:paraId="484803BF" w14:textId="0DC48A3C" w:rsidR="000924AE" w:rsidRDefault="000924AE" w:rsidP="00F97944">
      <w:pPr>
        <w:rPr>
          <w:rFonts w:cstheme="minorHAnsi"/>
        </w:rPr>
      </w:pPr>
    </w:p>
    <w:p w14:paraId="47F7DD17" w14:textId="0AE9852A" w:rsidR="000924AE" w:rsidRDefault="000924AE" w:rsidP="00F97944">
      <w:pPr>
        <w:rPr>
          <w:rFonts w:cstheme="minorHAnsi"/>
        </w:rPr>
      </w:pPr>
    </w:p>
    <w:p w14:paraId="3BA64C83" w14:textId="75D21687" w:rsidR="000924AE" w:rsidRDefault="000924AE" w:rsidP="00F97944">
      <w:pPr>
        <w:rPr>
          <w:rFonts w:cstheme="minorHAnsi"/>
        </w:rPr>
      </w:pPr>
    </w:p>
    <w:p w14:paraId="17B72A30" w14:textId="77777777" w:rsidR="000924AE" w:rsidRDefault="000924AE" w:rsidP="00F97944">
      <w:pPr>
        <w:rPr>
          <w:rFonts w:cstheme="minorHAnsi"/>
        </w:rPr>
      </w:pPr>
    </w:p>
    <w:p w14:paraId="5D1B6AB6" w14:textId="2F425CBF" w:rsidR="000924AE" w:rsidRDefault="000924AE" w:rsidP="00F97944">
      <w:pPr>
        <w:rPr>
          <w:rFonts w:cstheme="minorHAnsi"/>
        </w:rPr>
      </w:pPr>
    </w:p>
    <w:p w14:paraId="1FECE6A7" w14:textId="5E595149" w:rsidR="00E90701" w:rsidRDefault="00E90701" w:rsidP="00F97944">
      <w:pPr>
        <w:rPr>
          <w:rFonts w:cstheme="minorHAnsi"/>
        </w:rPr>
      </w:pPr>
    </w:p>
    <w:p w14:paraId="23903556" w14:textId="6E5AF995" w:rsidR="00E90701" w:rsidRDefault="00E90701" w:rsidP="00F97944">
      <w:pPr>
        <w:rPr>
          <w:rFonts w:cstheme="minorHAnsi"/>
        </w:rPr>
      </w:pPr>
    </w:p>
    <w:p w14:paraId="3325C510" w14:textId="4B05BB12" w:rsidR="00E90701" w:rsidRDefault="00E90701" w:rsidP="00F97944">
      <w:pPr>
        <w:rPr>
          <w:rFonts w:cstheme="minorHAnsi"/>
        </w:rPr>
      </w:pPr>
    </w:p>
    <w:p w14:paraId="35E68D96" w14:textId="68D28A7B" w:rsidR="00E90701" w:rsidRDefault="00E90701" w:rsidP="00F97944">
      <w:pPr>
        <w:rPr>
          <w:rFonts w:cstheme="minorHAnsi"/>
        </w:rPr>
      </w:pPr>
    </w:p>
    <w:p w14:paraId="70178C76" w14:textId="52748DC4" w:rsidR="00E90701" w:rsidRDefault="00E90701" w:rsidP="00F97944">
      <w:pPr>
        <w:rPr>
          <w:rFonts w:cstheme="minorHAnsi"/>
        </w:rPr>
      </w:pPr>
    </w:p>
    <w:p w14:paraId="5C6F7EA1" w14:textId="3C59CBF1" w:rsidR="00E90701" w:rsidRDefault="00E90701" w:rsidP="00F97944">
      <w:pPr>
        <w:rPr>
          <w:rFonts w:cstheme="minorHAnsi"/>
        </w:rPr>
      </w:pPr>
    </w:p>
    <w:p w14:paraId="5BF1B424" w14:textId="6298AFE1" w:rsidR="00E90701" w:rsidRDefault="00E90701" w:rsidP="00F97944">
      <w:pPr>
        <w:rPr>
          <w:rFonts w:cstheme="minorHAnsi"/>
        </w:rPr>
      </w:pPr>
    </w:p>
    <w:p w14:paraId="6636BBEA" w14:textId="2E250A87" w:rsidR="00E90701" w:rsidRDefault="00E90701" w:rsidP="00E90701">
      <w:pPr>
        <w:spacing w:line="360" w:lineRule="auto"/>
        <w:rPr>
          <w:rFonts w:cstheme="minorHAnsi"/>
        </w:rPr>
      </w:pPr>
    </w:p>
    <w:p w14:paraId="5E11B276" w14:textId="77777777" w:rsidR="00E90701" w:rsidRDefault="00E90701" w:rsidP="00E90701">
      <w:pPr>
        <w:spacing w:line="360" w:lineRule="auto"/>
        <w:rPr>
          <w:rFonts w:cstheme="minorHAnsi"/>
          <w:u w:val="single"/>
        </w:rPr>
      </w:pPr>
    </w:p>
    <w:p w14:paraId="546DE7AF" w14:textId="10249361" w:rsidR="00E73760" w:rsidRDefault="00E73760" w:rsidP="00E90701">
      <w:pPr>
        <w:spacing w:line="360" w:lineRule="auto"/>
        <w:rPr>
          <w:rFonts w:cstheme="minorHAnsi"/>
          <w:u w:val="single"/>
        </w:rPr>
      </w:pPr>
      <w:r w:rsidRPr="00E73760">
        <w:rPr>
          <w:rFonts w:cstheme="minorHAnsi"/>
          <w:u w:val="single"/>
        </w:rPr>
        <w:lastRenderedPageBreak/>
        <w:t>References</w:t>
      </w:r>
    </w:p>
    <w:p w14:paraId="7D5C582C" w14:textId="77777777" w:rsidR="00E90701" w:rsidRDefault="00E90701" w:rsidP="00E90701">
      <w:pPr>
        <w:spacing w:line="360" w:lineRule="auto"/>
        <w:rPr>
          <w:rFonts w:cstheme="minorHAnsi"/>
        </w:rPr>
      </w:pPr>
    </w:p>
    <w:p w14:paraId="128AC6FE" w14:textId="696ABFDB" w:rsidR="00E90701" w:rsidRDefault="00E90701" w:rsidP="00E90701">
      <w:pPr>
        <w:spacing w:line="360" w:lineRule="auto"/>
        <w:rPr>
          <w:rFonts w:cstheme="minorHAnsi"/>
        </w:rPr>
      </w:pPr>
      <w:r>
        <w:rPr>
          <w:rFonts w:cstheme="minorHAnsi"/>
        </w:rPr>
        <w:t xml:space="preserve">British Library (2009) </w:t>
      </w:r>
      <w:r w:rsidRPr="00E73760">
        <w:rPr>
          <w:rFonts w:cstheme="minorHAnsi"/>
          <w:i/>
          <w:iCs/>
        </w:rPr>
        <w:t>Education in Victoria Britain.</w:t>
      </w:r>
      <w:r>
        <w:rPr>
          <w:rFonts w:cstheme="minorHAnsi"/>
        </w:rPr>
        <w:t xml:space="preserve"> Available at: </w:t>
      </w:r>
      <w:r w:rsidRPr="00E73760">
        <w:rPr>
          <w:rFonts w:cstheme="minorHAnsi"/>
        </w:rPr>
        <w:t xml:space="preserve">https://www.bl.uk/victorian-britain/articles/education-in-victorian-britain </w:t>
      </w:r>
      <w:r>
        <w:rPr>
          <w:rFonts w:cstheme="minorHAnsi"/>
        </w:rPr>
        <w:t>(Accessed 5th December 2022)</w:t>
      </w:r>
    </w:p>
    <w:p w14:paraId="3F4F3523" w14:textId="77777777" w:rsidR="00E90701" w:rsidRPr="00E90701" w:rsidRDefault="00E90701" w:rsidP="00E90701">
      <w:pPr>
        <w:spacing w:line="360" w:lineRule="auto"/>
        <w:rPr>
          <w:rFonts w:cstheme="minorHAnsi"/>
        </w:rPr>
      </w:pPr>
    </w:p>
    <w:p w14:paraId="1C079584" w14:textId="6D91EF00" w:rsidR="00E90701" w:rsidRPr="00356E64" w:rsidRDefault="00E90701" w:rsidP="00E90701">
      <w:pPr>
        <w:pStyle w:val="Heading1"/>
        <w:spacing w:before="0" w:beforeAutospacing="0" w:after="375" w:afterAutospacing="0" w:line="360" w:lineRule="auto"/>
        <w:rPr>
          <w:b w:val="0"/>
          <w:bCs w:val="0"/>
          <w:sz w:val="24"/>
          <w:szCs w:val="24"/>
        </w:rPr>
      </w:pPr>
      <w:r>
        <w:rPr>
          <w:b w:val="0"/>
          <w:bCs w:val="0"/>
          <w:sz w:val="24"/>
          <w:szCs w:val="24"/>
        </w:rPr>
        <w:t xml:space="preserve">Burton D J &amp; Baxter E J. (2018) ‘From the Margins to the Mainstream: Perspectives on Nineteenth-Century Education’, </w:t>
      </w:r>
      <w:r>
        <w:rPr>
          <w:b w:val="0"/>
          <w:bCs w:val="0"/>
          <w:i/>
          <w:iCs/>
          <w:sz w:val="24"/>
          <w:szCs w:val="24"/>
        </w:rPr>
        <w:t xml:space="preserve">Childhood in the Past, </w:t>
      </w:r>
      <w:r>
        <w:rPr>
          <w:b w:val="0"/>
          <w:bCs w:val="0"/>
          <w:sz w:val="24"/>
          <w:szCs w:val="24"/>
        </w:rPr>
        <w:t>11(1), pp. 3-7.</w:t>
      </w:r>
    </w:p>
    <w:p w14:paraId="69FFA066" w14:textId="77777777" w:rsidR="00E90701" w:rsidRDefault="00E90701" w:rsidP="00E90701">
      <w:pPr>
        <w:spacing w:line="360" w:lineRule="auto"/>
        <w:rPr>
          <w:rFonts w:cstheme="minorHAnsi"/>
        </w:rPr>
      </w:pPr>
      <w:r>
        <w:rPr>
          <w:rFonts w:cstheme="minorHAnsi"/>
        </w:rPr>
        <w:t xml:space="preserve">Evans, R. (2012) </w:t>
      </w:r>
      <w:r>
        <w:rPr>
          <w:rFonts w:cstheme="minorHAnsi"/>
          <w:i/>
          <w:iCs/>
        </w:rPr>
        <w:t xml:space="preserve">What is childhood and what do we mean by ‘young person’? </w:t>
      </w:r>
      <w:r>
        <w:rPr>
          <w:rFonts w:cstheme="minorHAnsi"/>
        </w:rPr>
        <w:t>London: International Planned Parenthood Federation.</w:t>
      </w:r>
    </w:p>
    <w:p w14:paraId="43B85886" w14:textId="77777777" w:rsidR="00E90701" w:rsidRDefault="00E90701" w:rsidP="00E90701">
      <w:pPr>
        <w:spacing w:line="360" w:lineRule="auto"/>
        <w:rPr>
          <w:rFonts w:cstheme="minorHAnsi"/>
        </w:rPr>
      </w:pPr>
    </w:p>
    <w:p w14:paraId="0EB952C8" w14:textId="7100B8A4" w:rsidR="00E90701" w:rsidRDefault="00E90701" w:rsidP="00E90701">
      <w:pPr>
        <w:spacing w:line="360" w:lineRule="auto"/>
        <w:rPr>
          <w:rFonts w:cstheme="minorHAnsi"/>
        </w:rPr>
      </w:pPr>
      <w:r>
        <w:rPr>
          <w:rFonts w:cstheme="minorHAnsi"/>
        </w:rPr>
        <w:t xml:space="preserve">Frost, S G. (2008) </w:t>
      </w:r>
      <w:r w:rsidRPr="00E73760">
        <w:rPr>
          <w:rFonts w:cstheme="minorHAnsi"/>
          <w:i/>
          <w:iCs/>
        </w:rPr>
        <w:t>Victorian Childhoods</w:t>
      </w:r>
      <w:r>
        <w:rPr>
          <w:rFonts w:cstheme="minorHAnsi"/>
          <w:i/>
          <w:iCs/>
        </w:rPr>
        <w:t xml:space="preserve">. </w:t>
      </w:r>
      <w:r>
        <w:rPr>
          <w:rFonts w:cstheme="minorHAnsi"/>
        </w:rPr>
        <w:t>London: Greenwood.</w:t>
      </w:r>
    </w:p>
    <w:p w14:paraId="64190785" w14:textId="77777777" w:rsidR="00E90701" w:rsidRDefault="00E90701" w:rsidP="00E90701">
      <w:pPr>
        <w:spacing w:line="360" w:lineRule="auto"/>
        <w:rPr>
          <w:rFonts w:cstheme="minorHAnsi"/>
        </w:rPr>
      </w:pPr>
    </w:p>
    <w:p w14:paraId="76A98171" w14:textId="09D8FAC5" w:rsidR="00E90701" w:rsidRDefault="00E90701" w:rsidP="00E90701">
      <w:pPr>
        <w:spacing w:line="360" w:lineRule="auto"/>
        <w:rPr>
          <w:rFonts w:cstheme="minorHAnsi"/>
        </w:rPr>
      </w:pPr>
      <w:proofErr w:type="spellStart"/>
      <w:r>
        <w:rPr>
          <w:rFonts w:cstheme="minorHAnsi"/>
        </w:rPr>
        <w:t>Genedek</w:t>
      </w:r>
      <w:proofErr w:type="spellEnd"/>
      <w:r>
        <w:rPr>
          <w:rFonts w:cstheme="minorHAnsi"/>
        </w:rPr>
        <w:t xml:space="preserve"> R K &amp; Hill R. (2017) ‘Parents’ Work Schedules and Time Spent with Children’, </w:t>
      </w:r>
      <w:r>
        <w:rPr>
          <w:rFonts w:cstheme="minorHAnsi"/>
          <w:i/>
          <w:iCs/>
        </w:rPr>
        <w:t xml:space="preserve">HMS </w:t>
      </w:r>
      <w:proofErr w:type="spellStart"/>
      <w:r>
        <w:rPr>
          <w:rFonts w:cstheme="minorHAnsi"/>
          <w:i/>
          <w:iCs/>
        </w:rPr>
        <w:t>Publid</w:t>
      </w:r>
      <w:proofErr w:type="spellEnd"/>
      <w:r>
        <w:rPr>
          <w:rFonts w:cstheme="minorHAnsi"/>
          <w:i/>
          <w:iCs/>
        </w:rPr>
        <w:t xml:space="preserve"> Access, </w:t>
      </w:r>
      <w:r>
        <w:rPr>
          <w:rFonts w:cstheme="minorHAnsi"/>
        </w:rPr>
        <w:t>20(5), pp. 523-542.</w:t>
      </w:r>
    </w:p>
    <w:p w14:paraId="46C146BF" w14:textId="77777777" w:rsidR="00E90701" w:rsidRDefault="00E90701" w:rsidP="00E90701">
      <w:pPr>
        <w:spacing w:line="360" w:lineRule="auto"/>
        <w:rPr>
          <w:rFonts w:cstheme="minorHAnsi"/>
        </w:rPr>
      </w:pPr>
    </w:p>
    <w:p w14:paraId="19622F8E" w14:textId="5A8DCEA5" w:rsidR="00E90701" w:rsidRDefault="00E90701" w:rsidP="00E90701">
      <w:pPr>
        <w:spacing w:line="360" w:lineRule="auto"/>
        <w:rPr>
          <w:rFonts w:cstheme="minorHAnsi"/>
        </w:rPr>
      </w:pPr>
      <w:r>
        <w:rPr>
          <w:rFonts w:cstheme="minorHAnsi"/>
        </w:rPr>
        <w:t xml:space="preserve">Ginsburg R K. (2007) ‘The Importance of Play in Promoting Healthy Child Development and Maintaining Strong Parent-Child Bonds’, </w:t>
      </w:r>
      <w:r>
        <w:rPr>
          <w:rFonts w:cstheme="minorHAnsi"/>
          <w:i/>
          <w:iCs/>
        </w:rPr>
        <w:t xml:space="preserve">American Academy of Pediatrics, </w:t>
      </w:r>
      <w:r>
        <w:rPr>
          <w:rFonts w:cstheme="minorHAnsi"/>
        </w:rPr>
        <w:t>119(1), pp. 182-191.</w:t>
      </w:r>
    </w:p>
    <w:p w14:paraId="0D3D75B3" w14:textId="77777777" w:rsidR="00E90701" w:rsidRPr="00E90701" w:rsidRDefault="00E90701" w:rsidP="00E90701">
      <w:pPr>
        <w:spacing w:line="360" w:lineRule="auto"/>
        <w:rPr>
          <w:rFonts w:cstheme="minorHAnsi"/>
        </w:rPr>
      </w:pPr>
    </w:p>
    <w:p w14:paraId="75FFDD22" w14:textId="7FC3E62C" w:rsidR="00E90701" w:rsidRDefault="00E90701" w:rsidP="00E90701">
      <w:pPr>
        <w:pStyle w:val="Heading1"/>
        <w:spacing w:before="0" w:beforeAutospacing="0" w:after="375" w:afterAutospacing="0" w:line="360" w:lineRule="auto"/>
        <w:rPr>
          <w:b w:val="0"/>
          <w:bCs w:val="0"/>
          <w:sz w:val="24"/>
          <w:szCs w:val="24"/>
        </w:rPr>
      </w:pPr>
      <w:r>
        <w:rPr>
          <w:b w:val="0"/>
          <w:bCs w:val="0"/>
          <w:sz w:val="24"/>
          <w:szCs w:val="24"/>
        </w:rPr>
        <w:t xml:space="preserve">Gov.Uk (2022) </w:t>
      </w:r>
      <w:r w:rsidRPr="000924AE">
        <w:rPr>
          <w:b w:val="0"/>
          <w:bCs w:val="0"/>
          <w:i/>
          <w:iCs/>
          <w:sz w:val="24"/>
          <w:szCs w:val="24"/>
        </w:rPr>
        <w:t>Infographic on the United Nations Convention on the Rights of the Child</w:t>
      </w:r>
      <w:r>
        <w:rPr>
          <w:b w:val="0"/>
          <w:bCs w:val="0"/>
          <w:i/>
          <w:iCs/>
          <w:sz w:val="24"/>
          <w:szCs w:val="24"/>
        </w:rPr>
        <w:t xml:space="preserve">. </w:t>
      </w:r>
      <w:r>
        <w:rPr>
          <w:b w:val="0"/>
          <w:bCs w:val="0"/>
          <w:sz w:val="24"/>
          <w:szCs w:val="24"/>
        </w:rPr>
        <w:t xml:space="preserve">Available at: </w:t>
      </w:r>
      <w:r w:rsidRPr="000924AE">
        <w:rPr>
          <w:b w:val="0"/>
          <w:bCs w:val="0"/>
          <w:sz w:val="24"/>
          <w:szCs w:val="24"/>
        </w:rPr>
        <w:t>https://www.gov.uk/government/publications/infographic-on-the-united-nations-convention-on-the-rights-of-the-child</w:t>
      </w:r>
      <w:r>
        <w:rPr>
          <w:b w:val="0"/>
          <w:bCs w:val="0"/>
          <w:sz w:val="24"/>
          <w:szCs w:val="24"/>
        </w:rPr>
        <w:t xml:space="preserve"> (Accessed 8th December 2022)</w:t>
      </w:r>
    </w:p>
    <w:p w14:paraId="73D348C0" w14:textId="77777777" w:rsidR="00E90701" w:rsidRDefault="00E90701" w:rsidP="00E90701">
      <w:pPr>
        <w:spacing w:line="360" w:lineRule="auto"/>
        <w:rPr>
          <w:rFonts w:cstheme="minorHAnsi"/>
        </w:rPr>
      </w:pPr>
      <w:r>
        <w:rPr>
          <w:rFonts w:cstheme="minorHAnsi"/>
        </w:rPr>
        <w:t xml:space="preserve">Harrison, S. (1994) </w:t>
      </w:r>
      <w:r w:rsidRPr="00E73760">
        <w:rPr>
          <w:rFonts w:cstheme="minorHAnsi"/>
          <w:i/>
          <w:iCs/>
        </w:rPr>
        <w:t>Victorian Toys.</w:t>
      </w:r>
      <w:r>
        <w:rPr>
          <w:rFonts w:cstheme="minorHAnsi"/>
          <w:i/>
          <w:iCs/>
        </w:rPr>
        <w:t xml:space="preserve"> </w:t>
      </w:r>
      <w:r>
        <w:rPr>
          <w:rFonts w:cstheme="minorHAnsi"/>
        </w:rPr>
        <w:t xml:space="preserve">Dunstable: </w:t>
      </w:r>
      <w:proofErr w:type="spellStart"/>
      <w:r>
        <w:rPr>
          <w:rFonts w:cstheme="minorHAnsi"/>
        </w:rPr>
        <w:t>Folens</w:t>
      </w:r>
      <w:proofErr w:type="spellEnd"/>
      <w:r>
        <w:rPr>
          <w:rFonts w:cstheme="minorHAnsi"/>
        </w:rPr>
        <w:t xml:space="preserve">. </w:t>
      </w:r>
    </w:p>
    <w:p w14:paraId="0047ACE6" w14:textId="77777777" w:rsidR="00E90701" w:rsidRDefault="00E90701" w:rsidP="00E90701">
      <w:pPr>
        <w:spacing w:line="360" w:lineRule="auto"/>
        <w:rPr>
          <w:rFonts w:cstheme="minorHAnsi"/>
        </w:rPr>
      </w:pPr>
    </w:p>
    <w:p w14:paraId="0B9AE111" w14:textId="66C720F1" w:rsidR="00E90701" w:rsidRDefault="00E90701" w:rsidP="00E90701">
      <w:pPr>
        <w:spacing w:line="360" w:lineRule="auto"/>
        <w:rPr>
          <w:rFonts w:cstheme="minorHAnsi"/>
        </w:rPr>
      </w:pPr>
      <w:r>
        <w:rPr>
          <w:rFonts w:cstheme="minorHAnsi"/>
        </w:rPr>
        <w:t xml:space="preserve">Haydn T. (2014) To what extent is behaviour a problem in English schools? ‘Exploring the scale and prevalence of deficits in classroom climate’, </w:t>
      </w:r>
      <w:r>
        <w:rPr>
          <w:rFonts w:cstheme="minorHAnsi"/>
          <w:i/>
          <w:iCs/>
        </w:rPr>
        <w:t xml:space="preserve">British Educational Research Association, </w:t>
      </w:r>
      <w:r>
        <w:rPr>
          <w:rFonts w:cstheme="minorHAnsi"/>
        </w:rPr>
        <w:t>2(1), pp. 31-64.</w:t>
      </w:r>
    </w:p>
    <w:p w14:paraId="715BF502" w14:textId="77777777" w:rsidR="00E90701" w:rsidRDefault="00E90701" w:rsidP="00E90701">
      <w:pPr>
        <w:spacing w:line="360" w:lineRule="auto"/>
        <w:rPr>
          <w:rFonts w:cstheme="minorHAnsi"/>
        </w:rPr>
      </w:pPr>
    </w:p>
    <w:p w14:paraId="4FB911A1" w14:textId="58C0A3E2" w:rsidR="00E90701" w:rsidRDefault="00E90701" w:rsidP="00E90701">
      <w:pPr>
        <w:spacing w:line="360" w:lineRule="auto"/>
        <w:rPr>
          <w:rFonts w:cstheme="minorHAnsi"/>
        </w:rPr>
      </w:pPr>
      <w:r>
        <w:rPr>
          <w:rFonts w:cstheme="minorHAnsi"/>
        </w:rPr>
        <w:t xml:space="preserve">Heller R. (2019) ‘The Editors Note: Childhood, then and now’, </w:t>
      </w:r>
      <w:r>
        <w:rPr>
          <w:rFonts w:cstheme="minorHAnsi"/>
          <w:i/>
          <w:iCs/>
        </w:rPr>
        <w:t xml:space="preserve">American Childhoods Today, </w:t>
      </w:r>
      <w:r>
        <w:rPr>
          <w:rFonts w:cstheme="minorHAnsi"/>
        </w:rPr>
        <w:t>100(7), pp. 4.</w:t>
      </w:r>
    </w:p>
    <w:p w14:paraId="17A97D7D" w14:textId="77777777" w:rsidR="00E90701" w:rsidRDefault="00E90701" w:rsidP="00E90701">
      <w:pPr>
        <w:spacing w:line="360" w:lineRule="auto"/>
        <w:rPr>
          <w:rFonts w:cstheme="minorHAnsi"/>
        </w:rPr>
      </w:pPr>
    </w:p>
    <w:p w14:paraId="09E64022" w14:textId="6FD34922" w:rsidR="00E90701" w:rsidRDefault="00E90701" w:rsidP="00E90701">
      <w:pPr>
        <w:spacing w:line="360" w:lineRule="auto"/>
        <w:rPr>
          <w:rFonts w:cstheme="minorHAnsi"/>
        </w:rPr>
      </w:pPr>
      <w:r>
        <w:rPr>
          <w:rFonts w:cstheme="minorHAnsi"/>
        </w:rPr>
        <w:lastRenderedPageBreak/>
        <w:t xml:space="preserve">Helpful professor (2022) </w:t>
      </w:r>
      <w:r w:rsidRPr="00E73760">
        <w:rPr>
          <w:rFonts w:cstheme="minorHAnsi"/>
          <w:i/>
          <w:iCs/>
        </w:rPr>
        <w:t>Social Constructions of Childhood- 14 Examples</w:t>
      </w:r>
      <w:r>
        <w:rPr>
          <w:rFonts w:cstheme="minorHAnsi"/>
          <w:i/>
          <w:iCs/>
        </w:rPr>
        <w:t xml:space="preserve">. </w:t>
      </w:r>
      <w:r>
        <w:rPr>
          <w:rFonts w:cstheme="minorHAnsi"/>
        </w:rPr>
        <w:t xml:space="preserve">Available at: </w:t>
      </w:r>
      <w:r w:rsidRPr="00E73760">
        <w:rPr>
          <w:rFonts w:cstheme="minorHAnsi"/>
        </w:rPr>
        <w:t>https://helpfulprofessor.com/social-constructions-of-childhood-examples/</w:t>
      </w:r>
      <w:r>
        <w:rPr>
          <w:rFonts w:cstheme="minorHAnsi"/>
        </w:rPr>
        <w:t xml:space="preserve"> (Accessed 6</w:t>
      </w:r>
      <w:r w:rsidRPr="00E73760">
        <w:rPr>
          <w:rFonts w:cstheme="minorHAnsi"/>
          <w:vertAlign w:val="superscript"/>
        </w:rPr>
        <w:t>th</w:t>
      </w:r>
      <w:r>
        <w:rPr>
          <w:rFonts w:cstheme="minorHAnsi"/>
        </w:rPr>
        <w:t xml:space="preserve"> December 2022)</w:t>
      </w:r>
    </w:p>
    <w:p w14:paraId="188EEE09" w14:textId="77777777" w:rsidR="00E90701" w:rsidRDefault="00E90701" w:rsidP="00E90701">
      <w:pPr>
        <w:spacing w:line="360" w:lineRule="auto"/>
        <w:rPr>
          <w:rFonts w:cstheme="minorHAnsi"/>
        </w:rPr>
      </w:pPr>
    </w:p>
    <w:p w14:paraId="61370861" w14:textId="5C3FD9AF" w:rsidR="00E90701" w:rsidRDefault="00E90701" w:rsidP="00E90701">
      <w:pPr>
        <w:spacing w:line="360" w:lineRule="auto"/>
        <w:rPr>
          <w:rFonts w:cstheme="minorHAnsi"/>
        </w:rPr>
      </w:pPr>
      <w:r>
        <w:rPr>
          <w:rFonts w:cstheme="minorHAnsi"/>
        </w:rPr>
        <w:t xml:space="preserve">Holford A &amp; Rabe B. (2022) ‘Going universal. The impact of free school lunches on child body weight outcomes’, </w:t>
      </w:r>
      <w:r>
        <w:rPr>
          <w:rFonts w:cstheme="minorHAnsi"/>
          <w:i/>
          <w:iCs/>
        </w:rPr>
        <w:t xml:space="preserve">Journal of Public Economics Plus, </w:t>
      </w:r>
      <w:r>
        <w:rPr>
          <w:rFonts w:cstheme="minorHAnsi"/>
        </w:rPr>
        <w:t xml:space="preserve">3(1), pp. Abstract. </w:t>
      </w:r>
    </w:p>
    <w:p w14:paraId="67564FE6" w14:textId="77777777" w:rsidR="00E90701" w:rsidRDefault="00E90701" w:rsidP="00E90701">
      <w:pPr>
        <w:spacing w:line="360" w:lineRule="auto"/>
        <w:rPr>
          <w:rFonts w:cstheme="minorHAnsi"/>
        </w:rPr>
      </w:pPr>
    </w:p>
    <w:p w14:paraId="17495BA4" w14:textId="3E4E927B" w:rsidR="00E90701" w:rsidRDefault="00E90701" w:rsidP="00E90701">
      <w:pPr>
        <w:spacing w:line="360" w:lineRule="auto"/>
        <w:rPr>
          <w:rFonts w:cstheme="minorHAnsi"/>
        </w:rPr>
      </w:pPr>
      <w:proofErr w:type="spellStart"/>
      <w:r>
        <w:rPr>
          <w:rFonts w:cstheme="minorHAnsi"/>
        </w:rPr>
        <w:t>Hubner</w:t>
      </w:r>
      <w:proofErr w:type="spellEnd"/>
      <w:r>
        <w:rPr>
          <w:rFonts w:cstheme="minorHAnsi"/>
        </w:rPr>
        <w:t xml:space="preserve"> N. (2011) </w:t>
      </w:r>
      <w:r>
        <w:rPr>
          <w:rFonts w:cstheme="minorHAnsi"/>
          <w:i/>
          <w:iCs/>
        </w:rPr>
        <w:t>Female Education in 18</w:t>
      </w:r>
      <w:r w:rsidRPr="00356E64">
        <w:rPr>
          <w:rFonts w:cstheme="minorHAnsi"/>
          <w:i/>
          <w:iCs/>
          <w:vertAlign w:val="superscript"/>
        </w:rPr>
        <w:t>th</w:t>
      </w:r>
      <w:r>
        <w:rPr>
          <w:rFonts w:cstheme="minorHAnsi"/>
          <w:i/>
          <w:iCs/>
        </w:rPr>
        <w:t xml:space="preserve"> and 19</w:t>
      </w:r>
      <w:r w:rsidRPr="00356E64">
        <w:rPr>
          <w:rFonts w:cstheme="minorHAnsi"/>
          <w:i/>
          <w:iCs/>
          <w:vertAlign w:val="superscript"/>
        </w:rPr>
        <w:t>th</w:t>
      </w:r>
      <w:r>
        <w:rPr>
          <w:rFonts w:cstheme="minorHAnsi"/>
          <w:i/>
          <w:iCs/>
        </w:rPr>
        <w:t xml:space="preserve"> Century Britain</w:t>
      </w:r>
      <w:r>
        <w:rPr>
          <w:rFonts w:cstheme="minorHAnsi"/>
        </w:rPr>
        <w:t>. Germany: GRIN Verlag.</w:t>
      </w:r>
    </w:p>
    <w:p w14:paraId="4FE1CBE9" w14:textId="77777777" w:rsidR="00E90701" w:rsidRDefault="00E90701" w:rsidP="00E90701">
      <w:pPr>
        <w:spacing w:line="360" w:lineRule="auto"/>
        <w:rPr>
          <w:rFonts w:cstheme="minorHAnsi"/>
        </w:rPr>
      </w:pPr>
    </w:p>
    <w:p w14:paraId="744D535B" w14:textId="754414E0" w:rsidR="00E90701" w:rsidRDefault="00E90701" w:rsidP="00E90701">
      <w:pPr>
        <w:spacing w:line="360" w:lineRule="auto"/>
        <w:rPr>
          <w:rFonts w:cstheme="minorHAnsi"/>
        </w:rPr>
      </w:pPr>
      <w:proofErr w:type="spellStart"/>
      <w:r>
        <w:rPr>
          <w:rFonts w:cstheme="minorHAnsi"/>
        </w:rPr>
        <w:t>Illokken</w:t>
      </w:r>
      <w:proofErr w:type="spellEnd"/>
      <w:r>
        <w:rPr>
          <w:rFonts w:cstheme="minorHAnsi"/>
        </w:rPr>
        <w:t xml:space="preserve"> E K, Johannessen B, Barker E M, Johnson H P, Overby C N &amp; Vik N F. (2021) ‘Free school meals as an opportunity to target social equality, healthy eating, and school functioning: experiences form students and teachers in Norway’, </w:t>
      </w:r>
      <w:r>
        <w:rPr>
          <w:rFonts w:cstheme="minorHAnsi"/>
          <w:i/>
          <w:iCs/>
        </w:rPr>
        <w:t xml:space="preserve">Food and Nutrition Research, </w:t>
      </w:r>
      <w:r>
        <w:rPr>
          <w:rFonts w:cstheme="minorHAnsi"/>
        </w:rPr>
        <w:t>65(10), pp. Findings.</w:t>
      </w:r>
    </w:p>
    <w:p w14:paraId="74C9E5EB" w14:textId="77777777" w:rsidR="00E90701" w:rsidRDefault="00E90701" w:rsidP="00E90701">
      <w:pPr>
        <w:spacing w:line="360" w:lineRule="auto"/>
        <w:rPr>
          <w:rFonts w:cstheme="minorHAnsi"/>
        </w:rPr>
      </w:pPr>
    </w:p>
    <w:p w14:paraId="5583AD6A" w14:textId="24589146" w:rsidR="00E90701" w:rsidRDefault="00E90701" w:rsidP="00E90701">
      <w:pPr>
        <w:spacing w:line="360" w:lineRule="auto"/>
        <w:rPr>
          <w:rFonts w:cstheme="minorHAnsi"/>
        </w:rPr>
      </w:pPr>
      <w:proofErr w:type="spellStart"/>
      <w:r>
        <w:rPr>
          <w:rFonts w:cstheme="minorHAnsi"/>
        </w:rPr>
        <w:t>Ittmann</w:t>
      </w:r>
      <w:proofErr w:type="spellEnd"/>
      <w:r>
        <w:rPr>
          <w:rFonts w:cstheme="minorHAnsi"/>
        </w:rPr>
        <w:t xml:space="preserve"> K. (2016) </w:t>
      </w:r>
      <w:r w:rsidRPr="00E73760">
        <w:rPr>
          <w:rFonts w:cstheme="minorHAnsi"/>
          <w:i/>
          <w:iCs/>
        </w:rPr>
        <w:t>Wo</w:t>
      </w:r>
      <w:r>
        <w:rPr>
          <w:rFonts w:cstheme="minorHAnsi"/>
          <w:i/>
          <w:iCs/>
        </w:rPr>
        <w:t>r</w:t>
      </w:r>
      <w:r w:rsidRPr="00E73760">
        <w:rPr>
          <w:rFonts w:cstheme="minorHAnsi"/>
          <w:i/>
          <w:iCs/>
        </w:rPr>
        <w:t>k, Gender and Family in Victorian England.</w:t>
      </w:r>
      <w:r>
        <w:rPr>
          <w:rFonts w:cstheme="minorHAnsi"/>
          <w:i/>
          <w:iCs/>
        </w:rPr>
        <w:t xml:space="preserve"> </w:t>
      </w:r>
      <w:r>
        <w:rPr>
          <w:rFonts w:cstheme="minorHAnsi"/>
        </w:rPr>
        <w:t>London: Palgrave Macmillan UK.</w:t>
      </w:r>
    </w:p>
    <w:p w14:paraId="40AE5268" w14:textId="77777777" w:rsidR="00E90701" w:rsidRDefault="00E90701" w:rsidP="00E90701">
      <w:pPr>
        <w:spacing w:line="360" w:lineRule="auto"/>
        <w:rPr>
          <w:rFonts w:cstheme="minorHAnsi"/>
        </w:rPr>
      </w:pPr>
    </w:p>
    <w:p w14:paraId="37A08FF4" w14:textId="0086711F" w:rsidR="00E90701" w:rsidRDefault="00E90701" w:rsidP="00E90701">
      <w:pPr>
        <w:spacing w:line="360" w:lineRule="auto"/>
        <w:rPr>
          <w:rFonts w:cstheme="minorHAnsi"/>
        </w:rPr>
      </w:pPr>
      <w:r>
        <w:rPr>
          <w:rFonts w:cstheme="minorHAnsi"/>
        </w:rPr>
        <w:t xml:space="preserve">Jack G &amp; Stepney P. (1995) The Children Act 1989- ‘Protection or persecution? Family support and child protection in the 1990s’, </w:t>
      </w:r>
      <w:r>
        <w:rPr>
          <w:rFonts w:cstheme="minorHAnsi"/>
          <w:i/>
          <w:iCs/>
        </w:rPr>
        <w:t>Critical Social Policy</w:t>
      </w:r>
      <w:r>
        <w:rPr>
          <w:rFonts w:cstheme="minorHAnsi"/>
        </w:rPr>
        <w:t>, 15(43), pp. 26-39.</w:t>
      </w:r>
    </w:p>
    <w:p w14:paraId="55EB4AF1" w14:textId="77777777" w:rsidR="00E90701" w:rsidRDefault="00E90701" w:rsidP="00E90701">
      <w:pPr>
        <w:spacing w:line="360" w:lineRule="auto"/>
        <w:rPr>
          <w:rFonts w:cstheme="minorHAnsi"/>
        </w:rPr>
      </w:pPr>
    </w:p>
    <w:p w14:paraId="25BF5251" w14:textId="7A9C36B2" w:rsidR="00E90701" w:rsidRDefault="00E90701" w:rsidP="00E90701">
      <w:pPr>
        <w:spacing w:line="360" w:lineRule="auto"/>
        <w:rPr>
          <w:rFonts w:cstheme="minorHAnsi"/>
        </w:rPr>
      </w:pPr>
      <w:r>
        <w:rPr>
          <w:rFonts w:cstheme="minorHAnsi"/>
        </w:rPr>
        <w:t xml:space="preserve">Legislation.gov.uk (2014) </w:t>
      </w:r>
      <w:r w:rsidRPr="000924AE">
        <w:rPr>
          <w:rFonts w:cstheme="minorHAnsi"/>
          <w:i/>
          <w:iCs/>
        </w:rPr>
        <w:t>Children Act 1989</w:t>
      </w:r>
      <w:r>
        <w:rPr>
          <w:rFonts w:cstheme="minorHAnsi"/>
          <w:i/>
          <w:iCs/>
        </w:rPr>
        <w:t xml:space="preserve">. </w:t>
      </w:r>
      <w:r>
        <w:rPr>
          <w:rFonts w:cstheme="minorHAnsi"/>
        </w:rPr>
        <w:t xml:space="preserve">Available at: </w:t>
      </w:r>
      <w:r w:rsidRPr="000924AE">
        <w:rPr>
          <w:rFonts w:cstheme="minorHAnsi"/>
        </w:rPr>
        <w:t>https://www.legislation.gov.uk/ukpga/1989/41/section/1/2014-10-22</w:t>
      </w:r>
      <w:r>
        <w:rPr>
          <w:rFonts w:cstheme="minorHAnsi"/>
        </w:rPr>
        <w:t xml:space="preserve"> (Accessed 8th December 2022.</w:t>
      </w:r>
    </w:p>
    <w:p w14:paraId="21C0A512" w14:textId="77777777" w:rsidR="00E90701" w:rsidRDefault="00E90701" w:rsidP="00E90701">
      <w:pPr>
        <w:spacing w:line="360" w:lineRule="auto"/>
        <w:rPr>
          <w:rFonts w:cstheme="minorHAnsi"/>
        </w:rPr>
      </w:pPr>
    </w:p>
    <w:p w14:paraId="37C5BCA0" w14:textId="3EA6D831" w:rsidR="00E90701" w:rsidRDefault="00E90701" w:rsidP="00E90701">
      <w:pPr>
        <w:spacing w:line="360" w:lineRule="auto"/>
        <w:rPr>
          <w:rFonts w:cstheme="minorHAnsi"/>
        </w:rPr>
      </w:pPr>
      <w:proofErr w:type="spellStart"/>
      <w:r>
        <w:rPr>
          <w:rFonts w:cstheme="minorHAnsi"/>
        </w:rPr>
        <w:t>Norozi</w:t>
      </w:r>
      <w:proofErr w:type="spellEnd"/>
      <w:r>
        <w:rPr>
          <w:rFonts w:cstheme="minorHAnsi"/>
        </w:rPr>
        <w:t xml:space="preserve"> A S &amp; Moen T. (2016) ‘Childhood as a Social Construction’ </w:t>
      </w:r>
      <w:r>
        <w:rPr>
          <w:rFonts w:cstheme="minorHAnsi"/>
          <w:i/>
          <w:iCs/>
        </w:rPr>
        <w:t xml:space="preserve">Journal of Educational and Social Research. </w:t>
      </w:r>
      <w:r>
        <w:rPr>
          <w:rFonts w:cstheme="minorHAnsi"/>
        </w:rPr>
        <w:t>6(2), pp. 75.</w:t>
      </w:r>
    </w:p>
    <w:p w14:paraId="11EC9750" w14:textId="77777777" w:rsidR="00E90701" w:rsidRDefault="00E90701" w:rsidP="00E90701">
      <w:pPr>
        <w:spacing w:line="360" w:lineRule="auto"/>
        <w:rPr>
          <w:rFonts w:cstheme="minorHAnsi"/>
        </w:rPr>
      </w:pPr>
    </w:p>
    <w:p w14:paraId="37E21FBD" w14:textId="76897223" w:rsidR="00E90701" w:rsidRDefault="00E90701" w:rsidP="00E90701">
      <w:pPr>
        <w:spacing w:line="360" w:lineRule="auto"/>
        <w:rPr>
          <w:rFonts w:cstheme="minorHAnsi"/>
        </w:rPr>
      </w:pPr>
      <w:r>
        <w:rPr>
          <w:rFonts w:cstheme="minorHAnsi"/>
        </w:rPr>
        <w:t xml:space="preserve">NSPCC (2022) </w:t>
      </w:r>
      <w:r>
        <w:rPr>
          <w:rFonts w:cstheme="minorHAnsi"/>
          <w:i/>
          <w:iCs/>
        </w:rPr>
        <w:t xml:space="preserve">Recently published. Case reviews. </w:t>
      </w:r>
      <w:r>
        <w:rPr>
          <w:rFonts w:cstheme="minorHAnsi"/>
        </w:rPr>
        <w:t xml:space="preserve">Available at: </w:t>
      </w:r>
      <w:r w:rsidRPr="000924AE">
        <w:rPr>
          <w:rFonts w:cstheme="minorHAnsi"/>
        </w:rPr>
        <w:t>https://learning.nspcc.org.uk/case-reviews/recently-published-case-reviews</w:t>
      </w:r>
      <w:r>
        <w:rPr>
          <w:rFonts w:cstheme="minorHAnsi"/>
        </w:rPr>
        <w:t xml:space="preserve"> (Accessed 8th December 2022)</w:t>
      </w:r>
    </w:p>
    <w:p w14:paraId="050C7815" w14:textId="77777777" w:rsidR="00E90701" w:rsidRDefault="00E90701" w:rsidP="00E90701">
      <w:pPr>
        <w:spacing w:line="360" w:lineRule="auto"/>
        <w:rPr>
          <w:rFonts w:cstheme="minorHAnsi"/>
        </w:rPr>
      </w:pPr>
    </w:p>
    <w:p w14:paraId="78E878CA" w14:textId="3C758F6F" w:rsidR="00E90701" w:rsidRDefault="00E90701" w:rsidP="00E90701">
      <w:pPr>
        <w:spacing w:line="360" w:lineRule="auto"/>
        <w:rPr>
          <w:rFonts w:cstheme="minorHAnsi"/>
        </w:rPr>
      </w:pPr>
      <w:proofErr w:type="spellStart"/>
      <w:r>
        <w:rPr>
          <w:rFonts w:cstheme="minorHAnsi"/>
        </w:rPr>
        <w:lastRenderedPageBreak/>
        <w:t>Raghupathi</w:t>
      </w:r>
      <w:proofErr w:type="spellEnd"/>
      <w:r>
        <w:rPr>
          <w:rFonts w:cstheme="minorHAnsi"/>
        </w:rPr>
        <w:t xml:space="preserve"> V &amp; </w:t>
      </w:r>
      <w:proofErr w:type="spellStart"/>
      <w:r>
        <w:rPr>
          <w:rFonts w:cstheme="minorHAnsi"/>
        </w:rPr>
        <w:t>Raghupathi</w:t>
      </w:r>
      <w:proofErr w:type="spellEnd"/>
      <w:r>
        <w:rPr>
          <w:rFonts w:cstheme="minorHAnsi"/>
        </w:rPr>
        <w:t xml:space="preserve"> W. (2020) ‘The influence of education on health: an empirical assessment of OECD </w:t>
      </w:r>
      <w:proofErr w:type="spellStart"/>
      <w:r>
        <w:rPr>
          <w:rFonts w:cstheme="minorHAnsi"/>
        </w:rPr>
        <w:t>contries</w:t>
      </w:r>
      <w:proofErr w:type="spellEnd"/>
      <w:r>
        <w:rPr>
          <w:rFonts w:cstheme="minorHAnsi"/>
        </w:rPr>
        <w:t xml:space="preserve"> for the period 1995-12015. </w:t>
      </w:r>
      <w:r>
        <w:rPr>
          <w:rFonts w:cstheme="minorHAnsi"/>
          <w:i/>
          <w:iCs/>
        </w:rPr>
        <w:t xml:space="preserve">Archives of Public Health, </w:t>
      </w:r>
      <w:r>
        <w:rPr>
          <w:rFonts w:cstheme="minorHAnsi"/>
        </w:rPr>
        <w:t xml:space="preserve">78(20, pp. Abstract. </w:t>
      </w:r>
    </w:p>
    <w:p w14:paraId="7FBB0FD6" w14:textId="77777777" w:rsidR="00E90701" w:rsidRDefault="00E90701" w:rsidP="00E90701">
      <w:pPr>
        <w:spacing w:line="360" w:lineRule="auto"/>
        <w:rPr>
          <w:rFonts w:cstheme="minorHAnsi"/>
        </w:rPr>
      </w:pPr>
    </w:p>
    <w:p w14:paraId="096EC324" w14:textId="4A67808A" w:rsidR="00E90701" w:rsidRDefault="00E90701" w:rsidP="00E90701">
      <w:pPr>
        <w:spacing w:line="360" w:lineRule="auto"/>
        <w:rPr>
          <w:rFonts w:cstheme="minorHAnsi"/>
        </w:rPr>
      </w:pPr>
      <w:proofErr w:type="spellStart"/>
      <w:r>
        <w:rPr>
          <w:rFonts w:cstheme="minorHAnsi"/>
        </w:rPr>
        <w:t>Salway</w:t>
      </w:r>
      <w:proofErr w:type="spellEnd"/>
      <w:r>
        <w:rPr>
          <w:rFonts w:cstheme="minorHAnsi"/>
        </w:rPr>
        <w:t xml:space="preserve"> R, Collison E L, </w:t>
      </w:r>
      <w:proofErr w:type="spellStart"/>
      <w:r>
        <w:rPr>
          <w:rFonts w:cstheme="minorHAnsi"/>
        </w:rPr>
        <w:t>Sebire</w:t>
      </w:r>
      <w:proofErr w:type="spellEnd"/>
      <w:r>
        <w:rPr>
          <w:rFonts w:cstheme="minorHAnsi"/>
        </w:rPr>
        <w:t xml:space="preserve"> J S, Thompson L J, Lawlor A D &amp; </w:t>
      </w:r>
      <w:proofErr w:type="spellStart"/>
      <w:r>
        <w:rPr>
          <w:rFonts w:cstheme="minorHAnsi"/>
        </w:rPr>
        <w:t>Jago</w:t>
      </w:r>
      <w:proofErr w:type="spellEnd"/>
      <w:r>
        <w:rPr>
          <w:rFonts w:cstheme="minorHAnsi"/>
        </w:rPr>
        <w:t xml:space="preserve"> R. (2019) ‘The association of school-related active travel and active after-school clubs with children’s physical activity: a cross-sectional study in 11-year-old UK children’ </w:t>
      </w:r>
      <w:r>
        <w:rPr>
          <w:rFonts w:cstheme="minorHAnsi"/>
          <w:i/>
          <w:iCs/>
        </w:rPr>
        <w:t xml:space="preserve">International Journal of Behavioural Nutrition and Physical Activity, </w:t>
      </w:r>
      <w:r>
        <w:rPr>
          <w:rFonts w:cstheme="minorHAnsi"/>
        </w:rPr>
        <w:t>16(72), pp. 1-2.</w:t>
      </w:r>
    </w:p>
    <w:p w14:paraId="3F3912F9" w14:textId="77777777" w:rsidR="00E90701" w:rsidRDefault="00E90701" w:rsidP="00E90701">
      <w:pPr>
        <w:spacing w:line="360" w:lineRule="auto"/>
        <w:rPr>
          <w:rFonts w:cstheme="minorHAnsi"/>
        </w:rPr>
      </w:pPr>
    </w:p>
    <w:p w14:paraId="7940E2F6" w14:textId="465B7F8D" w:rsidR="00E90701" w:rsidRDefault="00E90701" w:rsidP="00E90701">
      <w:pPr>
        <w:spacing w:line="360" w:lineRule="auto"/>
        <w:rPr>
          <w:rFonts w:cstheme="minorHAnsi"/>
        </w:rPr>
      </w:pPr>
      <w:proofErr w:type="spellStart"/>
      <w:r>
        <w:rPr>
          <w:rFonts w:cstheme="minorHAnsi"/>
        </w:rPr>
        <w:t>Shuttlewoth</w:t>
      </w:r>
      <w:proofErr w:type="spellEnd"/>
      <w:r>
        <w:rPr>
          <w:rFonts w:cstheme="minorHAnsi"/>
        </w:rPr>
        <w:t xml:space="preserve"> S. (2004) Victorian Childhood. </w:t>
      </w:r>
      <w:r>
        <w:rPr>
          <w:rFonts w:cstheme="minorHAnsi"/>
          <w:i/>
          <w:iCs/>
        </w:rPr>
        <w:t>Journal of Victorian Culture.</w:t>
      </w:r>
      <w:r>
        <w:rPr>
          <w:rFonts w:cstheme="minorHAnsi"/>
        </w:rPr>
        <w:t xml:space="preserve"> 9(1), pp. 107-113.</w:t>
      </w:r>
    </w:p>
    <w:p w14:paraId="2219BF9F" w14:textId="77777777" w:rsidR="00E90701" w:rsidRDefault="00E90701" w:rsidP="00E90701">
      <w:pPr>
        <w:spacing w:line="360" w:lineRule="auto"/>
        <w:rPr>
          <w:rFonts w:cstheme="minorHAnsi"/>
        </w:rPr>
      </w:pPr>
    </w:p>
    <w:p w14:paraId="495001FC" w14:textId="0B99B0A1" w:rsidR="00E90701" w:rsidRDefault="00E90701" w:rsidP="00E90701">
      <w:pPr>
        <w:spacing w:line="360" w:lineRule="auto"/>
        <w:rPr>
          <w:rFonts w:cstheme="minorHAnsi"/>
        </w:rPr>
      </w:pPr>
      <w:r>
        <w:rPr>
          <w:rFonts w:cstheme="minorHAnsi"/>
        </w:rPr>
        <w:t xml:space="preserve">Simply London (2022) </w:t>
      </w:r>
      <w:r w:rsidRPr="00E73760">
        <w:rPr>
          <w:rFonts w:cstheme="minorHAnsi"/>
          <w:i/>
          <w:iCs/>
        </w:rPr>
        <w:t>How many schools are there in London?</w:t>
      </w:r>
      <w:r>
        <w:rPr>
          <w:rFonts w:cstheme="minorHAnsi"/>
        </w:rPr>
        <w:t xml:space="preserve"> Available at: </w:t>
      </w:r>
      <w:r w:rsidRPr="00E73760">
        <w:rPr>
          <w:rFonts w:cstheme="minorHAnsi"/>
        </w:rPr>
        <w:t>https://simplylondonrelocation.com/knowledge-base/how-many-schools-in-london/#:~:text=There%20are%20approximately%203250%20schools%20in%20London.</w:t>
      </w:r>
      <w:r>
        <w:rPr>
          <w:rFonts w:cstheme="minorHAnsi"/>
        </w:rPr>
        <w:t xml:space="preserve"> (Accessed 5</w:t>
      </w:r>
      <w:r w:rsidRPr="00E73760">
        <w:rPr>
          <w:rFonts w:cstheme="minorHAnsi"/>
          <w:vertAlign w:val="superscript"/>
        </w:rPr>
        <w:t>th</w:t>
      </w:r>
      <w:r>
        <w:rPr>
          <w:rFonts w:cstheme="minorHAnsi"/>
        </w:rPr>
        <w:t xml:space="preserve"> December 2022)</w:t>
      </w:r>
    </w:p>
    <w:p w14:paraId="2E11C726" w14:textId="77777777" w:rsidR="00E90701" w:rsidRDefault="00E90701" w:rsidP="00E90701">
      <w:pPr>
        <w:spacing w:line="360" w:lineRule="auto"/>
        <w:rPr>
          <w:rFonts w:cstheme="minorHAnsi"/>
        </w:rPr>
      </w:pPr>
    </w:p>
    <w:p w14:paraId="1D68FBE3" w14:textId="50D8F3E7" w:rsidR="00E90701" w:rsidRDefault="00E90701" w:rsidP="00E90701">
      <w:pPr>
        <w:spacing w:line="360" w:lineRule="auto"/>
        <w:rPr>
          <w:rFonts w:cstheme="minorHAnsi"/>
        </w:rPr>
      </w:pPr>
      <w:r>
        <w:rPr>
          <w:rFonts w:cstheme="minorHAnsi"/>
        </w:rPr>
        <w:t xml:space="preserve">Study Smarter (2022) </w:t>
      </w:r>
      <w:r w:rsidRPr="00E73760">
        <w:rPr>
          <w:rFonts w:cstheme="minorHAnsi"/>
          <w:i/>
          <w:iCs/>
        </w:rPr>
        <w:t xml:space="preserve">Childhood </w:t>
      </w:r>
      <w:proofErr w:type="gramStart"/>
      <w:r w:rsidRPr="00E73760">
        <w:rPr>
          <w:rFonts w:cstheme="minorHAnsi"/>
          <w:i/>
          <w:iCs/>
        </w:rPr>
        <w:t>As</w:t>
      </w:r>
      <w:proofErr w:type="gramEnd"/>
      <w:r w:rsidRPr="00E73760">
        <w:rPr>
          <w:rFonts w:cstheme="minorHAnsi"/>
          <w:i/>
          <w:iCs/>
        </w:rPr>
        <w:t xml:space="preserve"> A Social Construc</w:t>
      </w:r>
      <w:r>
        <w:rPr>
          <w:rFonts w:cstheme="minorHAnsi"/>
          <w:i/>
          <w:iCs/>
        </w:rPr>
        <w:t xml:space="preserve">t. </w:t>
      </w:r>
      <w:r>
        <w:rPr>
          <w:rFonts w:cstheme="minorHAnsi"/>
        </w:rPr>
        <w:t xml:space="preserve">Available at: </w:t>
      </w:r>
      <w:r w:rsidRPr="00E73760">
        <w:rPr>
          <w:rFonts w:cstheme="minorHAnsi"/>
        </w:rPr>
        <w:t>https://www.studysmarter.co.uk/explanations/social-studies/families-and-households/childhood-as-a-social-construct/</w:t>
      </w:r>
      <w:r>
        <w:rPr>
          <w:rFonts w:cstheme="minorHAnsi"/>
        </w:rPr>
        <w:t xml:space="preserve"> (Accessed 6</w:t>
      </w:r>
      <w:r w:rsidRPr="00E73760">
        <w:rPr>
          <w:rFonts w:cstheme="minorHAnsi"/>
          <w:vertAlign w:val="superscript"/>
        </w:rPr>
        <w:t>th</w:t>
      </w:r>
      <w:r>
        <w:rPr>
          <w:rFonts w:cstheme="minorHAnsi"/>
        </w:rPr>
        <w:t xml:space="preserve"> December 2022)</w:t>
      </w:r>
    </w:p>
    <w:p w14:paraId="7724E0F2" w14:textId="77777777" w:rsidR="00E90701" w:rsidRDefault="00E90701" w:rsidP="00E90701">
      <w:pPr>
        <w:spacing w:line="360" w:lineRule="auto"/>
        <w:rPr>
          <w:rFonts w:cstheme="minorHAnsi"/>
        </w:rPr>
      </w:pPr>
    </w:p>
    <w:p w14:paraId="5F93F70C" w14:textId="7B11DBA9" w:rsidR="00E90701" w:rsidRDefault="00E90701" w:rsidP="00E90701">
      <w:pPr>
        <w:spacing w:line="360" w:lineRule="auto"/>
        <w:rPr>
          <w:rFonts w:cstheme="minorHAnsi"/>
        </w:rPr>
      </w:pPr>
      <w:r>
        <w:rPr>
          <w:rFonts w:cstheme="minorHAnsi"/>
        </w:rPr>
        <w:t xml:space="preserve">The National Archives (2022) </w:t>
      </w:r>
      <w:r w:rsidRPr="00E73760">
        <w:rPr>
          <w:rFonts w:cstheme="minorHAnsi"/>
          <w:i/>
          <w:iCs/>
        </w:rPr>
        <w:t>Victorian family history</w:t>
      </w:r>
      <w:r>
        <w:rPr>
          <w:rFonts w:cstheme="minorHAnsi"/>
        </w:rPr>
        <w:t xml:space="preserve">. Available at: </w:t>
      </w:r>
      <w:r w:rsidRPr="00E73760">
        <w:rPr>
          <w:rFonts w:cstheme="minorHAnsi"/>
        </w:rPr>
        <w:t>https://www.nationalarchives.gov.uk/education/resources/victorian-family-history/</w:t>
      </w:r>
      <w:r>
        <w:rPr>
          <w:rFonts w:cstheme="minorHAnsi"/>
        </w:rPr>
        <w:t xml:space="preserve"> (Accessed 6</w:t>
      </w:r>
      <w:r w:rsidRPr="00E73760">
        <w:rPr>
          <w:rFonts w:cstheme="minorHAnsi"/>
          <w:vertAlign w:val="superscript"/>
        </w:rPr>
        <w:t>th</w:t>
      </w:r>
      <w:r>
        <w:rPr>
          <w:rFonts w:cstheme="minorHAnsi"/>
        </w:rPr>
        <w:t xml:space="preserve"> December 2022)</w:t>
      </w:r>
    </w:p>
    <w:p w14:paraId="3032325B" w14:textId="77777777" w:rsidR="00E90701" w:rsidRDefault="00E90701" w:rsidP="00E90701">
      <w:pPr>
        <w:spacing w:line="360" w:lineRule="auto"/>
        <w:rPr>
          <w:rFonts w:cstheme="minorHAnsi"/>
        </w:rPr>
      </w:pPr>
    </w:p>
    <w:p w14:paraId="4A79816B" w14:textId="5CD69C2C" w:rsidR="00E90701" w:rsidRPr="000924AE" w:rsidRDefault="00E90701" w:rsidP="00E90701">
      <w:pPr>
        <w:spacing w:line="360" w:lineRule="auto"/>
        <w:rPr>
          <w:rFonts w:cstheme="minorHAnsi"/>
        </w:rPr>
      </w:pPr>
      <w:r>
        <w:rPr>
          <w:rFonts w:cstheme="minorHAnsi"/>
        </w:rPr>
        <w:t xml:space="preserve">Theobald M. (2019) ‘UN Convention on the Rights of the Child: Where are we at in recognising children’s rights in early childhood, three decades on…?’, </w:t>
      </w:r>
      <w:r w:rsidRPr="000924AE">
        <w:rPr>
          <w:rFonts w:cstheme="minorHAnsi"/>
          <w:i/>
          <w:iCs/>
        </w:rPr>
        <w:t>International Journal of Early Childhood</w:t>
      </w:r>
      <w:r>
        <w:rPr>
          <w:rFonts w:cstheme="minorHAnsi"/>
          <w:i/>
          <w:iCs/>
        </w:rPr>
        <w:t xml:space="preserve">, </w:t>
      </w:r>
      <w:r>
        <w:rPr>
          <w:rFonts w:cstheme="minorHAnsi"/>
        </w:rPr>
        <w:t>51(1), pp. 251-257.</w:t>
      </w:r>
    </w:p>
    <w:p w14:paraId="13FD1496" w14:textId="77777777" w:rsidR="00E90701" w:rsidRDefault="00E90701" w:rsidP="00E90701">
      <w:pPr>
        <w:spacing w:line="360" w:lineRule="auto"/>
        <w:rPr>
          <w:rFonts w:cstheme="minorHAnsi"/>
        </w:rPr>
      </w:pPr>
    </w:p>
    <w:p w14:paraId="3266BB97" w14:textId="10C295E4" w:rsidR="00E90701" w:rsidRPr="003F624E" w:rsidRDefault="00E90701" w:rsidP="00E90701">
      <w:pPr>
        <w:spacing w:line="360" w:lineRule="auto"/>
        <w:rPr>
          <w:rFonts w:cstheme="minorHAnsi"/>
        </w:rPr>
      </w:pPr>
      <w:proofErr w:type="spellStart"/>
      <w:r>
        <w:rPr>
          <w:rFonts w:cstheme="minorHAnsi"/>
        </w:rPr>
        <w:t>Topor</w:t>
      </w:r>
      <w:proofErr w:type="spellEnd"/>
      <w:r>
        <w:rPr>
          <w:rFonts w:cstheme="minorHAnsi"/>
        </w:rPr>
        <w:t xml:space="preserve"> R D, Keane P S, Shelton L T, Calkins D S. (2011) ‘Parent involvement and student academic performance: A multiple meditational analysis’, </w:t>
      </w:r>
      <w:r w:rsidRPr="003F624E">
        <w:rPr>
          <w:rFonts w:cstheme="minorHAnsi"/>
          <w:i/>
          <w:iCs/>
        </w:rPr>
        <w:t>HMS Public Access</w:t>
      </w:r>
      <w:r>
        <w:rPr>
          <w:rFonts w:cstheme="minorHAnsi"/>
        </w:rPr>
        <w:t>, 38(3), pp. 183-197.</w:t>
      </w:r>
    </w:p>
    <w:p w14:paraId="27451011" w14:textId="77777777" w:rsidR="00E90701" w:rsidRDefault="00E90701" w:rsidP="00E90701">
      <w:pPr>
        <w:spacing w:line="360" w:lineRule="auto"/>
      </w:pPr>
    </w:p>
    <w:p w14:paraId="2A3761E7" w14:textId="6F0B8047" w:rsidR="00E90701" w:rsidRDefault="00E90701" w:rsidP="00E90701">
      <w:pPr>
        <w:spacing w:line="360" w:lineRule="auto"/>
        <w:rPr>
          <w:rFonts w:cstheme="minorHAnsi"/>
        </w:rPr>
      </w:pPr>
      <w:r w:rsidRPr="000924AE">
        <w:t xml:space="preserve">Welsh Government (2015) </w:t>
      </w:r>
      <w:r w:rsidRPr="000924AE">
        <w:rPr>
          <w:i/>
          <w:iCs/>
        </w:rPr>
        <w:t xml:space="preserve">Written Statement </w:t>
      </w:r>
      <w:r>
        <w:rPr>
          <w:i/>
          <w:iCs/>
        </w:rPr>
        <w:t>–</w:t>
      </w:r>
      <w:r w:rsidRPr="000924AE">
        <w:rPr>
          <w:i/>
          <w:iCs/>
        </w:rPr>
        <w:t> Social Services and Well-being (Wales) Act – Children and Young People</w:t>
      </w:r>
      <w:r>
        <w:rPr>
          <w:b/>
          <w:bCs/>
          <w:i/>
          <w:iCs/>
        </w:rPr>
        <w:t xml:space="preserve">. </w:t>
      </w:r>
      <w:r w:rsidRPr="000924AE">
        <w:t>Available at</w:t>
      </w:r>
      <w:r>
        <w:rPr>
          <w:b/>
          <w:bCs/>
        </w:rPr>
        <w:t xml:space="preserve">: </w:t>
      </w:r>
      <w:r w:rsidRPr="000924AE">
        <w:t>https://gov.wales/written-statement-social-</w:t>
      </w:r>
      <w:r w:rsidRPr="000924AE">
        <w:lastRenderedPageBreak/>
        <w:t>services-and-well-being-wales-act-children-and-young-people</w:t>
      </w:r>
      <w:r>
        <w:rPr>
          <w:b/>
          <w:bCs/>
        </w:rPr>
        <w:t>. (</w:t>
      </w:r>
      <w:r>
        <w:rPr>
          <w:rFonts w:cstheme="minorHAnsi"/>
        </w:rPr>
        <w:t>Accessed 8th December 2022)</w:t>
      </w:r>
    </w:p>
    <w:p w14:paraId="77CAEC0A" w14:textId="77777777" w:rsidR="00E90701" w:rsidRDefault="00E90701" w:rsidP="00E90701">
      <w:pPr>
        <w:spacing w:line="360" w:lineRule="auto"/>
        <w:rPr>
          <w:rFonts w:cstheme="minorHAnsi"/>
        </w:rPr>
      </w:pPr>
    </w:p>
    <w:p w14:paraId="29B3B0CA" w14:textId="1F8621C9" w:rsidR="00E90701" w:rsidRDefault="00E90701" w:rsidP="00E90701">
      <w:pPr>
        <w:spacing w:line="360" w:lineRule="auto"/>
        <w:rPr>
          <w:rFonts w:cstheme="minorHAnsi"/>
        </w:rPr>
      </w:pPr>
      <w:r>
        <w:rPr>
          <w:rFonts w:cstheme="minorHAnsi"/>
        </w:rPr>
        <w:t xml:space="preserve">Widdowson A D, Dixon S R, Peterson R E, Davies R M C &amp; Irving E S. (2014) ‘Why go to school? Student, parents and teacher beliefs about the purpose of schooling.’, </w:t>
      </w:r>
      <w:r>
        <w:rPr>
          <w:rFonts w:cstheme="minorHAnsi"/>
          <w:i/>
          <w:iCs/>
        </w:rPr>
        <w:t xml:space="preserve">Asia Pacific Journal of Education, </w:t>
      </w:r>
      <w:r>
        <w:rPr>
          <w:rFonts w:cstheme="minorHAnsi"/>
        </w:rPr>
        <w:t>35(4), pp. 471-484.</w:t>
      </w:r>
    </w:p>
    <w:sectPr w:rsidR="00E907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EAB"/>
    <w:multiLevelType w:val="hybridMultilevel"/>
    <w:tmpl w:val="5AE46460"/>
    <w:lvl w:ilvl="0" w:tplc="C5C8438A">
      <w:start w:val="20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A32D5"/>
    <w:multiLevelType w:val="hybridMultilevel"/>
    <w:tmpl w:val="1200F846"/>
    <w:lvl w:ilvl="0" w:tplc="B0A4FDCC">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944"/>
    <w:rsid w:val="000924AE"/>
    <w:rsid w:val="000E7EAC"/>
    <w:rsid w:val="00356E64"/>
    <w:rsid w:val="003B3D9B"/>
    <w:rsid w:val="003F624E"/>
    <w:rsid w:val="005C7D35"/>
    <w:rsid w:val="00841822"/>
    <w:rsid w:val="009B6551"/>
    <w:rsid w:val="00D947BD"/>
    <w:rsid w:val="00E73760"/>
    <w:rsid w:val="00E90701"/>
    <w:rsid w:val="00F6188D"/>
    <w:rsid w:val="00F97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76E4E3"/>
  <w15:chartTrackingRefBased/>
  <w15:docId w15:val="{F15DA78D-266D-3E43-BE1C-40D98C98C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4AE"/>
    <w:rPr>
      <w:rFonts w:ascii="Times New Roman" w:eastAsia="Times New Roman" w:hAnsi="Times New Roman" w:cs="Times New Roman"/>
      <w:lang w:eastAsia="en-GB"/>
    </w:rPr>
  </w:style>
  <w:style w:type="paragraph" w:styleId="Heading1">
    <w:name w:val="heading 1"/>
    <w:basedOn w:val="Normal"/>
    <w:link w:val="Heading1Char"/>
    <w:uiPriority w:val="9"/>
    <w:qFormat/>
    <w:rsid w:val="000924A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944"/>
    <w:pPr>
      <w:ind w:left="720"/>
      <w:contextualSpacing/>
    </w:pPr>
    <w:rPr>
      <w:rFonts w:asciiTheme="minorHAnsi" w:eastAsiaTheme="minorHAnsi" w:hAnsiTheme="minorHAnsi" w:cstheme="minorBidi"/>
      <w:lang w:eastAsia="en-US"/>
    </w:rPr>
  </w:style>
  <w:style w:type="table" w:styleId="TableGrid">
    <w:name w:val="Table Grid"/>
    <w:basedOn w:val="TableNormal"/>
    <w:uiPriority w:val="59"/>
    <w:rsid w:val="00F97944"/>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3760"/>
    <w:rPr>
      <w:color w:val="0563C1" w:themeColor="hyperlink"/>
      <w:u w:val="single"/>
    </w:rPr>
  </w:style>
  <w:style w:type="character" w:styleId="UnresolvedMention">
    <w:name w:val="Unresolved Mention"/>
    <w:basedOn w:val="DefaultParagraphFont"/>
    <w:uiPriority w:val="99"/>
    <w:semiHidden/>
    <w:unhideWhenUsed/>
    <w:rsid w:val="00E73760"/>
    <w:rPr>
      <w:color w:val="605E5C"/>
      <w:shd w:val="clear" w:color="auto" w:fill="E1DFDD"/>
    </w:rPr>
  </w:style>
  <w:style w:type="character" w:styleId="FollowedHyperlink">
    <w:name w:val="FollowedHyperlink"/>
    <w:basedOn w:val="DefaultParagraphFont"/>
    <w:uiPriority w:val="99"/>
    <w:semiHidden/>
    <w:unhideWhenUsed/>
    <w:rsid w:val="00E73760"/>
    <w:rPr>
      <w:color w:val="954F72" w:themeColor="followedHyperlink"/>
      <w:u w:val="single"/>
    </w:rPr>
  </w:style>
  <w:style w:type="character" w:customStyle="1" w:styleId="Heading1Char">
    <w:name w:val="Heading 1 Char"/>
    <w:basedOn w:val="DefaultParagraphFont"/>
    <w:link w:val="Heading1"/>
    <w:uiPriority w:val="9"/>
    <w:rsid w:val="000924A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345751">
      <w:bodyDiv w:val="1"/>
      <w:marLeft w:val="0"/>
      <w:marRight w:val="0"/>
      <w:marTop w:val="0"/>
      <w:marBottom w:val="0"/>
      <w:divBdr>
        <w:top w:val="none" w:sz="0" w:space="0" w:color="auto"/>
        <w:left w:val="none" w:sz="0" w:space="0" w:color="auto"/>
        <w:bottom w:val="none" w:sz="0" w:space="0" w:color="auto"/>
        <w:right w:val="none" w:sz="0" w:space="0" w:color="auto"/>
      </w:divBdr>
    </w:div>
    <w:div w:id="825778233">
      <w:bodyDiv w:val="1"/>
      <w:marLeft w:val="0"/>
      <w:marRight w:val="0"/>
      <w:marTop w:val="0"/>
      <w:marBottom w:val="0"/>
      <w:divBdr>
        <w:top w:val="none" w:sz="0" w:space="0" w:color="auto"/>
        <w:left w:val="none" w:sz="0" w:space="0" w:color="auto"/>
        <w:bottom w:val="none" w:sz="0" w:space="0" w:color="auto"/>
        <w:right w:val="none" w:sz="0" w:space="0" w:color="auto"/>
      </w:divBdr>
      <w:divsChild>
        <w:div w:id="1067074596">
          <w:marLeft w:val="0"/>
          <w:marRight w:val="0"/>
          <w:marTop w:val="0"/>
          <w:marBottom w:val="600"/>
          <w:divBdr>
            <w:top w:val="none" w:sz="0" w:space="0" w:color="auto"/>
            <w:left w:val="none" w:sz="0" w:space="0" w:color="auto"/>
            <w:bottom w:val="none" w:sz="0" w:space="0" w:color="auto"/>
            <w:right w:val="none" w:sz="0" w:space="0" w:color="auto"/>
          </w:divBdr>
          <w:divsChild>
            <w:div w:id="1691762814">
              <w:marLeft w:val="0"/>
              <w:marRight w:val="0"/>
              <w:marTop w:val="0"/>
              <w:marBottom w:val="0"/>
              <w:divBdr>
                <w:top w:val="none" w:sz="0" w:space="0" w:color="auto"/>
                <w:left w:val="none" w:sz="0" w:space="0" w:color="auto"/>
                <w:bottom w:val="none" w:sz="0" w:space="0" w:color="auto"/>
                <w:right w:val="none" w:sz="0" w:space="0" w:color="auto"/>
              </w:divBdr>
              <w:divsChild>
                <w:div w:id="1968654921">
                  <w:marLeft w:val="-300"/>
                  <w:marRight w:val="-300"/>
                  <w:marTop w:val="0"/>
                  <w:marBottom w:val="0"/>
                  <w:divBdr>
                    <w:top w:val="none" w:sz="0" w:space="0" w:color="auto"/>
                    <w:left w:val="none" w:sz="0" w:space="0" w:color="auto"/>
                    <w:bottom w:val="none" w:sz="0" w:space="0" w:color="auto"/>
                    <w:right w:val="none" w:sz="0" w:space="0" w:color="auto"/>
                  </w:divBdr>
                  <w:divsChild>
                    <w:div w:id="864757535">
                      <w:marLeft w:val="0"/>
                      <w:marRight w:val="0"/>
                      <w:marTop w:val="0"/>
                      <w:marBottom w:val="0"/>
                      <w:divBdr>
                        <w:top w:val="none" w:sz="0" w:space="0" w:color="auto"/>
                        <w:left w:val="none" w:sz="0" w:space="0" w:color="auto"/>
                        <w:bottom w:val="none" w:sz="0" w:space="0" w:color="auto"/>
                        <w:right w:val="none" w:sz="0" w:space="0" w:color="auto"/>
                      </w:divBdr>
                      <w:divsChild>
                        <w:div w:id="625475895">
                          <w:marLeft w:val="0"/>
                          <w:marRight w:val="0"/>
                          <w:marTop w:val="0"/>
                          <w:marBottom w:val="0"/>
                          <w:divBdr>
                            <w:top w:val="none" w:sz="0" w:space="0" w:color="auto"/>
                            <w:left w:val="none" w:sz="0" w:space="0" w:color="auto"/>
                            <w:bottom w:val="none" w:sz="0" w:space="0" w:color="auto"/>
                            <w:right w:val="none" w:sz="0" w:space="0" w:color="auto"/>
                          </w:divBdr>
                          <w:divsChild>
                            <w:div w:id="115206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6552911">
      <w:bodyDiv w:val="1"/>
      <w:marLeft w:val="0"/>
      <w:marRight w:val="0"/>
      <w:marTop w:val="0"/>
      <w:marBottom w:val="0"/>
      <w:divBdr>
        <w:top w:val="none" w:sz="0" w:space="0" w:color="auto"/>
        <w:left w:val="none" w:sz="0" w:space="0" w:color="auto"/>
        <w:bottom w:val="none" w:sz="0" w:space="0" w:color="auto"/>
        <w:right w:val="none" w:sz="0" w:space="0" w:color="auto"/>
      </w:divBdr>
    </w:div>
    <w:div w:id="1959288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3167</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Jones (2103311)</dc:creator>
  <cp:keywords/>
  <dc:description/>
  <cp:lastModifiedBy>Seren Jones (2103311)</cp:lastModifiedBy>
  <cp:revision>2</cp:revision>
  <dcterms:created xsi:type="dcterms:W3CDTF">2022-12-11T18:45:00Z</dcterms:created>
  <dcterms:modified xsi:type="dcterms:W3CDTF">2022-12-11T18:45:00Z</dcterms:modified>
</cp:coreProperties>
</file>