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Riley Tippett</w:t>
      </w:r>
    </w:p>
    <w:p w:rsidR="00000000" w:rsidDel="00000000" w:rsidP="00000000" w:rsidRDefault="00000000" w:rsidRPr="00000000" w14:paraId="00000002">
      <w:pPr>
        <w:rPr/>
      </w:pPr>
      <w:r w:rsidDel="00000000" w:rsidR="00000000" w:rsidRPr="00000000">
        <w:rPr>
          <w:rtl w:val="0"/>
        </w:rPr>
        <w:t xml:space="preserve">2305603</w:t>
      </w:r>
    </w:p>
    <w:p w:rsidR="00000000" w:rsidDel="00000000" w:rsidP="00000000" w:rsidRDefault="00000000" w:rsidRPr="00000000" w14:paraId="00000003">
      <w:pPr>
        <w:rPr/>
      </w:pPr>
      <w:r w:rsidDel="00000000" w:rsidR="00000000" w:rsidRPr="00000000">
        <w:rPr>
          <w:rtl w:val="0"/>
        </w:rPr>
        <w:t xml:space="preserve">Jacqui Jones </w:t>
      </w:r>
    </w:p>
    <w:p w:rsidR="00000000" w:rsidDel="00000000" w:rsidP="00000000" w:rsidRDefault="00000000" w:rsidRPr="00000000" w14:paraId="00000004">
      <w:pPr>
        <w:rPr/>
      </w:pPr>
      <w:r w:rsidDel="00000000" w:rsidR="00000000" w:rsidRPr="00000000">
        <w:rPr>
          <w:rtl w:val="0"/>
        </w:rPr>
        <w:t xml:space="preserve">Crisis Management (BMTP6020)</w:t>
      </w:r>
    </w:p>
    <w:p w:rsidR="00000000" w:rsidDel="00000000" w:rsidP="00000000" w:rsidRDefault="00000000" w:rsidRPr="00000000" w14:paraId="00000005">
      <w:pPr>
        <w:rPr/>
      </w:pPr>
      <w:r w:rsidDel="00000000" w:rsidR="00000000" w:rsidRPr="00000000">
        <w:rPr>
          <w:rtl w:val="0"/>
        </w:rPr>
        <w:t xml:space="preserve">Crisis Review</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Word Count - 1502</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b w:val="1"/>
          <w:bCs w:val="1"/>
          <w:i w:val="1"/>
          <w:iCs w:val="1"/>
          <w:sz w:val="24"/>
          <w:szCs w:val="24"/>
          <w:u w:val="single"/>
        </w:rPr>
      </w:pPr>
      <w:r w:rsidDel="00000000" w:rsidR="00000000" w:rsidRPr="00000000">
        <w:rPr>
          <w:b w:val="1"/>
          <w:bCs w:val="1"/>
          <w:i w:val="1"/>
          <w:iCs w:val="1"/>
          <w:sz w:val="24"/>
          <w:szCs w:val="24"/>
          <w:u w:val="single"/>
          <w:rtl w:val="0"/>
        </w:rPr>
        <w:t xml:space="preserve">Introduction</w:t>
      </w:r>
    </w:p>
    <w:p w:rsidR="00000000" w:rsidDel="00000000" w:rsidP="00000000" w:rsidRDefault="00000000" w:rsidRPr="00000000" w14:paraId="0000000A">
      <w:pPr>
        <w:spacing w:after="240" w:before="240" w:lineRule="auto"/>
        <w:rPr/>
      </w:pPr>
      <w:r w:rsidDel="00000000" w:rsidR="00000000" w:rsidRPr="00000000">
        <w:rPr>
          <w:rtl w:val="0"/>
        </w:rPr>
        <w:t xml:space="preserve">The crisis management exercise was delivered within an immersive simulation environment at the university and was based on a hypothetical international football fixture between Wales and Russia, set in Cardiff as the host city. The purpose of the exercise was to assess strategic leadership, risk awareness, and inter-agency coordination within a high-risk event context. National guidance recognises that major sporting events and crowded places present elevated risks due to high crowd density, emotional intensity, and the potential for disorder or hostile activity, requiring structured planning and command oversight (Cabinet Office, 2023). The scenario reflected these risks through simulated large-scale attendance, external fan zones, protest activity, and terrorism-related threats.</w:t>
      </w:r>
    </w:p>
    <w:p w:rsidR="00000000" w:rsidDel="00000000" w:rsidP="00000000" w:rsidRDefault="00000000" w:rsidRPr="00000000" w14:paraId="0000000B">
      <w:pPr>
        <w:spacing w:after="240" w:before="240" w:lineRule="auto"/>
        <w:rPr/>
      </w:pPr>
      <w:r w:rsidDel="00000000" w:rsidR="00000000" w:rsidRPr="00000000">
        <w:rPr>
          <w:rtl w:val="0"/>
        </w:rPr>
        <w:t xml:space="preserve">The exercise was structured around the Gold–Silver–Bronze command framework, which underpins emergency and public order management within the United Kingdom. Within this structure, Gold Command holds responsibility for establishing strategic objectives, prioritising the preservation of life, and ensuring that appropriate resources are available to respond to emerging threats. The College of Policing (2015) emphasises that strategic commanders must maintain oversight while responding to dynamic and uncertain situations, particularly during incidents involving public disorder or crowd risk. Operating at Gold Command therefore required balancing competing demands, limited information, and time-critical decision-making in line with recognised crisis management principles.</w:t>
      </w:r>
    </w:p>
    <w:p w:rsidR="00000000" w:rsidDel="00000000" w:rsidP="00000000" w:rsidRDefault="00000000" w:rsidRPr="00000000" w14:paraId="0000000C">
      <w:pPr>
        <w:spacing w:after="240" w:before="240" w:lineRule="auto"/>
        <w:rPr/>
      </w:pPr>
      <w:r w:rsidDel="00000000" w:rsidR="00000000" w:rsidRPr="00000000">
        <w:rPr>
          <w:rtl w:val="0"/>
        </w:rPr>
        <w:t xml:space="preserve">The scale of the simulated event significantly increased the overall risk profile, with attendance figures of approximately 35,000 Welsh supporters, 15,000 Russian supporters, and 2,000 dignitaries. The Safety of Sports Grounds Act 1975 places a legal duty on event organisers and authorities to ensure spectator safety at designated sports grounds, supported by detailed guidance on crowd management and emergency planning (HM Government, 1975). This guidance is expanded within the Guide to Safety at Sports Grounds, which stresses the importance of crowd segregation, emergency access, and contingency arrangements at high-capacity venues (SGSA, 2018). In addition, Martyn’s Law reinforces the expectation that event planners and strategic commanders proactively address terrorism and hostile threat mitigation as part of event safety planning (Home Office, 2023).</w:t>
      </w:r>
    </w:p>
    <w:p w:rsidR="00000000" w:rsidDel="00000000" w:rsidP="00000000" w:rsidRDefault="00000000" w:rsidRPr="00000000" w14:paraId="0000000D">
      <w:pPr>
        <w:spacing w:after="240" w:before="240" w:lineRule="auto"/>
        <w:rPr/>
      </w:pPr>
      <w:r w:rsidDel="00000000" w:rsidR="00000000" w:rsidRPr="00000000">
        <w:rPr>
          <w:rtl w:val="0"/>
        </w:rPr>
      </w:r>
    </w:p>
    <w:p w:rsidR="00000000" w:rsidDel="00000000" w:rsidP="00000000" w:rsidRDefault="00000000" w:rsidRPr="00000000" w14:paraId="0000000E">
      <w:pPr>
        <w:spacing w:after="240" w:before="240" w:lineRule="auto"/>
        <w:rPr/>
      </w:pPr>
      <w:r w:rsidDel="00000000" w:rsidR="00000000" w:rsidRPr="00000000">
        <w:rPr>
          <w:rtl w:val="0"/>
        </w:rPr>
      </w:r>
    </w:p>
    <w:p w:rsidR="00000000" w:rsidDel="00000000" w:rsidP="00000000" w:rsidRDefault="00000000" w:rsidRPr="00000000" w14:paraId="0000000F">
      <w:pPr>
        <w:spacing w:after="240" w:before="240" w:lineRule="auto"/>
        <w:rPr/>
      </w:pPr>
      <w:r w:rsidDel="00000000" w:rsidR="00000000" w:rsidRPr="00000000">
        <w:rPr>
          <w:rtl w:val="0"/>
        </w:rPr>
      </w:r>
    </w:p>
    <w:p w:rsidR="00000000" w:rsidDel="00000000" w:rsidP="00000000" w:rsidRDefault="00000000" w:rsidRPr="00000000" w14:paraId="00000010">
      <w:pPr>
        <w:spacing w:after="240" w:before="240" w:lineRule="auto"/>
        <w:rPr/>
      </w:pPr>
      <w:r w:rsidDel="00000000" w:rsidR="00000000" w:rsidRPr="00000000">
        <w:rPr>
          <w:rtl w:val="0"/>
        </w:rPr>
      </w:r>
    </w:p>
    <w:p w:rsidR="00000000" w:rsidDel="00000000" w:rsidP="00000000" w:rsidRDefault="00000000" w:rsidRPr="00000000" w14:paraId="00000011">
      <w:pPr>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 Risk Identification, Planning and Preparedness</w:t>
      </w:r>
    </w:p>
    <w:p w:rsidR="00000000" w:rsidDel="00000000" w:rsidP="00000000" w:rsidRDefault="00000000" w:rsidRPr="00000000" w14:paraId="00000012">
      <w:pPr>
        <w:spacing w:after="240" w:before="240" w:lineRule="auto"/>
        <w:rPr/>
      </w:pPr>
      <w:r w:rsidDel="00000000" w:rsidR="00000000" w:rsidRPr="00000000">
        <w:rPr>
          <w:rtl w:val="0"/>
        </w:rPr>
        <w:t xml:space="preserve">Good crisis management starts with identifying risks properly and planning for them before an event takes place. In the simulated Wales v Russia scenario, the international nature of the fixture, the size of the crowd, and the political context should have led to a more detailed risk assessment. Alexander (2013) explains that large public events bring together large numbers of people in a short space of time, which increases the chance that small problems can quickly become serious incidents. From a Gold Command perspective, this meant thinking ahead about what could go wrong rather than responding only once issues began to appear.</w:t>
      </w:r>
    </w:p>
    <w:p w:rsidR="00000000" w:rsidDel="00000000" w:rsidP="00000000" w:rsidRDefault="00000000" w:rsidRPr="00000000" w14:paraId="00000013">
      <w:pPr>
        <w:spacing w:after="240" w:before="240" w:lineRule="auto"/>
        <w:rPr/>
      </w:pPr>
      <w:r w:rsidDel="00000000" w:rsidR="00000000" w:rsidRPr="00000000">
        <w:rPr>
          <w:rtl w:val="0"/>
        </w:rPr>
        <w:t xml:space="preserve">Risk assessment models used in crisis planning focus on how likely an incident is and how serious the impact could be. Fink (2002) argues that organisations often plan for the most obvious risks but fail to prepare for worst-case scenarios. In this exercise, emergency planning should therefore have considered scenarios such as widespread disorder between supporters, overcrowding in fan zones, or a serious security incident. These types of risks are well known in football event planning and should have been clearly built into risk assessments and contingency plans.</w:t>
      </w:r>
    </w:p>
    <w:p w:rsidR="00000000" w:rsidDel="00000000" w:rsidP="00000000" w:rsidRDefault="00000000" w:rsidRPr="00000000" w14:paraId="00000014">
      <w:pPr>
        <w:spacing w:after="240" w:before="240" w:lineRule="auto"/>
        <w:rPr/>
      </w:pPr>
      <w:r w:rsidDel="00000000" w:rsidR="00000000" w:rsidRPr="00000000">
        <w:rPr>
          <w:rtl w:val="0"/>
        </w:rPr>
        <w:t xml:space="preserve">Crowd management is a key part of this planning. Still (2014) highlights that crowd density, poor segregation, and bottlenecks are common causes of crowd disorder and safety incidents. These risks should have been addressed during planning, particularly around entry and exit routes, transport hubs, and areas where supporters were likely to gather before and after the match. The fact that these issues emerged during the simulation suggests that planning controls were not strong enough.</w:t>
      </w:r>
    </w:p>
    <w:p w:rsidR="00000000" w:rsidDel="00000000" w:rsidP="00000000" w:rsidRDefault="00000000" w:rsidRPr="00000000" w14:paraId="00000015">
      <w:pPr>
        <w:spacing w:after="240" w:before="240" w:lineRule="auto"/>
        <w:rPr/>
      </w:pPr>
      <w:r w:rsidDel="00000000" w:rsidR="00000000" w:rsidRPr="00000000">
        <w:rPr>
          <w:rtl w:val="0"/>
        </w:rPr>
        <w:t xml:space="preserve">Finally, Mitroff (2005) states that good crisis preparation involves deciding in advance what resources may be needed and when escalation should occur. During the exercise, the need to request specialist resources reactively showed that planning could have been stronger, reducing pressure on Gold Command during the crisis.</w:t>
      </w:r>
    </w:p>
    <w:p w:rsidR="00000000" w:rsidDel="00000000" w:rsidP="00000000" w:rsidRDefault="00000000" w:rsidRPr="00000000" w14:paraId="00000016">
      <w:pPr>
        <w:rPr>
          <w:b w:val="1"/>
          <w:bCs w:val="1"/>
          <w:i w:val="1"/>
          <w:iCs w:val="1"/>
          <w:sz w:val="24"/>
          <w:szCs w:val="24"/>
          <w:u w:val="single"/>
        </w:rPr>
      </w:pPr>
      <w:r w:rsidDel="00000000" w:rsidR="00000000" w:rsidRPr="00000000">
        <w:rPr>
          <w:b w:val="1"/>
          <w:bCs w:val="1"/>
          <w:i w:val="1"/>
          <w:iCs w:val="1"/>
          <w:sz w:val="24"/>
          <w:szCs w:val="24"/>
          <w:u w:val="single"/>
          <w:rtl w:val="0"/>
        </w:rPr>
        <w:t xml:space="preserve">Crisis Response – Immediate Actions and Decision-Making</w:t>
      </w:r>
    </w:p>
    <w:p w:rsidR="00000000" w:rsidDel="00000000" w:rsidP="00000000" w:rsidRDefault="00000000" w:rsidRPr="00000000" w14:paraId="00000017">
      <w:pPr>
        <w:rPr/>
      </w:pPr>
      <w:r w:rsidDel="00000000" w:rsidR="00000000" w:rsidRPr="00000000">
        <w:rPr>
          <w:rtl w:val="0"/>
        </w:rPr>
        <w:t xml:space="preserve">During the crisis response phase of the exercise, Gold Command was required to make a series of strategic decisions as risks escalated and information evolved. Crisis literature highlights that this phase is defined by uncertainty, time pressure, and the need to act without complete information (Boin et al., 2017). From a Gold Command perspective, the primary responsibility was to maintain strategic control while preventing escalation into a major incident.</w:t>
      </w:r>
    </w:p>
    <w:p w:rsidR="00000000" w:rsidDel="00000000" w:rsidP="00000000" w:rsidRDefault="00000000" w:rsidRPr="00000000" w14:paraId="00000018">
      <w:pPr>
        <w:spacing w:after="240" w:before="240" w:lineRule="auto"/>
        <w:rPr/>
      </w:pPr>
      <w:r w:rsidDel="00000000" w:rsidR="00000000" w:rsidRPr="00000000">
        <w:rPr>
          <w:rtl w:val="0"/>
        </w:rPr>
        <w:t xml:space="preserve">One of the most significant decisions concerned whether to disrupt the event or allow it to continue under heightened control. Gold Command assessed that an immediate suspension or evacuation could increase the risk of crowd panic, congestion, and secondary incidents. Instead, the decision was taken to focus on containment and reassurance. This included authorising the escalation of public order resources and increasing police visibility in high-risk areas. Flin et al. (2008) argue that effective command decisions prioritise stabilisation and control in order to reduce uncertainty within dynamic environments, supporting this approach.</w:t>
      </w:r>
    </w:p>
    <w:p w:rsidR="00000000" w:rsidDel="00000000" w:rsidP="00000000" w:rsidRDefault="00000000" w:rsidRPr="00000000" w14:paraId="00000019">
      <w:pPr>
        <w:spacing w:after="240" w:before="240" w:lineRule="auto"/>
        <w:rPr/>
      </w:pPr>
      <w:r w:rsidDel="00000000" w:rsidR="00000000" w:rsidRPr="00000000">
        <w:rPr>
          <w:rtl w:val="0"/>
        </w:rPr>
        <w:t xml:space="preserve">A further key decision related to preparedness for potential hostile or terrorism-related threats. While no specific attack indicators were confirmed, Gold Command recognised the need to plan for low-probability, high-impact scenarios. Aven (2015) emphasises that risk-based decision-making requires leaders to consider both likelihood and consequence, particularly where public safety is concerned. As a result, precautionary measures were supported to ensure specialist capabilities could be deployed rapidly if required, without unnecessarily escalating the situation.</w:t>
      </w:r>
    </w:p>
    <w:p w:rsidR="00000000" w:rsidDel="00000000" w:rsidP="00000000" w:rsidRDefault="00000000" w:rsidRPr="00000000" w14:paraId="0000001A">
      <w:pPr>
        <w:spacing w:after="240" w:before="240" w:lineRule="auto"/>
        <w:rPr/>
      </w:pPr>
      <w:r w:rsidDel="00000000" w:rsidR="00000000" w:rsidRPr="00000000">
        <w:rPr>
          <w:rtl w:val="0"/>
        </w:rPr>
        <w:t xml:space="preserve">The exercise also highlighted challenges associated with rapid decision-making at a strategic level. Some decisions were made in response to emerging information rather than through predefined escalation thresholds. Boin et al. (2017) suggest that while adaptive decision-making is essential during crises, clearer decision frameworks can reduce pressure on senior commanders. Although Gold Command decisions were effective overall, the exercise demonstrated the value of clearer pre-planned decision points to support strategic leadership during fast-moving incidents.</w:t>
      </w:r>
    </w:p>
    <w:p w:rsidR="00000000" w:rsidDel="00000000" w:rsidP="00000000" w:rsidRDefault="00000000" w:rsidRPr="00000000" w14:paraId="0000001B">
      <w:pPr>
        <w:rPr>
          <w:b w:val="1"/>
          <w:bCs w:val="1"/>
          <w:i w:val="1"/>
          <w:iCs w:val="1"/>
          <w:sz w:val="24"/>
          <w:szCs w:val="24"/>
          <w:u w:val="single"/>
        </w:rPr>
      </w:pPr>
      <w:r w:rsidDel="00000000" w:rsidR="00000000" w:rsidRPr="00000000">
        <w:rPr>
          <w:b w:val="1"/>
          <w:bCs w:val="1"/>
          <w:i w:val="1"/>
          <w:iCs w:val="1"/>
          <w:sz w:val="24"/>
          <w:szCs w:val="24"/>
          <w:u w:val="single"/>
          <w:rtl w:val="0"/>
        </w:rPr>
        <w:t xml:space="preserve">Crisis Recovery – Impact, Restoration, Evaluation and Improvement</w:t>
      </w:r>
    </w:p>
    <w:p w:rsidR="00000000" w:rsidDel="00000000" w:rsidP="00000000" w:rsidRDefault="00000000" w:rsidRPr="00000000" w14:paraId="0000001C">
      <w:pPr>
        <w:spacing w:after="240" w:before="240" w:lineRule="auto"/>
        <w:rPr/>
      </w:pPr>
      <w:r w:rsidDel="00000000" w:rsidR="00000000" w:rsidRPr="00000000">
        <w:rPr>
          <w:rtl w:val="0"/>
        </w:rPr>
        <w:t xml:space="preserve">The crisis recovery phase focuses on how effectively an organisation assesses the impact of a crisis, restores stability, and learns from the experience to improve future performance. Crisis management theory suggests that recovery should not be viewed as the end of an incident, but as a critical opportunity to strengthen systems, leadership, and preparedness (Boin et al., 2017). From a Gold Command perspective, this phase required reflecting on how strategic decisions influenced safety, control, and overall event stability.</w:t>
      </w:r>
    </w:p>
    <w:p w:rsidR="00000000" w:rsidDel="00000000" w:rsidP="00000000" w:rsidRDefault="00000000" w:rsidRPr="00000000" w14:paraId="0000001D">
      <w:pPr>
        <w:spacing w:after="240" w:before="240" w:lineRule="auto"/>
        <w:rPr/>
      </w:pPr>
      <w:r w:rsidDel="00000000" w:rsidR="00000000" w:rsidRPr="00000000">
        <w:rPr>
          <w:rtl w:val="0"/>
        </w:rPr>
        <w:t xml:space="preserve">In terms of impact assessment, Gold Command would need to evaluate how decisions taken during the response phase affected crowd behaviour, public confidence, and inter-agency coordination. Although the exercise did not result in serious harm, the situation placed significant pressure on strategic decision-making. Fink (2002) argues that near-miss incidents often provide the most valuable learning opportunities, as they expose weaknesses that may not be visible during routine operations. In this case, reliance on reactive escalation highlighted areas where planning and decision support could be improved.</w:t>
      </w:r>
    </w:p>
    <w:p w:rsidR="00000000" w:rsidDel="00000000" w:rsidP="00000000" w:rsidRDefault="00000000" w:rsidRPr="00000000" w14:paraId="0000001E">
      <w:pPr>
        <w:spacing w:after="240" w:before="240" w:lineRule="auto"/>
        <w:rPr/>
      </w:pPr>
      <w:r w:rsidDel="00000000" w:rsidR="00000000" w:rsidRPr="00000000">
        <w:rPr>
          <w:rtl w:val="0"/>
        </w:rPr>
        <w:t xml:space="preserve">Restoration during the exercise focused on maintaining event continuity while reducing residual risk. Gold Command decisions aimed to stabilise the environment through reassurance, visible control measures, and coordination between agencies, rather than disruptive actions such as evacuation or suspension. Alexander (2013) notes that effective recovery depends on restoring confidence among stakeholders, responders, and the public, which is particularly important at high-profile events where reputational impact is a key concern.</w:t>
      </w:r>
    </w:p>
    <w:p w:rsidR="00000000" w:rsidDel="00000000" w:rsidP="00000000" w:rsidRDefault="00000000" w:rsidRPr="00000000" w14:paraId="0000001F">
      <w:pPr>
        <w:spacing w:after="240" w:before="240" w:lineRule="auto"/>
        <w:rPr/>
      </w:pPr>
      <w:r w:rsidDel="00000000" w:rsidR="00000000" w:rsidRPr="00000000">
        <w:rPr>
          <w:rtl w:val="0"/>
        </w:rPr>
        <w:t xml:space="preserve">The evaluation and improvement stage highlighted several areas for development. These included the need for clearer escalation thresholds, stronger pre-event planning, and improved strategic information flow. Elliott et al. (2010) emphasise that organisational learning is only effective when lessons are formally reviewed and embedded into future planning and training. From a Gold Command perspective, this exercise demonstrated the importance of structured post-incident review to enhance leadership effectiveness and improve resilience in future major event scenarios.</w:t>
      </w:r>
    </w:p>
    <w:p w:rsidR="00000000" w:rsidDel="00000000" w:rsidP="00000000" w:rsidRDefault="00000000" w:rsidRPr="00000000" w14:paraId="00000020">
      <w:pPr>
        <w:rPr>
          <w:b w:val="1"/>
          <w:bCs w:val="1"/>
          <w:i w:val="1"/>
          <w:iCs w:val="1"/>
          <w:sz w:val="24"/>
          <w:szCs w:val="24"/>
          <w:u w:val="single"/>
        </w:rPr>
      </w:pPr>
      <w:r w:rsidDel="00000000" w:rsidR="00000000" w:rsidRPr="00000000">
        <w:rPr>
          <w:b w:val="1"/>
          <w:bCs w:val="1"/>
          <w:i w:val="1"/>
          <w:iCs w:val="1"/>
          <w:sz w:val="24"/>
          <w:szCs w:val="24"/>
          <w:u w:val="single"/>
          <w:rtl w:val="0"/>
        </w:rPr>
        <w:t xml:space="preserve">Critical Reflection and Learning Outcomes </w:t>
      </w:r>
    </w:p>
    <w:p w:rsidR="00000000" w:rsidDel="00000000" w:rsidP="00000000" w:rsidRDefault="00000000" w:rsidRPr="00000000" w14:paraId="00000021">
      <w:pPr>
        <w:pStyle w:val="Heading1"/>
        <w:keepNext w:val="0"/>
        <w:keepLines w:val="0"/>
        <w:spacing w:after="240" w:before="240" w:line="276" w:lineRule="auto"/>
        <w:rPr>
          <w:sz w:val="22"/>
          <w:szCs w:val="22"/>
        </w:rPr>
      </w:pPr>
      <w:bookmarkStart w:colFirst="0" w:colLast="0" w:name="_hprro334kyx" w:id="0"/>
      <w:bookmarkEnd w:id="0"/>
      <w:r w:rsidDel="00000000" w:rsidR="00000000" w:rsidRPr="00000000">
        <w:rPr>
          <w:sz w:val="22"/>
          <w:szCs w:val="22"/>
          <w:rtl w:val="0"/>
        </w:rPr>
        <w:t xml:space="preserve">The crisis management exercise provided a valuable opportunity to reflect on strategic leadership and personal decision-making from a Gold Command perspective. Operating at the strategic level highlighted the responsibility attached to decisions that have wide-ranging implications for public safety, operational effectiveness, and organisational confidence. Reflection following crisis exercises is widely recognised as essential for developing professional judgement, particularly in complex environments where decisions must be made under pressure and with incomplete information (Schön, 1983).</w:t>
      </w:r>
    </w:p>
    <w:p w:rsidR="00000000" w:rsidDel="00000000" w:rsidP="00000000" w:rsidRDefault="00000000" w:rsidRPr="00000000" w14:paraId="00000022">
      <w:pPr>
        <w:pStyle w:val="Heading1"/>
        <w:keepNext w:val="0"/>
        <w:keepLines w:val="0"/>
        <w:spacing w:after="240" w:before="240" w:line="276" w:lineRule="auto"/>
        <w:rPr>
          <w:sz w:val="22"/>
          <w:szCs w:val="22"/>
        </w:rPr>
      </w:pPr>
      <w:bookmarkStart w:colFirst="0" w:colLast="0" w:name="_hprro334kyx" w:id="0"/>
      <w:bookmarkEnd w:id="0"/>
      <w:r w:rsidDel="00000000" w:rsidR="00000000" w:rsidRPr="00000000">
        <w:rPr>
          <w:sz w:val="22"/>
          <w:szCs w:val="22"/>
          <w:rtl w:val="0"/>
        </w:rPr>
        <w:t xml:space="preserve">One of the key learning outcomes from the exercise was an improved understanding of decision-making under pressure. Acting as Gold Command required rapid strategic judgement while maintaining oversight and avoiding unnecessary involvement in tactical detail. Decisions were informed by assessing emerging risks, potential consequences, and the need to prevent escalation rather than waiting for full certainty. Klein (2008) explains that experienced decision-makers often rely on recognition and pattern matching when operating in time-critical situations. This was evident during the exercise, where strategic decisions were shaped by situational awareness and risk prioritisation rather than formal analysis alone.</w:t>
      </w:r>
    </w:p>
    <w:p w:rsidR="00000000" w:rsidDel="00000000" w:rsidP="00000000" w:rsidRDefault="00000000" w:rsidRPr="00000000" w14:paraId="00000023">
      <w:pPr>
        <w:pStyle w:val="Heading1"/>
        <w:keepNext w:val="0"/>
        <w:keepLines w:val="0"/>
        <w:spacing w:after="240" w:before="240" w:line="276" w:lineRule="auto"/>
        <w:rPr>
          <w:sz w:val="22"/>
          <w:szCs w:val="22"/>
        </w:rPr>
      </w:pPr>
      <w:bookmarkStart w:colFirst="0" w:colLast="0" w:name="_hprro334kyx" w:id="0"/>
      <w:bookmarkEnd w:id="0"/>
      <w:r w:rsidDel="00000000" w:rsidR="00000000" w:rsidRPr="00000000">
        <w:rPr>
          <w:sz w:val="22"/>
          <w:szCs w:val="22"/>
          <w:rtl w:val="0"/>
        </w:rPr>
        <w:t xml:space="preserve">A further learning outcome related to the importance of structured reflection in improving future performance. Although the scenario did not escalate into a major incident, it exposed areas where clearer escalation thresholds and stronger decision support mechanisms would have reduced pressure at the strategic level. Schön (1983) argues that professionals develop expertise through reflection on action, allowing experience to inform improved judgement in future situations. Applying this approach, the exercise highlighted specific areas for personal development, including greater confidence in early strategic decision-making and clearer communication of strategic intent.</w:t>
      </w:r>
    </w:p>
    <w:p w:rsidR="00000000" w:rsidDel="00000000" w:rsidP="00000000" w:rsidRDefault="00000000" w:rsidRPr="00000000" w14:paraId="00000024">
      <w:pPr>
        <w:pStyle w:val="Heading1"/>
        <w:keepNext w:val="0"/>
        <w:keepLines w:val="0"/>
        <w:spacing w:after="240" w:before="240" w:line="276" w:lineRule="auto"/>
        <w:rPr>
          <w:sz w:val="22"/>
          <w:szCs w:val="22"/>
        </w:rPr>
      </w:pPr>
      <w:bookmarkStart w:colFirst="0" w:colLast="0" w:name="_ohytd0g6ynjn" w:id="1"/>
      <w:bookmarkEnd w:id="1"/>
      <w:r w:rsidDel="00000000" w:rsidR="00000000" w:rsidRPr="00000000">
        <w:rPr>
          <w:sz w:val="22"/>
          <w:szCs w:val="22"/>
          <w:rtl w:val="0"/>
        </w:rPr>
        <w:t xml:space="preserve">Overall, the exercise strengthened understanding of the Gold Command role and reinforced the importance of preparation, accountability, and reflective learning in crisis leadership. The learning outcomes gained will inform future practice by supporting more confident strategic judgement, improved anticipation of risk, and a more structured approach to learning from crisis exercises and major event simulations.</w:t>
      </w:r>
    </w:p>
    <w:p w:rsidR="00000000" w:rsidDel="00000000" w:rsidP="00000000" w:rsidRDefault="00000000" w:rsidRPr="00000000" w14:paraId="00000025">
      <w:pPr>
        <w:pStyle w:val="Heading1"/>
        <w:keepNext w:val="0"/>
        <w:keepLines w:val="0"/>
        <w:spacing w:after="360" w:before="0" w:line="276" w:lineRule="auto"/>
        <w:rPr>
          <w:sz w:val="22"/>
          <w:szCs w:val="22"/>
        </w:rPr>
      </w:pPr>
      <w:bookmarkStart w:colFirst="0" w:colLast="0" w:name="_hprro334kyx" w:id="0"/>
      <w:bookmarkEnd w:id="0"/>
      <w:r w:rsidDel="00000000" w:rsidR="00000000" w:rsidRPr="00000000">
        <w:rPr>
          <w:rtl w:val="0"/>
        </w:rPr>
      </w:r>
    </w:p>
    <w:p w:rsidR="00000000" w:rsidDel="00000000" w:rsidP="00000000" w:rsidRDefault="00000000" w:rsidRPr="00000000" w14:paraId="00000026">
      <w:pPr>
        <w:pStyle w:val="Heading1"/>
        <w:keepNext w:val="0"/>
        <w:keepLines w:val="0"/>
        <w:spacing w:after="360" w:before="0" w:line="276" w:lineRule="auto"/>
        <w:rPr>
          <w:b w:val="1"/>
          <w:bCs w:val="1"/>
          <w:i w:val="1"/>
          <w:iCs w:val="1"/>
          <w:sz w:val="22"/>
          <w:szCs w:val="22"/>
          <w:u w:val="single"/>
        </w:rPr>
      </w:pPr>
      <w:bookmarkStart w:colFirst="0" w:colLast="0" w:name="_fr13a71lykrs" w:id="2"/>
      <w:bookmarkEnd w:id="2"/>
      <w:r w:rsidDel="00000000" w:rsidR="00000000" w:rsidRPr="00000000">
        <w:rPr>
          <w:rtl w:val="0"/>
        </w:rPr>
      </w:r>
    </w:p>
    <w:p w:rsidR="00000000" w:rsidDel="00000000" w:rsidP="00000000" w:rsidRDefault="00000000" w:rsidRPr="00000000" w14:paraId="00000027">
      <w:pPr>
        <w:pStyle w:val="Heading1"/>
        <w:keepNext w:val="0"/>
        <w:keepLines w:val="0"/>
        <w:spacing w:after="360" w:before="0" w:line="360" w:lineRule="auto"/>
        <w:rPr>
          <w:b w:val="1"/>
          <w:bCs w:val="1"/>
          <w:i w:val="1"/>
          <w:iCs w:val="1"/>
          <w:sz w:val="22"/>
          <w:szCs w:val="22"/>
          <w:u w:val="single"/>
        </w:rPr>
      </w:pPr>
      <w:bookmarkStart w:colFirst="0" w:colLast="0" w:name="_3cltqq9nwwsp" w:id="3"/>
      <w:bookmarkEnd w:id="3"/>
      <w:r w:rsidDel="00000000" w:rsidR="00000000" w:rsidRPr="00000000">
        <w:rPr>
          <w:b w:val="1"/>
          <w:bCs w:val="1"/>
          <w:i w:val="1"/>
          <w:iCs w:val="1"/>
          <w:sz w:val="22"/>
          <w:szCs w:val="22"/>
          <w:u w:val="single"/>
          <w:rtl w:val="0"/>
        </w:rPr>
        <w:t xml:space="preserve">Reference list</w:t>
      </w:r>
    </w:p>
    <w:p w:rsidR="00000000" w:rsidDel="00000000" w:rsidP="00000000" w:rsidRDefault="00000000" w:rsidRPr="00000000" w14:paraId="00000028">
      <w:pPr>
        <w:spacing w:after="240" w:before="240" w:lineRule="auto"/>
        <w:rPr/>
      </w:pPr>
      <w:r w:rsidDel="00000000" w:rsidR="00000000" w:rsidRPr="00000000">
        <w:rPr>
          <w:rtl w:val="0"/>
        </w:rPr>
        <w:t xml:space="preserve">Alexander, D. (2013) </w:t>
      </w:r>
      <w:r w:rsidDel="00000000" w:rsidR="00000000" w:rsidRPr="00000000">
        <w:rPr>
          <w:i w:val="1"/>
          <w:iCs w:val="1"/>
          <w:rtl w:val="0"/>
        </w:rPr>
        <w:t xml:space="preserve">Principles of Emergency Planning and Management</w:t>
      </w:r>
      <w:r w:rsidDel="00000000" w:rsidR="00000000" w:rsidRPr="00000000">
        <w:rPr>
          <w:rtl w:val="0"/>
        </w:rPr>
        <w:t xml:space="preserve">. Oxford: Oxford University Press.</w:t>
      </w:r>
    </w:p>
    <w:p w:rsidR="00000000" w:rsidDel="00000000" w:rsidP="00000000" w:rsidRDefault="00000000" w:rsidRPr="00000000" w14:paraId="00000029">
      <w:pPr>
        <w:spacing w:after="240" w:before="240" w:lineRule="auto"/>
        <w:rPr/>
      </w:pPr>
      <w:r w:rsidDel="00000000" w:rsidR="00000000" w:rsidRPr="00000000">
        <w:rPr>
          <w:rtl w:val="0"/>
        </w:rPr>
        <w:t xml:space="preserve">Aven, T. (2015) </w:t>
      </w:r>
      <w:r w:rsidDel="00000000" w:rsidR="00000000" w:rsidRPr="00000000">
        <w:rPr>
          <w:i w:val="1"/>
          <w:iCs w:val="1"/>
          <w:rtl w:val="0"/>
        </w:rPr>
        <w:t xml:space="preserve">Risk Analysis</w:t>
      </w:r>
      <w:r w:rsidDel="00000000" w:rsidR="00000000" w:rsidRPr="00000000">
        <w:rPr>
          <w:rtl w:val="0"/>
        </w:rPr>
        <w:t xml:space="preserve">. 2nd edn. Chichester: Wiley.</w:t>
      </w:r>
    </w:p>
    <w:p w:rsidR="00000000" w:rsidDel="00000000" w:rsidP="00000000" w:rsidRDefault="00000000" w:rsidRPr="00000000" w14:paraId="0000002A">
      <w:pPr>
        <w:spacing w:after="240" w:before="240" w:lineRule="auto"/>
        <w:rPr/>
      </w:pPr>
      <w:r w:rsidDel="00000000" w:rsidR="00000000" w:rsidRPr="00000000">
        <w:rPr>
          <w:rtl w:val="0"/>
        </w:rPr>
        <w:t xml:space="preserve">Boin, A., ’t Hart, P., Stern, E. and Sundelius, B. (2017) </w:t>
      </w:r>
      <w:r w:rsidDel="00000000" w:rsidR="00000000" w:rsidRPr="00000000">
        <w:rPr>
          <w:i w:val="1"/>
          <w:iCs w:val="1"/>
          <w:rtl w:val="0"/>
        </w:rPr>
        <w:t xml:space="preserve">The Politics of Crisis Management</w:t>
      </w:r>
      <w:r w:rsidDel="00000000" w:rsidR="00000000" w:rsidRPr="00000000">
        <w:rPr>
          <w:rtl w:val="0"/>
        </w:rPr>
        <w:t xml:space="preserve">. 2nd edn. Cambridge: Cambridge University Press.</w:t>
      </w:r>
    </w:p>
    <w:p w:rsidR="00000000" w:rsidDel="00000000" w:rsidP="00000000" w:rsidRDefault="00000000" w:rsidRPr="00000000" w14:paraId="0000002B">
      <w:pPr>
        <w:spacing w:after="240" w:before="240" w:lineRule="auto"/>
        <w:rPr/>
      </w:pPr>
      <w:r w:rsidDel="00000000" w:rsidR="00000000" w:rsidRPr="00000000">
        <w:rPr>
          <w:rtl w:val="0"/>
        </w:rPr>
        <w:t xml:space="preserve">Cabinet Office (2023) </w:t>
      </w:r>
      <w:r w:rsidDel="00000000" w:rsidR="00000000" w:rsidRPr="00000000">
        <w:rPr>
          <w:i w:val="1"/>
          <w:iCs w:val="1"/>
          <w:rtl w:val="0"/>
        </w:rPr>
        <w:t xml:space="preserve">National Risk Register 2023</w:t>
      </w:r>
      <w:r w:rsidDel="00000000" w:rsidR="00000000" w:rsidRPr="00000000">
        <w:rPr>
          <w:rtl w:val="0"/>
        </w:rPr>
        <w:t xml:space="preserve">. London: HM Government.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https://www.gov.uk/government/publications/national-risk-register-2023</w:t>
        </w:r>
      </w:hyperlink>
      <w:r w:rsidDel="00000000" w:rsidR="00000000" w:rsidRPr="00000000">
        <w:rPr>
          <w:rtl w:val="0"/>
        </w:rPr>
        <w:t xml:space="preserve"> (Accessed: 2 January 2025).</w:t>
      </w:r>
    </w:p>
    <w:p w:rsidR="00000000" w:rsidDel="00000000" w:rsidP="00000000" w:rsidRDefault="00000000" w:rsidRPr="00000000" w14:paraId="0000002C">
      <w:pPr>
        <w:spacing w:after="240" w:before="240" w:lineRule="auto"/>
        <w:rPr/>
      </w:pPr>
      <w:r w:rsidDel="00000000" w:rsidR="00000000" w:rsidRPr="00000000">
        <w:rPr>
          <w:rtl w:val="0"/>
        </w:rPr>
        <w:t xml:space="preserve">College of Policing (2015) </w:t>
      </w:r>
      <w:r w:rsidDel="00000000" w:rsidR="00000000" w:rsidRPr="00000000">
        <w:rPr>
          <w:i w:val="1"/>
          <w:iCs w:val="1"/>
          <w:rtl w:val="0"/>
        </w:rPr>
        <w:t xml:space="preserve">Authorised Professional Practice: Public Order</w:t>
      </w:r>
      <w:r w:rsidDel="00000000" w:rsidR="00000000" w:rsidRPr="00000000">
        <w:rPr>
          <w:rtl w:val="0"/>
        </w:rPr>
        <w:t xml:space="preserve">. London: College of Policing.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https://www.college.police.uk/app/public-order-public-safety</w:t>
        </w:r>
      </w:hyperlink>
      <w:r w:rsidDel="00000000" w:rsidR="00000000" w:rsidRPr="00000000">
        <w:rPr>
          <w:rtl w:val="0"/>
        </w:rPr>
        <w:t xml:space="preserve"> (Accessed: 2 January 2025).</w:t>
      </w:r>
    </w:p>
    <w:p w:rsidR="00000000" w:rsidDel="00000000" w:rsidP="00000000" w:rsidRDefault="00000000" w:rsidRPr="00000000" w14:paraId="0000002D">
      <w:pPr>
        <w:spacing w:after="240" w:before="240" w:lineRule="auto"/>
        <w:rPr/>
      </w:pPr>
      <w:r w:rsidDel="00000000" w:rsidR="00000000" w:rsidRPr="00000000">
        <w:rPr>
          <w:rtl w:val="0"/>
        </w:rPr>
        <w:t xml:space="preserve">Elliott, D., Swartz, E. and Herbane, B. (2010) </w:t>
      </w:r>
      <w:r w:rsidDel="00000000" w:rsidR="00000000" w:rsidRPr="00000000">
        <w:rPr>
          <w:i w:val="1"/>
          <w:iCs w:val="1"/>
          <w:rtl w:val="0"/>
        </w:rPr>
        <w:t xml:space="preserve">Business Continuity Management: A Crisis Management Approach</w:t>
      </w:r>
      <w:r w:rsidDel="00000000" w:rsidR="00000000" w:rsidRPr="00000000">
        <w:rPr>
          <w:rtl w:val="0"/>
        </w:rPr>
        <w:t xml:space="preserve">. London: Routledge.</w:t>
      </w:r>
    </w:p>
    <w:p w:rsidR="00000000" w:rsidDel="00000000" w:rsidP="00000000" w:rsidRDefault="00000000" w:rsidRPr="00000000" w14:paraId="0000002E">
      <w:pPr>
        <w:spacing w:after="240" w:before="240" w:lineRule="auto"/>
        <w:rPr/>
      </w:pPr>
      <w:r w:rsidDel="00000000" w:rsidR="00000000" w:rsidRPr="00000000">
        <w:rPr>
          <w:rtl w:val="0"/>
        </w:rPr>
        <w:t xml:space="preserve">Fink, S. (2002) </w:t>
      </w:r>
      <w:r w:rsidDel="00000000" w:rsidR="00000000" w:rsidRPr="00000000">
        <w:rPr>
          <w:i w:val="1"/>
          <w:iCs w:val="1"/>
          <w:rtl w:val="0"/>
        </w:rPr>
        <w:t xml:space="preserve">Crisis Management: Planning for the Inevitable</w:t>
      </w:r>
      <w:r w:rsidDel="00000000" w:rsidR="00000000" w:rsidRPr="00000000">
        <w:rPr>
          <w:rtl w:val="0"/>
        </w:rPr>
        <w:t xml:space="preserve">. New York: AMACOM.</w:t>
      </w:r>
    </w:p>
    <w:p w:rsidR="00000000" w:rsidDel="00000000" w:rsidP="00000000" w:rsidRDefault="00000000" w:rsidRPr="00000000" w14:paraId="0000002F">
      <w:pPr>
        <w:spacing w:after="240" w:before="240" w:lineRule="auto"/>
        <w:rPr/>
      </w:pPr>
      <w:r w:rsidDel="00000000" w:rsidR="00000000" w:rsidRPr="00000000">
        <w:rPr>
          <w:rtl w:val="0"/>
        </w:rPr>
        <w:t xml:space="preserve">Flin, R., O’Connor, P. and Crichton, M. (2008) </w:t>
      </w:r>
      <w:r w:rsidDel="00000000" w:rsidR="00000000" w:rsidRPr="00000000">
        <w:rPr>
          <w:i w:val="1"/>
          <w:iCs w:val="1"/>
          <w:rtl w:val="0"/>
        </w:rPr>
        <w:t xml:space="preserve">Safety at the Sharp End: A Guide to Non-Technical Skills</w:t>
      </w:r>
      <w:r w:rsidDel="00000000" w:rsidR="00000000" w:rsidRPr="00000000">
        <w:rPr>
          <w:rtl w:val="0"/>
        </w:rPr>
        <w:t xml:space="preserve">. Aldershot: Ashgate.</w:t>
      </w:r>
    </w:p>
    <w:p w:rsidR="00000000" w:rsidDel="00000000" w:rsidP="00000000" w:rsidRDefault="00000000" w:rsidRPr="00000000" w14:paraId="00000030">
      <w:pPr>
        <w:spacing w:after="240" w:before="240" w:lineRule="auto"/>
        <w:rPr/>
      </w:pPr>
      <w:r w:rsidDel="00000000" w:rsidR="00000000" w:rsidRPr="00000000">
        <w:rPr>
          <w:rtl w:val="0"/>
        </w:rPr>
        <w:t xml:space="preserve">HM Government (1975) </w:t>
      </w:r>
      <w:r w:rsidDel="00000000" w:rsidR="00000000" w:rsidRPr="00000000">
        <w:rPr>
          <w:i w:val="1"/>
          <w:iCs w:val="1"/>
          <w:rtl w:val="0"/>
        </w:rPr>
        <w:t xml:space="preserve">Safety of Sports Grounds Act 1975</w:t>
      </w:r>
      <w:r w:rsidDel="00000000" w:rsidR="00000000" w:rsidRPr="00000000">
        <w:rPr>
          <w:rtl w:val="0"/>
        </w:rPr>
        <w:t xml:space="preserve">. London: HMSO.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https://www.legislation.gov.uk/ukpga/1975/52</w:t>
        </w:r>
      </w:hyperlink>
      <w:r w:rsidDel="00000000" w:rsidR="00000000" w:rsidRPr="00000000">
        <w:rPr>
          <w:rtl w:val="0"/>
        </w:rPr>
        <w:t xml:space="preserve"> (Accessed: 2 January 2025).</w:t>
      </w:r>
    </w:p>
    <w:p w:rsidR="00000000" w:rsidDel="00000000" w:rsidP="00000000" w:rsidRDefault="00000000" w:rsidRPr="00000000" w14:paraId="00000031">
      <w:pPr>
        <w:spacing w:after="240" w:before="240" w:lineRule="auto"/>
        <w:rPr/>
      </w:pPr>
      <w:r w:rsidDel="00000000" w:rsidR="00000000" w:rsidRPr="00000000">
        <w:rPr>
          <w:rtl w:val="0"/>
        </w:rPr>
        <w:t xml:space="preserve">Home Office (2023) </w:t>
      </w:r>
      <w:r w:rsidDel="00000000" w:rsidR="00000000" w:rsidRPr="00000000">
        <w:rPr>
          <w:i w:val="1"/>
          <w:iCs w:val="1"/>
          <w:rtl w:val="0"/>
        </w:rPr>
        <w:t xml:space="preserve">Martyn’s Law: Protect Duty – Impact Assessment</w:t>
      </w:r>
      <w:r w:rsidDel="00000000" w:rsidR="00000000" w:rsidRPr="00000000">
        <w:rPr>
          <w:rtl w:val="0"/>
        </w:rPr>
        <w:t xml:space="preserve">. London: Home Office. Available at: </w:t>
      </w:r>
      <w:hyperlink r:id="rId12">
        <w:r w:rsidDel="00000000" w:rsidR="00000000" w:rsidRPr="00000000">
          <w:rPr>
            <w:color w:val="1155cc"/>
            <w:u w:val="single"/>
            <w:rtl w:val="0"/>
          </w:rPr>
          <w:t xml:space="preserve">https://www.gov.uk/government/publications/protect-duty-impact-assessment</w:t>
        </w:r>
      </w:hyperlink>
      <w:r w:rsidDel="00000000" w:rsidR="00000000" w:rsidRPr="00000000">
        <w:rPr>
          <w:rtl w:val="0"/>
        </w:rPr>
        <w:t xml:space="preserve">   (Accessed: 2 January 2025).</w:t>
      </w:r>
    </w:p>
    <w:p w:rsidR="00000000" w:rsidDel="00000000" w:rsidP="00000000" w:rsidRDefault="00000000" w:rsidRPr="00000000" w14:paraId="00000032">
      <w:pPr>
        <w:spacing w:after="240" w:before="240" w:lineRule="auto"/>
        <w:rPr/>
      </w:pPr>
      <w:r w:rsidDel="00000000" w:rsidR="00000000" w:rsidRPr="00000000">
        <w:rPr>
          <w:rtl w:val="0"/>
        </w:rPr>
        <w:t xml:space="preserve">Klein, G. (2008) </w:t>
      </w:r>
      <w:r w:rsidDel="00000000" w:rsidR="00000000" w:rsidRPr="00000000">
        <w:rPr>
          <w:i w:val="1"/>
          <w:iCs w:val="1"/>
          <w:rtl w:val="0"/>
        </w:rPr>
        <w:t xml:space="preserve">Sources of Power: How People Make Decisions</w:t>
      </w:r>
      <w:r w:rsidDel="00000000" w:rsidR="00000000" w:rsidRPr="00000000">
        <w:rPr>
          <w:rtl w:val="0"/>
        </w:rPr>
        <w:t xml:space="preserve">. Cambridge, MA: MIT Press.</w:t>
      </w:r>
    </w:p>
    <w:p w:rsidR="00000000" w:rsidDel="00000000" w:rsidP="00000000" w:rsidRDefault="00000000" w:rsidRPr="00000000" w14:paraId="00000033">
      <w:pPr>
        <w:spacing w:after="240" w:before="240" w:lineRule="auto"/>
        <w:rPr/>
      </w:pPr>
      <w:r w:rsidDel="00000000" w:rsidR="00000000" w:rsidRPr="00000000">
        <w:rPr>
          <w:rtl w:val="0"/>
        </w:rPr>
        <w:t xml:space="preserve">Mitroff, I.I. (2005) </w:t>
      </w:r>
      <w:r w:rsidDel="00000000" w:rsidR="00000000" w:rsidRPr="00000000">
        <w:rPr>
          <w:i w:val="1"/>
          <w:iCs w:val="1"/>
          <w:rtl w:val="0"/>
        </w:rPr>
        <w:t xml:space="preserve">Why Some Companies Emerge Stronger and Better from a Crisis</w:t>
      </w:r>
      <w:r w:rsidDel="00000000" w:rsidR="00000000" w:rsidRPr="00000000">
        <w:rPr>
          <w:rtl w:val="0"/>
        </w:rPr>
        <w:t xml:space="preserve">. New York: AMACOM.</w:t>
      </w:r>
    </w:p>
    <w:p w:rsidR="00000000" w:rsidDel="00000000" w:rsidP="00000000" w:rsidRDefault="00000000" w:rsidRPr="00000000" w14:paraId="00000034">
      <w:pPr>
        <w:spacing w:after="240" w:before="240" w:lineRule="auto"/>
        <w:rPr/>
      </w:pPr>
      <w:r w:rsidDel="00000000" w:rsidR="00000000" w:rsidRPr="00000000">
        <w:rPr>
          <w:rtl w:val="0"/>
        </w:rPr>
        <w:t xml:space="preserve">Schön, D.A. (1983) </w:t>
      </w:r>
      <w:r w:rsidDel="00000000" w:rsidR="00000000" w:rsidRPr="00000000">
        <w:rPr>
          <w:i w:val="1"/>
          <w:iCs w:val="1"/>
          <w:rtl w:val="0"/>
        </w:rPr>
        <w:t xml:space="preserve">The Reflective Practitioner</w:t>
      </w:r>
      <w:r w:rsidDel="00000000" w:rsidR="00000000" w:rsidRPr="00000000">
        <w:rPr>
          <w:rtl w:val="0"/>
        </w:rPr>
        <w:t xml:space="preserve">. New York: Basic Books.</w:t>
      </w:r>
    </w:p>
    <w:p w:rsidR="00000000" w:rsidDel="00000000" w:rsidP="00000000" w:rsidRDefault="00000000" w:rsidRPr="00000000" w14:paraId="00000035">
      <w:pPr>
        <w:spacing w:after="240" w:before="240" w:lineRule="auto"/>
        <w:rPr/>
      </w:pPr>
      <w:r w:rsidDel="00000000" w:rsidR="00000000" w:rsidRPr="00000000">
        <w:rPr>
          <w:rtl w:val="0"/>
        </w:rPr>
        <w:t xml:space="preserve">Sports Grounds Safety Authority (2018) </w:t>
      </w:r>
      <w:r w:rsidDel="00000000" w:rsidR="00000000" w:rsidRPr="00000000">
        <w:rPr>
          <w:i w:val="1"/>
          <w:iCs w:val="1"/>
          <w:rtl w:val="0"/>
        </w:rPr>
        <w:t xml:space="preserve">Guide to Safety at Sports Grounds</w:t>
      </w:r>
      <w:r w:rsidDel="00000000" w:rsidR="00000000" w:rsidRPr="00000000">
        <w:rPr>
          <w:rtl w:val="0"/>
        </w:rPr>
        <w:t xml:space="preserve">. 6th edn. London: SGSA. Available at: </w:t>
      </w:r>
      <w:hyperlink r:id="rId13">
        <w:r w:rsidDel="00000000" w:rsidR="00000000" w:rsidRPr="00000000">
          <w:rPr>
            <w:color w:val="1155cc"/>
            <w:u w:val="single"/>
            <w:rtl w:val="0"/>
          </w:rPr>
          <w:t xml:space="preserve">https://www.sgsa.org.uk/greenguide/</w:t>
        </w:r>
      </w:hyperlink>
      <w:r w:rsidDel="00000000" w:rsidR="00000000" w:rsidRPr="00000000">
        <w:rPr>
          <w:rtl w:val="0"/>
        </w:rPr>
        <w:t xml:space="preserve">  (Accessed: 2 January 2025).</w:t>
      </w:r>
    </w:p>
    <w:p w:rsidR="00000000" w:rsidDel="00000000" w:rsidP="00000000" w:rsidRDefault="00000000" w:rsidRPr="00000000" w14:paraId="00000036">
      <w:pPr>
        <w:spacing w:after="240" w:before="240" w:lineRule="auto"/>
        <w:rPr/>
      </w:pPr>
      <w:r w:rsidDel="00000000" w:rsidR="00000000" w:rsidRPr="00000000">
        <w:rPr>
          <w:rtl w:val="0"/>
        </w:rPr>
        <w:t xml:space="preserve">Still, G.K. (2014) </w:t>
      </w:r>
      <w:r w:rsidDel="00000000" w:rsidR="00000000" w:rsidRPr="00000000">
        <w:rPr>
          <w:i w:val="1"/>
          <w:iCs w:val="1"/>
          <w:rtl w:val="0"/>
        </w:rPr>
        <w:t xml:space="preserve">Introduction to Crowd Science</w:t>
      </w:r>
      <w:r w:rsidDel="00000000" w:rsidR="00000000" w:rsidRPr="00000000">
        <w:rPr>
          <w:rtl w:val="0"/>
        </w:rPr>
        <w:t xml:space="preserve">. Boca Raton: CRC Press.</w:t>
      </w:r>
    </w:p>
    <w:p w:rsidR="00000000" w:rsidDel="00000000" w:rsidP="00000000" w:rsidRDefault="00000000" w:rsidRPr="00000000" w14:paraId="00000037">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legislation.gov.uk/ukpga/1975/52" TargetMode="External"/><Relationship Id="rId10" Type="http://schemas.openxmlformats.org/officeDocument/2006/relationships/hyperlink" Target="https://www.legislation.gov.uk/ukpga/1975/52" TargetMode="External"/><Relationship Id="rId13" Type="http://schemas.openxmlformats.org/officeDocument/2006/relationships/hyperlink" Target="https://www.sgsa.org.uk/greenguide/" TargetMode="External"/><Relationship Id="rId12" Type="http://schemas.openxmlformats.org/officeDocument/2006/relationships/hyperlink" Target="https://www.gov.uk/government/publications/protect-duty-impact-assess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ollege.police.uk/app/public-order-public-safety" TargetMode="External"/><Relationship Id="rId5" Type="http://schemas.openxmlformats.org/officeDocument/2006/relationships/styles" Target="styles.xml"/><Relationship Id="rId6" Type="http://schemas.openxmlformats.org/officeDocument/2006/relationships/hyperlink" Target="https://www.gov.uk/government/publications/national-risk-register-2023" TargetMode="External"/><Relationship Id="rId7" Type="http://schemas.openxmlformats.org/officeDocument/2006/relationships/hyperlink" Target="https://www.gov.uk/government/publications/national-risk-register-2023" TargetMode="External"/><Relationship Id="rId8" Type="http://schemas.openxmlformats.org/officeDocument/2006/relationships/hyperlink" Target="https://www.college.police.uk/app/public-order-public-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