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sz w:val="22"/>
          <w:szCs w:val="22"/>
          <w:lang w:val="en-AU"/>
        </w:rPr>
      </w:pPr>
      <w:r>
        <w:rPr>
          <w:rFonts w:hint="default"/>
          <w:sz w:val="22"/>
          <w:szCs w:val="22"/>
          <w:lang w:val="en-AU"/>
        </w:rPr>
        <w:t>Short Essay:</w:t>
      </w:r>
    </w:p>
    <w:p>
      <w:pPr>
        <w:spacing w:line="360" w:lineRule="auto"/>
        <w:rPr>
          <w:rFonts w:hint="default"/>
          <w:sz w:val="22"/>
          <w:szCs w:val="22"/>
        </w:rPr>
      </w:pPr>
      <w:r>
        <w:rPr>
          <w:rFonts w:hint="default"/>
          <w:b/>
          <w:bCs/>
          <w:sz w:val="22"/>
          <w:szCs w:val="22"/>
        </w:rPr>
        <w:t>How far are we justified in treating ‘religion’ as a valid area of academic study? </w:t>
      </w:r>
      <w:r>
        <w:rPr>
          <w:rFonts w:hint="default"/>
          <w:b/>
          <w:bCs/>
          <w:sz w:val="22"/>
          <w:szCs w:val="22"/>
        </w:rPr>
        <w:br w:type="textWrapping"/>
      </w:r>
      <w:r>
        <w:rPr>
          <w:rFonts w:hint="default"/>
          <w:sz w:val="22"/>
          <w:szCs w:val="22"/>
        </w:rPr>
        <w:br w:type="textWrapping"/>
      </w:r>
    </w:p>
    <w:p>
      <w:pPr>
        <w:spacing w:line="360" w:lineRule="auto"/>
        <w:rPr>
          <w:rFonts w:hint="default"/>
          <w:sz w:val="22"/>
          <w:szCs w:val="22"/>
          <w:lang w:val="en-AU"/>
        </w:rPr>
      </w:pPr>
      <w:r>
        <w:rPr>
          <w:rFonts w:hint="default"/>
          <w:sz w:val="22"/>
          <w:szCs w:val="22"/>
          <w:lang w:val="en-AU"/>
        </w:rPr>
        <w:t xml:space="preserve">Within the social sciences, boundaries between different disciplines become harder and harder to maintain. While half a century ago anthropologists were almost exclusively focused on small-scale societies in the exotic ‘elsewhere’, they are now just as involved in research in Western societies and online communities. The methodology of ethnographic field work, once a unique characteristic of anthropological research, is now commonly employed by researchers in sociology and other social science disciplines. In the political sciences, an interest in voter’s behaviour has meant that the focus is no more on political institutions and structures, but also on individual human actors. </w:t>
      </w:r>
    </w:p>
    <w:p>
      <w:pPr>
        <w:spacing w:line="360" w:lineRule="auto"/>
        <w:rPr>
          <w:rFonts w:hint="default"/>
          <w:sz w:val="22"/>
          <w:szCs w:val="22"/>
          <w:lang w:val="en-AU"/>
        </w:rPr>
      </w:pPr>
    </w:p>
    <w:p>
      <w:pPr>
        <w:spacing w:line="360" w:lineRule="auto"/>
        <w:rPr>
          <w:rFonts w:hint="default"/>
          <w:sz w:val="22"/>
          <w:szCs w:val="22"/>
          <w:lang w:val="en-AU"/>
        </w:rPr>
      </w:pPr>
      <w:r>
        <w:rPr>
          <w:rFonts w:hint="default"/>
          <w:sz w:val="22"/>
          <w:szCs w:val="22"/>
          <w:lang w:val="en-AU"/>
        </w:rPr>
        <w:t>At the boundary between the social sciences and the humanities, Religious Studies has been questioned regarding its justification as a valid area of academic study. In this short paper, I will consider issues with phenomenology as a methodology, the validity of ‘religion’ as an analytical concept, and the boundaries between Religious Studies and other academic disciplines. I argue that Religious Studies’ intellectual history and unique focus qualify as a independent area of study, while at the same time increasing interdisciplinary approaches to research in the social sciences call scholars of religion to open the door to other perspectives on the subject.</w:t>
      </w:r>
    </w:p>
    <w:p>
      <w:pPr>
        <w:spacing w:line="360" w:lineRule="auto"/>
        <w:rPr>
          <w:rFonts w:hint="default"/>
          <w:b/>
          <w:bCs/>
          <w:sz w:val="22"/>
          <w:szCs w:val="22"/>
          <w:lang w:val="en-AU"/>
        </w:rPr>
      </w:pPr>
    </w:p>
    <w:p>
      <w:pPr>
        <w:spacing w:line="360" w:lineRule="auto"/>
        <w:rPr>
          <w:rFonts w:hint="default"/>
          <w:sz w:val="22"/>
          <w:szCs w:val="22"/>
          <w:lang w:val="en-AU"/>
        </w:rPr>
      </w:pPr>
      <w:r>
        <w:rPr>
          <w:rFonts w:hint="default"/>
          <w:b/>
          <w:bCs/>
          <w:sz w:val="22"/>
          <w:szCs w:val="22"/>
          <w:lang w:val="en-AU"/>
        </w:rPr>
        <w:t>Phenomenology as Methodology</w:t>
      </w:r>
    </w:p>
    <w:p>
      <w:pPr>
        <w:spacing w:line="360" w:lineRule="auto"/>
        <w:rPr>
          <w:rFonts w:hint="default"/>
          <w:sz w:val="22"/>
          <w:szCs w:val="22"/>
          <w:lang w:val="en-AU"/>
        </w:rPr>
      </w:pPr>
      <w:r>
        <w:rPr>
          <w:rFonts w:hint="default"/>
          <w:sz w:val="22"/>
          <w:szCs w:val="22"/>
          <w:lang w:val="en-AU"/>
        </w:rPr>
        <w:t>Research into religion has been characterised by the phenomenological method. Cox (2006) sees the methodology of phenomenology as the defining criteria for Religious Studies, distinguishing it from the sociology or psychology of religion and “justifying its claim to be a field of study in its own right” because phenomenology allows for the study of a phenomenon “in and of itself and not as an epiphenomenon of other more primary subjects” (Cox 2006: 3-4). In phenomenology the natural standpoint is ‘bracketed’ in order to examine, in Husserl’s words, a “‘unique form of consciousness’ that ‘transvalues’ lived experience” (Cox 2006: 20). Bracketing allows the scientist to investigate “pure experiences” and “pure consciousness” (Cox 2006: 21). In this sense, phenomenology is more than a methodology, but an epistemological stance (Cox 2006: 31). The contents of knowledge, in a pure phenomenological approach, should be treated with methodological agnosticism.</w:t>
      </w:r>
    </w:p>
    <w:p>
      <w:pPr>
        <w:spacing w:line="360" w:lineRule="auto"/>
        <w:rPr>
          <w:rFonts w:hint="default"/>
          <w:sz w:val="22"/>
          <w:szCs w:val="22"/>
          <w:lang w:val="en-AU"/>
        </w:rPr>
      </w:pPr>
    </w:p>
    <w:p>
      <w:pPr>
        <w:spacing w:line="360" w:lineRule="auto"/>
        <w:rPr>
          <w:rFonts w:hint="default"/>
          <w:sz w:val="22"/>
          <w:szCs w:val="22"/>
          <w:lang w:val="en-AU"/>
        </w:rPr>
      </w:pPr>
      <w:r>
        <w:rPr>
          <w:rFonts w:hint="default"/>
          <w:sz w:val="22"/>
          <w:szCs w:val="22"/>
          <w:lang w:val="en-AU"/>
        </w:rPr>
        <w:t>But can methodological agnosticism be sustained in a discipline which is strongly influenced by the tension between the believer’s insider perspective and the scholar’s outsider point of view? Crotty notes that the researcher is only able to describe an experience by making use of language and culture. The result of research is not “</w:t>
      </w:r>
      <w:r>
        <w:rPr>
          <w:rFonts w:hint="default"/>
          <w:sz w:val="22"/>
          <w:szCs w:val="22"/>
        </w:rPr>
        <w:t xml:space="preserve">a presuppositionless description of phenomena, but </w:t>
      </w:r>
      <w:r>
        <w:rPr>
          <w:rFonts w:hint="default"/>
          <w:sz w:val="22"/>
          <w:szCs w:val="22"/>
          <w:lang w:val="en-AU"/>
        </w:rPr>
        <w:t xml:space="preserve">[…] </w:t>
      </w:r>
      <w:r>
        <w:rPr>
          <w:rFonts w:hint="default"/>
          <w:sz w:val="22"/>
          <w:szCs w:val="22"/>
        </w:rPr>
        <w:t>a reinterpretation</w:t>
      </w:r>
      <w:r>
        <w:rPr>
          <w:rFonts w:hint="default"/>
          <w:sz w:val="22"/>
          <w:szCs w:val="22"/>
          <w:lang w:val="en-AU"/>
        </w:rPr>
        <w:t>”, which according to Crotty is precisely what phenomenologists are interested in (Crotty 1998: 82). The product of this outsider’s perspective, then, is necessarily critical when compared to the insider’s perspective (Crotty 1998: 85). Olson (2006) argues that this is a fruitful tension as an outsider’s perspective can enrich the understanding of the many different voices and interpretations of a religion (Olson 2006: 270). In the same way, the understanding of religious experience in general is deepened.</w:t>
      </w:r>
    </w:p>
    <w:p>
      <w:pPr>
        <w:spacing w:line="360" w:lineRule="auto"/>
        <w:rPr>
          <w:rFonts w:hint="default"/>
          <w:sz w:val="22"/>
          <w:szCs w:val="22"/>
          <w:lang w:val="en-AU"/>
        </w:rPr>
      </w:pPr>
    </w:p>
    <w:p>
      <w:pPr>
        <w:spacing w:line="360" w:lineRule="auto"/>
        <w:rPr>
          <w:rFonts w:hint="default"/>
          <w:b/>
          <w:bCs/>
          <w:sz w:val="22"/>
          <w:szCs w:val="22"/>
          <w:lang w:val="en-AU"/>
        </w:rPr>
      </w:pPr>
      <w:r>
        <w:rPr>
          <w:rFonts w:hint="default"/>
          <w:b/>
          <w:bCs/>
          <w:sz w:val="22"/>
          <w:szCs w:val="22"/>
          <w:lang w:val="en-AU"/>
        </w:rPr>
        <w:t>The Analytic Concept ‘Religion’</w:t>
      </w:r>
    </w:p>
    <w:p>
      <w:pPr>
        <w:spacing w:line="360" w:lineRule="auto"/>
        <w:rPr>
          <w:rFonts w:hint="default"/>
          <w:sz w:val="22"/>
          <w:szCs w:val="22"/>
          <w:lang w:val="en-AU"/>
        </w:rPr>
      </w:pPr>
      <w:r>
        <w:rPr>
          <w:rFonts w:hint="default"/>
          <w:sz w:val="22"/>
          <w:szCs w:val="22"/>
          <w:lang w:val="en-AU"/>
        </w:rPr>
        <w:t>A second debate concerns the usefulness of ‘religion’ as an analytical concept. Fitzgerald argues that “there is no coherent non-theological theoretical basis for the study of religion as a separate academic discipline” (Fitzgerald 2000: 3). According to him, the category ‘religion’ is cross-culturally useless since it is based on the Western distinction between the religious and the secular. Furthermore, Western academia’s concept of religion comes out of the Christian tradition and is based on the assumption of some transcendental reality, which in turn makes it a theological concept (Fitzgerald 2000: 33). As a result, a study of ‘religious’ phenomena should be entirely social scientific and empirically based. This could be achieved by splitting ‘religion’ into more clearly researchable categories such as “soteriology, politics, and ritual” (Fitzgerald 2000: x).</w:t>
      </w:r>
    </w:p>
    <w:p>
      <w:pPr>
        <w:spacing w:line="360" w:lineRule="auto"/>
        <w:rPr>
          <w:rFonts w:hint="default"/>
          <w:sz w:val="22"/>
          <w:szCs w:val="22"/>
          <w:lang w:val="en-AU"/>
        </w:rPr>
      </w:pPr>
    </w:p>
    <w:p>
      <w:pPr>
        <w:spacing w:line="360" w:lineRule="auto"/>
        <w:rPr>
          <w:rFonts w:hint="default"/>
          <w:sz w:val="22"/>
          <w:szCs w:val="22"/>
          <w:lang w:val="en-AU"/>
        </w:rPr>
      </w:pPr>
      <w:r>
        <w:rPr>
          <w:rFonts w:hint="default"/>
          <w:sz w:val="22"/>
          <w:szCs w:val="22"/>
          <w:lang w:val="en-AU"/>
        </w:rPr>
        <w:t xml:space="preserve">The point that ‘religion’ itself is too broad a concept to analyse is well made by Fitzgerald. His solution that the analytical concept ‘culture’ does not suffer from the same problems as ‘religion’ and should be used as a replacement, however, is hard to justify, considering the fact that for decades anthropologists have failed to agree on a definition of ‘culture’ that has universal validity. It seems that in both cases, the scholar needs to offer their own definition of a rather abstract concept which is relevant and empirically researchable in the specific project (which is what Fitzgerald calls for later, p.118). In this process, there should be a sceptical openness towards the category ‘religion’ (Segal 2000: 190). </w:t>
      </w:r>
    </w:p>
    <w:p>
      <w:pPr>
        <w:spacing w:line="360" w:lineRule="auto"/>
        <w:rPr>
          <w:rFonts w:hint="default"/>
          <w:sz w:val="22"/>
          <w:szCs w:val="22"/>
          <w:lang w:val="en-AU"/>
        </w:rPr>
      </w:pPr>
    </w:p>
    <w:p>
      <w:pPr>
        <w:spacing w:line="360" w:lineRule="auto"/>
        <w:rPr>
          <w:rFonts w:hint="default"/>
          <w:sz w:val="22"/>
          <w:szCs w:val="22"/>
          <w:lang w:val="en-AU"/>
        </w:rPr>
      </w:pPr>
      <w:r>
        <w:rPr>
          <w:rFonts w:hint="default"/>
          <w:sz w:val="22"/>
          <w:szCs w:val="22"/>
          <w:lang w:val="en-AU"/>
        </w:rPr>
        <w:t>Segal challenges Fitzgerald’s materialist attitude, but also criticises Religious Studies scholars for failing to distinguish between the manifest and the latent level of a religious phenomenon (Segal 2000: 189). He suggests that “[t]he manifest level [the believer’s perspective] is not an illusion. The illusion is considering it all there is” (Segal 2000: 190). It is not a question of ‘either religious or social-scientific’ but one of ‘both and’, in which the social-scientific dimension has not been given its due prominence. It is the relationship between the manifest and the latent level which is most interesting, in that the manifest religious level of the phenomenon can neither stand alone nor be replaced by social scientific explanations, but must be understood as interacting with them (Segal 2000: 193).</w:t>
      </w:r>
    </w:p>
    <w:p>
      <w:pPr>
        <w:spacing w:line="360" w:lineRule="auto"/>
        <w:rPr>
          <w:rFonts w:hint="default"/>
          <w:sz w:val="22"/>
          <w:szCs w:val="22"/>
          <w:lang w:val="en-AU"/>
        </w:rPr>
      </w:pPr>
    </w:p>
    <w:p>
      <w:pPr>
        <w:spacing w:line="360" w:lineRule="auto"/>
        <w:rPr>
          <w:rFonts w:hint="default"/>
          <w:sz w:val="22"/>
          <w:szCs w:val="22"/>
          <w:lang w:val="en-AU"/>
        </w:rPr>
      </w:pPr>
      <w:r>
        <w:rPr>
          <w:rFonts w:hint="default"/>
          <w:sz w:val="22"/>
          <w:szCs w:val="22"/>
          <w:lang w:val="en-AU"/>
        </w:rPr>
        <w:t>Finally, Cox maintains that scholars of religion have a unique focus, namely the beliefs and effects of “non-falsifiable postulated alternate realities” which exist in many cultural contexts. The task of the scholar of religion, then, is to analyse “the structure of interrelationships between the community and its postulated non-falsifiable postulated realities, and how the community institutionalised its activities around [them]” (Cox 2006: 237). Another example for this is McCutcheon’s work on the power of the concept ‘religion’ as linguistic and political in creating social and psychological spaces (McCutcheon 2003: 292-3). Cox suggests that it is this focus of study that gives Religious Studies its legitimate place in academia.</w:t>
      </w:r>
    </w:p>
    <w:p>
      <w:pPr>
        <w:spacing w:line="360" w:lineRule="auto"/>
        <w:rPr>
          <w:rFonts w:hint="default"/>
          <w:sz w:val="22"/>
          <w:szCs w:val="22"/>
          <w:lang w:val="en-AU"/>
        </w:rPr>
      </w:pPr>
    </w:p>
    <w:p>
      <w:pPr>
        <w:spacing w:line="360" w:lineRule="auto"/>
        <w:rPr>
          <w:rFonts w:hint="default"/>
          <w:b/>
          <w:bCs/>
          <w:sz w:val="22"/>
          <w:szCs w:val="22"/>
          <w:lang w:val="en-AU"/>
        </w:rPr>
      </w:pPr>
      <w:r>
        <w:rPr>
          <w:rFonts w:hint="default"/>
          <w:b/>
          <w:bCs/>
          <w:sz w:val="22"/>
          <w:szCs w:val="22"/>
          <w:lang w:val="en-AU"/>
        </w:rPr>
        <w:t>Conclusion: The Boundaries between Religious Studies and other Academic Disciplines</w:t>
      </w:r>
    </w:p>
    <w:p>
      <w:pPr>
        <w:spacing w:line="360" w:lineRule="auto"/>
        <w:rPr>
          <w:rFonts w:hint="default"/>
          <w:b w:val="0"/>
          <w:bCs w:val="0"/>
          <w:sz w:val="22"/>
          <w:szCs w:val="22"/>
          <w:lang w:val="en-AU"/>
        </w:rPr>
      </w:pPr>
      <w:r>
        <w:rPr>
          <w:rFonts w:hint="default"/>
          <w:b w:val="0"/>
          <w:bCs w:val="0"/>
          <w:sz w:val="22"/>
          <w:szCs w:val="22"/>
          <w:lang w:val="en-AU"/>
        </w:rPr>
        <w:t>Is there a place for the study of religion as its own discipline, considering the questions raised regarding its methodology and analytical concept? I believe this is the case. To start with, a phenomenological approach to religious studies, in its original form seems very unlikely to be incorporated into cultural studies, as Fitzgerald suggests. The approach is critical and suspicious of culture and instead invites us to “</w:t>
      </w:r>
      <w:r>
        <w:rPr>
          <w:rFonts w:hint="default"/>
          <w:sz w:val="22"/>
          <w:szCs w:val="22"/>
        </w:rPr>
        <w:t>set aside all previous habits of thought,</w:t>
      </w:r>
      <w:r>
        <w:rPr>
          <w:rFonts w:hint="default"/>
          <w:sz w:val="22"/>
          <w:szCs w:val="22"/>
          <w:lang w:val="en-AU"/>
        </w:rPr>
        <w:t xml:space="preserve"> </w:t>
      </w:r>
      <w:r>
        <w:rPr>
          <w:rFonts w:hint="default"/>
          <w:sz w:val="22"/>
          <w:szCs w:val="22"/>
        </w:rPr>
        <w:t>see through and break down the mental barriers which these habits</w:t>
      </w:r>
      <w:r>
        <w:rPr>
          <w:rFonts w:hint="default"/>
          <w:sz w:val="22"/>
          <w:szCs w:val="22"/>
          <w:lang w:val="en-AU"/>
        </w:rPr>
        <w:t xml:space="preserve"> </w:t>
      </w:r>
      <w:r>
        <w:rPr>
          <w:rFonts w:hint="default"/>
          <w:sz w:val="22"/>
          <w:szCs w:val="22"/>
        </w:rPr>
        <w:t xml:space="preserve">have set along the horizons of our thinking </w:t>
      </w:r>
      <w:r>
        <w:rPr>
          <w:rFonts w:hint="default"/>
          <w:sz w:val="22"/>
          <w:szCs w:val="22"/>
          <w:lang w:val="en-AU"/>
        </w:rPr>
        <w:t>…</w:t>
      </w:r>
      <w:r>
        <w:rPr>
          <w:rFonts w:hint="default"/>
          <w:sz w:val="22"/>
          <w:szCs w:val="22"/>
        </w:rPr>
        <w:t xml:space="preserve"> to learn to see what</w:t>
      </w:r>
      <w:r>
        <w:rPr>
          <w:rFonts w:hint="default"/>
          <w:sz w:val="22"/>
          <w:szCs w:val="22"/>
          <w:lang w:val="en-AU"/>
        </w:rPr>
        <w:t xml:space="preserve"> </w:t>
      </w:r>
      <w:r>
        <w:rPr>
          <w:rFonts w:hint="default"/>
          <w:sz w:val="22"/>
          <w:szCs w:val="22"/>
        </w:rPr>
        <w:t>stands before our eyes</w:t>
      </w:r>
      <w:r>
        <w:rPr>
          <w:rFonts w:hint="default"/>
          <w:sz w:val="22"/>
          <w:szCs w:val="22"/>
          <w:lang w:val="en-AU"/>
        </w:rPr>
        <w:t>” (Husserl in Crotty 1998: 80).</w:t>
      </w:r>
    </w:p>
    <w:p>
      <w:pPr>
        <w:spacing w:line="360" w:lineRule="auto"/>
        <w:rPr>
          <w:rFonts w:hint="default"/>
          <w:b/>
          <w:bCs/>
          <w:sz w:val="22"/>
          <w:szCs w:val="22"/>
          <w:lang w:val="en-AU"/>
        </w:rPr>
      </w:pPr>
    </w:p>
    <w:p>
      <w:pPr>
        <w:spacing w:line="360" w:lineRule="auto"/>
        <w:rPr>
          <w:rFonts w:hint="default"/>
          <w:sz w:val="22"/>
          <w:szCs w:val="22"/>
          <w:lang w:val="en-AU"/>
        </w:rPr>
      </w:pPr>
      <w:r>
        <w:rPr>
          <w:rFonts w:hint="default"/>
          <w:sz w:val="22"/>
          <w:szCs w:val="22"/>
          <w:lang w:val="en-AU"/>
        </w:rPr>
        <w:t xml:space="preserve">Religious Studies has an intellectual history which it does not share with any other academic discipline. This history includes a unique mix of methodological approaches, epistemological assumptions, a certain set of questions that are considered of interest, a style in explanation which is considered appropriate by the community of scholars, kinds of data that are preferred over others, and a very particular debate about the role of the researcher that has influenced thinking in the discipline. As such, Religious Studies cannot be simply included in any other discipline. </w:t>
      </w:r>
    </w:p>
    <w:p>
      <w:pPr>
        <w:spacing w:line="360" w:lineRule="auto"/>
        <w:rPr>
          <w:rFonts w:hint="default"/>
          <w:sz w:val="22"/>
          <w:szCs w:val="22"/>
          <w:lang w:val="en-AU"/>
        </w:rPr>
      </w:pPr>
    </w:p>
    <w:p>
      <w:pPr>
        <w:spacing w:line="360" w:lineRule="auto"/>
        <w:rPr>
          <w:rFonts w:hint="default"/>
          <w:sz w:val="22"/>
          <w:szCs w:val="22"/>
          <w:lang w:val="en-AU"/>
        </w:rPr>
      </w:pPr>
      <w:r>
        <w:rPr>
          <w:rFonts w:hint="default"/>
          <w:sz w:val="22"/>
          <w:szCs w:val="22"/>
          <w:lang w:val="en-AU"/>
        </w:rPr>
        <w:t>Fitzgerald’s criticism is solely focused on the analytical concept ‘religion’, but fails to consider the history of religious studies as a discipline. He is right in arguing that there is a strong overlap between religious studies and cultural studies, as there is between religious studies and cultural anthropology (Fitzgerald 2000: 225). I wonder, however, why not make the same argument about anthropology and sociology and certain branches of oth</w:t>
      </w:r>
      <w:bookmarkStart w:id="0" w:name="_GoBack"/>
      <w:bookmarkEnd w:id="0"/>
      <w:r>
        <w:rPr>
          <w:rFonts w:hint="default"/>
          <w:sz w:val="22"/>
          <w:szCs w:val="22"/>
          <w:lang w:val="en-AU"/>
        </w:rPr>
        <w:t>er social sciences? It seems to me that it is more due to the body of literature and the history of the disciplines, rather than different analytical concepts or methodological approaches, that they remain separate fields of study. Religious Studies is also undergoing a process in which theoretical perspectives from other academic disciplines are increasingly taken into account.</w:t>
      </w:r>
    </w:p>
    <w:p>
      <w:pPr>
        <w:spacing w:line="360" w:lineRule="auto"/>
        <w:rPr>
          <w:rFonts w:hint="default"/>
          <w:sz w:val="22"/>
          <w:szCs w:val="22"/>
          <w:lang w:val="en-AU"/>
        </w:rPr>
      </w:pPr>
      <w:r>
        <w:rPr>
          <w:rFonts w:hint="default"/>
          <w:sz w:val="22"/>
          <w:szCs w:val="22"/>
          <w:lang w:val="en-AU"/>
        </w:rPr>
        <w:br w:type="page"/>
      </w:r>
    </w:p>
    <w:p>
      <w:pPr>
        <w:rPr>
          <w:rFonts w:hint="default" w:ascii="Calibri" w:hAnsi="Calibri" w:cs="Calibri"/>
          <w:b/>
          <w:bCs/>
          <w:sz w:val="22"/>
          <w:szCs w:val="22"/>
          <w:lang w:val="en-AU"/>
        </w:rPr>
      </w:pPr>
      <w:r>
        <w:rPr>
          <w:rFonts w:hint="default" w:ascii="Calibri" w:hAnsi="Calibri" w:cs="Calibri"/>
          <w:b/>
          <w:bCs/>
          <w:sz w:val="22"/>
          <w:szCs w:val="22"/>
          <w:lang w:val="en-AU"/>
        </w:rPr>
        <w:t>References</w:t>
      </w:r>
    </w:p>
    <w:p>
      <w:pPr>
        <w:spacing w:beforeLines="0" w:afterLines="0"/>
        <w:jc w:val="left"/>
        <w:rPr>
          <w:rFonts w:hint="default" w:ascii="Calibri" w:hAnsi="Calibri" w:cs="Calibri"/>
          <w:color w:val="000000"/>
          <w:sz w:val="22"/>
          <w:szCs w:val="22"/>
        </w:rPr>
      </w:pPr>
    </w:p>
    <w:p>
      <w:pPr>
        <w:spacing w:beforeLines="0" w:afterLines="0"/>
        <w:jc w:val="left"/>
        <w:rPr>
          <w:rFonts w:hint="default" w:ascii="Calibri" w:hAnsi="Calibri" w:cs="Calibri"/>
          <w:color w:val="000000"/>
          <w:sz w:val="22"/>
          <w:szCs w:val="22"/>
        </w:rPr>
      </w:pPr>
      <w:r>
        <w:rPr>
          <w:rFonts w:hint="default" w:ascii="Calibri" w:hAnsi="Calibri" w:cs="Calibri"/>
          <w:color w:val="000000"/>
          <w:sz w:val="22"/>
          <w:szCs w:val="22"/>
        </w:rPr>
        <w:t xml:space="preserve">Cox, James, </w:t>
      </w:r>
      <w:r>
        <w:rPr>
          <w:rFonts w:hint="default" w:ascii="Calibri" w:hAnsi="Calibri" w:cs="Calibri"/>
          <w:i/>
          <w:color w:val="000000"/>
          <w:sz w:val="22"/>
          <w:szCs w:val="22"/>
        </w:rPr>
        <w:t xml:space="preserve">A Guide to the Phenomenology of Religion: Key Figures, Formative Influences and Subsequent Debates </w:t>
      </w:r>
      <w:r>
        <w:rPr>
          <w:rFonts w:hint="default" w:ascii="Calibri" w:hAnsi="Calibri" w:cs="Calibri"/>
          <w:color w:val="000000"/>
          <w:sz w:val="22"/>
          <w:szCs w:val="22"/>
        </w:rPr>
        <w:t xml:space="preserve">(London: Continuum, 2006). </w:t>
      </w:r>
    </w:p>
    <w:p>
      <w:pPr>
        <w:spacing w:beforeLines="0" w:afterLines="0"/>
        <w:jc w:val="left"/>
        <w:rPr>
          <w:rFonts w:hint="default" w:ascii="Calibri" w:hAnsi="Calibri" w:cs="Calibri"/>
          <w:color w:val="000000"/>
          <w:sz w:val="22"/>
          <w:szCs w:val="22"/>
        </w:rPr>
      </w:pPr>
    </w:p>
    <w:p>
      <w:pPr>
        <w:keepNext w:val="0"/>
        <w:keepLines w:val="0"/>
        <w:pageBreakBefore w:val="0"/>
        <w:widowControl/>
        <w:kinsoku/>
        <w:wordWrap/>
        <w:overflowPunct/>
        <w:topLinePunct w:val="0"/>
        <w:autoSpaceDE/>
        <w:autoSpaceDN/>
        <w:bidi w:val="0"/>
        <w:adjustRightInd/>
        <w:snapToGrid/>
        <w:spacing w:line="288" w:lineRule="auto"/>
        <w:ind w:left="0" w:leftChars="0" w:right="0" w:rightChars="0" w:firstLine="0" w:firstLineChars="0"/>
        <w:jc w:val="left"/>
        <w:textAlignment w:val="auto"/>
        <w:outlineLvl w:val="9"/>
        <w:rPr>
          <w:rFonts w:hint="default" w:ascii="Calibri" w:hAnsi="Calibri" w:cs="Calibri"/>
          <w:sz w:val="22"/>
          <w:szCs w:val="22"/>
          <w:highlight w:val="none"/>
          <w:lang w:val="en-AU"/>
        </w:rPr>
      </w:pPr>
      <w:r>
        <w:rPr>
          <w:rFonts w:hint="default" w:ascii="Calibri" w:hAnsi="Calibri" w:cs="Calibri"/>
          <w:sz w:val="22"/>
          <w:szCs w:val="22"/>
          <w:highlight w:val="none"/>
          <w:lang w:val="en-AU"/>
        </w:rPr>
        <w:t xml:space="preserve">Crotty, Michael, </w:t>
      </w:r>
      <w:r>
        <w:rPr>
          <w:rFonts w:hint="default" w:ascii="Calibri" w:hAnsi="Calibri" w:cs="Calibri"/>
          <w:i/>
          <w:iCs/>
          <w:sz w:val="22"/>
          <w:szCs w:val="22"/>
          <w:lang w:val="en-AU"/>
        </w:rPr>
        <w:t xml:space="preserve">The Foundations of Social Research: Meaning and Perspective in the Research Process </w:t>
      </w:r>
      <w:r>
        <w:rPr>
          <w:rFonts w:hint="default" w:ascii="Calibri" w:hAnsi="Calibri" w:cs="Calibri"/>
          <w:i w:val="0"/>
          <w:iCs w:val="0"/>
          <w:sz w:val="22"/>
          <w:szCs w:val="22"/>
          <w:lang w:val="en-AU"/>
        </w:rPr>
        <w:t xml:space="preserve">(London, UK: Sage Publications, </w:t>
      </w:r>
      <w:r>
        <w:rPr>
          <w:rFonts w:hint="default" w:ascii="Calibri" w:hAnsi="Calibri" w:cs="Calibri"/>
          <w:sz w:val="22"/>
          <w:szCs w:val="22"/>
          <w:highlight w:val="none"/>
          <w:lang w:val="en-AU"/>
        </w:rPr>
        <w:t>1998).</w:t>
      </w:r>
    </w:p>
    <w:p>
      <w:pPr>
        <w:spacing w:beforeLines="0" w:afterLines="0"/>
        <w:jc w:val="left"/>
        <w:rPr>
          <w:rFonts w:hint="default" w:ascii="Calibri" w:hAnsi="Calibri" w:cs="Calibri"/>
          <w:color w:val="000000"/>
          <w:sz w:val="22"/>
          <w:szCs w:val="22"/>
        </w:rPr>
      </w:pPr>
    </w:p>
    <w:p>
      <w:pPr>
        <w:spacing w:beforeLines="0" w:afterLines="0"/>
        <w:jc w:val="left"/>
        <w:rPr>
          <w:rFonts w:hint="default" w:ascii="Calibri" w:hAnsi="Calibri" w:cs="Calibri"/>
          <w:color w:val="000000"/>
          <w:sz w:val="22"/>
          <w:szCs w:val="22"/>
        </w:rPr>
      </w:pPr>
      <w:r>
        <w:rPr>
          <w:rFonts w:hint="default" w:ascii="Calibri" w:hAnsi="Calibri" w:cs="Calibri"/>
          <w:color w:val="000000"/>
          <w:sz w:val="22"/>
          <w:szCs w:val="22"/>
        </w:rPr>
        <w:t xml:space="preserve">Fitzgerald, Timothy, </w:t>
      </w:r>
      <w:r>
        <w:rPr>
          <w:rFonts w:hint="default" w:ascii="Calibri" w:hAnsi="Calibri" w:cs="Calibri"/>
          <w:i/>
          <w:color w:val="000000"/>
          <w:sz w:val="22"/>
          <w:szCs w:val="22"/>
        </w:rPr>
        <w:t xml:space="preserve">The Ideology of Religious Studies </w:t>
      </w:r>
      <w:r>
        <w:rPr>
          <w:rFonts w:hint="default" w:ascii="Calibri" w:hAnsi="Calibri" w:cs="Calibri"/>
          <w:color w:val="000000"/>
          <w:sz w:val="22"/>
          <w:szCs w:val="22"/>
        </w:rPr>
        <w:t xml:space="preserve">(New York, Oxford: Oxford University Press, 2000). </w:t>
      </w:r>
    </w:p>
    <w:p>
      <w:pPr>
        <w:spacing w:beforeLines="0" w:afterLines="0"/>
        <w:jc w:val="left"/>
        <w:rPr>
          <w:rFonts w:hint="default" w:ascii="Calibri" w:hAnsi="Calibri" w:cs="Calibri"/>
          <w:color w:val="000000"/>
          <w:sz w:val="22"/>
          <w:szCs w:val="22"/>
        </w:rPr>
      </w:pPr>
    </w:p>
    <w:p>
      <w:pPr>
        <w:spacing w:beforeLines="0" w:afterLines="0"/>
        <w:jc w:val="left"/>
        <w:rPr>
          <w:rFonts w:hint="default" w:ascii="Calibri" w:hAnsi="Calibri" w:cs="Calibri"/>
          <w:color w:val="000000"/>
          <w:sz w:val="22"/>
          <w:szCs w:val="22"/>
        </w:rPr>
      </w:pPr>
      <w:r>
        <w:rPr>
          <w:rFonts w:hint="default" w:ascii="Calibri" w:hAnsi="Calibri" w:cs="Calibri"/>
          <w:color w:val="000000"/>
          <w:sz w:val="22"/>
          <w:szCs w:val="22"/>
        </w:rPr>
        <w:t xml:space="preserve">McCutcheon, Russell T., </w:t>
      </w:r>
      <w:r>
        <w:rPr>
          <w:rFonts w:hint="default" w:ascii="Calibri" w:hAnsi="Calibri" w:cs="Calibri"/>
          <w:i/>
          <w:color w:val="000000"/>
          <w:sz w:val="22"/>
          <w:szCs w:val="22"/>
        </w:rPr>
        <w:t xml:space="preserve">The Discipline of Religion: Structure, Meaning, Rhetoric </w:t>
      </w:r>
      <w:r>
        <w:rPr>
          <w:rFonts w:hint="default" w:ascii="Calibri" w:hAnsi="Calibri" w:cs="Calibri"/>
          <w:color w:val="000000"/>
          <w:sz w:val="22"/>
          <w:szCs w:val="22"/>
        </w:rPr>
        <w:t xml:space="preserve">(London and New York: Routledge, 2003). </w:t>
      </w:r>
    </w:p>
    <w:p>
      <w:pPr>
        <w:spacing w:beforeLines="0" w:afterLines="0"/>
        <w:jc w:val="left"/>
        <w:rPr>
          <w:rFonts w:hint="default" w:ascii="Calibri" w:hAnsi="Calibri" w:cs="Calibri"/>
          <w:color w:val="000000"/>
          <w:sz w:val="22"/>
          <w:szCs w:val="22"/>
        </w:rPr>
      </w:pPr>
    </w:p>
    <w:p>
      <w:pPr>
        <w:spacing w:beforeLines="0" w:afterLines="0"/>
        <w:jc w:val="left"/>
        <w:rPr>
          <w:rFonts w:hint="default" w:ascii="Calibri" w:hAnsi="Calibri" w:cs="Calibri"/>
          <w:color w:val="000000"/>
          <w:sz w:val="22"/>
          <w:szCs w:val="22"/>
        </w:rPr>
      </w:pPr>
      <w:r>
        <w:rPr>
          <w:rFonts w:hint="default" w:ascii="Calibri" w:hAnsi="Calibri" w:cs="Calibri"/>
          <w:color w:val="000000"/>
          <w:sz w:val="22"/>
          <w:szCs w:val="22"/>
        </w:rPr>
        <w:t xml:space="preserve">Olson, Carl, ‘Contested Categories and Issues in Interpretation’, in Mittal, Sushil and Gene Thursby (eds), </w:t>
      </w:r>
      <w:r>
        <w:rPr>
          <w:rFonts w:hint="default" w:ascii="Calibri" w:hAnsi="Calibri" w:cs="Calibri"/>
          <w:i/>
          <w:color w:val="000000"/>
          <w:sz w:val="22"/>
          <w:szCs w:val="22"/>
        </w:rPr>
        <w:t xml:space="preserve">Religions of South Asia: An Introduction </w:t>
      </w:r>
      <w:r>
        <w:rPr>
          <w:rFonts w:hint="default" w:ascii="Calibri" w:hAnsi="Calibri" w:cs="Calibri"/>
          <w:color w:val="000000"/>
          <w:sz w:val="22"/>
          <w:szCs w:val="22"/>
        </w:rPr>
        <w:t xml:space="preserve">(London and New York: Routledge, 2006). </w:t>
      </w:r>
    </w:p>
    <w:p>
      <w:pPr>
        <w:rPr>
          <w:rFonts w:hint="default" w:ascii="Calibri" w:hAnsi="Calibri" w:cs="Calibri"/>
          <w:color w:val="000000"/>
          <w:sz w:val="22"/>
          <w:szCs w:val="22"/>
        </w:rPr>
      </w:pPr>
    </w:p>
    <w:p>
      <w:pPr>
        <w:rPr>
          <w:rFonts w:hint="default" w:ascii="Calibri" w:hAnsi="Calibri" w:cs="Calibri"/>
          <w:sz w:val="22"/>
          <w:szCs w:val="22"/>
          <w:lang w:val="en-AU"/>
        </w:rPr>
      </w:pPr>
      <w:r>
        <w:rPr>
          <w:rFonts w:hint="default" w:ascii="Calibri" w:hAnsi="Calibri" w:cs="Calibri"/>
          <w:color w:val="000000"/>
          <w:sz w:val="22"/>
          <w:szCs w:val="22"/>
        </w:rPr>
        <w:t xml:space="preserve">Segal, Robert A., ‘Categorizing Religion’, in Geertz, Armin W. and Russell T. McCutcheon (eds), </w:t>
      </w:r>
      <w:r>
        <w:rPr>
          <w:rFonts w:hint="default" w:ascii="Calibri" w:hAnsi="Calibri" w:cs="Calibri"/>
          <w:i/>
          <w:color w:val="000000"/>
          <w:sz w:val="22"/>
          <w:szCs w:val="22"/>
        </w:rPr>
        <w:t xml:space="preserve">Perspectives on Method and Theory in the Study of Religion </w:t>
      </w:r>
      <w:r>
        <w:rPr>
          <w:rFonts w:hint="default" w:ascii="Calibri" w:hAnsi="Calibri" w:cs="Calibri"/>
          <w:color w:val="000000"/>
          <w:sz w:val="22"/>
          <w:szCs w:val="22"/>
        </w:rPr>
        <w:t>(Leiden, Boston, Koln: Brill, 2000).</w:t>
      </w:r>
    </w:p>
    <w:p>
      <w:pPr>
        <w:rPr>
          <w:rFonts w:hint="default" w:ascii="Calibri" w:hAnsi="Calibri" w:cs="Calibri"/>
          <w:sz w:val="22"/>
          <w:szCs w:val="22"/>
          <w:lang w:val="en-AU"/>
        </w:rPr>
      </w:pP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3"/>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Open Sans">
    <w:panose1 w:val="020B0606030504020204"/>
    <w:charset w:val="00"/>
    <w:family w:val="auto"/>
    <w:pitch w:val="default"/>
    <w:sig w:usb0="E00002EF" w:usb1="4000205B" w:usb2="00000028" w:usb3="00000000" w:csb0="2000019F" w:csb1="00000000"/>
  </w:font>
  <w:font w:name="Open Sans Semibold">
    <w:panose1 w:val="020B0706030804020204"/>
    <w:charset w:val="00"/>
    <w:family w:val="auto"/>
    <w:pitch w:val="default"/>
    <w:sig w:usb0="E00002EF" w:usb1="4000205B" w:usb2="00000028" w:usb3="00000000" w:csb0="2000019F" w:csb1="00000000"/>
  </w:font>
  <w:font w:name="TimesNewRomanPSMT">
    <w:altName w:val="Times New Roman"/>
    <w:panose1 w:val="00000000000000000000"/>
    <w:charset w:val="00"/>
    <w:family w:val="roman"/>
    <w:pitch w:val="default"/>
    <w:sig w:usb0="00000000" w:usb1="00000000" w:usb2="00000000" w:usb3="00000000" w:csb0="00000001" w:csb1="00000000"/>
  </w:font>
  <w:font w:name="Times-Roman">
    <w:altName w:val="Times New Roman"/>
    <w:panose1 w:val="00000000000000000000"/>
    <w:charset w:val="00"/>
    <w:family w:val="roman"/>
    <w:pitch w:val="default"/>
    <w:sig w:usb0="00000000" w:usb1="00000000" w:usb2="00000000" w:usb3="00000000" w:csb0="00000001" w:csb1="00000000"/>
  </w:font>
  <w:font w:name="Microsoft YaHei">
    <w:panose1 w:val="020B0503020204020204"/>
    <w:charset w:val="86"/>
    <w:family w:val="auto"/>
    <w:pitch w:val="default"/>
    <w:sig w:usb0="80000287" w:usb1="2ACF3C50" w:usb2="00000016" w:usb3="00000000" w:csb0="0004001F" w:csb1="00000000"/>
  </w:font>
  <w:font w:name="Mangal">
    <w:altName w:val="Microsoft YaHei"/>
    <w:panose1 w:val="00000000000000000000"/>
    <w:charset w:val="00"/>
    <w:family w:val="auto"/>
    <w:pitch w:val="default"/>
    <w:sig w:usb0="00000000" w:usb1="00000000" w:usb2="00000000" w:usb3="00000000" w:csb0="00040001" w:csb1="00000000"/>
  </w:font>
  <w:font w:name="PMingLiU">
    <w:altName w:val="Microsoft YaHei"/>
    <w:panose1 w:val="00000000000000000000"/>
    <w:charset w:val="00"/>
    <w:family w:val="auto"/>
    <w:pitch w:val="default"/>
    <w:sig w:usb0="00000000" w:usb1="00000000" w:usb2="00000000" w:usb3="00000000" w:csb0="00040001" w:csb1="00000000"/>
  </w:font>
  <w:font w:name="Mangal">
    <w:altName w:val="Malgun Gothic Semilight"/>
    <w:panose1 w:val="00000000000000000000"/>
    <w:charset w:val="80"/>
    <w:family w:val="auto"/>
    <w:pitch w:val="default"/>
    <w:sig w:usb0="00000000" w:usb1="00000000" w:usb2="00000000" w:usb3="00000000" w:csb0="00040001" w:csb1="00000000"/>
  </w:font>
  <w:font w:name="Malgun Gothic Semilight">
    <w:panose1 w:val="020B0502040204020203"/>
    <w:charset w:val="86"/>
    <w:family w:val="auto"/>
    <w:pitch w:val="default"/>
    <w:sig w:usb0="900002AF" w:usb1="01D77CFB" w:usb2="00000012" w:usb3="00000000" w:csb0="203E01BD" w:csb1="D7FF0000"/>
  </w:font>
  <w:font w:name="Tahoma">
    <w:panose1 w:val="020B0604030504040204"/>
    <w:charset w:val="00"/>
    <w:family w:val="auto"/>
    <w:pitch w:val="default"/>
    <w:sig w:usb0="E1002EFF" w:usb1="C000605B" w:usb2="00000029" w:usb3="00000000" w:csb0="200101FF" w:csb1="20280000"/>
  </w:font>
  <w:font w:name="Tw Cen MT">
    <w:panose1 w:val="020B0602020104020603"/>
    <w:charset w:val="00"/>
    <w:family w:val="auto"/>
    <w:pitch w:val="default"/>
    <w:sig w:usb0="00000003" w:usb1="00000000" w:usb2="00000000" w:usb3="00000000" w:csb0="20000003" w:csb1="00000000"/>
  </w:font>
  <w:font w:name="Calibri Light">
    <w:panose1 w:val="020F0302020204030204"/>
    <w:charset w:val="00"/>
    <w:family w:val="auto"/>
    <w:pitch w:val="default"/>
    <w:sig w:usb0="E0002AFF" w:usb1="C000247B" w:usb2="00000009" w:usb3="00000000" w:csb0="200001FF" w:csb1="00000000"/>
  </w:font>
  <w:font w:name="Stencil">
    <w:panose1 w:val="040409050D0802020404"/>
    <w:charset w:val="00"/>
    <w:family w:val="auto"/>
    <w:pitch w:val="default"/>
    <w:sig w:usb0="00000003" w:usb1="00000000" w:usb2="00000000" w:usb3="00000000" w:csb0="20000001"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empus Sans ITC">
    <w:panose1 w:val="04020404030D07020202"/>
    <w:charset w:val="00"/>
    <w:family w:val="auto"/>
    <w:pitch w:val="default"/>
    <w:sig w:usb0="00000003" w:usb1="00000000" w:usb2="00000000" w:usb3="00000000" w:csb0="20000001" w:csb1="00000000"/>
  </w:font>
  <w:font w:name="Segoe UI Semilight">
    <w:panose1 w:val="020B0402040204020203"/>
    <w:charset w:val="00"/>
    <w:family w:val="auto"/>
    <w:pitch w:val="default"/>
    <w:sig w:usb0="E4002EFF" w:usb1="C000E47F" w:usb2="00000009" w:usb3="00000000" w:csb0="200001FF" w:csb1="00000000"/>
  </w:font>
  <w:font w:name="Segoe UI Light">
    <w:panose1 w:val="020B0502040204020203"/>
    <w:charset w:val="00"/>
    <w:family w:val="auto"/>
    <w:pitch w:val="default"/>
    <w:sig w:usb0="E4002EFF" w:usb1="C000E47F" w:usb2="00000009" w:usb3="00000000" w:csb0="200001FF" w:csb1="00000000"/>
  </w:font>
  <w:font w:name="Rage Italic">
    <w:panose1 w:val="03070502040507070304"/>
    <w:charset w:val="00"/>
    <w:family w:val="auto"/>
    <w:pitch w:val="default"/>
    <w:sig w:usb0="00000003" w:usb1="00000000" w:usb2="00000000" w:usb3="00000000" w:csb0="20000001" w:csb1="00000000"/>
  </w:font>
  <w:font w:name="Ravie">
    <w:panose1 w:val="04040805050809020602"/>
    <w:charset w:val="00"/>
    <w:family w:val="auto"/>
    <w:pitch w:val="default"/>
    <w:sig w:usb0="00000003" w:usb1="00000000" w:usb2="00000000" w:usb3="00000000" w:csb0="20000001" w:csb1="00000000"/>
  </w:font>
  <w:font w:name="Rockwell">
    <w:panose1 w:val="02060603020205020403"/>
    <w:charset w:val="00"/>
    <w:family w:val="auto"/>
    <w:pitch w:val="default"/>
    <w:sig w:usb0="00000003" w:usb1="00000000" w:usb2="00000000" w:usb3="00000000" w:csb0="20000001" w:csb1="00000000"/>
  </w:font>
  <w:font w:name="Rockwell Condensed">
    <w:panose1 w:val="02060603050405020104"/>
    <w:charset w:val="00"/>
    <w:family w:val="auto"/>
    <w:pitch w:val="default"/>
    <w:sig w:usb0="00000003" w:usb1="00000000" w:usb2="00000000" w:usb3="00000000" w:csb0="20000001" w:csb1="00000000"/>
  </w:font>
  <w:font w:name="Rockwell Extra Bold">
    <w:panose1 w:val="02060903040505020403"/>
    <w:charset w:val="00"/>
    <w:family w:val="auto"/>
    <w:pitch w:val="default"/>
    <w:sig w:usb0="00000003" w:usb1="00000000" w:usb2="00000000" w:usb3="00000000" w:csb0="20000001" w:csb1="00000000"/>
  </w:font>
  <w:font w:name="Script MT Bold">
    <w:panose1 w:val="03040602040607080904"/>
    <w:charset w:val="00"/>
    <w:family w:val="auto"/>
    <w:pitch w:val="default"/>
    <w:sig w:usb0="00000003" w:usb1="00000000" w:usb2="00000000" w:usb3="00000000" w:csb0="20000001" w:csb1="00000000"/>
  </w:font>
  <w:font w:name="Segoe MDL2 Assets">
    <w:panose1 w:val="050A0102010101010101"/>
    <w:charset w:val="00"/>
    <w:family w:val="auto"/>
    <w:pitch w:val="default"/>
    <w:sig w:usb0="00000000" w:usb1="1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Segoe Script">
    <w:panose1 w:val="030B0504020000000003"/>
    <w:charset w:val="00"/>
    <w:family w:val="auto"/>
    <w:pitch w:val="default"/>
    <w:sig w:usb0="0000028F" w:usb1="00000000" w:usb2="00000000" w:usb3="00000000" w:csb0="0000009F" w:csb1="0000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Malgun Gothic">
    <w:panose1 w:val="020B0503020000020004"/>
    <w:charset w:val="81"/>
    <w:family w:val="auto"/>
    <w:pitch w:val="default"/>
    <w:sig w:usb0="9000002F" w:usb1="29D77CFB" w:usb2="00000012" w:usb3="00000000" w:csb0="00080001" w:csb1="00000000"/>
  </w:font>
  <w:font w:name="Microsoft JhengHei">
    <w:panose1 w:val="020B0604030504040204"/>
    <w:charset w:val="88"/>
    <w:family w:val="auto"/>
    <w:pitch w:val="default"/>
    <w:sig w:usb0="000002A7" w:usb1="28CF4400" w:usb2="00000016" w:usb3="00000000" w:csb0="00100009" w:csb1="00000000"/>
  </w:font>
  <w:font w:name="Microsoft JhengHei Light">
    <w:panose1 w:val="020B0304030504040204"/>
    <w:charset w:val="88"/>
    <w:family w:val="auto"/>
    <w:pitch w:val="default"/>
    <w:sig w:usb0="8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YaHei Light">
    <w:panose1 w:val="020B0502040204020203"/>
    <w:charset w:val="86"/>
    <w:family w:val="auto"/>
    <w:pitch w:val="default"/>
    <w:sig w:usb0="80000287" w:usb1="2ACF0010" w:usb2="00000016" w:usb3="00000000" w:csb0="0004001F" w:csb1="00000000"/>
  </w:font>
  <w:font w:name="Microsoft YaHei UI">
    <w:panose1 w:val="020B0503020204020204"/>
    <w:charset w:val="86"/>
    <w:family w:val="auto"/>
    <w:pitch w:val="default"/>
    <w:sig w:usb0="80000287" w:usb1="2ACF3C50" w:usb2="00000016" w:usb3="00000000" w:csb0="0004001F" w:csb1="00000000"/>
  </w:font>
  <w:font w:name="MS Gothic">
    <w:panose1 w:val="020B0609070205080204"/>
    <w:charset w:val="80"/>
    <w:family w:val="auto"/>
    <w:pitch w:val="default"/>
    <w:sig w:usb0="E00002FF" w:usb1="6AC7FDFB" w:usb2="08000012" w:usb3="00000000" w:csb0="4002009F" w:csb1="DFD70000"/>
  </w:font>
  <w:font w:name="PMingLiU-ExtB">
    <w:panose1 w:val="02020500000000000000"/>
    <w:charset w:val="88"/>
    <w:family w:val="auto"/>
    <w:pitch w:val="default"/>
    <w:sig w:usb0="8000002F" w:usb1="02000008" w:usb2="00000000" w:usb3="00000000" w:csb0="00100001" w:csb1="00000000"/>
  </w:font>
  <w:font w:name="Yu Gothic Light">
    <w:panose1 w:val="020B0300000000000000"/>
    <w:charset w:val="80"/>
    <w:family w:val="auto"/>
    <w:pitch w:val="default"/>
    <w:sig w:usb0="E00002FF" w:usb1="2AC7FDFF" w:usb2="00000016" w:usb3="00000000" w:csb0="2002009F" w:csb1="00000000"/>
  </w:font>
  <w:font w:name="Yu Gothic Medium">
    <w:panose1 w:val="020B05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UI Light">
    <w:panose1 w:val="020B03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 w:name="Yu Gothic UI Semilight">
    <w:panose1 w:val="020B0400000000000000"/>
    <w:charset w:val="80"/>
    <w:family w:val="auto"/>
    <w:pitch w:val="default"/>
    <w:sig w:usb0="E00002FF" w:usb1="2AC7FDFF" w:usb2="00000016" w:usb3="00000000" w:csb0="2002009F" w:csb1="00000000"/>
  </w:font>
  <w:font w:name="Agency FB">
    <w:panose1 w:val="020B0503020202020204"/>
    <w:charset w:val="00"/>
    <w:family w:val="auto"/>
    <w:pitch w:val="default"/>
    <w:sig w:usb0="00000003" w:usb1="00000000" w:usb2="00000000" w:usb3="00000000" w:csb0="20000001" w:csb1="00000000"/>
  </w:font>
  <w:font w:name="Algerian">
    <w:panose1 w:val="04020705040A02060702"/>
    <w:charset w:val="00"/>
    <w:family w:val="auto"/>
    <w:pitch w:val="default"/>
    <w:sig w:usb0="00000003" w:usb1="00000000" w:usb2="00000000" w:usb3="00000000" w:csb0="20000001" w:csb1="00000000"/>
  </w:font>
  <w:font w:name="Symbol">
    <w:panose1 w:val="05050102010706020507"/>
    <w:charset w:val="02"/>
    <w:family w:val="roman"/>
    <w:pitch w:val="default"/>
    <w:sig w:usb0="00000000" w:usb1="00000000" w:usb2="00000000" w:usb3="00000000" w:csb0="80000000" w:csb1="00000000"/>
  </w:font>
  <w:font w:name="Code">
    <w:altName w:val="Segoe Print"/>
    <w:panose1 w:val="00000000000000000000"/>
    <w:charset w:val="00"/>
    <w:family w:val="swiss"/>
    <w:pitch w:val="default"/>
    <w:sig w:usb0="00000000" w:usb1="00000000" w:usb2="00000000" w:usb3="00000000" w:csb0="00000001" w:csb1="00000000"/>
  </w:font>
  <w:font w:name="Times">
    <w:altName w:val="Times New Roman"/>
    <w:panose1 w:val="02020603050405020304"/>
    <w:charset w:val="00"/>
    <w:family w:val="roman"/>
    <w:pitch w:val="default"/>
    <w:sig w:usb0="00000000" w:usb1="00000000" w:usb2="00000009" w:usb3="00000000" w:csb0="000001FF" w:csb1="00000000"/>
  </w:font>
  <w:font w:name="Palatino Linotype">
    <w:panose1 w:val="02040502050505030304"/>
    <w:charset w:val="00"/>
    <w:family w:val="roman"/>
    <w:pitch w:val="default"/>
    <w:sig w:usb0="E0000287" w:usb1="40000013" w:usb2="00000000" w:usb3="00000000" w:csb0="2000019F" w:csb1="00000000"/>
  </w:font>
  <w:font w:name="Verdana">
    <w:panose1 w:val="020B0604030504040204"/>
    <w:charset w:val="00"/>
    <w:family w:val="swiss"/>
    <w:pitch w:val="default"/>
    <w:sig w:usb0="A10006FF" w:usb1="4000205B" w:usb2="00000010" w:usb3="00000000" w:csb0="2000019F" w:csb1="00000000"/>
  </w:font>
  <w:font w:name="TimesNewRomanPS-ItalicMT">
    <w:altName w:val="Segoe Print"/>
    <w:panose1 w:val="00000000000000000000"/>
    <w:charset w:val="00"/>
    <w:family w:val="swiss"/>
    <w:pitch w:val="default"/>
    <w:sig w:usb0="00000000" w:usb1="00000000" w:usb2="00000000" w:usb3="00000000" w:csb0="00000001" w:csb1="00000000"/>
  </w:font>
  <w:font w:name="TimesNewRomanPS-BoldMT">
    <w:altName w:val="Segoe Print"/>
    <w:panose1 w:val="00000000000000000000"/>
    <w:charset w:val="00"/>
    <w:family w:val="swiss"/>
    <w:pitch w:val="default"/>
    <w:sig w:usb0="00000000" w:usb1="00000000" w:usb2="00000000" w:usb3="00000000" w:csb0="00000001" w:csb1="00000000"/>
  </w:font>
  <w:font w:name="Copperplate Gothic Bold">
    <w:panose1 w:val="020E0705020206020404"/>
    <w:charset w:val="00"/>
    <w:family w:val="auto"/>
    <w:pitch w:val="default"/>
    <w:sig w:usb0="00000003" w:usb1="00000000" w:usb2="00000000" w:usb3="00000000" w:csb0="20000001" w:csb1="00000000"/>
  </w:font>
  <w:font w:name="national-book">
    <w:altName w:val="Segoe Print"/>
    <w:panose1 w:val="00000000000000000000"/>
    <w:charset w:val="00"/>
    <w:family w:val="auto"/>
    <w:pitch w:val="default"/>
    <w:sig w:usb0="00000000" w:usb1="00000000" w:usb2="00000000" w:usb3="00000000" w:csb0="00000000" w:csb1="00000000"/>
  </w:font>
  <w:font w:name="national-extra-bold">
    <w:altName w:val="Segoe Print"/>
    <w:panose1 w:val="00000000000000000000"/>
    <w:charset w:val="00"/>
    <w:family w:val="auto"/>
    <w:pitch w:val="default"/>
    <w:sig w:usb0="00000000" w:usb1="00000000" w:usb2="00000000" w:usb3="00000000" w:csb0="00000000" w:csb1="00000000"/>
  </w:font>
  <w:font w:name="MS PGothic">
    <w:panose1 w:val="020B0600070205080204"/>
    <w:charset w:val="80"/>
    <w:family w:val="auto"/>
    <w:pitch w:val="default"/>
    <w:sig w:usb0="E00002FF" w:usb1="6AC7FDFB" w:usb2="08000012" w:usb3="00000000" w:csb0="4002009F" w:csb1="DFD70000"/>
  </w:font>
  <w:font w:name="Wingdings">
    <w:panose1 w:val="05000000000000000000"/>
    <w:charset w:val="00"/>
    <w:family w:val="auto"/>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IDFont+F3">
    <w:altName w:val="Segoe Print"/>
    <w:panose1 w:val="00000000000000000000"/>
    <w:charset w:val="00"/>
    <w:family w:val="auto"/>
    <w:pitch w:val="default"/>
    <w:sig w:usb0="00000000" w:usb1="00000000" w:usb2="00000000" w:usb3="00000000" w:csb0="00000001" w:csb1="00000000"/>
  </w:font>
  <w:font w:name="Times-Italic">
    <w:altName w:val="Segoe Print"/>
    <w:panose1 w:val="00000000000000000000"/>
    <w:charset w:val="00"/>
    <w:family w:val="auto"/>
    <w:pitch w:val="default"/>
    <w:sig w:usb0="00000000" w:usb1="00000000" w:usb2="00000000" w:usb3="00000000" w:csb0="00000001" w:csb1="00000000"/>
  </w:font>
  <w:font w:name="TimesNewRomanPS-BoldItalicMT">
    <w:altName w:val="Segoe Print"/>
    <w:panose1 w:val="00000000000000000000"/>
    <w:charset w:val="00"/>
    <w:family w:val="swiss"/>
    <w:pitch w:val="default"/>
    <w:sig w:usb0="00000000" w:usb1="00000000" w:usb2="00000000" w:usb3="00000000" w:csb0="00000001" w:csb1="00000000"/>
  </w:font>
  <w:font w:name="OpenSans">
    <w:altName w:val="Segoe Print"/>
    <w:panose1 w:val="00000000000000000000"/>
    <w:charset w:val="00"/>
    <w:family w:val="auto"/>
    <w:pitch w:val="default"/>
    <w:sig w:usb0="00000000" w:usb1="00000000" w:usb2="00000000" w:usb3="00000000" w:csb0="00000000" w:csb1="00000000"/>
  </w:font>
  <w:font w:name="OpenSans-Light">
    <w:altName w:val="Segoe Print"/>
    <w:panose1 w:val="00000000000000000000"/>
    <w:charset w:val="00"/>
    <w:family w:val="auto"/>
    <w:pitch w:val="default"/>
    <w:sig w:usb0="00000000" w:usb1="00000000" w:usb2="00000000" w:usb3="00000000" w:csb0="00000000" w:csb1="00000000"/>
  </w:font>
  <w:font w:name="MetaWeb">
    <w:altName w:val="Segoe Print"/>
    <w:panose1 w:val="00000000000000000000"/>
    <w:charset w:val="00"/>
    <w:family w:val="auto"/>
    <w:pitch w:val="default"/>
    <w:sig w:usb0="00000000" w:usb1="00000000" w:usb2="00000000" w:usb3="00000000" w:csb0="00000000" w:csb1="00000000"/>
  </w:font>
  <w:font w:name="Sitka Banner">
    <w:panose1 w:val="02000505000000020004"/>
    <w:charset w:val="00"/>
    <w:family w:val="auto"/>
    <w:pitch w:val="default"/>
    <w:sig w:usb0="A00002EF" w:usb1="4000204B" w:usb2="00000000" w:usb3="00000000" w:csb0="2000019F" w:csb1="00000000"/>
  </w:font>
  <w:font w:name="AdvOT55a0d69b">
    <w:altName w:val="Segoe Print"/>
    <w:panose1 w:val="00000000000000000000"/>
    <w:charset w:val="00"/>
    <w:family w:val="auto"/>
    <w:pitch w:val="default"/>
    <w:sig w:usb0="00000000" w:usb1="00000000" w:usb2="00000000" w:usb3="00000000" w:csb0="00000001" w:csb1="00000000"/>
  </w:font>
  <w:font w:name="AdvPS9440">
    <w:altName w:val="Segoe Print"/>
    <w:panose1 w:val="00000000000000000000"/>
    <w:charset w:val="00"/>
    <w:family w:val="auto"/>
    <w:pitch w:val="default"/>
    <w:sig w:usb0="00000000" w:usb1="00000000" w:usb2="00000000" w:usb3="00000000" w:csb0="00000001" w:csb1="00000000"/>
  </w:font>
  <w:font w:name="Helvetica Neue">
    <w:altName w:val="Times New Roman"/>
    <w:panose1 w:val="00000000000000000000"/>
    <w:charset w:val="00"/>
    <w:family w:val="roman"/>
    <w:pitch w:val="default"/>
    <w:sig w:usb0="00000000" w:usb1="00000000" w:usb2="00000000" w:usb3="00000000" w:csb0="00000000" w:csb1="00000000"/>
  </w:font>
  <w:font w:name="TimesNewRomanPS-ItalicMT">
    <w:altName w:val="MS Gothic"/>
    <w:panose1 w:val="00000000000000000000"/>
    <w:charset w:val="80"/>
    <w:family w:val="auto"/>
    <w:pitch w:val="default"/>
    <w:sig w:usb0="00000000" w:usb1="00000000" w:usb2="00000010" w:usb3="00000000" w:csb0="00020000" w:csb1="00000000"/>
  </w:font>
  <w:font w:name="Garamond-Bold">
    <w:altName w:val="Segoe Print"/>
    <w:panose1 w:val="00000000000000000000"/>
    <w:charset w:val="00"/>
    <w:family w:val="auto"/>
    <w:pitch w:val="default"/>
    <w:sig w:usb0="00000000" w:usb1="00000000" w:usb2="00000000" w:usb3="00000000" w:csb0="00000001" w:csb1="00000000"/>
  </w:font>
  <w:font w:name="sans-serif">
    <w:altName w:val="Segoe Print"/>
    <w:panose1 w:val="00000000000000000000"/>
    <w:charset w:val="00"/>
    <w:family w:val="auto"/>
    <w:pitch w:val="default"/>
    <w:sig w:usb0="00000000" w:usb1="00000000" w:usb2="00000000" w:usb3="00000000" w:csb0="00000000" w:csb1="00000000"/>
  </w:font>
  <w:font w:name="AdvTimes">
    <w:altName w:val="Segoe Print"/>
    <w:panose1 w:val="00000000000000000000"/>
    <w:charset w:val="00"/>
    <w:family w:val="auto"/>
    <w:pitch w:val="default"/>
    <w:sig w:usb0="00000000" w:usb1="00000000" w:usb2="00000000" w:usb3="00000000" w:csb0="00000001" w:csb1="00000000"/>
  </w:font>
  <w:font w:name="AdvTimes-i">
    <w:altName w:val="Malgun Gothic"/>
    <w:panose1 w:val="00000000000000000000"/>
    <w:charset w:val="81"/>
    <w:family w:val="auto"/>
    <w:pitch w:val="default"/>
    <w:sig w:usb0="00000000" w:usb1="00000000" w:usb2="00000000" w:usb3="00000000" w:csb0="00080000" w:csb1="00000000"/>
  </w:font>
  <w:font w:name="AdvMT_RM">
    <w:altName w:val="Segoe Print"/>
    <w:panose1 w:val="00000000000000000000"/>
    <w:charset w:val="00"/>
    <w:family w:val="auto"/>
    <w:pitch w:val="default"/>
    <w:sig w:usb0="00000000" w:usb1="00000000" w:usb2="00000000" w:usb3="00000000" w:csb0="00000001" w:csb1="00000000"/>
  </w:font>
  <w:font w:name="AdvTimes-bi">
    <w:altName w:val="Segoe Print"/>
    <w:panose1 w:val="00000000000000000000"/>
    <w:charset w:val="00"/>
    <w:family w:val="auto"/>
    <w:pitch w:val="default"/>
    <w:sig w:usb0="00000000" w:usb1="00000000" w:usb2="00000000" w:usb3="00000000" w:csb0="00000001" w:csb1="00000000"/>
  </w:font>
  <w:font w:name="Minion-Regular">
    <w:altName w:val="Segoe Print"/>
    <w:panose1 w:val="00000000000000000000"/>
    <w:charset w:val="00"/>
    <w:family w:val="roman"/>
    <w:pitch w:val="default"/>
    <w:sig w:usb0="00000000" w:usb1="00000000" w:usb2="00000000" w:usb3="00000000" w:csb0="00000001" w:csb1="00000000"/>
  </w:font>
  <w:font w:name="Minion-Italic">
    <w:altName w:val="Segoe Print"/>
    <w:panose1 w:val="00000000000000000000"/>
    <w:charset w:val="00"/>
    <w:family w:val="roman"/>
    <w:pitch w:val="default"/>
    <w:sig w:usb0="00000000" w:usb1="00000000" w:usb2="00000000" w:usb3="00000000" w:csb0="00000001" w:csb1="00000000"/>
  </w:font>
  <w:font w:name="AdvSTP_PSTimR">
    <w:altName w:val="Malgun Gothic"/>
    <w:panose1 w:val="00000000000000000000"/>
    <w:charset w:val="81"/>
    <w:family w:val="auto"/>
    <w:pitch w:val="default"/>
    <w:sig w:usb0="00000000" w:usb1="00000000" w:usb2="00000000" w:usb3="00000000" w:csb0="00080000" w:csb1="00000000"/>
  </w:font>
  <w:font w:name="AdvSTP_PSTimI">
    <w:altName w:val="Segoe Print"/>
    <w:panose1 w:val="00000000000000000000"/>
    <w:charset w:val="00"/>
    <w:family w:val="auto"/>
    <w:pitch w:val="default"/>
    <w:sig w:usb0="00000000" w:usb1="00000000" w:usb2="00000000" w:usb3="00000000" w:csb0="00000001" w:csb1="00000000"/>
  </w:font>
  <w:font w:name="MFFTP R+ Times">
    <w:altName w:val="Segoe Print"/>
    <w:panose1 w:val="00000000000000000000"/>
    <w:charset w:val="00"/>
    <w:family w:val="roman"/>
    <w:pitch w:val="default"/>
    <w:sig w:usb0="00000000" w:usb1="00000000" w:usb2="00000000" w:usb3="00000000" w:csb0="00000001" w:csb1="00000000"/>
  </w:font>
  <w:font w:name="Lucida Grande">
    <w:altName w:val="Microsoft Sans Serif"/>
    <w:panose1 w:val="020B0600040502020204"/>
    <w:charset w:val="00"/>
    <w:family w:val="auto"/>
    <w:pitch w:val="default"/>
    <w:sig w:usb0="00000000" w:usb1="00000000" w:usb2="00000000" w:usb3="00000000" w:csb0="000001BF" w:csb1="00000000"/>
  </w:font>
  <w:font w:name="Microsoft Sans Serif">
    <w:panose1 w:val="020B0604020202020204"/>
    <w:charset w:val="00"/>
    <w:family w:val="auto"/>
    <w:pitch w:val="default"/>
    <w:sig w:usb0="E5002EFF" w:usb1="C000605B" w:usb2="00000029" w:usb3="00000000" w:csb0="200101FF" w:csb1="20280000"/>
  </w:font>
  <w:font w:name="AdvPTimes">
    <w:altName w:val="Segoe Print"/>
    <w:panose1 w:val="00000000000000000000"/>
    <w:charset w:val="00"/>
    <w:family w:val="roman"/>
    <w:pitch w:val="default"/>
    <w:sig w:usb0="00000000" w:usb1="00000000" w:usb2="00000000" w:usb3="00000000" w:csb0="00000001" w:csb1="00000000"/>
  </w:font>
  <w:font w:name="AdvTimes-i">
    <w:altName w:val="Segoe Print"/>
    <w:panose1 w:val="00000000000000000000"/>
    <w:charset w:val="00"/>
    <w:family w:val="auto"/>
    <w:pitch w:val="default"/>
    <w:sig w:usb0="00000000" w:usb1="00000000" w:usb2="00000000" w:usb3="00000000" w:csb0="00000001" w:csb1="00000000"/>
  </w:font>
  <w:font w:name="AdvP705F">
    <w:altName w:val="Segoe Print"/>
    <w:panose1 w:val="00000000000000000000"/>
    <w:charset w:val="00"/>
    <w:family w:val="swiss"/>
    <w:pitch w:val="default"/>
    <w:sig w:usb0="00000000" w:usb1="00000000" w:usb2="00000000" w:usb3="00000000" w:csb0="00000001" w:csb1="00000000"/>
  </w:font>
  <w:font w:name="AdvP7627">
    <w:altName w:val="Segoe Print"/>
    <w:panose1 w:val="00000000000000000000"/>
    <w:charset w:val="00"/>
    <w:family w:val="roman"/>
    <w:pitch w:val="default"/>
    <w:sig w:usb0="00000000" w:usb1="00000000" w:usb2="00000000" w:usb3="00000000" w:csb0="00000001" w:csb1="00000000"/>
  </w:font>
  <w:font w:name="Brill">
    <w:altName w:val="Segoe Print"/>
    <w:panose1 w:val="00000000000000000000"/>
    <w:charset w:val="00"/>
    <w:family w:val="auto"/>
    <w:pitch w:val="default"/>
    <w:sig w:usb0="00000000" w:usb1="00000000" w:usb2="00000000" w:usb3="00000000" w:csb0="00000001" w:csb1="00000000"/>
  </w:font>
  <w:font w:name="Brill">
    <w:altName w:val="Segoe Print"/>
    <w:panose1 w:val="00000000000000000000"/>
    <w:charset w:val="EE"/>
    <w:family w:val="auto"/>
    <w:pitch w:val="default"/>
    <w:sig w:usb0="00000000" w:usb1="00000000" w:usb2="00000000" w:usb3="00000000" w:csb0="00000002" w:csb1="00000000"/>
  </w:font>
  <w:font w:name="Segoe Print">
    <w:panose1 w:val="02000600000000000000"/>
    <w:charset w:val="EE"/>
    <w:family w:val="auto"/>
    <w:pitch w:val="default"/>
    <w:sig w:usb0="0000028F" w:usb1="00000000" w:usb2="00000000" w:usb3="00000000" w:csb0="2000009F" w:csb1="47010000"/>
  </w:font>
  <w:font w:name="Arial">
    <w:panose1 w:val="020B0604020202020204"/>
    <w:charset w:val="EE"/>
    <w:family w:val="auto"/>
    <w:pitch w:val="default"/>
    <w:sig w:usb0="E0002EFF" w:usb1="C0007843" w:usb2="00000009" w:usb3="00000000" w:csb0="400001FF" w:csb1="FFFF0000"/>
  </w:font>
  <w:font w:name="Brill">
    <w:altName w:val="Segoe Print"/>
    <w:panose1 w:val="00000000000000000000"/>
    <w:charset w:val="A3"/>
    <w:family w:val="auto"/>
    <w:pitch w:val="default"/>
    <w:sig w:usb0="00000000" w:usb1="00000000" w:usb2="00000000" w:usb3="00000000" w:csb0="00000100" w:csb1="00000000"/>
  </w:font>
  <w:font w:name="Segoe Print">
    <w:panose1 w:val="02000600000000000000"/>
    <w:charset w:val="A3"/>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rPr>
                              <w:lang w:val="en-AU"/>
                            </w:rPr>
                          </w:pPr>
                          <w:r>
                            <w:rPr>
                              <w:lang w:val="en-AU"/>
                            </w:rPr>
                            <w:fldChar w:fldCharType="begin"/>
                          </w:r>
                          <w:r>
                            <w:rPr>
                              <w:lang w:val="en-AU"/>
                            </w:rPr>
                            <w:instrText xml:space="preserve"> PAGE  \* MERGEFORMAT </w:instrText>
                          </w:r>
                          <w:r>
                            <w:rPr>
                              <w:lang w:val="en-AU"/>
                            </w:rPr>
                            <w:fldChar w:fldCharType="separate"/>
                          </w:r>
                          <w:r>
                            <w:rPr>
                              <w:lang w:val="en-AU"/>
                            </w:rPr>
                            <w:t>1</w:t>
                          </w:r>
                          <w:r>
                            <w:rPr>
                              <w:lang w:val="en-AU"/>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p>
                    <w:pPr>
                      <w:pStyle w:val="2"/>
                      <w:rPr>
                        <w:lang w:val="en-AU"/>
                      </w:rPr>
                    </w:pPr>
                    <w:r>
                      <w:rPr>
                        <w:lang w:val="en-AU"/>
                      </w:rPr>
                      <w:fldChar w:fldCharType="begin"/>
                    </w:r>
                    <w:r>
                      <w:rPr>
                        <w:lang w:val="en-AU"/>
                      </w:rPr>
                      <w:instrText xml:space="preserve"> PAGE  \* MERGEFORMAT </w:instrText>
                    </w:r>
                    <w:r>
                      <w:rPr>
                        <w:lang w:val="en-AU"/>
                      </w:rPr>
                      <w:fldChar w:fldCharType="separate"/>
                    </w:r>
                    <w:r>
                      <w:rPr>
                        <w:lang w:val="en-AU"/>
                      </w:rPr>
                      <w:t>1</w:t>
                    </w:r>
                    <w:r>
                      <w:rPr>
                        <w:lang w:val="en-AU"/>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default"/>
        <w:lang w:val="en-AU"/>
      </w:rPr>
    </w:pPr>
    <w:r>
      <w:rPr>
        <w:rFonts w:hint="default"/>
        <w:lang w:val="en-AU"/>
      </w:rPr>
      <w:t>TRDL7107 Assignment 4</w:t>
    </w:r>
    <w:r>
      <w:rPr>
        <w:lang w:val="en-AU"/>
      </w:rPr>
      <w:tab/>
    </w:r>
    <w:r>
      <w:rPr>
        <w:lang w:val="en-AU"/>
      </w:rPr>
      <w:tab/>
    </w:r>
    <w:r>
      <w:rPr>
        <w:lang w:val="en-AU"/>
      </w:rPr>
      <w:t xml:space="preserve">Aaron Moratz, Student ID </w:t>
    </w:r>
    <w:r>
      <w:rPr>
        <w:rFonts w:hint="default"/>
        <w:lang w:val="en-AU"/>
      </w:rPr>
      <w:t>1703964</w:t>
    </w:r>
  </w:p>
  <w:p>
    <w:pPr>
      <w:pStyle w:val="3"/>
      <w:rPr>
        <w:rFonts w:hint="default"/>
        <w:lang w:val="en-AU"/>
      </w:rPr>
    </w:pPr>
    <w:r>
      <w:rPr>
        <w:rFonts w:hint="default"/>
        <w:lang w:val="en-AU"/>
      </w:rPr>
      <w:t>Short Essay</w:t>
    </w:r>
  </w:p>
  <w:p>
    <w:pPr>
      <w:pStyle w:val="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9286CA5"/>
    <w:rsid w:val="14C057AC"/>
    <w:rsid w:val="15FC1DBF"/>
    <w:rsid w:val="1616678D"/>
    <w:rsid w:val="1F297C87"/>
    <w:rsid w:val="41410C22"/>
    <w:rsid w:val="4ED304E6"/>
    <w:rsid w:val="60057C6D"/>
    <w:rsid w:val="6042083E"/>
    <w:rsid w:val="672D262D"/>
    <w:rsid w:val="682145D5"/>
    <w:rsid w:val="69F62E0C"/>
    <w:rsid w:val="6F80161B"/>
    <w:rsid w:val="70377B73"/>
    <w:rsid w:val="73CA66A7"/>
    <w:rsid w:val="7D586E0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4">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tabs>
        <w:tab w:val="center" w:pos="4153"/>
        <w:tab w:val="right" w:pos="8306"/>
      </w:tabs>
      <w:snapToGrid w:val="0"/>
    </w:pPr>
    <w:rPr>
      <w:sz w:val="18"/>
      <w:szCs w:val="18"/>
    </w:rPr>
  </w:style>
  <w:style w:type="character" w:styleId="5">
    <w:name w:val="Hyperlink"/>
    <w:basedOn w:val="4"/>
    <w:uiPriority w:val="0"/>
    <w:rPr>
      <w:color w:val="0000FF"/>
      <w:u w:val="single"/>
    </w:rPr>
  </w:style>
  <w:style w:type="paragraph" w:customStyle="1" w:styleId="7">
    <w:name w:val="Default"/>
    <w:unhideWhenUsed/>
    <w:qFormat/>
    <w:uiPriority w:val="99"/>
    <w:pPr>
      <w:widowControl w:val="0"/>
      <w:autoSpaceDE w:val="0"/>
      <w:autoSpaceDN w:val="0"/>
      <w:adjustRightInd w:val="0"/>
      <w:spacing w:beforeLines="0" w:afterLines="0"/>
    </w:pPr>
    <w:rPr>
      <w:rFonts w:hint="eastAsia" w:ascii="SimSun" w:hAnsi="SimSun" w:eastAsia="SimSun" w:cs="Times New Roman"/>
      <w:color w:val="000000"/>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2017-11-12T14:53:00Z</dcterms:created>
  <dc:creator>AM</dc:creator>
  <cp:lastModifiedBy>AM</cp:lastModifiedBy>
  <dcterms:modified xsi:type="dcterms:W3CDTF">2018-01-24T14:36:53Z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