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35CD3" w14:textId="77777777" w:rsidR="00E0730F" w:rsidRPr="00171971" w:rsidRDefault="00E0730F" w:rsidP="00E0730F">
      <w:pPr>
        <w:rPr>
          <w:rFonts w:ascii="Arial" w:hAnsi="Arial" w:cs="Arial"/>
          <w:b/>
          <w:bCs/>
          <w:sz w:val="22"/>
          <w:szCs w:val="22"/>
        </w:rPr>
      </w:pPr>
      <w:r w:rsidRPr="00171971">
        <w:rPr>
          <w:rFonts w:ascii="Arial" w:hAnsi="Arial" w:cs="Arial"/>
          <w:b/>
          <w:bCs/>
          <w:sz w:val="22"/>
          <w:szCs w:val="22"/>
        </w:rPr>
        <w:t>Stakeholder Engagement Strategy for the Launch of ConnectPlus:</w:t>
      </w:r>
    </w:p>
    <w:p w14:paraId="592CD01C" w14:textId="77777777" w:rsidR="00E0730F" w:rsidRDefault="00E0730F" w:rsidP="00E0730F">
      <w:pPr>
        <w:rPr>
          <w:rFonts w:ascii="Arial" w:hAnsi="Arial" w:cs="Arial"/>
          <w:b/>
          <w:bCs/>
          <w:sz w:val="22"/>
          <w:szCs w:val="22"/>
        </w:rPr>
      </w:pPr>
      <w:r w:rsidRPr="00171971">
        <w:rPr>
          <w:rFonts w:ascii="Arial" w:hAnsi="Arial" w:cs="Arial"/>
          <w:b/>
          <w:bCs/>
          <w:sz w:val="22"/>
          <w:szCs w:val="22"/>
        </w:rPr>
        <w:t>A Project Management Report for Tesco PLC</w:t>
      </w:r>
    </w:p>
    <w:p w14:paraId="6E1E84A7" w14:textId="77777777" w:rsidR="00490A16" w:rsidRPr="00171971" w:rsidRDefault="00490A16" w:rsidP="00E0730F">
      <w:pPr>
        <w:rPr>
          <w:rFonts w:ascii="Arial" w:hAnsi="Arial" w:cs="Arial"/>
          <w:b/>
          <w:bCs/>
          <w:sz w:val="22"/>
          <w:szCs w:val="22"/>
        </w:rPr>
      </w:pPr>
    </w:p>
    <w:p w14:paraId="43F6778B" w14:textId="7467713E" w:rsidR="00E0730F" w:rsidRPr="00E0730F" w:rsidRDefault="00E0730F" w:rsidP="00E0730F"/>
    <w:p w14:paraId="6154EAE8" w14:textId="3451EC2E" w:rsidR="00E0730F" w:rsidRPr="00E0730F" w:rsidRDefault="00E0730F" w:rsidP="00E0730F">
      <w:pPr>
        <w:rPr>
          <w:b/>
          <w:bCs/>
        </w:rPr>
      </w:pPr>
      <w:r w:rsidRPr="00E0730F">
        <w:rPr>
          <w:b/>
          <w:bCs/>
        </w:rPr>
        <w:t xml:space="preserve">Executive Summary </w:t>
      </w:r>
    </w:p>
    <w:p w14:paraId="3A11CC72" w14:textId="0EF6D855" w:rsidR="00E0730F" w:rsidRPr="00171971" w:rsidRDefault="00E0730F" w:rsidP="00E0730F">
      <w:pPr>
        <w:rPr>
          <w:rFonts w:ascii="Arial" w:hAnsi="Arial" w:cs="Arial"/>
          <w:sz w:val="22"/>
          <w:szCs w:val="22"/>
        </w:rPr>
      </w:pPr>
      <w:r w:rsidRPr="00171971">
        <w:rPr>
          <w:rFonts w:ascii="Arial" w:hAnsi="Arial" w:cs="Arial"/>
          <w:sz w:val="22"/>
          <w:szCs w:val="22"/>
        </w:rPr>
        <w:t xml:space="preserve">This report </w:t>
      </w:r>
      <w:r w:rsidR="004416FA" w:rsidRPr="00171971">
        <w:rPr>
          <w:rFonts w:ascii="Arial" w:hAnsi="Arial" w:cs="Arial"/>
          <w:sz w:val="22"/>
          <w:szCs w:val="22"/>
        </w:rPr>
        <w:t>analyses</w:t>
      </w:r>
      <w:r w:rsidRPr="00171971">
        <w:rPr>
          <w:rFonts w:ascii="Arial" w:hAnsi="Arial" w:cs="Arial"/>
          <w:sz w:val="22"/>
          <w:szCs w:val="22"/>
        </w:rPr>
        <w:t xml:space="preserve"> the stakeholder management and engagement strategy for the </w:t>
      </w:r>
      <w:r w:rsidR="004416FA" w:rsidRPr="00171971">
        <w:rPr>
          <w:rFonts w:ascii="Arial" w:hAnsi="Arial" w:cs="Arial"/>
          <w:sz w:val="22"/>
          <w:szCs w:val="22"/>
        </w:rPr>
        <w:t>effective</w:t>
      </w:r>
      <w:r w:rsidRPr="00171971">
        <w:rPr>
          <w:rFonts w:ascii="Arial" w:hAnsi="Arial" w:cs="Arial"/>
          <w:sz w:val="22"/>
          <w:szCs w:val="22"/>
        </w:rPr>
        <w:t xml:space="preserve"> implementation of </w:t>
      </w:r>
      <w:r w:rsidRPr="00171971">
        <w:rPr>
          <w:rFonts w:ascii="Arial" w:hAnsi="Arial" w:cs="Arial"/>
          <w:b/>
          <w:bCs/>
          <w:sz w:val="22"/>
          <w:szCs w:val="22"/>
        </w:rPr>
        <w:t>ConnectPlus</w:t>
      </w:r>
      <w:r w:rsidRPr="00171971">
        <w:rPr>
          <w:rFonts w:ascii="Arial" w:hAnsi="Arial" w:cs="Arial"/>
          <w:sz w:val="22"/>
          <w:szCs w:val="22"/>
        </w:rPr>
        <w:t>, a new AI-enabled customer loyalty and engagement platform proposed for Tesco PLC. The platform is designed to enhance customer experience through personalised recommendations, mobile rewards, and data-driven insights while supporting improved customer retention, informed decision-making, and competitive advantage across the UK and selected international markets.</w:t>
      </w:r>
    </w:p>
    <w:p w14:paraId="57DCF18D" w14:textId="6DC23CEF" w:rsidR="00E0730F" w:rsidRPr="00171971" w:rsidRDefault="00E0730F" w:rsidP="00E0730F">
      <w:pPr>
        <w:rPr>
          <w:rFonts w:ascii="Arial" w:hAnsi="Arial" w:cs="Arial"/>
          <w:sz w:val="22"/>
          <w:szCs w:val="22"/>
        </w:rPr>
      </w:pPr>
      <w:r w:rsidRPr="00171971">
        <w:rPr>
          <w:rFonts w:ascii="Arial" w:hAnsi="Arial" w:cs="Arial"/>
          <w:sz w:val="22"/>
          <w:szCs w:val="22"/>
        </w:rPr>
        <w:t xml:space="preserve">The report </w:t>
      </w:r>
      <w:r w:rsidR="004416FA" w:rsidRPr="00171971">
        <w:rPr>
          <w:rFonts w:ascii="Arial" w:hAnsi="Arial" w:cs="Arial"/>
          <w:sz w:val="22"/>
          <w:szCs w:val="22"/>
        </w:rPr>
        <w:t>relates</w:t>
      </w:r>
      <w:r w:rsidRPr="00171971">
        <w:rPr>
          <w:rFonts w:ascii="Arial" w:hAnsi="Arial" w:cs="Arial"/>
          <w:sz w:val="22"/>
          <w:szCs w:val="22"/>
        </w:rPr>
        <w:t xml:space="preserve"> and categorises the key internal and external stakeholders involved in the project using stakeholder management frameworks, including the Interest–Influence Matrix and the Salience Model. It analyses the </w:t>
      </w:r>
      <w:r w:rsidR="003879C3" w:rsidRPr="00171971">
        <w:rPr>
          <w:rFonts w:ascii="Arial" w:hAnsi="Arial" w:cs="Arial"/>
          <w:sz w:val="22"/>
          <w:szCs w:val="22"/>
        </w:rPr>
        <w:t>duties</w:t>
      </w:r>
      <w:r w:rsidRPr="00171971">
        <w:rPr>
          <w:rFonts w:ascii="Arial" w:hAnsi="Arial" w:cs="Arial"/>
          <w:sz w:val="22"/>
          <w:szCs w:val="22"/>
        </w:rPr>
        <w:t>, responsibilities, benefits, and challenges associated with each stakeholder group and highlights their contribution to the successful delivery of the project. Furthermore, the report evaluates stakeholder engagement strategies by applying recognised project management tools such as stakeholder engagement plans, communication plans, the RACI matrix, and the 4Cs model to promote effective collaboration, trust, and commitment throughout the project lifecycle.</w:t>
      </w:r>
    </w:p>
    <w:p w14:paraId="522B9AA5" w14:textId="77777777" w:rsidR="00E0730F" w:rsidRPr="00171971" w:rsidRDefault="00E0730F" w:rsidP="00E0730F">
      <w:pPr>
        <w:rPr>
          <w:rFonts w:ascii="Arial" w:hAnsi="Arial" w:cs="Arial"/>
          <w:sz w:val="22"/>
          <w:szCs w:val="22"/>
        </w:rPr>
      </w:pPr>
      <w:r w:rsidRPr="00171971">
        <w:rPr>
          <w:rFonts w:ascii="Arial" w:hAnsi="Arial" w:cs="Arial"/>
          <w:sz w:val="22"/>
          <w:szCs w:val="22"/>
        </w:rPr>
        <w:t>The report also critically discusses potential conflicts, ethical considerations, and sustainability issues, including data privacy, AI transparency, and regulatory compliance. It concludes that effective stakeholder engagement is fundamental to achieving successful project implementation, strengthening organisational performance, enhancing customer satisfaction, and creating long-term value for both the business and its stakeholders in a highly competitive global retail environment.</w:t>
      </w:r>
    </w:p>
    <w:p w14:paraId="7F372C1D" w14:textId="77777777" w:rsidR="000B0BD1" w:rsidRDefault="000B0BD1" w:rsidP="000B0BD1">
      <w:pPr>
        <w:rPr>
          <w:b/>
          <w:bCs/>
        </w:rPr>
      </w:pPr>
    </w:p>
    <w:p w14:paraId="74BE2F21" w14:textId="77777777" w:rsidR="000B0BD1" w:rsidRDefault="000B0BD1" w:rsidP="000B0BD1">
      <w:pPr>
        <w:rPr>
          <w:b/>
          <w:bCs/>
        </w:rPr>
      </w:pPr>
    </w:p>
    <w:p w14:paraId="3C23C1B8" w14:textId="77777777" w:rsidR="000B0BD1" w:rsidRDefault="000B0BD1" w:rsidP="000B0BD1">
      <w:pPr>
        <w:rPr>
          <w:b/>
          <w:bCs/>
        </w:rPr>
      </w:pPr>
    </w:p>
    <w:p w14:paraId="11C1DA8A" w14:textId="77777777" w:rsidR="000B0BD1" w:rsidRDefault="000B0BD1" w:rsidP="000B0BD1">
      <w:pPr>
        <w:rPr>
          <w:b/>
          <w:bCs/>
        </w:rPr>
      </w:pPr>
    </w:p>
    <w:p w14:paraId="207A31B7" w14:textId="77777777" w:rsidR="000B0BD1" w:rsidRDefault="000B0BD1" w:rsidP="000B0BD1">
      <w:pPr>
        <w:rPr>
          <w:b/>
          <w:bCs/>
        </w:rPr>
      </w:pPr>
    </w:p>
    <w:p w14:paraId="3639799C" w14:textId="77777777" w:rsidR="000B0BD1" w:rsidRDefault="000B0BD1" w:rsidP="000B0BD1">
      <w:pPr>
        <w:rPr>
          <w:b/>
          <w:bCs/>
        </w:rPr>
      </w:pPr>
    </w:p>
    <w:p w14:paraId="219997E9" w14:textId="77777777" w:rsidR="000B0BD1" w:rsidRDefault="000B0BD1" w:rsidP="000B0BD1">
      <w:pPr>
        <w:rPr>
          <w:b/>
          <w:bCs/>
        </w:rPr>
      </w:pPr>
    </w:p>
    <w:p w14:paraId="7C4347AA" w14:textId="77777777" w:rsidR="000B0BD1" w:rsidRDefault="000B0BD1" w:rsidP="000B0BD1">
      <w:pPr>
        <w:rPr>
          <w:b/>
          <w:bCs/>
        </w:rPr>
      </w:pPr>
    </w:p>
    <w:p w14:paraId="602C280C" w14:textId="77777777" w:rsidR="000B0BD1" w:rsidRDefault="000B0BD1" w:rsidP="000B0BD1">
      <w:pPr>
        <w:rPr>
          <w:b/>
          <w:bCs/>
        </w:rPr>
      </w:pPr>
    </w:p>
    <w:p w14:paraId="100D4E67" w14:textId="77777777" w:rsidR="000B0BD1" w:rsidRDefault="000B0BD1" w:rsidP="000B0BD1">
      <w:pPr>
        <w:rPr>
          <w:b/>
          <w:bCs/>
        </w:rPr>
      </w:pPr>
    </w:p>
    <w:p w14:paraId="3F6AA726" w14:textId="77777777" w:rsidR="000B0BD1" w:rsidRDefault="000B0BD1" w:rsidP="000B0BD1">
      <w:pPr>
        <w:rPr>
          <w:b/>
          <w:bCs/>
        </w:rPr>
      </w:pPr>
    </w:p>
    <w:p w14:paraId="156C3F14" w14:textId="698571C6" w:rsidR="000B0BD1" w:rsidRPr="000B0BD1" w:rsidRDefault="000B0BD1" w:rsidP="000B0BD1">
      <w:pPr>
        <w:rPr>
          <w:b/>
          <w:bCs/>
        </w:rPr>
      </w:pPr>
      <w:r w:rsidRPr="000B0BD1">
        <w:rPr>
          <w:b/>
          <w:bCs/>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92"/>
        <w:gridCol w:w="1026"/>
      </w:tblGrid>
      <w:tr w:rsidR="000B0BD1" w:rsidRPr="000B0BD1" w14:paraId="3D1A1AC3" w14:textId="77777777">
        <w:trPr>
          <w:tblHeader/>
          <w:tblCellSpacing w:w="15" w:type="dxa"/>
        </w:trPr>
        <w:tc>
          <w:tcPr>
            <w:tcW w:w="0" w:type="auto"/>
            <w:vAlign w:val="center"/>
            <w:hideMark/>
          </w:tcPr>
          <w:p w14:paraId="74BC8C73" w14:textId="77777777" w:rsidR="000B0BD1" w:rsidRPr="000B0BD1" w:rsidRDefault="000B0BD1" w:rsidP="000B0BD1">
            <w:pPr>
              <w:rPr>
                <w:b/>
                <w:bCs/>
              </w:rPr>
            </w:pPr>
            <w:r w:rsidRPr="000B0BD1">
              <w:rPr>
                <w:b/>
                <w:bCs/>
              </w:rPr>
              <w:t>Contents</w:t>
            </w:r>
          </w:p>
        </w:tc>
        <w:tc>
          <w:tcPr>
            <w:tcW w:w="0" w:type="auto"/>
            <w:vAlign w:val="center"/>
            <w:hideMark/>
          </w:tcPr>
          <w:p w14:paraId="0064FBBC" w14:textId="77777777" w:rsidR="000B0BD1" w:rsidRPr="000B0BD1" w:rsidRDefault="000B0BD1" w:rsidP="000B0BD1">
            <w:pPr>
              <w:rPr>
                <w:b/>
                <w:bCs/>
              </w:rPr>
            </w:pPr>
            <w:r w:rsidRPr="000B0BD1">
              <w:rPr>
                <w:b/>
                <w:bCs/>
              </w:rPr>
              <w:t>Page No.</w:t>
            </w:r>
          </w:p>
        </w:tc>
      </w:tr>
      <w:tr w:rsidR="000B0BD1" w:rsidRPr="000B0BD1" w14:paraId="6A463D14" w14:textId="77777777">
        <w:trPr>
          <w:tblCellSpacing w:w="15" w:type="dxa"/>
        </w:trPr>
        <w:tc>
          <w:tcPr>
            <w:tcW w:w="0" w:type="auto"/>
            <w:vAlign w:val="center"/>
            <w:hideMark/>
          </w:tcPr>
          <w:p w14:paraId="2D817EEA" w14:textId="77777777" w:rsidR="000B0BD1" w:rsidRPr="000B0BD1" w:rsidRDefault="000B0BD1" w:rsidP="000B0BD1">
            <w:r w:rsidRPr="000B0BD1">
              <w:rPr>
                <w:b/>
                <w:bCs/>
              </w:rPr>
              <w:t>Executive Summary</w:t>
            </w:r>
          </w:p>
        </w:tc>
        <w:tc>
          <w:tcPr>
            <w:tcW w:w="0" w:type="auto"/>
            <w:vAlign w:val="center"/>
            <w:hideMark/>
          </w:tcPr>
          <w:p w14:paraId="5BEE913A" w14:textId="77777777" w:rsidR="000B0BD1" w:rsidRPr="000B0BD1" w:rsidRDefault="000B0BD1" w:rsidP="000B0BD1">
            <w:r w:rsidRPr="000B0BD1">
              <w:t>i</w:t>
            </w:r>
          </w:p>
        </w:tc>
      </w:tr>
      <w:tr w:rsidR="000B0BD1" w:rsidRPr="000B0BD1" w14:paraId="29D6F925" w14:textId="77777777">
        <w:trPr>
          <w:tblCellSpacing w:w="15" w:type="dxa"/>
        </w:trPr>
        <w:tc>
          <w:tcPr>
            <w:tcW w:w="0" w:type="auto"/>
            <w:vAlign w:val="center"/>
            <w:hideMark/>
          </w:tcPr>
          <w:p w14:paraId="23A20E65" w14:textId="77777777" w:rsidR="000B0BD1" w:rsidRPr="000B0BD1" w:rsidRDefault="000B0BD1" w:rsidP="000B0BD1">
            <w:r w:rsidRPr="000B0BD1">
              <w:rPr>
                <w:b/>
                <w:bCs/>
              </w:rPr>
              <w:t>Table of Contents</w:t>
            </w:r>
          </w:p>
        </w:tc>
        <w:tc>
          <w:tcPr>
            <w:tcW w:w="0" w:type="auto"/>
            <w:vAlign w:val="center"/>
            <w:hideMark/>
          </w:tcPr>
          <w:p w14:paraId="1B0F0246" w14:textId="77777777" w:rsidR="000B0BD1" w:rsidRPr="000B0BD1" w:rsidRDefault="000B0BD1" w:rsidP="000B0BD1">
            <w:r w:rsidRPr="000B0BD1">
              <w:t>ii</w:t>
            </w:r>
          </w:p>
        </w:tc>
      </w:tr>
      <w:tr w:rsidR="000B0BD1" w:rsidRPr="000B0BD1" w14:paraId="7EC098A7" w14:textId="77777777">
        <w:trPr>
          <w:tblCellSpacing w:w="15" w:type="dxa"/>
        </w:trPr>
        <w:tc>
          <w:tcPr>
            <w:tcW w:w="0" w:type="auto"/>
            <w:vAlign w:val="center"/>
            <w:hideMark/>
          </w:tcPr>
          <w:p w14:paraId="3720BF62" w14:textId="77777777" w:rsidR="000B0BD1" w:rsidRPr="000B0BD1" w:rsidRDefault="000B0BD1" w:rsidP="000B0BD1">
            <w:r w:rsidRPr="000B0BD1">
              <w:rPr>
                <w:b/>
                <w:bCs/>
              </w:rPr>
              <w:t>1. Introduction</w:t>
            </w:r>
          </w:p>
        </w:tc>
        <w:tc>
          <w:tcPr>
            <w:tcW w:w="0" w:type="auto"/>
            <w:vAlign w:val="center"/>
            <w:hideMark/>
          </w:tcPr>
          <w:p w14:paraId="7E5ADC41" w14:textId="403AD652" w:rsidR="000B0BD1" w:rsidRPr="000B0BD1" w:rsidRDefault="001E6584" w:rsidP="000B0BD1">
            <w:r>
              <w:t>3</w:t>
            </w:r>
          </w:p>
        </w:tc>
      </w:tr>
      <w:tr w:rsidR="000B0BD1" w:rsidRPr="000B0BD1" w14:paraId="012AC9E8" w14:textId="77777777">
        <w:trPr>
          <w:tblCellSpacing w:w="15" w:type="dxa"/>
        </w:trPr>
        <w:tc>
          <w:tcPr>
            <w:tcW w:w="0" w:type="auto"/>
            <w:vAlign w:val="center"/>
            <w:hideMark/>
          </w:tcPr>
          <w:p w14:paraId="3DAD465D" w14:textId="77777777" w:rsidR="000B0BD1" w:rsidRPr="000B0BD1" w:rsidRDefault="000B0BD1" w:rsidP="000B0BD1">
            <w:r w:rsidRPr="000B0BD1">
              <w:rPr>
                <w:b/>
                <w:bCs/>
              </w:rPr>
              <w:t>2. SMART Objectives</w:t>
            </w:r>
          </w:p>
        </w:tc>
        <w:tc>
          <w:tcPr>
            <w:tcW w:w="0" w:type="auto"/>
            <w:vAlign w:val="center"/>
            <w:hideMark/>
          </w:tcPr>
          <w:p w14:paraId="3B7135D4" w14:textId="77777777" w:rsidR="000B0BD1" w:rsidRPr="000B0BD1" w:rsidRDefault="000B0BD1" w:rsidP="000B0BD1">
            <w:r w:rsidRPr="000B0BD1">
              <w:t>3</w:t>
            </w:r>
          </w:p>
        </w:tc>
      </w:tr>
      <w:tr w:rsidR="000B0BD1" w:rsidRPr="000B0BD1" w14:paraId="5A0FF2EE" w14:textId="77777777">
        <w:trPr>
          <w:tblCellSpacing w:w="15" w:type="dxa"/>
        </w:trPr>
        <w:tc>
          <w:tcPr>
            <w:tcW w:w="0" w:type="auto"/>
            <w:vAlign w:val="center"/>
            <w:hideMark/>
          </w:tcPr>
          <w:p w14:paraId="61906C1F" w14:textId="77777777" w:rsidR="000B0BD1" w:rsidRPr="000B0BD1" w:rsidRDefault="000B0BD1" w:rsidP="000B0BD1">
            <w:r w:rsidRPr="000B0BD1">
              <w:rPr>
                <w:b/>
                <w:bCs/>
              </w:rPr>
              <w:t>3. Identification and Categorisation of Stakeholders</w:t>
            </w:r>
          </w:p>
        </w:tc>
        <w:tc>
          <w:tcPr>
            <w:tcW w:w="0" w:type="auto"/>
            <w:vAlign w:val="center"/>
            <w:hideMark/>
          </w:tcPr>
          <w:p w14:paraId="7C90CCDB" w14:textId="77777777" w:rsidR="000B0BD1" w:rsidRPr="000B0BD1" w:rsidRDefault="000B0BD1" w:rsidP="000B0BD1">
            <w:r w:rsidRPr="000B0BD1">
              <w:t>4</w:t>
            </w:r>
          </w:p>
        </w:tc>
      </w:tr>
      <w:tr w:rsidR="000B0BD1" w:rsidRPr="000B0BD1" w14:paraId="0987D667" w14:textId="77777777">
        <w:trPr>
          <w:tblCellSpacing w:w="15" w:type="dxa"/>
        </w:trPr>
        <w:tc>
          <w:tcPr>
            <w:tcW w:w="0" w:type="auto"/>
            <w:vAlign w:val="center"/>
            <w:hideMark/>
          </w:tcPr>
          <w:p w14:paraId="30E77A97" w14:textId="77777777" w:rsidR="000B0BD1" w:rsidRPr="000B0BD1" w:rsidRDefault="000B0BD1" w:rsidP="000B0BD1">
            <w:r w:rsidRPr="000B0BD1">
              <w:t>  3.1 Internal Stakeholders</w:t>
            </w:r>
          </w:p>
        </w:tc>
        <w:tc>
          <w:tcPr>
            <w:tcW w:w="0" w:type="auto"/>
            <w:vAlign w:val="center"/>
            <w:hideMark/>
          </w:tcPr>
          <w:p w14:paraId="3B56BC70" w14:textId="77777777" w:rsidR="000B0BD1" w:rsidRPr="000B0BD1" w:rsidRDefault="000B0BD1" w:rsidP="000B0BD1">
            <w:r w:rsidRPr="000B0BD1">
              <w:t>4</w:t>
            </w:r>
          </w:p>
        </w:tc>
      </w:tr>
      <w:tr w:rsidR="000B0BD1" w:rsidRPr="000B0BD1" w14:paraId="7F767AF1" w14:textId="77777777">
        <w:trPr>
          <w:tblCellSpacing w:w="15" w:type="dxa"/>
        </w:trPr>
        <w:tc>
          <w:tcPr>
            <w:tcW w:w="0" w:type="auto"/>
            <w:vAlign w:val="center"/>
            <w:hideMark/>
          </w:tcPr>
          <w:p w14:paraId="3B38EC5C" w14:textId="77777777" w:rsidR="000B0BD1" w:rsidRPr="000B0BD1" w:rsidRDefault="000B0BD1" w:rsidP="000B0BD1">
            <w:r w:rsidRPr="000B0BD1">
              <w:t>  3.2 External Stakeholders</w:t>
            </w:r>
          </w:p>
        </w:tc>
        <w:tc>
          <w:tcPr>
            <w:tcW w:w="0" w:type="auto"/>
            <w:vAlign w:val="center"/>
            <w:hideMark/>
          </w:tcPr>
          <w:p w14:paraId="11D04F14" w14:textId="2895DAFC" w:rsidR="000B0BD1" w:rsidRPr="000B0BD1" w:rsidRDefault="006F64F0" w:rsidP="000B0BD1">
            <w:r>
              <w:t>5</w:t>
            </w:r>
          </w:p>
        </w:tc>
      </w:tr>
      <w:tr w:rsidR="000B0BD1" w:rsidRPr="000B0BD1" w14:paraId="3BF331A4" w14:textId="77777777">
        <w:trPr>
          <w:tblCellSpacing w:w="15" w:type="dxa"/>
        </w:trPr>
        <w:tc>
          <w:tcPr>
            <w:tcW w:w="0" w:type="auto"/>
            <w:vAlign w:val="center"/>
            <w:hideMark/>
          </w:tcPr>
          <w:p w14:paraId="7F577718" w14:textId="77777777" w:rsidR="000B0BD1" w:rsidRPr="000B0BD1" w:rsidRDefault="000B0BD1" w:rsidP="000B0BD1">
            <w:r w:rsidRPr="000B0BD1">
              <w:t>  3.3 Application of Mendelow's Interest–Influence Matrix</w:t>
            </w:r>
          </w:p>
        </w:tc>
        <w:tc>
          <w:tcPr>
            <w:tcW w:w="0" w:type="auto"/>
            <w:vAlign w:val="center"/>
            <w:hideMark/>
          </w:tcPr>
          <w:p w14:paraId="5980C42F" w14:textId="2286FBBF" w:rsidR="000B0BD1" w:rsidRPr="000B0BD1" w:rsidRDefault="006F64F0" w:rsidP="000B0BD1">
            <w:r>
              <w:t>5</w:t>
            </w:r>
          </w:p>
        </w:tc>
      </w:tr>
      <w:tr w:rsidR="000B0BD1" w:rsidRPr="000B0BD1" w14:paraId="2EA0EB29" w14:textId="77777777">
        <w:trPr>
          <w:tblCellSpacing w:w="15" w:type="dxa"/>
        </w:trPr>
        <w:tc>
          <w:tcPr>
            <w:tcW w:w="0" w:type="auto"/>
            <w:vAlign w:val="center"/>
            <w:hideMark/>
          </w:tcPr>
          <w:p w14:paraId="7BC43000" w14:textId="77777777" w:rsidR="000B0BD1" w:rsidRPr="000B0BD1" w:rsidRDefault="000B0BD1" w:rsidP="000B0BD1">
            <w:r w:rsidRPr="000B0BD1">
              <w:t>  3.4 Application of the Stakeholder Salience Model</w:t>
            </w:r>
          </w:p>
        </w:tc>
        <w:tc>
          <w:tcPr>
            <w:tcW w:w="0" w:type="auto"/>
            <w:vAlign w:val="center"/>
            <w:hideMark/>
          </w:tcPr>
          <w:p w14:paraId="30725E85" w14:textId="26756CA1" w:rsidR="000B0BD1" w:rsidRPr="000B0BD1" w:rsidRDefault="006F64F0" w:rsidP="000B0BD1">
            <w:r>
              <w:t>6</w:t>
            </w:r>
          </w:p>
        </w:tc>
      </w:tr>
      <w:tr w:rsidR="000B0BD1" w:rsidRPr="000B0BD1" w14:paraId="206C9A59" w14:textId="77777777">
        <w:trPr>
          <w:tblCellSpacing w:w="15" w:type="dxa"/>
        </w:trPr>
        <w:tc>
          <w:tcPr>
            <w:tcW w:w="0" w:type="auto"/>
            <w:vAlign w:val="center"/>
            <w:hideMark/>
          </w:tcPr>
          <w:p w14:paraId="6E6A4B60" w14:textId="77777777" w:rsidR="000B0BD1" w:rsidRPr="000B0BD1" w:rsidRDefault="000B0BD1" w:rsidP="000B0BD1">
            <w:r w:rsidRPr="000B0BD1">
              <w:t>  3.5 Critical Evaluation of Stakeholder Frameworks</w:t>
            </w:r>
          </w:p>
        </w:tc>
        <w:tc>
          <w:tcPr>
            <w:tcW w:w="0" w:type="auto"/>
            <w:vAlign w:val="center"/>
            <w:hideMark/>
          </w:tcPr>
          <w:p w14:paraId="7EDA86A6" w14:textId="6695BF9B" w:rsidR="000B0BD1" w:rsidRPr="000B0BD1" w:rsidRDefault="006F64F0" w:rsidP="000B0BD1">
            <w:r>
              <w:t>6</w:t>
            </w:r>
          </w:p>
        </w:tc>
      </w:tr>
      <w:tr w:rsidR="000B0BD1" w:rsidRPr="000B0BD1" w14:paraId="4C277E11" w14:textId="77777777">
        <w:trPr>
          <w:tblCellSpacing w:w="15" w:type="dxa"/>
        </w:trPr>
        <w:tc>
          <w:tcPr>
            <w:tcW w:w="0" w:type="auto"/>
            <w:vAlign w:val="center"/>
            <w:hideMark/>
          </w:tcPr>
          <w:p w14:paraId="016A0E8B" w14:textId="77777777" w:rsidR="000B0BD1" w:rsidRPr="000B0BD1" w:rsidRDefault="000B0BD1" w:rsidP="000B0BD1">
            <w:r w:rsidRPr="000B0BD1">
              <w:rPr>
                <w:b/>
                <w:bCs/>
              </w:rPr>
              <w:t>4. Roles, Responsibilities, Benefits and Challenges of Key Stakeholders</w:t>
            </w:r>
          </w:p>
        </w:tc>
        <w:tc>
          <w:tcPr>
            <w:tcW w:w="0" w:type="auto"/>
            <w:vAlign w:val="center"/>
            <w:hideMark/>
          </w:tcPr>
          <w:p w14:paraId="5CBCA58A" w14:textId="70A9E836" w:rsidR="000B0BD1" w:rsidRPr="000B0BD1" w:rsidRDefault="006F64F0" w:rsidP="000B0BD1">
            <w:r>
              <w:t>8</w:t>
            </w:r>
          </w:p>
        </w:tc>
      </w:tr>
      <w:tr w:rsidR="000B0BD1" w:rsidRPr="000B0BD1" w14:paraId="530AB786" w14:textId="77777777">
        <w:trPr>
          <w:tblCellSpacing w:w="15" w:type="dxa"/>
        </w:trPr>
        <w:tc>
          <w:tcPr>
            <w:tcW w:w="0" w:type="auto"/>
            <w:vAlign w:val="center"/>
            <w:hideMark/>
          </w:tcPr>
          <w:p w14:paraId="221C3CCD" w14:textId="77777777" w:rsidR="000B0BD1" w:rsidRPr="000B0BD1" w:rsidRDefault="000B0BD1" w:rsidP="000B0BD1">
            <w:r w:rsidRPr="000B0BD1">
              <w:rPr>
                <w:b/>
                <w:bCs/>
              </w:rPr>
              <w:t>5. Stakeholder Engagement and Conflict Management</w:t>
            </w:r>
          </w:p>
        </w:tc>
        <w:tc>
          <w:tcPr>
            <w:tcW w:w="0" w:type="auto"/>
            <w:vAlign w:val="center"/>
            <w:hideMark/>
          </w:tcPr>
          <w:p w14:paraId="30554A28" w14:textId="3BFA3FDC" w:rsidR="000B0BD1" w:rsidRPr="000B0BD1" w:rsidRDefault="006F64F0" w:rsidP="000B0BD1">
            <w:r>
              <w:t>10</w:t>
            </w:r>
          </w:p>
        </w:tc>
      </w:tr>
      <w:tr w:rsidR="000B0BD1" w:rsidRPr="000B0BD1" w14:paraId="69F62FC0" w14:textId="77777777">
        <w:trPr>
          <w:tblCellSpacing w:w="15" w:type="dxa"/>
        </w:trPr>
        <w:tc>
          <w:tcPr>
            <w:tcW w:w="0" w:type="auto"/>
            <w:vAlign w:val="center"/>
            <w:hideMark/>
          </w:tcPr>
          <w:p w14:paraId="5D2F6519" w14:textId="77777777" w:rsidR="000B0BD1" w:rsidRPr="000B0BD1" w:rsidRDefault="000B0BD1" w:rsidP="000B0BD1">
            <w:r w:rsidRPr="000B0BD1">
              <w:t>  5.1 Stakeholder Engagement Process</w:t>
            </w:r>
          </w:p>
        </w:tc>
        <w:tc>
          <w:tcPr>
            <w:tcW w:w="0" w:type="auto"/>
            <w:vAlign w:val="center"/>
            <w:hideMark/>
          </w:tcPr>
          <w:p w14:paraId="7E464C9D" w14:textId="64A0BF04" w:rsidR="000B0BD1" w:rsidRPr="000B0BD1" w:rsidRDefault="006F64F0" w:rsidP="000B0BD1">
            <w:r>
              <w:t>10</w:t>
            </w:r>
          </w:p>
        </w:tc>
      </w:tr>
      <w:tr w:rsidR="000B0BD1" w:rsidRPr="000B0BD1" w14:paraId="1E1FB970" w14:textId="77777777">
        <w:trPr>
          <w:tblCellSpacing w:w="15" w:type="dxa"/>
        </w:trPr>
        <w:tc>
          <w:tcPr>
            <w:tcW w:w="0" w:type="auto"/>
            <w:vAlign w:val="center"/>
            <w:hideMark/>
          </w:tcPr>
          <w:p w14:paraId="2492B763" w14:textId="77777777" w:rsidR="000B0BD1" w:rsidRPr="000B0BD1" w:rsidRDefault="000B0BD1" w:rsidP="000B0BD1">
            <w:r w:rsidRPr="000B0BD1">
              <w:t>  5.2 Communication Plan</w:t>
            </w:r>
          </w:p>
        </w:tc>
        <w:tc>
          <w:tcPr>
            <w:tcW w:w="0" w:type="auto"/>
            <w:vAlign w:val="center"/>
            <w:hideMark/>
          </w:tcPr>
          <w:p w14:paraId="2B921441" w14:textId="5E536BF1" w:rsidR="000B0BD1" w:rsidRPr="000B0BD1" w:rsidRDefault="006F64F0" w:rsidP="000B0BD1">
            <w:r>
              <w:t>10</w:t>
            </w:r>
          </w:p>
        </w:tc>
      </w:tr>
      <w:tr w:rsidR="000B0BD1" w:rsidRPr="000B0BD1" w14:paraId="4784E8CF" w14:textId="77777777">
        <w:trPr>
          <w:tblCellSpacing w:w="15" w:type="dxa"/>
        </w:trPr>
        <w:tc>
          <w:tcPr>
            <w:tcW w:w="0" w:type="auto"/>
            <w:vAlign w:val="center"/>
            <w:hideMark/>
          </w:tcPr>
          <w:p w14:paraId="4219BD87" w14:textId="77777777" w:rsidR="000B0BD1" w:rsidRPr="000B0BD1" w:rsidRDefault="000B0BD1" w:rsidP="000B0BD1">
            <w:r w:rsidRPr="000B0BD1">
              <w:t>  5.3 RACI Matrix</w:t>
            </w:r>
          </w:p>
        </w:tc>
        <w:tc>
          <w:tcPr>
            <w:tcW w:w="0" w:type="auto"/>
            <w:vAlign w:val="center"/>
            <w:hideMark/>
          </w:tcPr>
          <w:p w14:paraId="7088B497" w14:textId="58169A43" w:rsidR="000B0BD1" w:rsidRPr="000B0BD1" w:rsidRDefault="006F64F0" w:rsidP="000B0BD1">
            <w:r>
              <w:t>11</w:t>
            </w:r>
          </w:p>
        </w:tc>
      </w:tr>
      <w:tr w:rsidR="000B0BD1" w:rsidRPr="000B0BD1" w14:paraId="0841C43C" w14:textId="77777777">
        <w:trPr>
          <w:tblCellSpacing w:w="15" w:type="dxa"/>
        </w:trPr>
        <w:tc>
          <w:tcPr>
            <w:tcW w:w="0" w:type="auto"/>
            <w:vAlign w:val="center"/>
            <w:hideMark/>
          </w:tcPr>
          <w:p w14:paraId="50E43307" w14:textId="77777777" w:rsidR="000B0BD1" w:rsidRPr="000B0BD1" w:rsidRDefault="000B0BD1" w:rsidP="000B0BD1">
            <w:r w:rsidRPr="000B0BD1">
              <w:t>  5.4 4Cs Model</w:t>
            </w:r>
          </w:p>
        </w:tc>
        <w:tc>
          <w:tcPr>
            <w:tcW w:w="0" w:type="auto"/>
            <w:vAlign w:val="center"/>
            <w:hideMark/>
          </w:tcPr>
          <w:p w14:paraId="5D86679C" w14:textId="3C3B5E6C" w:rsidR="000B0BD1" w:rsidRPr="000B0BD1" w:rsidRDefault="006F64F0" w:rsidP="000B0BD1">
            <w:r>
              <w:t>11</w:t>
            </w:r>
          </w:p>
        </w:tc>
      </w:tr>
      <w:tr w:rsidR="000B0BD1" w:rsidRPr="000B0BD1" w14:paraId="1FF5424C" w14:textId="77777777">
        <w:trPr>
          <w:tblCellSpacing w:w="15" w:type="dxa"/>
        </w:trPr>
        <w:tc>
          <w:tcPr>
            <w:tcW w:w="0" w:type="auto"/>
            <w:vAlign w:val="center"/>
            <w:hideMark/>
          </w:tcPr>
          <w:p w14:paraId="5E11EF3D" w14:textId="77777777" w:rsidR="000B0BD1" w:rsidRPr="000B0BD1" w:rsidRDefault="000B0BD1" w:rsidP="000B0BD1">
            <w:r w:rsidRPr="000B0BD1">
              <w:t>  5.5 Conflict Management</w:t>
            </w:r>
          </w:p>
        </w:tc>
        <w:tc>
          <w:tcPr>
            <w:tcW w:w="0" w:type="auto"/>
            <w:vAlign w:val="center"/>
            <w:hideMark/>
          </w:tcPr>
          <w:p w14:paraId="7113CEE6" w14:textId="4F5D50C3" w:rsidR="000B0BD1" w:rsidRPr="000B0BD1" w:rsidRDefault="006F64F0" w:rsidP="000B0BD1">
            <w:r>
              <w:t>12</w:t>
            </w:r>
          </w:p>
        </w:tc>
      </w:tr>
      <w:tr w:rsidR="000B0BD1" w:rsidRPr="000B0BD1" w14:paraId="2D8E3526" w14:textId="77777777">
        <w:trPr>
          <w:tblCellSpacing w:w="15" w:type="dxa"/>
        </w:trPr>
        <w:tc>
          <w:tcPr>
            <w:tcW w:w="0" w:type="auto"/>
            <w:vAlign w:val="center"/>
            <w:hideMark/>
          </w:tcPr>
          <w:p w14:paraId="1EFD1116" w14:textId="77777777" w:rsidR="000B0BD1" w:rsidRPr="000B0BD1" w:rsidRDefault="000B0BD1" w:rsidP="000B0BD1">
            <w:r w:rsidRPr="000B0BD1">
              <w:rPr>
                <w:b/>
                <w:bCs/>
              </w:rPr>
              <w:t>6. Sustainable Stakeholder Engagement and Business Performance</w:t>
            </w:r>
          </w:p>
        </w:tc>
        <w:tc>
          <w:tcPr>
            <w:tcW w:w="0" w:type="auto"/>
            <w:vAlign w:val="center"/>
            <w:hideMark/>
          </w:tcPr>
          <w:p w14:paraId="6D854AA9" w14:textId="6B6B8CA6" w:rsidR="000B0BD1" w:rsidRPr="000B0BD1" w:rsidRDefault="006F64F0" w:rsidP="000B0BD1">
            <w:r>
              <w:t>12</w:t>
            </w:r>
          </w:p>
        </w:tc>
      </w:tr>
      <w:tr w:rsidR="000B0BD1" w:rsidRPr="000B0BD1" w14:paraId="076B5844" w14:textId="77777777">
        <w:trPr>
          <w:tblCellSpacing w:w="15" w:type="dxa"/>
        </w:trPr>
        <w:tc>
          <w:tcPr>
            <w:tcW w:w="0" w:type="auto"/>
            <w:vAlign w:val="center"/>
            <w:hideMark/>
          </w:tcPr>
          <w:p w14:paraId="4399C11B" w14:textId="77777777" w:rsidR="000B0BD1" w:rsidRPr="000B0BD1" w:rsidRDefault="000B0BD1" w:rsidP="000B0BD1">
            <w:r w:rsidRPr="000B0BD1">
              <w:rPr>
                <w:b/>
                <w:bCs/>
              </w:rPr>
              <w:t>7. Recommendations and Conclusion</w:t>
            </w:r>
          </w:p>
        </w:tc>
        <w:tc>
          <w:tcPr>
            <w:tcW w:w="0" w:type="auto"/>
            <w:vAlign w:val="center"/>
            <w:hideMark/>
          </w:tcPr>
          <w:p w14:paraId="7C91FB87" w14:textId="6FEA7B5E" w:rsidR="000B0BD1" w:rsidRPr="000B0BD1" w:rsidRDefault="006F64F0" w:rsidP="000B0BD1">
            <w:r>
              <w:t>15</w:t>
            </w:r>
          </w:p>
        </w:tc>
      </w:tr>
      <w:tr w:rsidR="000B0BD1" w:rsidRPr="000B0BD1" w14:paraId="42EFC00F" w14:textId="77777777">
        <w:trPr>
          <w:tblCellSpacing w:w="15" w:type="dxa"/>
        </w:trPr>
        <w:tc>
          <w:tcPr>
            <w:tcW w:w="0" w:type="auto"/>
            <w:vAlign w:val="center"/>
            <w:hideMark/>
          </w:tcPr>
          <w:p w14:paraId="3C25E3AC" w14:textId="77777777" w:rsidR="000B0BD1" w:rsidRPr="000B0BD1" w:rsidRDefault="000B0BD1" w:rsidP="000B0BD1">
            <w:r w:rsidRPr="000B0BD1">
              <w:rPr>
                <w:b/>
                <w:bCs/>
              </w:rPr>
              <w:t>References</w:t>
            </w:r>
          </w:p>
        </w:tc>
        <w:tc>
          <w:tcPr>
            <w:tcW w:w="0" w:type="auto"/>
            <w:vAlign w:val="center"/>
            <w:hideMark/>
          </w:tcPr>
          <w:p w14:paraId="149C1574" w14:textId="6A0536C3" w:rsidR="000B0BD1" w:rsidRPr="000B0BD1" w:rsidRDefault="006F64F0" w:rsidP="000B0BD1">
            <w:r>
              <w:t>16</w:t>
            </w:r>
          </w:p>
        </w:tc>
      </w:tr>
    </w:tbl>
    <w:p w14:paraId="3D5919A7" w14:textId="015D53E0" w:rsidR="00E0730F" w:rsidRPr="00E0730F" w:rsidRDefault="00E0730F" w:rsidP="00E0730F"/>
    <w:p w14:paraId="53A8BCCF" w14:textId="77777777" w:rsidR="000B0BD1" w:rsidRDefault="000B0BD1" w:rsidP="00E0730F">
      <w:pPr>
        <w:rPr>
          <w:b/>
          <w:bCs/>
        </w:rPr>
      </w:pPr>
    </w:p>
    <w:p w14:paraId="056B18C5" w14:textId="77777777" w:rsidR="000B0BD1" w:rsidRDefault="000B0BD1" w:rsidP="00E0730F">
      <w:pPr>
        <w:rPr>
          <w:b/>
          <w:bCs/>
        </w:rPr>
      </w:pPr>
    </w:p>
    <w:p w14:paraId="1E39EE3E" w14:textId="0B6038AE" w:rsidR="00E0730F" w:rsidRPr="00E0730F" w:rsidRDefault="00E0730F" w:rsidP="00E0730F">
      <w:pPr>
        <w:rPr>
          <w:b/>
          <w:bCs/>
        </w:rPr>
      </w:pPr>
      <w:r w:rsidRPr="00E0730F">
        <w:rPr>
          <w:b/>
          <w:bCs/>
        </w:rPr>
        <w:t>1. Introduction</w:t>
      </w:r>
    </w:p>
    <w:p w14:paraId="015C75D1" w14:textId="77777777" w:rsidR="00E0730F" w:rsidRPr="00171971" w:rsidRDefault="00E0730F" w:rsidP="00E0730F">
      <w:pPr>
        <w:rPr>
          <w:rFonts w:ascii="Arial" w:hAnsi="Arial" w:cs="Arial"/>
          <w:sz w:val="22"/>
          <w:szCs w:val="22"/>
        </w:rPr>
      </w:pPr>
      <w:r w:rsidRPr="00171971">
        <w:rPr>
          <w:rFonts w:ascii="Arial" w:hAnsi="Arial" w:cs="Arial"/>
          <w:sz w:val="22"/>
          <w:szCs w:val="22"/>
        </w:rPr>
        <w:t>Tesco PLC is one of the world's leading retail and e-commerce organisations, operating thousands of stores and serving millions of customers across the United Kingdom, Europe, and Asia. Established in 1919, the company has evolved from a traditional grocery retailer into a digitally driven business that combines physical stores with online shopping, mobile applications, and customer loyalty programmes. Through continuous investment in technology and innovation, Tesco seeks to enhance customer experience, improve operational efficiency, and maintain a competitive advantage in an increasingly digital retail environment.</w:t>
      </w:r>
    </w:p>
    <w:p w14:paraId="53207F35" w14:textId="77777777" w:rsidR="00E0730F" w:rsidRPr="00171971" w:rsidRDefault="00E0730F" w:rsidP="00E0730F">
      <w:pPr>
        <w:rPr>
          <w:rFonts w:ascii="Arial" w:hAnsi="Arial" w:cs="Arial"/>
          <w:sz w:val="22"/>
          <w:szCs w:val="22"/>
        </w:rPr>
      </w:pPr>
      <w:r w:rsidRPr="00171971">
        <w:rPr>
          <w:rFonts w:ascii="Arial" w:hAnsi="Arial" w:cs="Arial"/>
          <w:sz w:val="22"/>
          <w:szCs w:val="22"/>
        </w:rPr>
        <w:t>To strengthen customer engagement and support its digital transformation strategy, Tesco plans to introduce ConnectPlus, an AI-enabled customer loyalty and engagement platform. The platform integrates artificial intelligence, mobile-based rewards, and data analytics to provide personalised product recommendations, targeted promotions, and real-time customer insights. The project is scheduled for implementation across selected domestic and international markets within six months, requiring effective coordination among diverse stakeholder groups operating across different cultural, legal, and business environments.</w:t>
      </w:r>
    </w:p>
    <w:p w14:paraId="20BCFB82" w14:textId="77777777" w:rsidR="00E0730F" w:rsidRPr="00171971" w:rsidRDefault="00E0730F" w:rsidP="00E0730F">
      <w:pPr>
        <w:rPr>
          <w:rFonts w:ascii="Arial" w:hAnsi="Arial" w:cs="Arial"/>
          <w:sz w:val="22"/>
          <w:szCs w:val="22"/>
        </w:rPr>
      </w:pPr>
      <w:r w:rsidRPr="00171971">
        <w:rPr>
          <w:rFonts w:ascii="Arial" w:hAnsi="Arial" w:cs="Arial"/>
          <w:sz w:val="22"/>
          <w:szCs w:val="22"/>
        </w:rPr>
        <w:t>The success of ConnectPlus depends not only on technological capability but also on effective stakeholder management throughout the project lifecycle. According to R. Edward Freeman (1984), organisations create sustainable value by considering the interests of all stakeholders who can influence or are affected by organisational activities. Similarly, the Project Management Institute emphasises that identifying, analysing, and engaging stakeholders are essential processes for achieving project objectives, reducing resistance to change, and increasing the likelihood of project success.</w:t>
      </w:r>
    </w:p>
    <w:p w14:paraId="0D0974B5" w14:textId="77777777" w:rsidR="00E0730F" w:rsidRPr="00171971" w:rsidRDefault="00E0730F" w:rsidP="00E0730F">
      <w:pPr>
        <w:rPr>
          <w:rFonts w:ascii="Arial" w:hAnsi="Arial" w:cs="Arial"/>
          <w:sz w:val="22"/>
          <w:szCs w:val="22"/>
        </w:rPr>
      </w:pPr>
      <w:r w:rsidRPr="00171971">
        <w:rPr>
          <w:rFonts w:ascii="Arial" w:hAnsi="Arial" w:cs="Arial"/>
          <w:sz w:val="22"/>
          <w:szCs w:val="22"/>
        </w:rPr>
        <w:t>This report critically examines the stakeholder management strategy for the ConnectPlus project by identifying and categorising key internal and external stakeholders, analysing their roles and responsibilities, and evaluating appropriate engagement approaches using recognised stakeholder management frameworks. Furthermore, it discusses potential challenges, conflicts, and ethical considerations associated with stakeholder engagement and assesses how sustainable stakeholder relationships can contribute to improved organisational performance, customer satisfaction, and long-term competitive advantage in the global retail and e-commerce sector.</w:t>
      </w:r>
    </w:p>
    <w:p w14:paraId="18033AA3" w14:textId="6BDE0B48" w:rsidR="00E0730F" w:rsidRPr="00E0730F" w:rsidRDefault="00E0730F" w:rsidP="00E0730F">
      <w:pPr>
        <w:rPr>
          <w:b/>
          <w:bCs/>
        </w:rPr>
      </w:pPr>
      <w:r w:rsidRPr="00E0730F">
        <w:rPr>
          <w:b/>
          <w:bCs/>
        </w:rPr>
        <w:t xml:space="preserve">2. SMART Objectives </w:t>
      </w:r>
    </w:p>
    <w:p w14:paraId="140572E6" w14:textId="419B2743" w:rsidR="00E0730F" w:rsidRPr="00E0730F" w:rsidRDefault="007C287F" w:rsidP="00E0730F">
      <w:r w:rsidRPr="0025431C">
        <w:rPr>
          <w:rFonts w:ascii="Arial" w:hAnsi="Arial" w:cs="Arial"/>
          <w:sz w:val="22"/>
          <w:szCs w:val="22"/>
        </w:rPr>
        <w:t xml:space="preserve">The ConnectPlus project aims to successfully launch the AI-enabled customer loyalty and engagement platform across selected UK and international markets within six months. The project seeks to achieve Specific objectives by implementing personalised recommendations, mobile rewards, and customer insight features. It is Measurable through targets such as increasing customer retention by 15%, improving active loyalty programme participation by 20%, and achieving 90% employee training completion before launch. The objectives are Achievable by leveraging Tesco's existing digital infrastructure and skilled workforce, Relevant to the company's digital transformation strategy and customer engagement goals, and Time-bound with all implementation milestones, stakeholder </w:t>
      </w:r>
      <w:r w:rsidRPr="0025431C">
        <w:rPr>
          <w:rFonts w:ascii="Arial" w:hAnsi="Arial" w:cs="Arial"/>
          <w:sz w:val="22"/>
          <w:szCs w:val="22"/>
        </w:rPr>
        <w:lastRenderedPageBreak/>
        <w:t>engagement activities, testing, and deployment completed within the planned six-month project schedule.</w:t>
      </w:r>
      <w:r w:rsidRPr="007C287F">
        <w:t xml:space="preserve"> </w:t>
      </w:r>
    </w:p>
    <w:p w14:paraId="3015963B" w14:textId="24BBD9D6" w:rsidR="00E0730F" w:rsidRPr="00E0730F" w:rsidRDefault="00E0730F" w:rsidP="00E0730F">
      <w:pPr>
        <w:rPr>
          <w:b/>
          <w:bCs/>
        </w:rPr>
      </w:pPr>
      <w:r w:rsidRPr="00E0730F">
        <w:rPr>
          <w:b/>
          <w:bCs/>
        </w:rPr>
        <w:t xml:space="preserve">3. Identification and Categorisation of Stakeholders </w:t>
      </w:r>
    </w:p>
    <w:p w14:paraId="493BD72C" w14:textId="77777777" w:rsidR="00171971" w:rsidRPr="001E6584" w:rsidRDefault="00171971" w:rsidP="00171971">
      <w:pPr>
        <w:rPr>
          <w:rFonts w:ascii="Arial" w:hAnsi="Arial" w:cs="Arial"/>
          <w:sz w:val="22"/>
          <w:szCs w:val="22"/>
        </w:rPr>
      </w:pPr>
      <w:r w:rsidRPr="001E6584">
        <w:rPr>
          <w:rFonts w:ascii="Arial" w:hAnsi="Arial" w:cs="Arial"/>
          <w:sz w:val="22"/>
          <w:szCs w:val="22"/>
        </w:rPr>
        <w:t>The successful implementation of ConnectPlus, Tesco's proposed AI-enabled customer loyalty and engagement platform, depends on the effective identification and management of stakeholders whose interests, influence, and expectations can affect project outcomes. Stakeholders are individuals or groups who can influence or are influenced by a project's activities and results. According to R. Edward Freeman (1984), organisations achieve sustainable success by creating value for all stakeholders rather than focusing solely on shareholders. In project management, early stakeholder identification enables project managers to allocate resources effectively, reduce resistance to change, and encourage collaboration throughout the project lifecycle. This section identifies the key internal and external stakeholders involved in the ConnectPlus project by applying the Interest–Influence Matrix (Mendelow's Matrix) and the Stakeholder Salience Model.</w:t>
      </w:r>
    </w:p>
    <w:p w14:paraId="17BA9B5D" w14:textId="47C36877" w:rsidR="00171971" w:rsidRPr="0025431C" w:rsidRDefault="000B0BD1" w:rsidP="00171971">
      <w:pPr>
        <w:rPr>
          <w:rFonts w:ascii="Arial" w:hAnsi="Arial" w:cs="Arial"/>
          <w:b/>
          <w:bCs/>
          <w:sz w:val="22"/>
          <w:szCs w:val="22"/>
        </w:rPr>
      </w:pPr>
      <w:r>
        <w:rPr>
          <w:rFonts w:ascii="Arial" w:hAnsi="Arial" w:cs="Arial"/>
          <w:b/>
          <w:bCs/>
          <w:sz w:val="22"/>
          <w:szCs w:val="22"/>
        </w:rPr>
        <w:t xml:space="preserve">3.1 </w:t>
      </w:r>
      <w:r w:rsidR="00171971" w:rsidRPr="0025431C">
        <w:rPr>
          <w:rFonts w:ascii="Arial" w:hAnsi="Arial" w:cs="Arial"/>
          <w:b/>
          <w:bCs/>
          <w:sz w:val="22"/>
          <w:szCs w:val="22"/>
        </w:rPr>
        <w:t>Internal Stakeholders</w:t>
      </w:r>
    </w:p>
    <w:p w14:paraId="6CE6F33C" w14:textId="77777777" w:rsidR="00171971" w:rsidRPr="0025431C" w:rsidRDefault="00171971" w:rsidP="00171971">
      <w:pPr>
        <w:rPr>
          <w:rFonts w:ascii="Arial" w:hAnsi="Arial" w:cs="Arial"/>
          <w:sz w:val="22"/>
          <w:szCs w:val="22"/>
        </w:rPr>
      </w:pPr>
      <w:r w:rsidRPr="0025431C">
        <w:rPr>
          <w:rFonts w:ascii="Arial" w:hAnsi="Arial" w:cs="Arial"/>
          <w:sz w:val="22"/>
          <w:szCs w:val="22"/>
        </w:rPr>
        <w:t>Internal stakeholders are individuals or groups within Tesco who directly contribute to the planning, development, implementation, and management of ConnectPlus.</w:t>
      </w:r>
    </w:p>
    <w:p w14:paraId="730E245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Executive Board and Project Sponsor</w:t>
      </w:r>
      <w:r w:rsidRPr="0025431C">
        <w:rPr>
          <w:rFonts w:ascii="Arial" w:hAnsi="Arial" w:cs="Arial"/>
          <w:sz w:val="22"/>
          <w:szCs w:val="22"/>
        </w:rPr>
        <w:t xml:space="preserve"> are among the most influential stakeholders because they provide strategic direction, approve budgets, and ensure that the project aligns with Tesco's digital transformation objectives. Their high level of authority and interest means they require continuous engagement throughout the project.</w:t>
      </w:r>
    </w:p>
    <w:p w14:paraId="00949B23"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Project Manager</w:t>
      </w:r>
      <w:r w:rsidRPr="0025431C">
        <w:rPr>
          <w:rFonts w:ascii="Arial" w:hAnsi="Arial" w:cs="Arial"/>
          <w:sz w:val="22"/>
          <w:szCs w:val="22"/>
        </w:rPr>
        <w:t xml:space="preserve"> is responsible for coordinating project activities, managing resources, monitoring project performance, and ensuring that objectives are delivered on time, within budget, and according to quality standards. The project manager also acts as the primary communication link between all stakeholder groups.</w:t>
      </w:r>
    </w:p>
    <w:p w14:paraId="6010417D"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Information Technology (IT) Department</w:t>
      </w:r>
      <w:r w:rsidRPr="0025431C">
        <w:rPr>
          <w:rFonts w:ascii="Arial" w:hAnsi="Arial" w:cs="Arial"/>
          <w:sz w:val="22"/>
          <w:szCs w:val="22"/>
        </w:rPr>
        <w:t xml:space="preserve"> plays a critical role in developing the AI platform, integrating existing systems, maintaining cybersecurity, and ensuring the platform performs efficiently across international markets. Since ConnectPlus relies heavily on advanced digital technologies, IT stakeholders possess both high interest and high influence.</w:t>
      </w:r>
    </w:p>
    <w:p w14:paraId="6AAD45F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Product Development Team</w:t>
      </w:r>
      <w:r w:rsidRPr="0025431C">
        <w:rPr>
          <w:rFonts w:ascii="Arial" w:hAnsi="Arial" w:cs="Arial"/>
          <w:sz w:val="22"/>
          <w:szCs w:val="22"/>
        </w:rPr>
        <w:t xml:space="preserve"> is responsible for designing customer-facing features, testing AI algorithms, and ensuring that the platform delivers a seamless user experience. Their technical expertise directly influences customer satisfaction and system performance.</w:t>
      </w:r>
    </w:p>
    <w:p w14:paraId="14619C60"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Marketing Department</w:t>
      </w:r>
      <w:r w:rsidRPr="0025431C">
        <w:rPr>
          <w:rFonts w:ascii="Arial" w:hAnsi="Arial" w:cs="Arial"/>
          <w:sz w:val="22"/>
          <w:szCs w:val="22"/>
        </w:rPr>
        <w:t xml:space="preserve"> develops promotional campaigns, customer communication strategies, and launch activities. Marketing also uses customer insights generated by ConnectPlus to improve personalised promotions and strengthen customer loyalty.</w:t>
      </w:r>
    </w:p>
    <w:p w14:paraId="7FB8D69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Sales and Customer Service Departments</w:t>
      </w:r>
      <w:r w:rsidRPr="0025431C">
        <w:rPr>
          <w:rFonts w:ascii="Arial" w:hAnsi="Arial" w:cs="Arial"/>
          <w:sz w:val="22"/>
          <w:szCs w:val="22"/>
        </w:rPr>
        <w:t xml:space="preserve"> represent frontline stakeholders who interact directly with customers. Their feedback provides valuable information regarding customer needs, operational issues, and service improvements during implementation.</w:t>
      </w:r>
    </w:p>
    <w:p w14:paraId="710CE572"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Other important internal stakeholders include the </w:t>
      </w:r>
      <w:r w:rsidRPr="0025431C">
        <w:rPr>
          <w:rFonts w:ascii="Arial" w:hAnsi="Arial" w:cs="Arial"/>
          <w:b/>
          <w:bCs/>
          <w:sz w:val="22"/>
          <w:szCs w:val="22"/>
        </w:rPr>
        <w:t>Human Resources Department</w:t>
      </w:r>
      <w:r w:rsidRPr="0025431C">
        <w:rPr>
          <w:rFonts w:ascii="Arial" w:hAnsi="Arial" w:cs="Arial"/>
          <w:sz w:val="22"/>
          <w:szCs w:val="22"/>
        </w:rPr>
        <w:t xml:space="preserve">, which </w:t>
      </w:r>
      <w:r w:rsidRPr="001E6584">
        <w:rPr>
          <w:rFonts w:ascii="Arial" w:hAnsi="Arial" w:cs="Arial"/>
          <w:sz w:val="22"/>
          <w:szCs w:val="22"/>
        </w:rPr>
        <w:t xml:space="preserve">coordinates employee training and change management activities, the Finance Department, </w:t>
      </w:r>
      <w:r w:rsidRPr="001E6584">
        <w:rPr>
          <w:rFonts w:ascii="Arial" w:hAnsi="Arial" w:cs="Arial"/>
          <w:sz w:val="22"/>
          <w:szCs w:val="22"/>
        </w:rPr>
        <w:lastRenderedPageBreak/>
        <w:t>which controls project budgets and evaluates financial performance, and the Legal and Compliance Team, which ensures compliance with data protection legislation, consumer protection laws, and international regulatory requirements.</w:t>
      </w:r>
    </w:p>
    <w:p w14:paraId="16CB4605" w14:textId="3B13380A" w:rsidR="00171971" w:rsidRPr="0025431C" w:rsidRDefault="000B0BD1" w:rsidP="00171971">
      <w:pPr>
        <w:rPr>
          <w:rFonts w:ascii="Arial" w:hAnsi="Arial" w:cs="Arial"/>
          <w:b/>
          <w:bCs/>
          <w:sz w:val="22"/>
          <w:szCs w:val="22"/>
        </w:rPr>
      </w:pPr>
      <w:r>
        <w:rPr>
          <w:rFonts w:ascii="Arial" w:hAnsi="Arial" w:cs="Arial"/>
          <w:b/>
          <w:bCs/>
          <w:sz w:val="22"/>
          <w:szCs w:val="22"/>
        </w:rPr>
        <w:t xml:space="preserve">3.2 </w:t>
      </w:r>
      <w:r w:rsidR="00171971" w:rsidRPr="0025431C">
        <w:rPr>
          <w:rFonts w:ascii="Arial" w:hAnsi="Arial" w:cs="Arial"/>
          <w:b/>
          <w:bCs/>
          <w:sz w:val="22"/>
          <w:szCs w:val="22"/>
        </w:rPr>
        <w:t>External Stakeholders</w:t>
      </w:r>
    </w:p>
    <w:p w14:paraId="0F49EE2F" w14:textId="77777777" w:rsidR="00171971" w:rsidRPr="0025431C" w:rsidRDefault="00171971" w:rsidP="00171971">
      <w:pPr>
        <w:rPr>
          <w:rFonts w:ascii="Arial" w:hAnsi="Arial" w:cs="Arial"/>
          <w:sz w:val="22"/>
          <w:szCs w:val="22"/>
        </w:rPr>
      </w:pPr>
      <w:r w:rsidRPr="0025431C">
        <w:rPr>
          <w:rFonts w:ascii="Arial" w:hAnsi="Arial" w:cs="Arial"/>
          <w:sz w:val="22"/>
          <w:szCs w:val="22"/>
        </w:rPr>
        <w:t>External stakeholders influence project success despite operating outside Tesco's organisational structure.</w:t>
      </w:r>
    </w:p>
    <w:p w14:paraId="224335AD"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The </w:t>
      </w:r>
      <w:r w:rsidRPr="0025431C">
        <w:rPr>
          <w:rFonts w:ascii="Arial" w:hAnsi="Arial" w:cs="Arial"/>
          <w:b/>
          <w:bCs/>
          <w:sz w:val="22"/>
          <w:szCs w:val="22"/>
        </w:rPr>
        <w:t>Customers</w:t>
      </w:r>
      <w:r w:rsidRPr="0025431C">
        <w:rPr>
          <w:rFonts w:ascii="Arial" w:hAnsi="Arial" w:cs="Arial"/>
          <w:sz w:val="22"/>
          <w:szCs w:val="22"/>
        </w:rPr>
        <w:t xml:space="preserve"> are the most significant external stakeholders because ConnectPlus is designed to improve their shopping experience through personalised recommendations, digital rewards, and customised promotions. Their willingness to adopt the platform ultimately determines project success.</w:t>
      </w:r>
    </w:p>
    <w:p w14:paraId="076EF4F5" w14:textId="77777777" w:rsidR="00171971" w:rsidRPr="0025431C" w:rsidRDefault="00171971" w:rsidP="00171971">
      <w:pPr>
        <w:rPr>
          <w:rFonts w:ascii="Arial" w:hAnsi="Arial" w:cs="Arial"/>
          <w:sz w:val="22"/>
          <w:szCs w:val="22"/>
        </w:rPr>
      </w:pPr>
      <w:r w:rsidRPr="0025431C">
        <w:rPr>
          <w:rFonts w:ascii="Arial" w:hAnsi="Arial" w:cs="Arial"/>
          <w:b/>
          <w:bCs/>
          <w:sz w:val="22"/>
          <w:szCs w:val="22"/>
        </w:rPr>
        <w:t>Technology Vendors</w:t>
      </w:r>
      <w:r w:rsidRPr="0025431C">
        <w:rPr>
          <w:rFonts w:ascii="Arial" w:hAnsi="Arial" w:cs="Arial"/>
          <w:sz w:val="22"/>
          <w:szCs w:val="22"/>
        </w:rPr>
        <w:t xml:space="preserve"> and software suppliers provide AI technologies, cloud computing infrastructure, cybersecurity solutions, and system integration services. Their technical expertise supports platform development and long-term system reliability.</w:t>
      </w:r>
    </w:p>
    <w:p w14:paraId="46B81CF1" w14:textId="77777777" w:rsidR="00171971" w:rsidRPr="0025431C" w:rsidRDefault="00171971" w:rsidP="00171971">
      <w:pPr>
        <w:rPr>
          <w:rFonts w:ascii="Arial" w:hAnsi="Arial" w:cs="Arial"/>
          <w:sz w:val="22"/>
          <w:szCs w:val="22"/>
        </w:rPr>
      </w:pPr>
      <w:r w:rsidRPr="0025431C">
        <w:rPr>
          <w:rFonts w:ascii="Arial" w:hAnsi="Arial" w:cs="Arial"/>
          <w:b/>
          <w:bCs/>
          <w:sz w:val="22"/>
          <w:szCs w:val="22"/>
        </w:rPr>
        <w:t>Business Partners and Suppliers</w:t>
      </w:r>
      <w:r w:rsidRPr="0025431C">
        <w:rPr>
          <w:rFonts w:ascii="Arial" w:hAnsi="Arial" w:cs="Arial"/>
          <w:sz w:val="22"/>
          <w:szCs w:val="22"/>
        </w:rPr>
        <w:t xml:space="preserve"> collaborate with Tesco by integrating inventory systems, promotional campaigns, and supply chain information with ConnectPlus, enabling more personalised customer offers.</w:t>
      </w:r>
    </w:p>
    <w:p w14:paraId="203B1D66" w14:textId="77777777" w:rsidR="00171971" w:rsidRPr="0025431C" w:rsidRDefault="00171971" w:rsidP="00171971">
      <w:pPr>
        <w:rPr>
          <w:rFonts w:ascii="Arial" w:hAnsi="Arial" w:cs="Arial"/>
          <w:sz w:val="22"/>
          <w:szCs w:val="22"/>
        </w:rPr>
      </w:pPr>
      <w:r w:rsidRPr="0025431C">
        <w:rPr>
          <w:rFonts w:ascii="Arial" w:hAnsi="Arial" w:cs="Arial"/>
          <w:b/>
          <w:bCs/>
          <w:sz w:val="22"/>
          <w:szCs w:val="22"/>
        </w:rPr>
        <w:t>Government Regulators</w:t>
      </w:r>
      <w:r w:rsidRPr="0025431C">
        <w:rPr>
          <w:rFonts w:ascii="Arial" w:hAnsi="Arial" w:cs="Arial"/>
          <w:sz w:val="22"/>
          <w:szCs w:val="22"/>
        </w:rPr>
        <w:t xml:space="preserve"> and data protection authorities ensure that Tesco complies with national and international regulations, including data privacy legislation, artificial intelligence governance, and consumer protection requirements. Their approval is essential for successful implementation across multiple countries.</w:t>
      </w:r>
    </w:p>
    <w:p w14:paraId="16E38F59" w14:textId="77777777" w:rsidR="00171971" w:rsidRPr="0025431C" w:rsidRDefault="00171971" w:rsidP="00171971">
      <w:pPr>
        <w:rPr>
          <w:rFonts w:ascii="Arial" w:hAnsi="Arial" w:cs="Arial"/>
          <w:sz w:val="22"/>
          <w:szCs w:val="22"/>
        </w:rPr>
      </w:pPr>
      <w:r w:rsidRPr="0025431C">
        <w:rPr>
          <w:rFonts w:ascii="Arial" w:hAnsi="Arial" w:cs="Arial"/>
          <w:b/>
          <w:bCs/>
          <w:sz w:val="22"/>
          <w:szCs w:val="22"/>
        </w:rPr>
        <w:t>Investors and Shareholders</w:t>
      </w:r>
      <w:r w:rsidRPr="0025431C">
        <w:rPr>
          <w:rFonts w:ascii="Arial" w:hAnsi="Arial" w:cs="Arial"/>
          <w:sz w:val="22"/>
          <w:szCs w:val="22"/>
        </w:rPr>
        <w:t xml:space="preserve"> are interested in project performance because successful implementation is expected to improve profitability, customer retention, and long-term business growth.</w:t>
      </w:r>
    </w:p>
    <w:p w14:paraId="32FF1323" w14:textId="77777777" w:rsidR="00171971" w:rsidRPr="0025431C" w:rsidRDefault="00171971" w:rsidP="00171971">
      <w:pPr>
        <w:rPr>
          <w:rFonts w:ascii="Arial" w:hAnsi="Arial" w:cs="Arial"/>
          <w:sz w:val="22"/>
          <w:szCs w:val="22"/>
        </w:rPr>
      </w:pPr>
      <w:r w:rsidRPr="0025431C">
        <w:rPr>
          <w:rFonts w:ascii="Arial" w:hAnsi="Arial" w:cs="Arial"/>
          <w:sz w:val="22"/>
          <w:szCs w:val="22"/>
        </w:rPr>
        <w:t>Additional external stakeholders include financial institutions, local communities, media organisations, and industry associations, all of which may influence Tesco's reputation and public perception during the platform rollout.</w:t>
      </w:r>
    </w:p>
    <w:p w14:paraId="7E8DFC54" w14:textId="7E370B84" w:rsidR="00171971" w:rsidRPr="0025431C" w:rsidRDefault="000B0BD1" w:rsidP="00171971">
      <w:pPr>
        <w:rPr>
          <w:rFonts w:ascii="Arial" w:hAnsi="Arial" w:cs="Arial"/>
          <w:b/>
          <w:bCs/>
          <w:sz w:val="22"/>
          <w:szCs w:val="22"/>
        </w:rPr>
      </w:pPr>
      <w:r>
        <w:rPr>
          <w:rFonts w:ascii="Arial" w:hAnsi="Arial" w:cs="Arial"/>
          <w:b/>
          <w:bCs/>
          <w:sz w:val="22"/>
          <w:szCs w:val="22"/>
        </w:rPr>
        <w:t xml:space="preserve">3.3 </w:t>
      </w:r>
      <w:r w:rsidR="00171971" w:rsidRPr="0025431C">
        <w:rPr>
          <w:rFonts w:ascii="Arial" w:hAnsi="Arial" w:cs="Arial"/>
          <w:b/>
          <w:bCs/>
          <w:sz w:val="22"/>
          <w:szCs w:val="22"/>
        </w:rPr>
        <w:t>Application of Mendelow's Interest–Influence Matrix</w:t>
      </w:r>
    </w:p>
    <w:p w14:paraId="281621D2" w14:textId="77777777" w:rsidR="00171971" w:rsidRPr="0025431C" w:rsidRDefault="00171971" w:rsidP="00171971">
      <w:pPr>
        <w:rPr>
          <w:rFonts w:ascii="Arial" w:hAnsi="Arial" w:cs="Arial"/>
          <w:sz w:val="22"/>
          <w:szCs w:val="22"/>
        </w:rPr>
      </w:pPr>
      <w:r w:rsidRPr="0025431C">
        <w:rPr>
          <w:rFonts w:ascii="Arial" w:hAnsi="Arial" w:cs="Arial"/>
          <w:sz w:val="22"/>
          <w:szCs w:val="22"/>
        </w:rPr>
        <w:t>Mendelow's Interest–Influence Matrix provides a practical framework for prioritising stakeholders according to their level of interest in the project and their ability to influence project outcomes.</w:t>
      </w:r>
    </w:p>
    <w:p w14:paraId="741C4024"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high interest and high influence</w:t>
      </w:r>
      <w:r w:rsidRPr="0025431C">
        <w:rPr>
          <w:rFonts w:ascii="Arial" w:hAnsi="Arial" w:cs="Arial"/>
          <w:sz w:val="22"/>
          <w:szCs w:val="22"/>
        </w:rPr>
        <w:t xml:space="preserve"> require close management because they directly affect project success. These include the Executive Board, Project Sponsor, Project Manager, IT Department, Product Development Team, Legal Department, and major technology vendors. Regular meetings, performance reports, and collaborative decision-making are appropriate engagement strategies for these stakeholders.</w:t>
      </w:r>
    </w:p>
    <w:p w14:paraId="7AD59086"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high influence but low interest</w:t>
      </w:r>
      <w:r w:rsidRPr="0025431C">
        <w:rPr>
          <w:rFonts w:ascii="Arial" w:hAnsi="Arial" w:cs="Arial"/>
          <w:sz w:val="22"/>
          <w:szCs w:val="22"/>
        </w:rPr>
        <w:t>, such as investors and government regulators, should be kept satisfied through periodic performance updates and compliance reporting. Although they may not participate in daily project activities, their support remains essential.</w:t>
      </w:r>
    </w:p>
    <w:p w14:paraId="6E1650CC" w14:textId="77777777" w:rsidR="00171971" w:rsidRPr="0025431C" w:rsidRDefault="00171971" w:rsidP="00171971">
      <w:pPr>
        <w:rPr>
          <w:rFonts w:ascii="Arial" w:hAnsi="Arial" w:cs="Arial"/>
          <w:sz w:val="22"/>
          <w:szCs w:val="22"/>
        </w:rPr>
      </w:pPr>
      <w:r w:rsidRPr="0025431C">
        <w:rPr>
          <w:rFonts w:ascii="Arial" w:hAnsi="Arial" w:cs="Arial"/>
          <w:sz w:val="22"/>
          <w:szCs w:val="22"/>
        </w:rPr>
        <w:lastRenderedPageBreak/>
        <w:t xml:space="preserve">Stakeholders with </w:t>
      </w:r>
      <w:r w:rsidRPr="0025431C">
        <w:rPr>
          <w:rFonts w:ascii="Arial" w:hAnsi="Arial" w:cs="Arial"/>
          <w:b/>
          <w:bCs/>
          <w:sz w:val="22"/>
          <w:szCs w:val="22"/>
        </w:rPr>
        <w:t>high interest but lower influence</w:t>
      </w:r>
      <w:r w:rsidRPr="0025431C">
        <w:rPr>
          <w:rFonts w:ascii="Arial" w:hAnsi="Arial" w:cs="Arial"/>
          <w:sz w:val="22"/>
          <w:szCs w:val="22"/>
        </w:rPr>
        <w:t>, including employees, marketing teams, customer service staff, and customers, should be kept informed throughout the project using newsletters, training programmes, surveys, workshops, and digital communication channels. Their feedback contributes significantly to user acceptance and service improvement.</w:t>
      </w:r>
    </w:p>
    <w:p w14:paraId="6926A681" w14:textId="77777777" w:rsidR="00171971" w:rsidRPr="0025431C" w:rsidRDefault="00171971" w:rsidP="00171971">
      <w:pPr>
        <w:rPr>
          <w:rFonts w:ascii="Arial" w:hAnsi="Arial" w:cs="Arial"/>
          <w:sz w:val="22"/>
          <w:szCs w:val="22"/>
        </w:rPr>
      </w:pPr>
      <w:r w:rsidRPr="0025431C">
        <w:rPr>
          <w:rFonts w:ascii="Arial" w:hAnsi="Arial" w:cs="Arial"/>
          <w:sz w:val="22"/>
          <w:szCs w:val="22"/>
        </w:rPr>
        <w:t xml:space="preserve">Stakeholders with </w:t>
      </w:r>
      <w:r w:rsidRPr="0025431C">
        <w:rPr>
          <w:rFonts w:ascii="Arial" w:hAnsi="Arial" w:cs="Arial"/>
          <w:b/>
          <w:bCs/>
          <w:sz w:val="22"/>
          <w:szCs w:val="22"/>
        </w:rPr>
        <w:t>low influence and low interest</w:t>
      </w:r>
      <w:r w:rsidRPr="0025431C">
        <w:rPr>
          <w:rFonts w:ascii="Arial" w:hAnsi="Arial" w:cs="Arial"/>
          <w:sz w:val="22"/>
          <w:szCs w:val="22"/>
        </w:rPr>
        <w:t>, including local communities and the general public, require only periodic monitoring to ensure that emerging concerns are identified before they become significant risks.</w:t>
      </w:r>
    </w:p>
    <w:p w14:paraId="0ACEA192" w14:textId="77777777" w:rsidR="00171971" w:rsidRPr="0025431C" w:rsidRDefault="00171971" w:rsidP="00171971">
      <w:pPr>
        <w:rPr>
          <w:rFonts w:ascii="Arial" w:hAnsi="Arial" w:cs="Arial"/>
          <w:sz w:val="22"/>
          <w:szCs w:val="22"/>
        </w:rPr>
      </w:pPr>
      <w:r w:rsidRPr="0025431C">
        <w:rPr>
          <w:rFonts w:ascii="Arial" w:hAnsi="Arial" w:cs="Arial"/>
          <w:sz w:val="22"/>
          <w:szCs w:val="22"/>
        </w:rPr>
        <w:t>Although Mendelow's Matrix is valuable for stakeholder prioritisation, it assumes stakeholder influence remains relatively stable throughout the project. In practice, stakeholder priorities may change as project risks, regulations, or organisational objectives evolve.</w:t>
      </w:r>
    </w:p>
    <w:p w14:paraId="3419176F" w14:textId="23C63461" w:rsidR="00171971" w:rsidRPr="0025431C" w:rsidRDefault="000B0BD1" w:rsidP="00171971">
      <w:pPr>
        <w:rPr>
          <w:rFonts w:ascii="Arial" w:hAnsi="Arial" w:cs="Arial"/>
          <w:b/>
          <w:bCs/>
          <w:sz w:val="22"/>
          <w:szCs w:val="22"/>
        </w:rPr>
      </w:pPr>
      <w:r>
        <w:rPr>
          <w:rFonts w:ascii="Arial" w:hAnsi="Arial" w:cs="Arial"/>
          <w:b/>
          <w:bCs/>
          <w:sz w:val="22"/>
          <w:szCs w:val="22"/>
        </w:rPr>
        <w:t xml:space="preserve">3.4 </w:t>
      </w:r>
      <w:r w:rsidR="00171971" w:rsidRPr="0025431C">
        <w:rPr>
          <w:rFonts w:ascii="Arial" w:hAnsi="Arial" w:cs="Arial"/>
          <w:b/>
          <w:bCs/>
          <w:sz w:val="22"/>
          <w:szCs w:val="22"/>
        </w:rPr>
        <w:t>Application of the Stakeholder Salience Model</w:t>
      </w:r>
    </w:p>
    <w:p w14:paraId="41A4DC69" w14:textId="77777777" w:rsidR="00171971" w:rsidRPr="0025431C" w:rsidRDefault="00171971" w:rsidP="00171971">
      <w:pPr>
        <w:rPr>
          <w:rFonts w:ascii="Arial" w:hAnsi="Arial" w:cs="Arial"/>
          <w:sz w:val="22"/>
          <w:szCs w:val="22"/>
        </w:rPr>
      </w:pPr>
      <w:r w:rsidRPr="0025431C">
        <w:rPr>
          <w:rFonts w:ascii="Arial" w:hAnsi="Arial" w:cs="Arial"/>
          <w:sz w:val="22"/>
          <w:szCs w:val="22"/>
        </w:rPr>
        <w:t>The Stakeholder Salience Model developed by Ronald K. Mitchell, Bradley R. Agle, and Donna J. Wood (1997) provides a more dynamic approach by evaluating stakeholders according to power, legitimacy, and urgency.</w:t>
      </w:r>
    </w:p>
    <w:p w14:paraId="6CA86EE0" w14:textId="77777777" w:rsidR="00171971" w:rsidRPr="0025431C" w:rsidRDefault="00171971" w:rsidP="00171971">
      <w:pPr>
        <w:rPr>
          <w:rFonts w:ascii="Arial" w:hAnsi="Arial" w:cs="Arial"/>
          <w:sz w:val="22"/>
          <w:szCs w:val="22"/>
        </w:rPr>
      </w:pPr>
      <w:r w:rsidRPr="0025431C">
        <w:rPr>
          <w:rFonts w:ascii="Arial" w:hAnsi="Arial" w:cs="Arial"/>
          <w:sz w:val="22"/>
          <w:szCs w:val="22"/>
        </w:rPr>
        <w:t>The Executive Board and Project Sponsor possess all three attributes, making them definitive stakeholders whose expectations require immediate attention. Customers also possess strong legitimacy and increasing urgency because their adoption determines commercial success. Government regulators become highly salient due to their legal authority and ability to delay implementation if compliance standards are not met. Technology vendors possess operational power because delays in software delivery or cybersecurity failures could significantly disrupt project progress.</w:t>
      </w:r>
    </w:p>
    <w:p w14:paraId="14B27333" w14:textId="77777777" w:rsidR="00171971" w:rsidRPr="0025431C" w:rsidRDefault="00171971" w:rsidP="00171971">
      <w:pPr>
        <w:rPr>
          <w:rFonts w:ascii="Arial" w:hAnsi="Arial" w:cs="Arial"/>
          <w:sz w:val="22"/>
          <w:szCs w:val="22"/>
        </w:rPr>
      </w:pPr>
      <w:r w:rsidRPr="0025431C">
        <w:rPr>
          <w:rFonts w:ascii="Arial" w:hAnsi="Arial" w:cs="Arial"/>
          <w:sz w:val="22"/>
          <w:szCs w:val="22"/>
        </w:rPr>
        <w:t>Compared with Mendelow's Matrix, the Salience Model better reflects changing stakeholder priorities during complex international projects. For example, regulatory agencies may become increasingly influential when new AI governance regulations or data protection requirements are introduced.</w:t>
      </w:r>
    </w:p>
    <w:p w14:paraId="1CFA2DB1" w14:textId="7F794B0F" w:rsidR="00171971" w:rsidRPr="0025431C" w:rsidRDefault="000B0BD1" w:rsidP="00171971">
      <w:pPr>
        <w:rPr>
          <w:rFonts w:ascii="Arial" w:hAnsi="Arial" w:cs="Arial"/>
          <w:b/>
          <w:bCs/>
          <w:sz w:val="22"/>
          <w:szCs w:val="22"/>
        </w:rPr>
      </w:pPr>
      <w:r>
        <w:rPr>
          <w:rFonts w:ascii="Arial" w:hAnsi="Arial" w:cs="Arial"/>
          <w:b/>
          <w:bCs/>
          <w:sz w:val="22"/>
          <w:szCs w:val="22"/>
        </w:rPr>
        <w:t xml:space="preserve">3.5 </w:t>
      </w:r>
      <w:r w:rsidR="00171971" w:rsidRPr="0025431C">
        <w:rPr>
          <w:rFonts w:ascii="Arial" w:hAnsi="Arial" w:cs="Arial"/>
          <w:b/>
          <w:bCs/>
          <w:sz w:val="22"/>
          <w:szCs w:val="22"/>
        </w:rPr>
        <w:t>Critical Evaluation</w:t>
      </w:r>
    </w:p>
    <w:p w14:paraId="44B7A1B0" w14:textId="77777777" w:rsidR="00171971" w:rsidRPr="0025431C" w:rsidRDefault="00171971" w:rsidP="00171971">
      <w:pPr>
        <w:rPr>
          <w:rFonts w:ascii="Arial" w:hAnsi="Arial" w:cs="Arial"/>
          <w:sz w:val="22"/>
          <w:szCs w:val="22"/>
        </w:rPr>
      </w:pPr>
      <w:r w:rsidRPr="0025431C">
        <w:rPr>
          <w:rFonts w:ascii="Arial" w:hAnsi="Arial" w:cs="Arial"/>
          <w:sz w:val="22"/>
          <w:szCs w:val="22"/>
        </w:rPr>
        <w:t>Using both stakeholder frameworks provides a comprehensive understanding of stakeholder management for ConnectPlus. Mendelow's Matrix assists project managers in allocating communication resources efficiently by identifying stakeholder priorities according to interest and influence. However, the Stakeholder Salience Model offers greater flexibility by recognising that stakeholder importance changes throughout the project lifecycle as organisational priorities, market conditions, and regulatory requirements evolve.</w:t>
      </w:r>
    </w:p>
    <w:p w14:paraId="53C2B43A" w14:textId="77777777" w:rsidR="00171971" w:rsidRPr="0025431C" w:rsidRDefault="00171971" w:rsidP="00171971">
      <w:pPr>
        <w:rPr>
          <w:rFonts w:ascii="Arial" w:hAnsi="Arial" w:cs="Arial"/>
          <w:sz w:val="22"/>
          <w:szCs w:val="22"/>
        </w:rPr>
      </w:pPr>
      <w:r w:rsidRPr="0025431C">
        <w:rPr>
          <w:rFonts w:ascii="Arial" w:hAnsi="Arial" w:cs="Arial"/>
          <w:sz w:val="22"/>
          <w:szCs w:val="22"/>
        </w:rPr>
        <w:t>Applying these complementary frameworks enables Tesco to identify critical stakeholders, develop targeted engagement strategies, minimise project risks, and strengthen stakeholder commitment. Consequently, effective stakeholder identification and categorisation establish the foundation for successful stakeholder engagement, improved collaboration, and the successful international implementation of the ConnectPlus platform.</w:t>
      </w:r>
    </w:p>
    <w:p w14:paraId="0BA6233D" w14:textId="77777777" w:rsidR="00B01227" w:rsidRDefault="00B01227" w:rsidP="00E0730F">
      <w:pPr>
        <w:rPr>
          <w:b/>
          <w:bCs/>
        </w:rPr>
      </w:pPr>
    </w:p>
    <w:p w14:paraId="1CA83979" w14:textId="77777777" w:rsidR="00B01227" w:rsidRDefault="00B01227" w:rsidP="00E0730F">
      <w:pPr>
        <w:rPr>
          <w:b/>
          <w:bCs/>
        </w:rPr>
      </w:pPr>
    </w:p>
    <w:p w14:paraId="435A8783" w14:textId="77777777" w:rsidR="00B01227" w:rsidRDefault="00B01227" w:rsidP="00E0730F">
      <w:pPr>
        <w:rPr>
          <w:b/>
          <w:bCs/>
        </w:rPr>
      </w:pPr>
    </w:p>
    <w:p w14:paraId="38B17E38" w14:textId="77777777" w:rsidR="00B01227" w:rsidRDefault="00B01227" w:rsidP="00E0730F">
      <w:pPr>
        <w:rPr>
          <w:b/>
          <w:bCs/>
        </w:rPr>
      </w:pPr>
    </w:p>
    <w:p w14:paraId="292A9EB3" w14:textId="77777777" w:rsidR="00B01227" w:rsidRDefault="00B01227" w:rsidP="00E0730F">
      <w:pPr>
        <w:rPr>
          <w:b/>
          <w:bCs/>
        </w:rPr>
      </w:pPr>
    </w:p>
    <w:p w14:paraId="02D1F326" w14:textId="77777777" w:rsidR="00B01227" w:rsidRDefault="00B01227" w:rsidP="00E0730F">
      <w:pPr>
        <w:rPr>
          <w:b/>
          <w:bCs/>
        </w:rPr>
      </w:pPr>
    </w:p>
    <w:p w14:paraId="1DFFC705" w14:textId="6316F56B" w:rsidR="00171971" w:rsidRPr="00171971" w:rsidRDefault="000B0BD1" w:rsidP="00E0730F">
      <w:r w:rsidRPr="00E0730F">
        <w:rPr>
          <w:b/>
          <w:bCs/>
        </w:rPr>
        <w:t xml:space="preserve">Framework </w:t>
      </w:r>
      <w:r>
        <w:rPr>
          <w:b/>
          <w:bCs/>
        </w:rPr>
        <w:t>1</w:t>
      </w:r>
    </w:p>
    <w:p w14:paraId="5FF6A822" w14:textId="79C1E1C9" w:rsidR="00E0730F" w:rsidRPr="00E0730F" w:rsidRDefault="00E0730F" w:rsidP="00E0730F">
      <w:r w:rsidRPr="00F5347F">
        <w:rPr>
          <w:b/>
          <w:bCs/>
        </w:rPr>
        <w:t>Internal stakeholders</w:t>
      </w:r>
      <w:r w:rsidR="00F5347F">
        <w:tab/>
      </w:r>
      <w:r w:rsidR="00F5347F">
        <w:tab/>
      </w:r>
      <w:r w:rsidR="00F5347F">
        <w:tab/>
      </w:r>
      <w:r w:rsidR="00F5347F" w:rsidRPr="00F5347F">
        <w:rPr>
          <w:b/>
          <w:bCs/>
        </w:rPr>
        <w:t>External stakeholders</w:t>
      </w:r>
    </w:p>
    <w:tbl>
      <w:tblPr>
        <w:tblStyle w:val="GridTable2-Accent5"/>
        <w:tblW w:w="0" w:type="auto"/>
        <w:tblLook w:val="04A0" w:firstRow="1" w:lastRow="0" w:firstColumn="1" w:lastColumn="0" w:noHBand="0" w:noVBand="1"/>
      </w:tblPr>
      <w:tblGrid>
        <w:gridCol w:w="2066"/>
        <w:gridCol w:w="1069"/>
        <w:gridCol w:w="1255"/>
        <w:gridCol w:w="2312"/>
        <w:gridCol w:w="1069"/>
        <w:gridCol w:w="1255"/>
      </w:tblGrid>
      <w:tr w:rsidR="00F5347F" w:rsidRPr="00E0730F" w14:paraId="2EF29B39" w14:textId="52A78075" w:rsidTr="00F534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9CFBEB" w14:textId="77777777" w:rsidR="00F5347F" w:rsidRPr="00E0730F" w:rsidRDefault="00F5347F" w:rsidP="00F5347F">
            <w:pPr>
              <w:rPr>
                <w:b w:val="0"/>
                <w:bCs w:val="0"/>
              </w:rPr>
            </w:pPr>
            <w:r w:rsidRPr="00E0730F">
              <w:t>Stakeholder</w:t>
            </w:r>
          </w:p>
        </w:tc>
        <w:tc>
          <w:tcPr>
            <w:tcW w:w="0" w:type="auto"/>
            <w:hideMark/>
          </w:tcPr>
          <w:p w14:paraId="6579187F" w14:textId="77777777"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rPr>
                <w:b w:val="0"/>
                <w:bCs w:val="0"/>
              </w:rPr>
            </w:pPr>
            <w:r w:rsidRPr="00E0730F">
              <w:t>Interest</w:t>
            </w:r>
          </w:p>
        </w:tc>
        <w:tc>
          <w:tcPr>
            <w:tcW w:w="0" w:type="auto"/>
            <w:hideMark/>
          </w:tcPr>
          <w:p w14:paraId="71ADADD4" w14:textId="77777777"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rPr>
                <w:b w:val="0"/>
                <w:bCs w:val="0"/>
              </w:rPr>
            </w:pPr>
            <w:r w:rsidRPr="00E0730F">
              <w:t>Influence</w:t>
            </w:r>
          </w:p>
        </w:tc>
        <w:tc>
          <w:tcPr>
            <w:tcW w:w="0" w:type="auto"/>
          </w:tcPr>
          <w:p w14:paraId="7EF7DC92" w14:textId="2A702794"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Stakeholder</w:t>
            </w:r>
          </w:p>
        </w:tc>
        <w:tc>
          <w:tcPr>
            <w:tcW w:w="0" w:type="auto"/>
          </w:tcPr>
          <w:p w14:paraId="05D5C59A" w14:textId="2BAB2305"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Interest</w:t>
            </w:r>
          </w:p>
        </w:tc>
        <w:tc>
          <w:tcPr>
            <w:tcW w:w="0" w:type="auto"/>
          </w:tcPr>
          <w:p w14:paraId="750A6275" w14:textId="5F6B50E1" w:rsidR="00F5347F" w:rsidRPr="00E0730F" w:rsidRDefault="00F5347F" w:rsidP="00F5347F">
            <w:pPr>
              <w:cnfStyle w:val="100000000000" w:firstRow="1" w:lastRow="0" w:firstColumn="0" w:lastColumn="0" w:oddVBand="0" w:evenVBand="0" w:oddHBand="0" w:evenHBand="0" w:firstRowFirstColumn="0" w:firstRowLastColumn="0" w:lastRowFirstColumn="0" w:lastRowLastColumn="0"/>
            </w:pPr>
            <w:r w:rsidRPr="00E0730F">
              <w:t>Influence</w:t>
            </w:r>
          </w:p>
        </w:tc>
      </w:tr>
      <w:tr w:rsidR="00F5347F" w:rsidRPr="00E0730F" w14:paraId="2F3AABDC" w14:textId="330AAE51"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39A144" w14:textId="77777777" w:rsidR="00F5347F" w:rsidRPr="00E0730F" w:rsidRDefault="00F5347F" w:rsidP="00F5347F">
            <w:r w:rsidRPr="00E0730F">
              <w:t>Executive Board</w:t>
            </w:r>
          </w:p>
        </w:tc>
        <w:tc>
          <w:tcPr>
            <w:tcW w:w="0" w:type="auto"/>
            <w:hideMark/>
          </w:tcPr>
          <w:p w14:paraId="39EC7316"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3F07F479"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3BCE2674" w14:textId="5653C967"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Customers</w:t>
            </w:r>
          </w:p>
        </w:tc>
        <w:tc>
          <w:tcPr>
            <w:tcW w:w="0" w:type="auto"/>
          </w:tcPr>
          <w:p w14:paraId="6EA5FF7D" w14:textId="676268EE"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714745F5" w14:textId="45605D9C"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70290A64" w14:textId="1CF3F9C6" w:rsidTr="00F5347F">
        <w:tc>
          <w:tcPr>
            <w:cnfStyle w:val="001000000000" w:firstRow="0" w:lastRow="0" w:firstColumn="1" w:lastColumn="0" w:oddVBand="0" w:evenVBand="0" w:oddHBand="0" w:evenHBand="0" w:firstRowFirstColumn="0" w:firstRowLastColumn="0" w:lastRowFirstColumn="0" w:lastRowLastColumn="0"/>
            <w:tcW w:w="0" w:type="auto"/>
            <w:hideMark/>
          </w:tcPr>
          <w:p w14:paraId="78DFF1F5" w14:textId="77777777" w:rsidR="00F5347F" w:rsidRPr="00E0730F" w:rsidRDefault="00F5347F" w:rsidP="00F5347F">
            <w:r w:rsidRPr="00E0730F">
              <w:t>Project Manager</w:t>
            </w:r>
          </w:p>
        </w:tc>
        <w:tc>
          <w:tcPr>
            <w:tcW w:w="0" w:type="auto"/>
            <w:hideMark/>
          </w:tcPr>
          <w:p w14:paraId="4252387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674C2B6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56C1DB13" w14:textId="0D2783AE"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Suppliers</w:t>
            </w:r>
          </w:p>
        </w:tc>
        <w:tc>
          <w:tcPr>
            <w:tcW w:w="0" w:type="auto"/>
          </w:tcPr>
          <w:p w14:paraId="65FE3FF1" w14:textId="3FF36F72"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65E7EACC" w14:textId="79073BF5"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r>
      <w:tr w:rsidR="00F5347F" w:rsidRPr="00E0730F" w14:paraId="2C2BB8D2" w14:textId="25941427"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09C94" w14:textId="77777777" w:rsidR="00F5347F" w:rsidRPr="00E0730F" w:rsidRDefault="00F5347F" w:rsidP="00F5347F">
            <w:r w:rsidRPr="00E0730F">
              <w:t>IT Department</w:t>
            </w:r>
          </w:p>
        </w:tc>
        <w:tc>
          <w:tcPr>
            <w:tcW w:w="0" w:type="auto"/>
            <w:hideMark/>
          </w:tcPr>
          <w:p w14:paraId="6E03DC83"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252F8C72"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3CD5D03E" w14:textId="0BF4B386"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Technology Vendors</w:t>
            </w:r>
          </w:p>
        </w:tc>
        <w:tc>
          <w:tcPr>
            <w:tcW w:w="0" w:type="auto"/>
          </w:tcPr>
          <w:p w14:paraId="71A2BD93" w14:textId="4597D23A"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0B4FB58E" w14:textId="6C68DDE6"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r>
      <w:tr w:rsidR="00F5347F" w:rsidRPr="00E0730F" w14:paraId="10ED70FF" w14:textId="0E15B0CD" w:rsidTr="00F5347F">
        <w:tc>
          <w:tcPr>
            <w:cnfStyle w:val="001000000000" w:firstRow="0" w:lastRow="0" w:firstColumn="1" w:lastColumn="0" w:oddVBand="0" w:evenVBand="0" w:oddHBand="0" w:evenHBand="0" w:firstRowFirstColumn="0" w:firstRowLastColumn="0" w:lastRowFirstColumn="0" w:lastRowLastColumn="0"/>
            <w:tcW w:w="0" w:type="auto"/>
            <w:hideMark/>
          </w:tcPr>
          <w:p w14:paraId="245E2E1A" w14:textId="77777777" w:rsidR="00F5347F" w:rsidRPr="00E0730F" w:rsidRDefault="00F5347F" w:rsidP="00F5347F">
            <w:r w:rsidRPr="00E0730F">
              <w:t>Product Development</w:t>
            </w:r>
          </w:p>
        </w:tc>
        <w:tc>
          <w:tcPr>
            <w:tcW w:w="0" w:type="auto"/>
            <w:hideMark/>
          </w:tcPr>
          <w:p w14:paraId="4C1B5ECE"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5110E9FD"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712C5FD8" w14:textId="0CAFE9A3"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Investors</w:t>
            </w:r>
          </w:p>
        </w:tc>
        <w:tc>
          <w:tcPr>
            <w:tcW w:w="0" w:type="auto"/>
          </w:tcPr>
          <w:p w14:paraId="4E65C439" w14:textId="53A2B80E"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3125A822" w14:textId="247BC083"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r w:rsidR="00F5347F" w:rsidRPr="00E0730F" w14:paraId="4868ABAD" w14:textId="3A9529BF"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149133" w14:textId="77777777" w:rsidR="00F5347F" w:rsidRPr="00E0730F" w:rsidRDefault="00F5347F" w:rsidP="00F5347F">
            <w:r w:rsidRPr="00E0730F">
              <w:t>Marketing</w:t>
            </w:r>
          </w:p>
        </w:tc>
        <w:tc>
          <w:tcPr>
            <w:tcW w:w="0" w:type="auto"/>
            <w:hideMark/>
          </w:tcPr>
          <w:p w14:paraId="30130B99"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65B0BDA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076F5B28" w14:textId="578C8A6B"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Regulators</w:t>
            </w:r>
          </w:p>
        </w:tc>
        <w:tc>
          <w:tcPr>
            <w:tcW w:w="0" w:type="auto"/>
          </w:tcPr>
          <w:p w14:paraId="5608CE0B" w14:textId="45A713EC"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tcPr>
          <w:p w14:paraId="2AD564E6" w14:textId="35B41189"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3CC2600A" w14:textId="58119593" w:rsidTr="00F5347F">
        <w:tc>
          <w:tcPr>
            <w:cnfStyle w:val="001000000000" w:firstRow="0" w:lastRow="0" w:firstColumn="1" w:lastColumn="0" w:oddVBand="0" w:evenVBand="0" w:oddHBand="0" w:evenHBand="0" w:firstRowFirstColumn="0" w:firstRowLastColumn="0" w:lastRowFirstColumn="0" w:lastRowLastColumn="0"/>
            <w:tcW w:w="0" w:type="auto"/>
            <w:hideMark/>
          </w:tcPr>
          <w:p w14:paraId="728ED6EC" w14:textId="77777777" w:rsidR="00F5347F" w:rsidRPr="00E0730F" w:rsidRDefault="00F5347F" w:rsidP="00F5347F">
            <w:r w:rsidRPr="00E0730F">
              <w:t>Sales</w:t>
            </w:r>
          </w:p>
        </w:tc>
        <w:tc>
          <w:tcPr>
            <w:tcW w:w="0" w:type="auto"/>
            <w:hideMark/>
          </w:tcPr>
          <w:p w14:paraId="6CD81C16"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39BA57AD"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35A41C51" w14:textId="40F8BD73"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Data Protection Authorities</w:t>
            </w:r>
          </w:p>
        </w:tc>
        <w:tc>
          <w:tcPr>
            <w:tcW w:w="0" w:type="auto"/>
          </w:tcPr>
          <w:p w14:paraId="73DF2930" w14:textId="2188B999"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tcPr>
          <w:p w14:paraId="533C0781" w14:textId="1544EDBD"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r w:rsidR="00F5347F" w:rsidRPr="00E0730F" w14:paraId="6C815D44" w14:textId="10612642" w:rsidTr="00F5347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EB3175" w14:textId="77777777" w:rsidR="00F5347F" w:rsidRPr="00E0730F" w:rsidRDefault="00F5347F" w:rsidP="00F5347F">
            <w:r w:rsidRPr="00E0730F">
              <w:t>Customer Service</w:t>
            </w:r>
          </w:p>
        </w:tc>
        <w:tc>
          <w:tcPr>
            <w:tcW w:w="0" w:type="auto"/>
            <w:hideMark/>
          </w:tcPr>
          <w:p w14:paraId="64D5167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c>
          <w:tcPr>
            <w:tcW w:w="0" w:type="auto"/>
            <w:hideMark/>
          </w:tcPr>
          <w:p w14:paraId="5DCBBF93"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7A056719" w14:textId="46B5BB54" w:rsidR="00F5347F" w:rsidRPr="00F5347F" w:rsidRDefault="00F5347F" w:rsidP="00F5347F">
            <w:pPr>
              <w:cnfStyle w:val="000000100000" w:firstRow="0" w:lastRow="0" w:firstColumn="0" w:lastColumn="0" w:oddVBand="0" w:evenVBand="0" w:oddHBand="1" w:evenHBand="0" w:firstRowFirstColumn="0" w:firstRowLastColumn="0" w:lastRowFirstColumn="0" w:lastRowLastColumn="0"/>
              <w:rPr>
                <w:b/>
                <w:bCs/>
              </w:rPr>
            </w:pPr>
            <w:r w:rsidRPr="00F5347F">
              <w:rPr>
                <w:b/>
                <w:bCs/>
              </w:rPr>
              <w:t>Local Communities</w:t>
            </w:r>
          </w:p>
        </w:tc>
        <w:tc>
          <w:tcPr>
            <w:tcW w:w="0" w:type="auto"/>
          </w:tcPr>
          <w:p w14:paraId="3C5121F8" w14:textId="44E05085"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tcPr>
          <w:p w14:paraId="0F90F28D" w14:textId="6C7DD156"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Low</w:t>
            </w:r>
          </w:p>
        </w:tc>
      </w:tr>
      <w:tr w:rsidR="00F5347F" w:rsidRPr="00E0730F" w14:paraId="54EAF4B5" w14:textId="31D4B3F9" w:rsidTr="00F5347F">
        <w:tc>
          <w:tcPr>
            <w:cnfStyle w:val="001000000000" w:firstRow="0" w:lastRow="0" w:firstColumn="1" w:lastColumn="0" w:oddVBand="0" w:evenVBand="0" w:oddHBand="0" w:evenHBand="0" w:firstRowFirstColumn="0" w:firstRowLastColumn="0" w:lastRowFirstColumn="0" w:lastRowLastColumn="0"/>
            <w:tcW w:w="0" w:type="auto"/>
            <w:hideMark/>
          </w:tcPr>
          <w:p w14:paraId="39E3E500" w14:textId="77777777" w:rsidR="00F5347F" w:rsidRPr="00E0730F" w:rsidRDefault="00F5347F" w:rsidP="00F5347F">
            <w:r w:rsidRPr="00E0730F">
              <w:t>HR</w:t>
            </w:r>
          </w:p>
        </w:tc>
        <w:tc>
          <w:tcPr>
            <w:tcW w:w="0" w:type="auto"/>
            <w:hideMark/>
          </w:tcPr>
          <w:p w14:paraId="76D50F08"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hideMark/>
          </w:tcPr>
          <w:p w14:paraId="66AEA488"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4809284E" w14:textId="12BCF9C1" w:rsidR="00F5347F" w:rsidRPr="00F5347F" w:rsidRDefault="00F5347F" w:rsidP="00F5347F">
            <w:pPr>
              <w:cnfStyle w:val="000000000000" w:firstRow="0" w:lastRow="0" w:firstColumn="0" w:lastColumn="0" w:oddVBand="0" w:evenVBand="0" w:oddHBand="0" w:evenHBand="0" w:firstRowFirstColumn="0" w:firstRowLastColumn="0" w:lastRowFirstColumn="0" w:lastRowLastColumn="0"/>
              <w:rPr>
                <w:b/>
                <w:bCs/>
              </w:rPr>
            </w:pPr>
            <w:r w:rsidRPr="00F5347F">
              <w:rPr>
                <w:b/>
                <w:bCs/>
              </w:rPr>
              <w:t>Media</w:t>
            </w:r>
          </w:p>
        </w:tc>
        <w:tc>
          <w:tcPr>
            <w:tcW w:w="0" w:type="auto"/>
          </w:tcPr>
          <w:p w14:paraId="225C11CD" w14:textId="76C62D76"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c>
          <w:tcPr>
            <w:tcW w:w="0" w:type="auto"/>
          </w:tcPr>
          <w:p w14:paraId="4123BAAB" w14:textId="2BCB0B98"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Medium</w:t>
            </w:r>
          </w:p>
        </w:tc>
      </w:tr>
      <w:tr w:rsidR="00F5347F" w:rsidRPr="00E0730F" w14:paraId="4EEE7EA1" w14:textId="77777777" w:rsidTr="00F5347F">
        <w:trPr>
          <w:gridAfter w:val="3"/>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BAB4E5" w14:textId="77777777" w:rsidR="00F5347F" w:rsidRPr="00E0730F" w:rsidRDefault="00F5347F" w:rsidP="00F5347F">
            <w:r w:rsidRPr="00E0730F">
              <w:t>Finance</w:t>
            </w:r>
          </w:p>
        </w:tc>
        <w:tc>
          <w:tcPr>
            <w:tcW w:w="0" w:type="auto"/>
            <w:hideMark/>
          </w:tcPr>
          <w:p w14:paraId="19BA99AC"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Medium</w:t>
            </w:r>
          </w:p>
        </w:tc>
        <w:tc>
          <w:tcPr>
            <w:tcW w:w="0" w:type="auto"/>
            <w:hideMark/>
          </w:tcPr>
          <w:p w14:paraId="26A62537" w14:textId="77777777" w:rsidR="00F5347F" w:rsidRPr="00E0730F" w:rsidRDefault="00F5347F" w:rsidP="00F5347F">
            <w:pPr>
              <w:cnfStyle w:val="000000100000" w:firstRow="0" w:lastRow="0" w:firstColumn="0" w:lastColumn="0" w:oddVBand="0" w:evenVBand="0" w:oddHBand="1" w:evenHBand="0" w:firstRowFirstColumn="0" w:firstRowLastColumn="0" w:lastRowFirstColumn="0" w:lastRowLastColumn="0"/>
            </w:pPr>
            <w:r w:rsidRPr="00E0730F">
              <w:t>High</w:t>
            </w:r>
          </w:p>
        </w:tc>
      </w:tr>
      <w:tr w:rsidR="00F5347F" w:rsidRPr="00E0730F" w14:paraId="37EC15F6" w14:textId="77777777" w:rsidTr="00F5347F">
        <w:trPr>
          <w:gridAfter w:val="3"/>
        </w:trPr>
        <w:tc>
          <w:tcPr>
            <w:cnfStyle w:val="001000000000" w:firstRow="0" w:lastRow="0" w:firstColumn="1" w:lastColumn="0" w:oddVBand="0" w:evenVBand="0" w:oddHBand="0" w:evenHBand="0" w:firstRowFirstColumn="0" w:firstRowLastColumn="0" w:lastRowFirstColumn="0" w:lastRowLastColumn="0"/>
            <w:tcW w:w="0" w:type="auto"/>
            <w:hideMark/>
          </w:tcPr>
          <w:p w14:paraId="2E7CC38D" w14:textId="77777777" w:rsidR="00F5347F" w:rsidRPr="00E0730F" w:rsidRDefault="00F5347F" w:rsidP="00F5347F">
            <w:r w:rsidRPr="00E0730F">
              <w:t>Legal &amp; Compliance</w:t>
            </w:r>
          </w:p>
        </w:tc>
        <w:tc>
          <w:tcPr>
            <w:tcW w:w="0" w:type="auto"/>
            <w:hideMark/>
          </w:tcPr>
          <w:p w14:paraId="0366C2A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c>
          <w:tcPr>
            <w:tcW w:w="0" w:type="auto"/>
            <w:hideMark/>
          </w:tcPr>
          <w:p w14:paraId="18455C21" w14:textId="77777777" w:rsidR="00F5347F" w:rsidRPr="00E0730F" w:rsidRDefault="00F5347F" w:rsidP="00F5347F">
            <w:pPr>
              <w:cnfStyle w:val="000000000000" w:firstRow="0" w:lastRow="0" w:firstColumn="0" w:lastColumn="0" w:oddVBand="0" w:evenVBand="0" w:oddHBand="0" w:evenHBand="0" w:firstRowFirstColumn="0" w:firstRowLastColumn="0" w:lastRowFirstColumn="0" w:lastRowLastColumn="0"/>
            </w:pPr>
            <w:r w:rsidRPr="00E0730F">
              <w:t>High</w:t>
            </w:r>
          </w:p>
        </w:tc>
      </w:tr>
    </w:tbl>
    <w:p w14:paraId="77134C24" w14:textId="77777777" w:rsidR="00E0730F" w:rsidRPr="00E0730F" w:rsidRDefault="00000000" w:rsidP="00E0730F">
      <w:r>
        <w:pict w14:anchorId="651D1BF3">
          <v:rect id="_x0000_i1029" style="width:0;height:1.5pt" o:hralign="center" o:hrstd="t" o:hr="t" fillcolor="#a0a0a0" stroked="f"/>
        </w:pict>
      </w:r>
    </w:p>
    <w:p w14:paraId="2F6A6C6B" w14:textId="77777777" w:rsidR="00CE1F20" w:rsidRPr="00E0730F" w:rsidRDefault="00CE1F20" w:rsidP="00CE1F20">
      <w:r w:rsidRPr="00E0730F">
        <w:rPr>
          <w:b/>
          <w:bCs/>
        </w:rPr>
        <w:t>Framework 2</w:t>
      </w:r>
      <w:r>
        <w:rPr>
          <w:b/>
          <w:bCs/>
        </w:rPr>
        <w:t xml:space="preserve"> </w:t>
      </w:r>
      <w:r>
        <w:rPr>
          <w:b/>
          <w:bCs/>
        </w:rPr>
        <w:br/>
      </w:r>
      <w:r w:rsidRPr="00E0730F">
        <w:t>Interest-Influence Matrix (Mendelow)</w:t>
      </w:r>
    </w:p>
    <w:p w14:paraId="327AE02D" w14:textId="6F5F523A" w:rsidR="00545867" w:rsidRDefault="00CE1F20" w:rsidP="00E0730F">
      <w:r>
        <w:rPr>
          <w:noProof/>
        </w:rPr>
        <mc:AlternateContent>
          <mc:Choice Requires="wps">
            <w:drawing>
              <wp:anchor distT="0" distB="0" distL="114300" distR="114300" simplePos="0" relativeHeight="251659264" behindDoc="0" locked="0" layoutInCell="1" allowOverlap="1" wp14:anchorId="0C020C47" wp14:editId="36E26D7D">
                <wp:simplePos x="0" y="0"/>
                <wp:positionH relativeFrom="margin">
                  <wp:align>left</wp:align>
                </wp:positionH>
                <wp:positionV relativeFrom="paragraph">
                  <wp:posOffset>15946</wp:posOffset>
                </wp:positionV>
                <wp:extent cx="2483555" cy="1817511"/>
                <wp:effectExtent l="0" t="0" r="12065" b="11430"/>
                <wp:wrapNone/>
                <wp:docPr id="1198115242" name="Text Box 1"/>
                <wp:cNvGraphicFramePr/>
                <a:graphic xmlns:a="http://schemas.openxmlformats.org/drawingml/2006/main">
                  <a:graphicData uri="http://schemas.microsoft.com/office/word/2010/wordprocessingShape">
                    <wps:wsp>
                      <wps:cNvSpPr txBox="1"/>
                      <wps:spPr>
                        <a:xfrm>
                          <a:off x="0" y="0"/>
                          <a:ext cx="2483555" cy="1817511"/>
                        </a:xfrm>
                        <a:prstGeom prst="rect">
                          <a:avLst/>
                        </a:prstGeom>
                        <a:solidFill>
                          <a:schemeClr val="lt1"/>
                        </a:solidFill>
                        <a:ln w="6350">
                          <a:solidFill>
                            <a:prstClr val="black"/>
                          </a:solidFill>
                        </a:ln>
                      </wps:spPr>
                      <wps:txbx>
                        <w:txbxContent>
                          <w:p w14:paraId="4BF15A7F" w14:textId="77777777" w:rsidR="00640949" w:rsidRPr="00640949" w:rsidRDefault="00640949" w:rsidP="00640949">
                            <w:pPr>
                              <w:spacing w:line="240" w:lineRule="auto"/>
                              <w:rPr>
                                <w:rFonts w:ascii="Arial" w:hAnsi="Arial" w:cs="Arial"/>
                                <w:b/>
                                <w:bCs/>
                                <w:sz w:val="22"/>
                                <w:szCs w:val="22"/>
                              </w:rPr>
                            </w:pPr>
                            <w:r w:rsidRPr="00640949">
                              <w:rPr>
                                <w:rFonts w:ascii="Arial" w:hAnsi="Arial" w:cs="Arial"/>
                                <w:b/>
                                <w:bCs/>
                                <w:sz w:val="22"/>
                                <w:szCs w:val="22"/>
                              </w:rPr>
                              <w:t>High Influence / High Interest</w:t>
                            </w:r>
                          </w:p>
                          <w:p w14:paraId="05299747"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CEO </w:t>
                            </w:r>
                          </w:p>
                          <w:p w14:paraId="279D29CE"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Executive Board </w:t>
                            </w:r>
                          </w:p>
                          <w:p w14:paraId="5359815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Project Sponsor </w:t>
                            </w:r>
                          </w:p>
                          <w:p w14:paraId="2BC43868"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IT Director </w:t>
                            </w:r>
                          </w:p>
                          <w:p w14:paraId="21B4B80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Legal </w:t>
                            </w:r>
                          </w:p>
                          <w:p w14:paraId="2D050B56" w14:textId="77777777" w:rsidR="00640949" w:rsidRPr="00E0730F" w:rsidRDefault="00640949" w:rsidP="00640949">
                            <w:pPr>
                              <w:spacing w:line="240" w:lineRule="auto"/>
                            </w:pPr>
                            <w:r w:rsidRPr="00640949">
                              <w:rPr>
                                <w:rFonts w:ascii="Arial" w:hAnsi="Arial" w:cs="Arial"/>
                                <w:sz w:val="22"/>
                                <w:szCs w:val="22"/>
                              </w:rPr>
                              <w:t>Manage Closely</w:t>
                            </w:r>
                          </w:p>
                          <w:p w14:paraId="579D9B0B" w14:textId="77777777" w:rsidR="00640949" w:rsidRDefault="006409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20C47" id="_x0000_t202" coordsize="21600,21600" o:spt="202" path="m,l,21600r21600,l21600,xe">
                <v:stroke joinstyle="miter"/>
                <v:path gradientshapeok="t" o:connecttype="rect"/>
              </v:shapetype>
              <v:shape id="Text Box 1" o:spid="_x0000_s1026" type="#_x0000_t202" style="position:absolute;margin-left:0;margin-top:1.25pt;width:195.55pt;height:143.1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swOQIAAH0EAAAOAAAAZHJzL2Uyb0RvYy54bWysVE1v2zAMvQ/YfxB0XxyncZsZcYosRYYB&#10;QVsgHXpWZCk2JouapMTOfv0oxflot9Owi0yK1CP5SHp63zWK7IV1NeiCpoMhJUJzKGu9Lej3l+Wn&#10;CSXOM10yBVoU9CAcvZ99/DBtTS5GUIEqhSUIol3emoJW3ps8SRyvRMPcAIzQaJRgG+ZRtduktKxF&#10;9EYlo+HwNmnBlsYCF87h7cPRSGcRX0rB/ZOUTniiCoq5+XjaeG7CmcymLN9aZqqa92mwf8iiYbXG&#10;oGeoB+YZ2dn6D6im5hYcSD/g0CQgZc1FrAGrSYfvqllXzIhYC5LjzJkm9/9g+eN+bZ4t8d0X6LCB&#10;gZDWuNzhZaink7YJX8yUoB0pPJxpE50nHC9H48lNlmWUcLSlk/QuSyNOcnlurPNfBTQkCAW12JdI&#10;F9uvnMeQ6HpyCdEcqLpc1kpFJcyCWChL9gy7qPwJ/I2X0qQt6O1NNozAb2wB+vx+oxj/EcrEmFde&#10;qCmNl5fig+S7TdczsoHygERZOM6QM3xZI+6KOf/MLA4NcoOL4J/wkAowGeglSiqwv/52H/yxl2il&#10;pMUhLKj7uWNWUKK+aezy53Q8DlMblXF2N0LFXls21xa9axaADKW4coZHMfh7dRKlheYV92UeoqKJ&#10;aY6xC+pP4sIfVwP3jYv5PDrhnBrmV3pteIAOHQl8vnSvzJq+nx5H4RFO48ryd209+oaXGuY7D7KO&#10;PQ8EH1nteccZj23p9zEs0bUevS5/jdlvAAAA//8DAFBLAwQUAAYACAAAACEA1aWKLdkAAAAGAQAA&#10;DwAAAGRycy9kb3ducmV2LnhtbEyPMU/DMBSEdyT+g/WQ2KiTIsBN41SACgsTBXV241fbIn6ObDcN&#10;/x4zwXi609137Wb2A5swJhdIQr2ogCH1QTsyEj4/Xm4EsJQVaTUEQgnfmGDTXV60qtHhTO847bJh&#10;pYRSoyTYnMeG89Rb9CotwohUvGOIXuUio+E6qnMp9wNfVtU998pRWbBqxGeL/dfu5CVsn8zK9EJF&#10;uxXauWneH9/Mq5TXV/PjGljGOf+F4Re/oENXmA7hRDqxQUI5kiUs74AV83ZV18AORQvxALxr+X/8&#10;7gcAAP//AwBQSwECLQAUAAYACAAAACEAtoM4kv4AAADhAQAAEwAAAAAAAAAAAAAAAAAAAAAAW0Nv&#10;bnRlbnRfVHlwZXNdLnhtbFBLAQItABQABgAIAAAAIQA4/SH/1gAAAJQBAAALAAAAAAAAAAAAAAAA&#10;AC8BAABfcmVscy8ucmVsc1BLAQItABQABgAIAAAAIQBBM7swOQIAAH0EAAAOAAAAAAAAAAAAAAAA&#10;AC4CAABkcnMvZTJvRG9jLnhtbFBLAQItABQABgAIAAAAIQDVpYot2QAAAAYBAAAPAAAAAAAAAAAA&#10;AAAAAJMEAABkcnMvZG93bnJldi54bWxQSwUGAAAAAAQABADzAAAAmQUAAAAA&#10;" fillcolor="white [3201]" strokeweight=".5pt">
                <v:textbox>
                  <w:txbxContent>
                    <w:p w14:paraId="4BF15A7F" w14:textId="77777777" w:rsidR="00640949" w:rsidRPr="00640949" w:rsidRDefault="00640949" w:rsidP="00640949">
                      <w:pPr>
                        <w:spacing w:line="240" w:lineRule="auto"/>
                        <w:rPr>
                          <w:rFonts w:ascii="Arial" w:hAnsi="Arial" w:cs="Arial"/>
                          <w:b/>
                          <w:bCs/>
                          <w:sz w:val="22"/>
                          <w:szCs w:val="22"/>
                        </w:rPr>
                      </w:pPr>
                      <w:r w:rsidRPr="00640949">
                        <w:rPr>
                          <w:rFonts w:ascii="Arial" w:hAnsi="Arial" w:cs="Arial"/>
                          <w:b/>
                          <w:bCs/>
                          <w:sz w:val="22"/>
                          <w:szCs w:val="22"/>
                        </w:rPr>
                        <w:t>High Influence / High Interest</w:t>
                      </w:r>
                    </w:p>
                    <w:p w14:paraId="05299747"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CEO </w:t>
                      </w:r>
                    </w:p>
                    <w:p w14:paraId="279D29CE"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Executive Board </w:t>
                      </w:r>
                    </w:p>
                    <w:p w14:paraId="5359815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Project Sponsor </w:t>
                      </w:r>
                    </w:p>
                    <w:p w14:paraId="2BC43868"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IT Director </w:t>
                      </w:r>
                    </w:p>
                    <w:p w14:paraId="21B4B80A" w14:textId="77777777" w:rsidR="00640949" w:rsidRPr="00640949" w:rsidRDefault="00640949" w:rsidP="00640949">
                      <w:pPr>
                        <w:numPr>
                          <w:ilvl w:val="0"/>
                          <w:numId w:val="5"/>
                        </w:numPr>
                        <w:spacing w:line="240" w:lineRule="auto"/>
                        <w:rPr>
                          <w:rFonts w:ascii="Arial" w:hAnsi="Arial" w:cs="Arial"/>
                          <w:sz w:val="22"/>
                          <w:szCs w:val="22"/>
                        </w:rPr>
                      </w:pPr>
                      <w:r w:rsidRPr="00640949">
                        <w:rPr>
                          <w:rFonts w:ascii="Arial" w:hAnsi="Arial" w:cs="Arial"/>
                          <w:sz w:val="22"/>
                          <w:szCs w:val="22"/>
                        </w:rPr>
                        <w:t xml:space="preserve">Legal </w:t>
                      </w:r>
                    </w:p>
                    <w:p w14:paraId="2D050B56" w14:textId="77777777" w:rsidR="00640949" w:rsidRPr="00E0730F" w:rsidRDefault="00640949" w:rsidP="00640949">
                      <w:pPr>
                        <w:spacing w:line="240" w:lineRule="auto"/>
                      </w:pPr>
                      <w:r w:rsidRPr="00640949">
                        <w:rPr>
                          <w:rFonts w:ascii="Arial" w:hAnsi="Arial" w:cs="Arial"/>
                          <w:sz w:val="22"/>
                          <w:szCs w:val="22"/>
                        </w:rPr>
                        <w:t>Manage Closely</w:t>
                      </w:r>
                    </w:p>
                    <w:p w14:paraId="579D9B0B" w14:textId="77777777" w:rsidR="00640949" w:rsidRDefault="00640949"/>
                  </w:txbxContent>
                </v:textbox>
                <w10:wrap anchorx="margin"/>
              </v:shape>
            </w:pict>
          </mc:Fallback>
        </mc:AlternateContent>
      </w:r>
      <w:r w:rsidR="00640949">
        <w:rPr>
          <w:noProof/>
        </w:rPr>
        <mc:AlternateContent>
          <mc:Choice Requires="wps">
            <w:drawing>
              <wp:anchor distT="0" distB="0" distL="114300" distR="114300" simplePos="0" relativeHeight="251660288" behindDoc="0" locked="0" layoutInCell="1" allowOverlap="1" wp14:anchorId="3A53CA02" wp14:editId="45730D31">
                <wp:simplePos x="0" y="0"/>
                <wp:positionH relativeFrom="column">
                  <wp:posOffset>2856089</wp:posOffset>
                </wp:positionH>
                <wp:positionV relativeFrom="paragraph">
                  <wp:posOffset>71967</wp:posOffset>
                </wp:positionV>
                <wp:extent cx="2929467" cy="1512711"/>
                <wp:effectExtent l="0" t="0" r="23495" b="11430"/>
                <wp:wrapNone/>
                <wp:docPr id="1092126720" name="Text Box 2"/>
                <wp:cNvGraphicFramePr/>
                <a:graphic xmlns:a="http://schemas.openxmlformats.org/drawingml/2006/main">
                  <a:graphicData uri="http://schemas.microsoft.com/office/word/2010/wordprocessingShape">
                    <wps:wsp>
                      <wps:cNvSpPr txBox="1"/>
                      <wps:spPr>
                        <a:xfrm>
                          <a:off x="0" y="0"/>
                          <a:ext cx="2929467" cy="1512711"/>
                        </a:xfrm>
                        <a:prstGeom prst="rect">
                          <a:avLst/>
                        </a:prstGeom>
                        <a:solidFill>
                          <a:schemeClr val="lt1"/>
                        </a:solidFill>
                        <a:ln w="6350">
                          <a:solidFill>
                            <a:prstClr val="black"/>
                          </a:solidFill>
                        </a:ln>
                      </wps:spPr>
                      <wps:txbx>
                        <w:txbxContent>
                          <w:p w14:paraId="5868BDFE" w14:textId="77777777" w:rsidR="00640949" w:rsidRPr="00640949" w:rsidRDefault="00640949" w:rsidP="00640949">
                            <w:pPr>
                              <w:rPr>
                                <w:rFonts w:ascii="Arial" w:hAnsi="Arial" w:cs="Arial"/>
                                <w:sz w:val="22"/>
                                <w:szCs w:val="22"/>
                              </w:rPr>
                            </w:pPr>
                            <w:r w:rsidRPr="00640949">
                              <w:rPr>
                                <w:rFonts w:ascii="Arial" w:hAnsi="Arial" w:cs="Arial"/>
                                <w:sz w:val="22"/>
                                <w:szCs w:val="22"/>
                              </w:rPr>
                              <w:t>High Influence / Low Interest</w:t>
                            </w:r>
                          </w:p>
                          <w:p w14:paraId="454DA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Investors </w:t>
                            </w:r>
                          </w:p>
                          <w:p w14:paraId="4F7B6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Government regulators </w:t>
                            </w:r>
                          </w:p>
                          <w:p w14:paraId="446D678B" w14:textId="4C9A3668" w:rsidR="00640949" w:rsidRDefault="00640949" w:rsidP="00640949">
                            <w:r w:rsidRPr="00640949">
                              <w:rPr>
                                <w:rFonts w:ascii="Arial" w:hAnsi="Arial" w:cs="Arial"/>
                                <w:sz w:val="22"/>
                                <w:szCs w:val="22"/>
                              </w:rPr>
                              <w:t>Keep Satisfied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53CA02" id="Text Box 2" o:spid="_x0000_s1027" type="#_x0000_t202" style="position:absolute;margin-left:224.9pt;margin-top:5.65pt;width:230.65pt;height:119.1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yzYOgIAAIQEAAAOAAAAZHJzL2Uyb0RvYy54bWysVEtv2zAMvg/YfxB0Xxx7eTRGnCJLkWFA&#10;0BZIh54VWY6FyaImKbGzXz9KebbbadhFJkXqI/mR9PS+axTZC+sk6IKmvT4lQnMopd4W9PvL8tMd&#10;Jc4zXTIFWhT0IBy9n338MG1NLjKoQZXCEgTRLm9NQWvvTZ4kjteiYa4HRmg0VmAb5lG126S0rEX0&#10;RiVZvz9KWrClscCFc3j7cDTSWcSvKsH9U1U54YkqKObm42njuQlnMpuyfGuZqSU/pcH+IYuGSY1B&#10;L1APzDOys/IPqEZyCw4q3+PQJFBVkotYA1aT9t9Vs66ZEbEWJMeZC03u/8Hyx/3aPFviuy/QYQMD&#10;Ia1xucPLUE9X2SZ8MVOCdqTwcKFNdJ5wvMwm2WQwGlPC0ZYO02ycRpzk+txY578KaEgQCmqxL5Eu&#10;tl85jyHR9ewSojlQslxKpaISZkEslCV7hl1U/gz+xktp0hZ09HnYj8BvbAH68n6jGP8RysSYN16o&#10;KY2X1+KD5LtNR2R5Q8wGygPyZeE4Ss7wpUT4FXP+mVmcHaQI98E/4VEpwJzgJFFSg/31t/vgjy1F&#10;KyUtzmJB3c8ds4IS9U1jsyfpYBCGNyqD4ThDxd5aNrcWvWsWgESluHmGRzH4e3UWKwvNK67NPERF&#10;E9McYxfUn8WFP24Irh0X83l0wnE1zK/02vAAHRoTaH3pXpk1p7Z6nIhHOE8ty9919+gbXmqY7zxU&#10;MrY+8Hxk9UQ/jnrszmktwy7d6tHr+vOY/QYAAP//AwBQSwMEFAAGAAgAAAAhAPlC703dAAAACgEA&#10;AA8AAABkcnMvZG93bnJldi54bWxMjzFPwzAUhHck/oP1kNiokxJQEuJUgAoLUwtifo1fbYvYjmw3&#10;Df8eM8F4utPdd91msSObKUTjnYByVQAjN3hpnBLw8f5yUwOLCZ3E0TsS8E0RNv3lRYet9Ge3o3mf&#10;FMslLrYoQKc0tZzHQZPFuPITuewdfbCYsgyKy4DnXG5Hvi6Ke27RuLygcaJnTcPX/mQFbJ9Uo4Ya&#10;g97W0ph5+Ty+qVchrq+WxwdgiZb0F4Zf/IwOfWY6+JOTkY0CqqrJ6Ckb5S2wHGjKsgR2ELCumjvg&#10;fcf/X+h/AAAA//8DAFBLAQItABQABgAIAAAAIQC2gziS/gAAAOEBAAATAAAAAAAAAAAAAAAAAAAA&#10;AABbQ29udGVudF9UeXBlc10ueG1sUEsBAi0AFAAGAAgAAAAhADj9If/WAAAAlAEAAAsAAAAAAAAA&#10;AAAAAAAALwEAAF9yZWxzLy5yZWxzUEsBAi0AFAAGAAgAAAAhAKC3LNg6AgAAhAQAAA4AAAAAAAAA&#10;AAAAAAAALgIAAGRycy9lMm9Eb2MueG1sUEsBAi0AFAAGAAgAAAAhAPlC703dAAAACgEAAA8AAAAA&#10;AAAAAAAAAAAAlAQAAGRycy9kb3ducmV2LnhtbFBLBQYAAAAABAAEAPMAAACeBQAAAAA=&#10;" fillcolor="white [3201]" strokeweight=".5pt">
                <v:textbox>
                  <w:txbxContent>
                    <w:p w14:paraId="5868BDFE" w14:textId="77777777" w:rsidR="00640949" w:rsidRPr="00640949" w:rsidRDefault="00640949" w:rsidP="00640949">
                      <w:pPr>
                        <w:rPr>
                          <w:rFonts w:ascii="Arial" w:hAnsi="Arial" w:cs="Arial"/>
                          <w:sz w:val="22"/>
                          <w:szCs w:val="22"/>
                        </w:rPr>
                      </w:pPr>
                      <w:r w:rsidRPr="00640949">
                        <w:rPr>
                          <w:rFonts w:ascii="Arial" w:hAnsi="Arial" w:cs="Arial"/>
                          <w:sz w:val="22"/>
                          <w:szCs w:val="22"/>
                        </w:rPr>
                        <w:t>High Influence / Low Interest</w:t>
                      </w:r>
                    </w:p>
                    <w:p w14:paraId="454DA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Investors </w:t>
                      </w:r>
                    </w:p>
                    <w:p w14:paraId="4F7B69E4" w14:textId="77777777" w:rsidR="00640949" w:rsidRPr="00640949" w:rsidRDefault="00640949" w:rsidP="00640949">
                      <w:pPr>
                        <w:numPr>
                          <w:ilvl w:val="0"/>
                          <w:numId w:val="6"/>
                        </w:numPr>
                        <w:rPr>
                          <w:rFonts w:ascii="Arial" w:hAnsi="Arial" w:cs="Arial"/>
                          <w:sz w:val="22"/>
                          <w:szCs w:val="22"/>
                        </w:rPr>
                      </w:pPr>
                      <w:r w:rsidRPr="00640949">
                        <w:rPr>
                          <w:rFonts w:ascii="Arial" w:hAnsi="Arial" w:cs="Arial"/>
                          <w:sz w:val="22"/>
                          <w:szCs w:val="22"/>
                        </w:rPr>
                        <w:t xml:space="preserve">Government regulators </w:t>
                      </w:r>
                    </w:p>
                    <w:p w14:paraId="446D678B" w14:textId="4C9A3668" w:rsidR="00640949" w:rsidRDefault="00640949" w:rsidP="00640949">
                      <w:r w:rsidRPr="00640949">
                        <w:rPr>
                          <w:rFonts w:ascii="Arial" w:hAnsi="Arial" w:cs="Arial"/>
                          <w:sz w:val="22"/>
                          <w:szCs w:val="22"/>
                        </w:rPr>
                        <w:t>Keep Satisfied</w:t>
                      </w:r>
                    </w:p>
                  </w:txbxContent>
                </v:textbox>
              </v:shape>
            </w:pict>
          </mc:Fallback>
        </mc:AlternateContent>
      </w:r>
    </w:p>
    <w:p w14:paraId="51E72EC4" w14:textId="77777777" w:rsidR="00545867" w:rsidRDefault="00545867" w:rsidP="00E0730F"/>
    <w:p w14:paraId="0D25F5B8" w14:textId="77777777" w:rsidR="00545867" w:rsidRDefault="00545867" w:rsidP="00E0730F"/>
    <w:p w14:paraId="1A2B3FAA" w14:textId="77777777" w:rsidR="00545867" w:rsidRDefault="00545867" w:rsidP="00E0730F"/>
    <w:p w14:paraId="217AAD09" w14:textId="77777777" w:rsidR="00545867" w:rsidRDefault="00545867" w:rsidP="00E0730F"/>
    <w:p w14:paraId="73A09BD9" w14:textId="26BECD5A" w:rsidR="00545867" w:rsidRDefault="00545867" w:rsidP="00E0730F"/>
    <w:p w14:paraId="3A5CEFBF" w14:textId="00D8B2B1" w:rsidR="00E0730F" w:rsidRPr="00E0730F" w:rsidRDefault="00B01227" w:rsidP="00E0730F">
      <w:r>
        <w:rPr>
          <w:noProof/>
        </w:rPr>
        <mc:AlternateContent>
          <mc:Choice Requires="wps">
            <w:drawing>
              <wp:anchor distT="0" distB="0" distL="114300" distR="114300" simplePos="0" relativeHeight="251662336" behindDoc="0" locked="0" layoutInCell="1" allowOverlap="1" wp14:anchorId="5A178400" wp14:editId="66BCADFC">
                <wp:simplePos x="0" y="0"/>
                <wp:positionH relativeFrom="margin">
                  <wp:posOffset>2867378</wp:posOffset>
                </wp:positionH>
                <wp:positionV relativeFrom="paragraph">
                  <wp:posOffset>7549</wp:posOffset>
                </wp:positionV>
                <wp:extent cx="2878455" cy="1461912"/>
                <wp:effectExtent l="0" t="0" r="17145" b="24130"/>
                <wp:wrapNone/>
                <wp:docPr id="1530332065" name="Text Box 4"/>
                <wp:cNvGraphicFramePr/>
                <a:graphic xmlns:a="http://schemas.openxmlformats.org/drawingml/2006/main">
                  <a:graphicData uri="http://schemas.microsoft.com/office/word/2010/wordprocessingShape">
                    <wps:wsp>
                      <wps:cNvSpPr txBox="1"/>
                      <wps:spPr>
                        <a:xfrm>
                          <a:off x="0" y="0"/>
                          <a:ext cx="2878455" cy="1461912"/>
                        </a:xfrm>
                        <a:prstGeom prst="rect">
                          <a:avLst/>
                        </a:prstGeom>
                        <a:solidFill>
                          <a:schemeClr val="lt1"/>
                        </a:solidFill>
                        <a:ln w="6350">
                          <a:solidFill>
                            <a:prstClr val="black"/>
                          </a:solidFill>
                        </a:ln>
                      </wps:spPr>
                      <wps:txbx>
                        <w:txbxContent>
                          <w:p w14:paraId="1EB3E5DC" w14:textId="77777777" w:rsidR="00CE1F20" w:rsidRPr="00CE1F20" w:rsidRDefault="00CE1F20" w:rsidP="00CE1F20">
                            <w:pPr>
                              <w:rPr>
                                <w:rFonts w:ascii="Arial" w:hAnsi="Arial" w:cs="Arial"/>
                                <w:sz w:val="22"/>
                                <w:szCs w:val="22"/>
                              </w:rPr>
                            </w:pPr>
                            <w:r w:rsidRPr="00CE1F20">
                              <w:rPr>
                                <w:rFonts w:ascii="Arial" w:hAnsi="Arial" w:cs="Arial"/>
                                <w:sz w:val="22"/>
                                <w:szCs w:val="22"/>
                              </w:rPr>
                              <w:t>Low Influence / Low Interest</w:t>
                            </w:r>
                          </w:p>
                          <w:p w14:paraId="7685E11D"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General public </w:t>
                            </w:r>
                          </w:p>
                          <w:p w14:paraId="091A1E95"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Local communities </w:t>
                            </w:r>
                          </w:p>
                          <w:p w14:paraId="4A13F625" w14:textId="77777777" w:rsidR="00CE1F20" w:rsidRPr="00E0730F" w:rsidRDefault="00CE1F20" w:rsidP="00CE1F20">
                            <w:r w:rsidRPr="00CE1F20">
                              <w:rPr>
                                <w:rFonts w:ascii="Arial" w:hAnsi="Arial" w:cs="Arial"/>
                                <w:sz w:val="22"/>
                                <w:szCs w:val="22"/>
                              </w:rPr>
                              <w:t>Monitor</w:t>
                            </w:r>
                          </w:p>
                          <w:p w14:paraId="11E760FA" w14:textId="77777777" w:rsidR="00640949" w:rsidRDefault="0064094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178400" id="Text Box 4" o:spid="_x0000_s1028" type="#_x0000_t202" style="position:absolute;margin-left:225.8pt;margin-top:.6pt;width:226.65pt;height:115.1pt;z-index:2516623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iMiPQIAAIQEAAAOAAAAZHJzL2Uyb0RvYy54bWysVE1v2zAMvQ/YfxB0XxxnSZoacYosRYYB&#10;RVsgHXpWZDkWJouapMTOfv0o2flot9Owi0yJ1BP5+Oj5XVsrchDWSdA5TQdDSoTmUEi9y+n3l/Wn&#10;GSXOM10wBVrk9CgcvVt8/DBvTCZGUIEqhCUIol3WmJxW3pssSRyvRM3cAIzQ6CzB1szj1u6SwrIG&#10;0WuVjIbDadKALYwFLpzD0/vOSRcRvywF909l6YQnKqeYm4+rjes2rMlizrKdZaaSvE+D/UMWNZMa&#10;Hz1D3TPPyN7KP6BqyS04KP2AQ51AWUouYg1YTTp8V82mYkbEWpAcZ840uf8Hyx8PG/NsiW+/QIsN&#10;DIQ0xmUOD0M9bWnr8MVMCfqRwuOZNtF6wvFwNLuZjScTSjj60vE0vU1HASe5XDfW+a8CahKMnFrs&#10;S6SLHR6c70JPIeE1B0oWa6lU3AQtiJWy5MCwi8rHJBH8TZTSpMnp9PNkGIHf+AL0+f5WMf6jT+8q&#10;CvGUxpwvxQfLt9uWyAJrPBGzheKIfFnopOQMX0uEf2DOPzOL2kGKcB78Ey6lAswJeouSCuyvv52H&#10;eGwpeilpUIs5dT/3zApK1DeNzb5Nx+Mg3rgZT25GuLHXnu21R+/rFSBRKU6e4dEM8V6dzNJC/Ypj&#10;swyvootpjm/n1J/Mle8mBMeOi+UyBqFcDfMPemN4gA6NCbS+tK/Mmr6tHhXxCCfVsuxdd7vYcFPD&#10;cu+hlLH1geeO1Z5+lHoUTz+WYZau9zHq8vNY/AYAAP//AwBQSwMEFAAGAAgAAAAhAPiZ3izdAAAA&#10;CQEAAA8AAABkcnMvZG93bnJldi54bWxMj8FOwzAQRO9I/IO1SNyokxCqJI1TASpcOFFQz9t4a1vE&#10;dhS7afh7zAmOqzeaedtuFzuwmaZgvBOQrzJg5HovjVMCPj9e7ipgIaKTOHhHAr4pwLa7vmqxkf7i&#10;3mneR8VSiQsNCtAxjg3noddkMaz8SC6xk58sxnROissJL6ncDrzIsjW3aFxa0DjSs6b+a3+2AnZP&#10;qlZ9hZPeVdKYeTmc3tSrELc3y+MGWKQl/oXhVz+pQ5ecjv7sZGCDgPIhX6doAgWwxOusrIEdBRT3&#10;eQm8a/n/D7ofAAAA//8DAFBLAQItABQABgAIAAAAIQC2gziS/gAAAOEBAAATAAAAAAAAAAAAAAAA&#10;AAAAAABbQ29udGVudF9UeXBlc10ueG1sUEsBAi0AFAAGAAgAAAAhADj9If/WAAAAlAEAAAsAAAAA&#10;AAAAAAAAAAAALwEAAF9yZWxzLy5yZWxzUEsBAi0AFAAGAAgAAAAhADROIyI9AgAAhAQAAA4AAAAA&#10;AAAAAAAAAAAALgIAAGRycy9lMm9Eb2MueG1sUEsBAi0AFAAGAAgAAAAhAPiZ3izdAAAACQEAAA8A&#10;AAAAAAAAAAAAAAAAlwQAAGRycy9kb3ducmV2LnhtbFBLBQYAAAAABAAEAPMAAAChBQAAAAA=&#10;" fillcolor="white [3201]" strokeweight=".5pt">
                <v:textbox>
                  <w:txbxContent>
                    <w:p w14:paraId="1EB3E5DC" w14:textId="77777777" w:rsidR="00CE1F20" w:rsidRPr="00CE1F20" w:rsidRDefault="00CE1F20" w:rsidP="00CE1F20">
                      <w:pPr>
                        <w:rPr>
                          <w:rFonts w:ascii="Arial" w:hAnsi="Arial" w:cs="Arial"/>
                          <w:sz w:val="22"/>
                          <w:szCs w:val="22"/>
                        </w:rPr>
                      </w:pPr>
                      <w:r w:rsidRPr="00CE1F20">
                        <w:rPr>
                          <w:rFonts w:ascii="Arial" w:hAnsi="Arial" w:cs="Arial"/>
                          <w:sz w:val="22"/>
                          <w:szCs w:val="22"/>
                        </w:rPr>
                        <w:t>Low Influence / Low Interest</w:t>
                      </w:r>
                    </w:p>
                    <w:p w14:paraId="7685E11D"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General public </w:t>
                      </w:r>
                    </w:p>
                    <w:p w14:paraId="091A1E95" w14:textId="77777777" w:rsidR="00CE1F20" w:rsidRPr="00CE1F20" w:rsidRDefault="00CE1F20" w:rsidP="00CE1F20">
                      <w:pPr>
                        <w:numPr>
                          <w:ilvl w:val="0"/>
                          <w:numId w:val="8"/>
                        </w:numPr>
                        <w:rPr>
                          <w:rFonts w:ascii="Arial" w:hAnsi="Arial" w:cs="Arial"/>
                          <w:sz w:val="22"/>
                          <w:szCs w:val="22"/>
                        </w:rPr>
                      </w:pPr>
                      <w:r w:rsidRPr="00CE1F20">
                        <w:rPr>
                          <w:rFonts w:ascii="Arial" w:hAnsi="Arial" w:cs="Arial"/>
                          <w:sz w:val="22"/>
                          <w:szCs w:val="22"/>
                        </w:rPr>
                        <w:t xml:space="preserve">Local communities </w:t>
                      </w:r>
                    </w:p>
                    <w:p w14:paraId="4A13F625" w14:textId="77777777" w:rsidR="00CE1F20" w:rsidRPr="00E0730F" w:rsidRDefault="00CE1F20" w:rsidP="00CE1F20">
                      <w:r w:rsidRPr="00CE1F20">
                        <w:rPr>
                          <w:rFonts w:ascii="Arial" w:hAnsi="Arial" w:cs="Arial"/>
                          <w:sz w:val="22"/>
                          <w:szCs w:val="22"/>
                        </w:rPr>
                        <w:t>Monitor</w:t>
                      </w:r>
                    </w:p>
                    <w:p w14:paraId="11E760FA" w14:textId="77777777" w:rsidR="00640949" w:rsidRDefault="00640949"/>
                  </w:txbxContent>
                </v:textbox>
                <w10:wrap anchorx="margin"/>
              </v:shape>
            </w:pict>
          </mc:Fallback>
        </mc:AlternateContent>
      </w:r>
      <w:r w:rsidR="00640949">
        <w:rPr>
          <w:noProof/>
        </w:rPr>
        <mc:AlternateContent>
          <mc:Choice Requires="wps">
            <w:drawing>
              <wp:anchor distT="0" distB="0" distL="114300" distR="114300" simplePos="0" relativeHeight="251661312" behindDoc="0" locked="0" layoutInCell="1" allowOverlap="1" wp14:anchorId="2E37C3DB" wp14:editId="4F88D03A">
                <wp:simplePos x="0" y="0"/>
                <wp:positionH relativeFrom="margin">
                  <wp:align>left</wp:align>
                </wp:positionH>
                <wp:positionV relativeFrom="paragraph">
                  <wp:posOffset>26811</wp:posOffset>
                </wp:positionV>
                <wp:extent cx="2449195" cy="1428044"/>
                <wp:effectExtent l="0" t="0" r="27305" b="20320"/>
                <wp:wrapNone/>
                <wp:docPr id="1113323844" name="Text Box 3"/>
                <wp:cNvGraphicFramePr/>
                <a:graphic xmlns:a="http://schemas.openxmlformats.org/drawingml/2006/main">
                  <a:graphicData uri="http://schemas.microsoft.com/office/word/2010/wordprocessingShape">
                    <wps:wsp>
                      <wps:cNvSpPr txBox="1"/>
                      <wps:spPr>
                        <a:xfrm>
                          <a:off x="0" y="0"/>
                          <a:ext cx="2449195" cy="1428044"/>
                        </a:xfrm>
                        <a:prstGeom prst="rect">
                          <a:avLst/>
                        </a:prstGeom>
                        <a:solidFill>
                          <a:schemeClr val="lt1"/>
                        </a:solidFill>
                        <a:ln w="6350">
                          <a:solidFill>
                            <a:prstClr val="black"/>
                          </a:solidFill>
                        </a:ln>
                      </wps:spPr>
                      <wps:txbx>
                        <w:txbxContent>
                          <w:p w14:paraId="3A6A01B2" w14:textId="77777777" w:rsidR="00640949" w:rsidRPr="00640949" w:rsidRDefault="00640949" w:rsidP="00640949">
                            <w:pPr>
                              <w:rPr>
                                <w:rFonts w:ascii="Arial" w:hAnsi="Arial" w:cs="Arial"/>
                                <w:sz w:val="22"/>
                                <w:szCs w:val="22"/>
                              </w:rPr>
                            </w:pPr>
                            <w:r w:rsidRPr="00640949">
                              <w:rPr>
                                <w:rFonts w:ascii="Arial" w:hAnsi="Arial" w:cs="Arial"/>
                                <w:sz w:val="22"/>
                                <w:szCs w:val="22"/>
                              </w:rPr>
                              <w:t>Low Influence /High Interest</w:t>
                            </w:r>
                          </w:p>
                          <w:p w14:paraId="0FCFDE69"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Employees </w:t>
                            </w:r>
                          </w:p>
                          <w:p w14:paraId="34942655"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Customers </w:t>
                            </w:r>
                          </w:p>
                          <w:p w14:paraId="328F4998"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Marketing </w:t>
                            </w:r>
                          </w:p>
                          <w:p w14:paraId="4C440E66" w14:textId="3E072755" w:rsidR="00640949" w:rsidRDefault="00640949" w:rsidP="00640949">
                            <w:r w:rsidRPr="00640949">
                              <w:rPr>
                                <w:rFonts w:ascii="Arial" w:hAnsi="Arial" w:cs="Arial"/>
                                <w:sz w:val="22"/>
                                <w:szCs w:val="22"/>
                              </w:rPr>
                              <w:t>Keep Informed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7C3DB" id="Text Box 3" o:spid="_x0000_s1029" type="#_x0000_t202" style="position:absolute;margin-left:0;margin-top:2.1pt;width:192.85pt;height:112.4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IIwPQIAAIQEAAAOAAAAZHJzL2Uyb0RvYy54bWysVE1v2zAMvQ/YfxB0X2ynTtcYcYosRYYB&#10;QVsgHXpWZDk2JouapMTOfv0o2flot9Owi0yJ1BP5+OjZfddIchDG1qBymoxiSoTiUNRql9PvL6tP&#10;d5RYx1TBJCiR06Ow9H7+8cOs1ZkYQwWyEIYgiLJZq3NaOaezKLK8Eg2zI9BCobME0zCHW7OLCsNa&#10;RG9kNI7j26gFU2gDXFiLpw+9k84DflkK7p7K0gpHZE4xNxdWE9atX6P5jGU7w3RV8yEN9g9ZNKxW&#10;+OgZ6oE5Rvam/gOqqbkBC6UbcWgiKMuai1ADVpPE76rZVEyLUAuSY/WZJvv/YPnjYaOfDXHdF+iw&#10;gZ6QVtvM4qGvpytN47+YKUE/Ung80yY6RzgejtN0mkwnlHD0Jen4Lk5TjxNdrmtj3VcBDfFGTg32&#10;JdDFDmvr+tBTiH/NgqyLVS1l2HgtiKU05MCwi9KFJBH8TZRUpM3p7c0kDsBvfB76fH8rGf8xpHcV&#10;hXhSYc6X4r3lum1H6iKnNyditlAckS8DvZSs5qsa4dfMumdmUDtIEc6De8KllIA5wWBRUoH59bdz&#10;H48tRS8lLWoxp/bnnhlBifymsNnTJE29eMMmnXwe48Zce7bXHrVvloBEJTh5mgfTxzt5MksDzSuO&#10;zcK/ii6mOL6dU3cyl66fEBw7LhaLEIRy1cyt1UZzD+0b42l96V6Z0UNbHSriEU6qZdm77vax/qaC&#10;xd5BWYfWe557Vgf6UepBPMNY+lm63oeoy89j/hsAAP//AwBQSwMEFAAGAAgAAAAhAA17V9XbAAAA&#10;BgEAAA8AAABkcnMvZG93bnJldi54bWxMj81OwzAQhO9IvIO1SNyo0/CXhjgVoMKlJwrivI23jkW8&#10;jmw3DW+POcFxNKOZb5r17AYxUYjWs4LlogBB3Hlt2Sj4eH+5qkDEhKxx8EwKvinCuj0/a7DW/sRv&#10;NO2SEbmEY40K+pTGWsrY9eQwLvxInL2DDw5TlsFIHfCUy90gy6K4kw4t54UeR3ruqfvaHZ2CzZNZ&#10;ma7C0G8qbe00fx625lWpy4v58QFEojn9heEXP6NDm5n2/sg6ikFBPpIU3JQgsnld3d6D2Csoy9US&#10;ZNvI//jtDwAAAP//AwBQSwECLQAUAAYACAAAACEAtoM4kv4AAADhAQAAEwAAAAAAAAAAAAAAAAAA&#10;AAAAW0NvbnRlbnRfVHlwZXNdLnhtbFBLAQItABQABgAIAAAAIQA4/SH/1gAAAJQBAAALAAAAAAAA&#10;AAAAAAAAAC8BAABfcmVscy8ucmVsc1BLAQItABQABgAIAAAAIQA9uIIwPQIAAIQEAAAOAAAAAAAA&#10;AAAAAAAAAC4CAABkcnMvZTJvRG9jLnhtbFBLAQItABQABgAIAAAAIQANe1fV2wAAAAYBAAAPAAAA&#10;AAAAAAAAAAAAAJcEAABkcnMvZG93bnJldi54bWxQSwUGAAAAAAQABADzAAAAnwUAAAAA&#10;" fillcolor="white [3201]" strokeweight=".5pt">
                <v:textbox>
                  <w:txbxContent>
                    <w:p w14:paraId="3A6A01B2" w14:textId="77777777" w:rsidR="00640949" w:rsidRPr="00640949" w:rsidRDefault="00640949" w:rsidP="00640949">
                      <w:pPr>
                        <w:rPr>
                          <w:rFonts w:ascii="Arial" w:hAnsi="Arial" w:cs="Arial"/>
                          <w:sz w:val="22"/>
                          <w:szCs w:val="22"/>
                        </w:rPr>
                      </w:pPr>
                      <w:r w:rsidRPr="00640949">
                        <w:rPr>
                          <w:rFonts w:ascii="Arial" w:hAnsi="Arial" w:cs="Arial"/>
                          <w:sz w:val="22"/>
                          <w:szCs w:val="22"/>
                        </w:rPr>
                        <w:t>Low Influence /High Interest</w:t>
                      </w:r>
                    </w:p>
                    <w:p w14:paraId="0FCFDE69"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Employees </w:t>
                      </w:r>
                    </w:p>
                    <w:p w14:paraId="34942655"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Customers </w:t>
                      </w:r>
                    </w:p>
                    <w:p w14:paraId="328F4998" w14:textId="77777777" w:rsidR="00640949" w:rsidRPr="00640949" w:rsidRDefault="00640949" w:rsidP="00640949">
                      <w:pPr>
                        <w:numPr>
                          <w:ilvl w:val="0"/>
                          <w:numId w:val="7"/>
                        </w:numPr>
                        <w:rPr>
                          <w:rFonts w:ascii="Arial" w:hAnsi="Arial" w:cs="Arial"/>
                          <w:sz w:val="22"/>
                          <w:szCs w:val="22"/>
                        </w:rPr>
                      </w:pPr>
                      <w:r w:rsidRPr="00640949">
                        <w:rPr>
                          <w:rFonts w:ascii="Arial" w:hAnsi="Arial" w:cs="Arial"/>
                          <w:sz w:val="22"/>
                          <w:szCs w:val="22"/>
                        </w:rPr>
                        <w:t xml:space="preserve">Marketing </w:t>
                      </w:r>
                    </w:p>
                    <w:p w14:paraId="4C440E66" w14:textId="3E072755" w:rsidR="00640949" w:rsidRDefault="00640949" w:rsidP="00640949">
                      <w:r w:rsidRPr="00640949">
                        <w:rPr>
                          <w:rFonts w:ascii="Arial" w:hAnsi="Arial" w:cs="Arial"/>
                          <w:sz w:val="22"/>
                          <w:szCs w:val="22"/>
                        </w:rPr>
                        <w:t>Keep Informed</w:t>
                      </w:r>
                    </w:p>
                  </w:txbxContent>
                </v:textbox>
                <w10:wrap anchorx="margin"/>
              </v:shape>
            </w:pict>
          </mc:Fallback>
        </mc:AlternateContent>
      </w:r>
    </w:p>
    <w:p w14:paraId="2B0BA318" w14:textId="77777777" w:rsidR="00F5347F" w:rsidRDefault="00F5347F" w:rsidP="00E0730F"/>
    <w:p w14:paraId="5E1AABCE" w14:textId="77777777" w:rsidR="00F5347F" w:rsidRDefault="00F5347F" w:rsidP="00E0730F"/>
    <w:p w14:paraId="2BA529FD" w14:textId="4A2EA021" w:rsidR="00E0730F" w:rsidRPr="00E0730F" w:rsidRDefault="00E0730F" w:rsidP="00E0730F"/>
    <w:p w14:paraId="5B927032" w14:textId="77777777" w:rsidR="00DF0EC9" w:rsidRPr="00E0730F" w:rsidRDefault="00DF0EC9" w:rsidP="00E0730F"/>
    <w:p w14:paraId="01D37066" w14:textId="77777777" w:rsidR="000B0BD1" w:rsidRDefault="000B0BD1" w:rsidP="00E0730F">
      <w:pPr>
        <w:rPr>
          <w:b/>
          <w:bCs/>
        </w:rPr>
      </w:pPr>
    </w:p>
    <w:p w14:paraId="6EBEEE32" w14:textId="77777777" w:rsidR="000B0BD1" w:rsidRDefault="000B0BD1" w:rsidP="00E0730F">
      <w:pPr>
        <w:rPr>
          <w:b/>
          <w:bCs/>
        </w:rPr>
      </w:pPr>
    </w:p>
    <w:p w14:paraId="73A3DCB9" w14:textId="77777777" w:rsidR="000B0BD1" w:rsidRDefault="000B0BD1" w:rsidP="00E0730F">
      <w:pPr>
        <w:rPr>
          <w:b/>
          <w:bCs/>
        </w:rPr>
      </w:pPr>
    </w:p>
    <w:p w14:paraId="716C0C63" w14:textId="46E4A1EF" w:rsidR="00E0730F" w:rsidRPr="00E0730F" w:rsidRDefault="00E0730F" w:rsidP="00E0730F">
      <w:pPr>
        <w:rPr>
          <w:b/>
          <w:bCs/>
        </w:rPr>
      </w:pPr>
      <w:r w:rsidRPr="00E0730F">
        <w:rPr>
          <w:b/>
          <w:bCs/>
        </w:rPr>
        <w:t>4. Roles, Responsibilities, Benefits and Challenges</w:t>
      </w:r>
    </w:p>
    <w:p w14:paraId="43ECFD1B" w14:textId="77777777" w:rsidR="000F6D33" w:rsidRPr="000B0BD1" w:rsidRDefault="000F6D33" w:rsidP="000F6D33">
      <w:pPr>
        <w:rPr>
          <w:rFonts w:ascii="Arial" w:hAnsi="Arial" w:cs="Arial"/>
          <w:sz w:val="22"/>
          <w:szCs w:val="22"/>
        </w:rPr>
      </w:pPr>
      <w:r w:rsidRPr="000B0BD1">
        <w:rPr>
          <w:rFonts w:ascii="Arial" w:hAnsi="Arial" w:cs="Arial"/>
          <w:sz w:val="22"/>
          <w:szCs w:val="22"/>
        </w:rPr>
        <w:t>The successful implementation of ConnectPlus requires the active participation of multiple stakeholders, each contributing unique expertise, resources, and perspectives. Their roles and responsibilities are essential for achieving project objectives; however, stakeholder involvement also presents several operational, strategic, and ethical challenges.</w:t>
      </w:r>
    </w:p>
    <w:p w14:paraId="75B6D45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Executive Board and Project Sponsor</w:t>
      </w:r>
      <w:r w:rsidRPr="000B0BD1">
        <w:rPr>
          <w:rFonts w:ascii="Arial" w:hAnsi="Arial" w:cs="Arial"/>
          <w:sz w:val="22"/>
          <w:szCs w:val="22"/>
        </w:rPr>
        <w:t xml:space="preserve"> provide strategic leadership, approve project funding, and ensure that ConnectPlus aligns with Tesco's long-term business objectives. Their support enables efficient resource allocation and organisational commitment. The primary benefit they bring is decision-making authority and financial backing. However, competing organisational priorities and pressure to achieve rapid returns on investment may create conflicts regarding project scope, budget, or timelines.</w:t>
      </w:r>
    </w:p>
    <w:p w14:paraId="01FCFE2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Project Manager</w:t>
      </w:r>
      <w:r w:rsidRPr="000B0BD1">
        <w:rPr>
          <w:rFonts w:ascii="Arial" w:hAnsi="Arial" w:cs="Arial"/>
          <w:sz w:val="22"/>
          <w:szCs w:val="22"/>
        </w:rPr>
        <w:t xml:space="preserve"> is responsible for planning, coordinating, monitoring, and controlling project activities throughout the project lifecycle. The project manager acts as the central communication link among stakeholder groups and ensures that project objectives are achieved within agreed constraints. While effective coordination improves collaboration and reduces uncertainty, the project manager faces challenges associated with balancing diverse stakeholder expectations, managing risks, and resolving conflicts in a complex international environment.</w:t>
      </w:r>
    </w:p>
    <w:p w14:paraId="61AECB0C"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Information Technology (IT) Department</w:t>
      </w:r>
      <w:r w:rsidRPr="000B0BD1">
        <w:rPr>
          <w:rFonts w:ascii="Arial" w:hAnsi="Arial" w:cs="Arial"/>
          <w:sz w:val="22"/>
          <w:szCs w:val="22"/>
        </w:rPr>
        <w:t xml:space="preserve"> plays a critical role in developing the AI infrastructure, integrating digital systems, ensuring cybersecurity, and maintaining platform performance. Their technical expertise enables innovation and supports the successful operation of ConnectPlus across different markets. Nevertheless, IT teams may encounter challenges related to system integration, data security threats, technological complexity, and the rapid evolution of artificial intelligence technologies.</w:t>
      </w:r>
    </w:p>
    <w:p w14:paraId="09B08400"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Product Development Team</w:t>
      </w:r>
      <w:r w:rsidRPr="000B0BD1">
        <w:rPr>
          <w:rFonts w:ascii="Arial" w:hAnsi="Arial" w:cs="Arial"/>
          <w:sz w:val="22"/>
          <w:szCs w:val="22"/>
        </w:rPr>
        <w:t xml:space="preserve"> is responsible for designing user-friendly features, testing system functionality, and ensuring that personalised recommendations meet customer expectations. Their contribution enhances customer satisfaction and competitive advantage. However, balancing innovation with usability can be difficult, particularly when customer preferences vary across international markets.</w:t>
      </w:r>
    </w:p>
    <w:p w14:paraId="53C4A90C"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Marketing Department</w:t>
      </w:r>
      <w:r w:rsidRPr="000B0BD1">
        <w:rPr>
          <w:rFonts w:ascii="Arial" w:hAnsi="Arial" w:cs="Arial"/>
          <w:sz w:val="22"/>
          <w:szCs w:val="22"/>
        </w:rPr>
        <w:t xml:space="preserve"> develops promotional campaigns, customer communication strategies, and market-specific branding activities. Marketing professionals contribute significantly to customer awareness and platform adoption. However, cultural differences, varying consumer behaviours, and differing market regulations can complicate communication strategies across global markets.</w:t>
      </w:r>
    </w:p>
    <w:p w14:paraId="3A962247"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Human Resources Department</w:t>
      </w:r>
      <w:r w:rsidRPr="000B0BD1">
        <w:rPr>
          <w:rFonts w:ascii="Arial" w:hAnsi="Arial" w:cs="Arial"/>
          <w:sz w:val="22"/>
          <w:szCs w:val="22"/>
        </w:rPr>
        <w:t xml:space="preserve"> supports employee training, organisational change management, and workforce readiness. Effective training improves employee engagement </w:t>
      </w:r>
      <w:r w:rsidRPr="000B0BD1">
        <w:rPr>
          <w:rFonts w:ascii="Arial" w:hAnsi="Arial" w:cs="Arial"/>
          <w:sz w:val="22"/>
          <w:szCs w:val="22"/>
        </w:rPr>
        <w:lastRenderedPageBreak/>
        <w:t>and platform adoption. However, resistance to change and varying levels of digital literacy among employees may hinder successful implementation.</w:t>
      </w:r>
    </w:p>
    <w:p w14:paraId="2CADCD5E" w14:textId="77777777" w:rsidR="000F6D33" w:rsidRPr="000B0BD1" w:rsidRDefault="000F6D33" w:rsidP="000F6D33">
      <w:pPr>
        <w:rPr>
          <w:rFonts w:ascii="Arial" w:hAnsi="Arial" w:cs="Arial"/>
          <w:sz w:val="22"/>
          <w:szCs w:val="22"/>
        </w:rPr>
      </w:pPr>
      <w:r w:rsidRPr="000B0BD1">
        <w:rPr>
          <w:rFonts w:ascii="Arial" w:hAnsi="Arial" w:cs="Arial"/>
          <w:sz w:val="22"/>
          <w:szCs w:val="22"/>
        </w:rPr>
        <w:t xml:space="preserve">The </w:t>
      </w:r>
      <w:r w:rsidRPr="000B0BD1">
        <w:rPr>
          <w:rFonts w:ascii="Arial" w:hAnsi="Arial" w:cs="Arial"/>
          <w:b/>
          <w:bCs/>
          <w:sz w:val="22"/>
          <w:szCs w:val="22"/>
        </w:rPr>
        <w:t>Legal and Compliance Team</w:t>
      </w:r>
      <w:r w:rsidRPr="000B0BD1">
        <w:rPr>
          <w:rFonts w:ascii="Arial" w:hAnsi="Arial" w:cs="Arial"/>
          <w:sz w:val="22"/>
          <w:szCs w:val="22"/>
        </w:rPr>
        <w:t xml:space="preserve"> ensures adherence to data protection regulations, consumer rights legislation, and international compliance requirements. Their involvement reduces legal risks and protects organisational reputation. However, managing compliance across multiple jurisdictions can be complex and costly, particularly as regulations surrounding artificial intelligence continue to evolve.</w:t>
      </w:r>
    </w:p>
    <w:p w14:paraId="22AC653E" w14:textId="77777777" w:rsidR="000F6D33" w:rsidRPr="00B01227" w:rsidRDefault="000F6D33" w:rsidP="000F6D33">
      <w:pPr>
        <w:rPr>
          <w:rFonts w:ascii="Arial" w:hAnsi="Arial" w:cs="Arial"/>
          <w:sz w:val="22"/>
          <w:szCs w:val="22"/>
        </w:rPr>
      </w:pPr>
      <w:r w:rsidRPr="00B01227">
        <w:rPr>
          <w:rFonts w:ascii="Arial" w:hAnsi="Arial" w:cs="Arial"/>
          <w:sz w:val="22"/>
          <w:szCs w:val="22"/>
        </w:rPr>
        <w:t>Among external stakeholders, customers are the most important because their acceptance ultimately determines project success. Customers benefit from personalised shopping experiences, targeted rewards, and enhanced convenience. However, concerns regarding privacy, data collection, and algorithmic decision-making may reduce trust if not managed transparently.</w:t>
      </w:r>
    </w:p>
    <w:p w14:paraId="4AB4CA0C" w14:textId="77777777" w:rsidR="000F6D33" w:rsidRPr="00B01227" w:rsidRDefault="000F6D33" w:rsidP="000F6D33">
      <w:pPr>
        <w:rPr>
          <w:rFonts w:ascii="Arial" w:hAnsi="Arial" w:cs="Arial"/>
          <w:sz w:val="22"/>
          <w:szCs w:val="22"/>
        </w:rPr>
      </w:pPr>
      <w:r w:rsidRPr="00B01227">
        <w:rPr>
          <w:rFonts w:ascii="Arial" w:hAnsi="Arial" w:cs="Arial"/>
          <w:sz w:val="22"/>
          <w:szCs w:val="22"/>
        </w:rPr>
        <w:t>Similarly, technology vendors contribute specialist knowledge, infrastructure, and technical support that accelerate development and innovation. However, dependence on external suppliers can create risks related to service disruptions, integration failures, and contractual disputes.</w:t>
      </w:r>
    </w:p>
    <w:p w14:paraId="14B815FD" w14:textId="77777777" w:rsidR="000F6D33" w:rsidRPr="00B01227" w:rsidRDefault="000F6D33" w:rsidP="000F6D33">
      <w:pPr>
        <w:rPr>
          <w:rFonts w:ascii="Arial" w:hAnsi="Arial" w:cs="Arial"/>
          <w:sz w:val="22"/>
          <w:szCs w:val="22"/>
        </w:rPr>
      </w:pPr>
      <w:r w:rsidRPr="00B01227">
        <w:rPr>
          <w:rFonts w:ascii="Arial" w:hAnsi="Arial" w:cs="Arial"/>
          <w:sz w:val="22"/>
          <w:szCs w:val="22"/>
        </w:rPr>
        <w:t>From a critical perspective, stakeholder contributions create significant value but also generate tensions between organisational objectives and stakeholder expectations. For example, customers provide valuable behavioural data that improves AI-driven personalisation, yet excessive data collection may raise ethical concerns regarding privacy and surveillance. Likewise, senior management may prioritise profitability and efficiency, while regulators focus on compliance and consumer protection. These competing interests demonstrate that stakeholder management extends beyond coordination and requires continuous negotiation, communication, and trust-building. Consequently, understanding stakeholder roles, benefits, and challenges is essential for minimising project risks and ensuring the successful implementation of ConnectPlus across diverse international markets.</w:t>
      </w:r>
    </w:p>
    <w:p w14:paraId="7C78C8DA" w14:textId="7035EF53" w:rsidR="00F25377" w:rsidRPr="00B01227" w:rsidRDefault="00F25377" w:rsidP="00F25377">
      <w:pPr>
        <w:rPr>
          <w:rFonts w:ascii="Arial" w:hAnsi="Arial" w:cs="Arial"/>
          <w:sz w:val="22"/>
          <w:szCs w:val="22"/>
        </w:rPr>
      </w:pPr>
      <w:r w:rsidRPr="00B01227">
        <w:rPr>
          <w:rFonts w:ascii="Arial" w:hAnsi="Arial" w:cs="Arial"/>
          <w:sz w:val="22"/>
          <w:szCs w:val="22"/>
        </w:rPr>
        <w:t>Freeman (1984)</w:t>
      </w:r>
      <w:r w:rsidR="00734564" w:rsidRPr="00B01227">
        <w:rPr>
          <w:rFonts w:ascii="Arial" w:hAnsi="Arial" w:cs="Arial"/>
          <w:sz w:val="22"/>
          <w:szCs w:val="22"/>
        </w:rPr>
        <w:t xml:space="preserve">, </w:t>
      </w:r>
      <w:r w:rsidRPr="00B01227">
        <w:rPr>
          <w:rFonts w:ascii="Arial" w:hAnsi="Arial" w:cs="Arial"/>
          <w:sz w:val="22"/>
          <w:szCs w:val="22"/>
        </w:rPr>
        <w:t>Mendelow (1991)</w:t>
      </w:r>
      <w:r w:rsidR="00734564" w:rsidRPr="00B01227">
        <w:rPr>
          <w:rFonts w:ascii="Arial" w:hAnsi="Arial" w:cs="Arial"/>
          <w:sz w:val="22"/>
          <w:szCs w:val="22"/>
        </w:rPr>
        <w:t xml:space="preserve">, </w:t>
      </w:r>
      <w:r w:rsidRPr="00B01227">
        <w:rPr>
          <w:rFonts w:ascii="Arial" w:hAnsi="Arial" w:cs="Arial"/>
          <w:sz w:val="22"/>
          <w:szCs w:val="22"/>
        </w:rPr>
        <w:t>Mitchell et al. (1997)</w:t>
      </w:r>
      <w:r w:rsidR="00734564" w:rsidRPr="00B01227">
        <w:rPr>
          <w:rFonts w:ascii="Arial" w:hAnsi="Arial" w:cs="Arial"/>
          <w:sz w:val="22"/>
          <w:szCs w:val="22"/>
        </w:rPr>
        <w:t xml:space="preserve">, </w:t>
      </w:r>
      <w:r w:rsidRPr="00B01227">
        <w:rPr>
          <w:rFonts w:ascii="Arial" w:hAnsi="Arial" w:cs="Arial"/>
          <w:sz w:val="22"/>
          <w:szCs w:val="22"/>
        </w:rPr>
        <w:t>PMI (2021)</w:t>
      </w:r>
    </w:p>
    <w:p w14:paraId="05357900" w14:textId="77777777" w:rsidR="00F25377" w:rsidRPr="000F6D33" w:rsidRDefault="00F25377" w:rsidP="000F6D33"/>
    <w:p w14:paraId="00FA7DE1" w14:textId="77777777" w:rsidR="00EC3CF2" w:rsidRDefault="00EC3CF2" w:rsidP="00E0730F"/>
    <w:p w14:paraId="5924237B" w14:textId="64CBFECA" w:rsidR="00E0730F" w:rsidRPr="00E0730F" w:rsidRDefault="00E0730F" w:rsidP="00E0730F">
      <w:r w:rsidRPr="00E0730F">
        <w:t>Organise as a table.</w:t>
      </w:r>
    </w:p>
    <w:tbl>
      <w:tblPr>
        <w:tblStyle w:val="GridTable4-Accent6"/>
        <w:tblW w:w="0" w:type="auto"/>
        <w:tblLook w:val="04A0" w:firstRow="1" w:lastRow="0" w:firstColumn="1" w:lastColumn="0" w:noHBand="0" w:noVBand="1"/>
      </w:tblPr>
      <w:tblGrid>
        <w:gridCol w:w="1989"/>
        <w:gridCol w:w="2395"/>
        <w:gridCol w:w="2035"/>
        <w:gridCol w:w="2488"/>
      </w:tblGrid>
      <w:tr w:rsidR="00E0730F" w:rsidRPr="00E0730F" w14:paraId="15459886" w14:textId="77777777" w:rsidTr="00F253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7206B7" w14:textId="77777777" w:rsidR="00E0730F" w:rsidRPr="00E0730F" w:rsidRDefault="00E0730F" w:rsidP="00E0730F">
            <w:pPr>
              <w:rPr>
                <w:b w:val="0"/>
                <w:bCs w:val="0"/>
              </w:rPr>
            </w:pPr>
            <w:r w:rsidRPr="00E0730F">
              <w:t>Stakeholder</w:t>
            </w:r>
          </w:p>
        </w:tc>
        <w:tc>
          <w:tcPr>
            <w:tcW w:w="0" w:type="auto"/>
            <w:hideMark/>
          </w:tcPr>
          <w:p w14:paraId="63787CEF"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Responsibilities</w:t>
            </w:r>
          </w:p>
        </w:tc>
        <w:tc>
          <w:tcPr>
            <w:tcW w:w="0" w:type="auto"/>
            <w:hideMark/>
          </w:tcPr>
          <w:p w14:paraId="205DD097"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Benefits</w:t>
            </w:r>
          </w:p>
        </w:tc>
        <w:tc>
          <w:tcPr>
            <w:tcW w:w="0" w:type="auto"/>
            <w:hideMark/>
          </w:tcPr>
          <w:p w14:paraId="4A17FCAF"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Challenges</w:t>
            </w:r>
          </w:p>
        </w:tc>
      </w:tr>
      <w:tr w:rsidR="00E0730F" w:rsidRPr="00E0730F" w14:paraId="6F2E56BE"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90314" w14:textId="77777777" w:rsidR="00E0730F" w:rsidRPr="00E0730F" w:rsidRDefault="00E0730F" w:rsidP="00E0730F">
            <w:r w:rsidRPr="00E0730F">
              <w:t>Executive Board</w:t>
            </w:r>
          </w:p>
        </w:tc>
        <w:tc>
          <w:tcPr>
            <w:tcW w:w="0" w:type="auto"/>
            <w:hideMark/>
          </w:tcPr>
          <w:p w14:paraId="50F7EB29"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Strategic decisions</w:t>
            </w:r>
          </w:p>
        </w:tc>
        <w:tc>
          <w:tcPr>
            <w:tcW w:w="0" w:type="auto"/>
            <w:hideMark/>
          </w:tcPr>
          <w:p w14:paraId="52055604"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Funding</w:t>
            </w:r>
          </w:p>
        </w:tc>
        <w:tc>
          <w:tcPr>
            <w:tcW w:w="0" w:type="auto"/>
            <w:hideMark/>
          </w:tcPr>
          <w:p w14:paraId="31C1B44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Strategic conflicts</w:t>
            </w:r>
          </w:p>
        </w:tc>
      </w:tr>
      <w:tr w:rsidR="00E0730F" w:rsidRPr="00E0730F" w14:paraId="064B9EF4"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5FC2AB63" w14:textId="77777777" w:rsidR="00E0730F" w:rsidRPr="00E0730F" w:rsidRDefault="00E0730F" w:rsidP="00E0730F">
            <w:r w:rsidRPr="00E0730F">
              <w:t>Project Manager</w:t>
            </w:r>
          </w:p>
        </w:tc>
        <w:tc>
          <w:tcPr>
            <w:tcW w:w="0" w:type="auto"/>
            <w:hideMark/>
          </w:tcPr>
          <w:p w14:paraId="4A35D24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Delivery</w:t>
            </w:r>
          </w:p>
        </w:tc>
        <w:tc>
          <w:tcPr>
            <w:tcW w:w="0" w:type="auto"/>
            <w:hideMark/>
          </w:tcPr>
          <w:p w14:paraId="0DCFC09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Coordination</w:t>
            </w:r>
          </w:p>
        </w:tc>
        <w:tc>
          <w:tcPr>
            <w:tcW w:w="0" w:type="auto"/>
            <w:hideMark/>
          </w:tcPr>
          <w:p w14:paraId="761B0995"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Time &amp; cost pressures</w:t>
            </w:r>
          </w:p>
        </w:tc>
      </w:tr>
      <w:tr w:rsidR="00E0730F" w:rsidRPr="00E0730F" w14:paraId="45F37D4A"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1DBA01" w14:textId="77777777" w:rsidR="00E0730F" w:rsidRPr="00E0730F" w:rsidRDefault="00E0730F" w:rsidP="00E0730F">
            <w:r w:rsidRPr="00E0730F">
              <w:t>IT Team</w:t>
            </w:r>
          </w:p>
        </w:tc>
        <w:tc>
          <w:tcPr>
            <w:tcW w:w="0" w:type="auto"/>
            <w:hideMark/>
          </w:tcPr>
          <w:p w14:paraId="7575772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System development</w:t>
            </w:r>
          </w:p>
        </w:tc>
        <w:tc>
          <w:tcPr>
            <w:tcW w:w="0" w:type="auto"/>
            <w:hideMark/>
          </w:tcPr>
          <w:p w14:paraId="3668F540"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Innovation</w:t>
            </w:r>
          </w:p>
        </w:tc>
        <w:tc>
          <w:tcPr>
            <w:tcW w:w="0" w:type="auto"/>
            <w:hideMark/>
          </w:tcPr>
          <w:p w14:paraId="7395693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Cybersecurity</w:t>
            </w:r>
          </w:p>
        </w:tc>
      </w:tr>
      <w:tr w:rsidR="00E0730F" w:rsidRPr="00E0730F" w14:paraId="40832A23"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291A4CD6" w14:textId="77777777" w:rsidR="00E0730F" w:rsidRPr="00E0730F" w:rsidRDefault="00E0730F" w:rsidP="00E0730F">
            <w:r w:rsidRPr="00E0730F">
              <w:t>Marketing</w:t>
            </w:r>
          </w:p>
        </w:tc>
        <w:tc>
          <w:tcPr>
            <w:tcW w:w="0" w:type="auto"/>
            <w:hideMark/>
          </w:tcPr>
          <w:p w14:paraId="7102761F"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Campaigns</w:t>
            </w:r>
          </w:p>
        </w:tc>
        <w:tc>
          <w:tcPr>
            <w:tcW w:w="0" w:type="auto"/>
            <w:hideMark/>
          </w:tcPr>
          <w:p w14:paraId="067A6EF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Brand awareness</w:t>
            </w:r>
          </w:p>
        </w:tc>
        <w:tc>
          <w:tcPr>
            <w:tcW w:w="0" w:type="auto"/>
            <w:hideMark/>
          </w:tcPr>
          <w:p w14:paraId="21FEA16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Cultural adaptation</w:t>
            </w:r>
          </w:p>
        </w:tc>
      </w:tr>
      <w:tr w:rsidR="00E0730F" w:rsidRPr="00E0730F" w14:paraId="22CED2C4"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F45743" w14:textId="77777777" w:rsidR="00E0730F" w:rsidRPr="00E0730F" w:rsidRDefault="00E0730F" w:rsidP="00E0730F">
            <w:r w:rsidRPr="00E0730F">
              <w:t>Legal</w:t>
            </w:r>
          </w:p>
        </w:tc>
        <w:tc>
          <w:tcPr>
            <w:tcW w:w="0" w:type="auto"/>
            <w:hideMark/>
          </w:tcPr>
          <w:p w14:paraId="72C450F2"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GDPR compliance</w:t>
            </w:r>
          </w:p>
        </w:tc>
        <w:tc>
          <w:tcPr>
            <w:tcW w:w="0" w:type="auto"/>
            <w:hideMark/>
          </w:tcPr>
          <w:p w14:paraId="7062492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Risk reduction</w:t>
            </w:r>
          </w:p>
        </w:tc>
        <w:tc>
          <w:tcPr>
            <w:tcW w:w="0" w:type="auto"/>
            <w:hideMark/>
          </w:tcPr>
          <w:p w14:paraId="059E3E75"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Different regulations</w:t>
            </w:r>
          </w:p>
        </w:tc>
      </w:tr>
      <w:tr w:rsidR="00E0730F" w:rsidRPr="00E0730F" w14:paraId="4897B32E" w14:textId="77777777" w:rsidTr="00F25377">
        <w:tc>
          <w:tcPr>
            <w:cnfStyle w:val="001000000000" w:firstRow="0" w:lastRow="0" w:firstColumn="1" w:lastColumn="0" w:oddVBand="0" w:evenVBand="0" w:oddHBand="0" w:evenHBand="0" w:firstRowFirstColumn="0" w:firstRowLastColumn="0" w:lastRowFirstColumn="0" w:lastRowLastColumn="0"/>
            <w:tcW w:w="0" w:type="auto"/>
            <w:hideMark/>
          </w:tcPr>
          <w:p w14:paraId="73786EE2" w14:textId="77777777" w:rsidR="00E0730F" w:rsidRPr="00E0730F" w:rsidRDefault="00E0730F" w:rsidP="00E0730F">
            <w:r w:rsidRPr="00E0730F">
              <w:t>Customers</w:t>
            </w:r>
          </w:p>
        </w:tc>
        <w:tc>
          <w:tcPr>
            <w:tcW w:w="0" w:type="auto"/>
            <w:hideMark/>
          </w:tcPr>
          <w:p w14:paraId="6E42D174"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Feedback</w:t>
            </w:r>
          </w:p>
        </w:tc>
        <w:tc>
          <w:tcPr>
            <w:tcW w:w="0" w:type="auto"/>
            <w:hideMark/>
          </w:tcPr>
          <w:p w14:paraId="146A4B00"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Better experience</w:t>
            </w:r>
          </w:p>
        </w:tc>
        <w:tc>
          <w:tcPr>
            <w:tcW w:w="0" w:type="auto"/>
            <w:hideMark/>
          </w:tcPr>
          <w:p w14:paraId="4CCBFC37"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Privacy concerns</w:t>
            </w:r>
          </w:p>
        </w:tc>
      </w:tr>
      <w:tr w:rsidR="00E0730F" w:rsidRPr="00E0730F" w14:paraId="6F3C1DE3" w14:textId="77777777" w:rsidTr="00F253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1C672" w14:textId="77777777" w:rsidR="00E0730F" w:rsidRPr="00E0730F" w:rsidRDefault="00E0730F" w:rsidP="00E0730F">
            <w:r w:rsidRPr="00E0730F">
              <w:t>Vendors</w:t>
            </w:r>
          </w:p>
        </w:tc>
        <w:tc>
          <w:tcPr>
            <w:tcW w:w="0" w:type="auto"/>
            <w:hideMark/>
          </w:tcPr>
          <w:p w14:paraId="6AE70257"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AI technology</w:t>
            </w:r>
          </w:p>
        </w:tc>
        <w:tc>
          <w:tcPr>
            <w:tcW w:w="0" w:type="auto"/>
            <w:hideMark/>
          </w:tcPr>
          <w:p w14:paraId="3B51B86B"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Expertise</w:t>
            </w:r>
          </w:p>
        </w:tc>
        <w:tc>
          <w:tcPr>
            <w:tcW w:w="0" w:type="auto"/>
            <w:hideMark/>
          </w:tcPr>
          <w:p w14:paraId="491CC19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System integration</w:t>
            </w:r>
          </w:p>
        </w:tc>
      </w:tr>
    </w:tbl>
    <w:p w14:paraId="36CFCCA7" w14:textId="2C3835E6" w:rsidR="00E0730F" w:rsidRPr="00E0730F" w:rsidRDefault="00E0730F" w:rsidP="00E0730F"/>
    <w:p w14:paraId="3812A562" w14:textId="77777777" w:rsidR="000B0BD1" w:rsidRDefault="000B0BD1" w:rsidP="00E0730F">
      <w:pPr>
        <w:rPr>
          <w:b/>
          <w:bCs/>
        </w:rPr>
      </w:pPr>
    </w:p>
    <w:p w14:paraId="6F2E3B20" w14:textId="77777777" w:rsidR="000B0BD1" w:rsidRDefault="000B0BD1" w:rsidP="00E0730F">
      <w:pPr>
        <w:rPr>
          <w:b/>
          <w:bCs/>
        </w:rPr>
      </w:pPr>
    </w:p>
    <w:p w14:paraId="06758AA2" w14:textId="77777777" w:rsidR="000B0BD1" w:rsidRDefault="000B0BD1" w:rsidP="00E0730F">
      <w:pPr>
        <w:rPr>
          <w:b/>
          <w:bCs/>
        </w:rPr>
      </w:pPr>
    </w:p>
    <w:p w14:paraId="41824EB3" w14:textId="77777777" w:rsidR="000B0BD1" w:rsidRDefault="000B0BD1" w:rsidP="00E0730F">
      <w:pPr>
        <w:rPr>
          <w:b/>
          <w:bCs/>
        </w:rPr>
      </w:pPr>
    </w:p>
    <w:p w14:paraId="31132FAD" w14:textId="77777777" w:rsidR="000B0BD1" w:rsidRDefault="000B0BD1" w:rsidP="00E0730F">
      <w:pPr>
        <w:rPr>
          <w:b/>
          <w:bCs/>
        </w:rPr>
      </w:pPr>
    </w:p>
    <w:p w14:paraId="5CEAEC52" w14:textId="3F12033E" w:rsidR="00E0730F" w:rsidRPr="00E0730F" w:rsidRDefault="00E0730F" w:rsidP="00E0730F">
      <w:pPr>
        <w:rPr>
          <w:b/>
          <w:bCs/>
        </w:rPr>
      </w:pPr>
      <w:r w:rsidRPr="00E0730F">
        <w:rPr>
          <w:b/>
          <w:bCs/>
        </w:rPr>
        <w:t>5. Stakeholder Engagement Process and Conflict Management</w:t>
      </w:r>
    </w:p>
    <w:p w14:paraId="714F0B20" w14:textId="77777777" w:rsidR="00E0730F" w:rsidRDefault="00E0730F" w:rsidP="00E0730F">
      <w:pPr>
        <w:rPr>
          <w:b/>
          <w:bCs/>
        </w:rPr>
      </w:pPr>
      <w:r w:rsidRPr="00E0730F">
        <w:rPr>
          <w:b/>
          <w:bCs/>
        </w:rPr>
        <w:t>5.1 Stakeholder Engagement Process</w:t>
      </w:r>
    </w:p>
    <w:p w14:paraId="25B4A9FD" w14:textId="2449EB3D" w:rsidR="00AD04EE" w:rsidRPr="00AD04EE" w:rsidRDefault="00E0730F" w:rsidP="00E0730F">
      <w:pPr>
        <w:rPr>
          <w:rFonts w:ascii="Arial" w:hAnsi="Arial" w:cs="Arial"/>
          <w:sz w:val="22"/>
          <w:szCs w:val="22"/>
        </w:rPr>
      </w:pPr>
      <w:r w:rsidRPr="00E0730F">
        <w:t xml:space="preserve"> </w:t>
      </w:r>
      <w:r w:rsidR="00AD04EE" w:rsidRPr="00AD04EE">
        <w:rPr>
          <w:rFonts w:ascii="Arial" w:hAnsi="Arial" w:cs="Arial"/>
          <w:sz w:val="22"/>
          <w:szCs w:val="22"/>
        </w:rPr>
        <w:t>An effective stakeholder engagement process is essential for the successful implementation of ConnectPlus. The project will follow the stakeholder engagement cycle recommended by the Project Management Institute, which includes identifying stakeholders, analysing their interests and influence, planning appropriate engagement strategies, implementing communication activities, monitoring stakeholder responses, and reviewing engagement outcomes throughout the project lifecycle. Continuous engagement enables the project manager to address stakeholder concerns, manage expectations, and encourage active participation in decision-making. Regular feedback sessions, progress reviews, and performance evaluations ensure that stakeholder relationships remain strong, risks are identified early, and the project remains aligned with organisational objectives and customer expectations.</w:t>
      </w:r>
    </w:p>
    <w:p w14:paraId="006ABD92" w14:textId="5030D016" w:rsidR="00E0730F" w:rsidRDefault="00E0730F" w:rsidP="00E0730F">
      <w:r w:rsidRPr="00E0730F">
        <w:t>PMBOK Stakeholder Engagement Cycle</w:t>
      </w:r>
    </w:p>
    <w:p w14:paraId="2DD1DD3A" w14:textId="0D76D280" w:rsidR="00BA1B6A" w:rsidRDefault="00B029F0" w:rsidP="00E0730F">
      <w:r>
        <w:rPr>
          <w:noProof/>
        </w:rPr>
        <w:drawing>
          <wp:inline distT="0" distB="0" distL="0" distR="0" wp14:anchorId="227641A2" wp14:editId="720B1900">
            <wp:extent cx="5486400" cy="3200400"/>
            <wp:effectExtent l="0" t="0" r="0" b="19050"/>
            <wp:docPr id="731741750"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2696F4F3" w14:textId="77777777" w:rsidR="00E0730F" w:rsidRPr="00E0730F" w:rsidRDefault="00E0730F" w:rsidP="00E0730F">
      <w:pPr>
        <w:rPr>
          <w:b/>
          <w:bCs/>
        </w:rPr>
      </w:pPr>
      <w:r w:rsidRPr="00E0730F">
        <w:rPr>
          <w:b/>
          <w:bCs/>
        </w:rPr>
        <w:t>5.2 Communication Plan</w:t>
      </w:r>
    </w:p>
    <w:tbl>
      <w:tblPr>
        <w:tblStyle w:val="GridTable4-Accent6"/>
        <w:tblW w:w="0" w:type="auto"/>
        <w:tblLook w:val="04A0" w:firstRow="1" w:lastRow="0" w:firstColumn="1" w:lastColumn="0" w:noHBand="0" w:noVBand="1"/>
      </w:tblPr>
      <w:tblGrid>
        <w:gridCol w:w="1672"/>
        <w:gridCol w:w="2406"/>
        <w:gridCol w:w="1493"/>
      </w:tblGrid>
      <w:tr w:rsidR="00E0730F" w:rsidRPr="00E0730F" w14:paraId="20E21C02" w14:textId="77777777" w:rsidTr="00B837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14180256" w14:textId="77777777" w:rsidR="00E0730F" w:rsidRPr="00E0730F" w:rsidRDefault="00E0730F" w:rsidP="00E0730F">
            <w:pPr>
              <w:rPr>
                <w:b w:val="0"/>
                <w:bCs w:val="0"/>
              </w:rPr>
            </w:pPr>
            <w:r w:rsidRPr="00E0730F">
              <w:t>Stakeholder</w:t>
            </w:r>
          </w:p>
        </w:tc>
        <w:tc>
          <w:tcPr>
            <w:tcW w:w="2406" w:type="dxa"/>
            <w:hideMark/>
          </w:tcPr>
          <w:p w14:paraId="781E6429"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Method</w:t>
            </w:r>
          </w:p>
        </w:tc>
        <w:tc>
          <w:tcPr>
            <w:tcW w:w="1493" w:type="dxa"/>
            <w:hideMark/>
          </w:tcPr>
          <w:p w14:paraId="40F562F5"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Frequency</w:t>
            </w:r>
          </w:p>
        </w:tc>
      </w:tr>
      <w:tr w:rsidR="00E0730F" w:rsidRPr="00E0730F" w14:paraId="5ECF9DFB"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1D594BC0" w14:textId="77777777" w:rsidR="00E0730F" w:rsidRPr="00E0730F" w:rsidRDefault="00E0730F" w:rsidP="00E0730F">
            <w:r w:rsidRPr="00E0730F">
              <w:t>Board</w:t>
            </w:r>
          </w:p>
        </w:tc>
        <w:tc>
          <w:tcPr>
            <w:tcW w:w="2406" w:type="dxa"/>
            <w:hideMark/>
          </w:tcPr>
          <w:p w14:paraId="05BBC21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Monthly reports</w:t>
            </w:r>
          </w:p>
        </w:tc>
        <w:tc>
          <w:tcPr>
            <w:tcW w:w="1493" w:type="dxa"/>
            <w:hideMark/>
          </w:tcPr>
          <w:p w14:paraId="0F12C9A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Monthly</w:t>
            </w:r>
          </w:p>
        </w:tc>
      </w:tr>
      <w:tr w:rsidR="00E0730F" w:rsidRPr="00E0730F" w14:paraId="25AC3A4D" w14:textId="77777777" w:rsidTr="00B8379D">
        <w:tc>
          <w:tcPr>
            <w:cnfStyle w:val="001000000000" w:firstRow="0" w:lastRow="0" w:firstColumn="1" w:lastColumn="0" w:oddVBand="0" w:evenVBand="0" w:oddHBand="0" w:evenHBand="0" w:firstRowFirstColumn="0" w:firstRowLastColumn="0" w:lastRowFirstColumn="0" w:lastRowLastColumn="0"/>
            <w:tcW w:w="1672" w:type="dxa"/>
            <w:hideMark/>
          </w:tcPr>
          <w:p w14:paraId="5DEC7F7F" w14:textId="77777777" w:rsidR="00E0730F" w:rsidRPr="00E0730F" w:rsidRDefault="00E0730F" w:rsidP="00E0730F">
            <w:r w:rsidRPr="00E0730F">
              <w:t>Employees</w:t>
            </w:r>
          </w:p>
        </w:tc>
        <w:tc>
          <w:tcPr>
            <w:tcW w:w="2406" w:type="dxa"/>
            <w:hideMark/>
          </w:tcPr>
          <w:p w14:paraId="54E418C1"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Workshops</w:t>
            </w:r>
          </w:p>
        </w:tc>
        <w:tc>
          <w:tcPr>
            <w:tcW w:w="1493" w:type="dxa"/>
            <w:hideMark/>
          </w:tcPr>
          <w:p w14:paraId="4D969A5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Weekly</w:t>
            </w:r>
          </w:p>
        </w:tc>
      </w:tr>
      <w:tr w:rsidR="00E0730F" w:rsidRPr="00E0730F" w14:paraId="756ACD6F"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5B455A03" w14:textId="77777777" w:rsidR="00E0730F" w:rsidRPr="00E0730F" w:rsidRDefault="00E0730F" w:rsidP="00E0730F">
            <w:r w:rsidRPr="00E0730F">
              <w:t>Customers</w:t>
            </w:r>
          </w:p>
        </w:tc>
        <w:tc>
          <w:tcPr>
            <w:tcW w:w="2406" w:type="dxa"/>
            <w:hideMark/>
          </w:tcPr>
          <w:p w14:paraId="0E9B0E38"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Email &amp; App</w:t>
            </w:r>
          </w:p>
        </w:tc>
        <w:tc>
          <w:tcPr>
            <w:tcW w:w="1493" w:type="dxa"/>
            <w:hideMark/>
          </w:tcPr>
          <w:p w14:paraId="6D7D27B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Fortnightly</w:t>
            </w:r>
          </w:p>
        </w:tc>
      </w:tr>
      <w:tr w:rsidR="00E0730F" w:rsidRPr="00E0730F" w14:paraId="27D92718" w14:textId="77777777" w:rsidTr="00B8379D">
        <w:tc>
          <w:tcPr>
            <w:cnfStyle w:val="001000000000" w:firstRow="0" w:lastRow="0" w:firstColumn="1" w:lastColumn="0" w:oddVBand="0" w:evenVBand="0" w:oddHBand="0" w:evenHBand="0" w:firstRowFirstColumn="0" w:firstRowLastColumn="0" w:lastRowFirstColumn="0" w:lastRowLastColumn="0"/>
            <w:tcW w:w="1672" w:type="dxa"/>
            <w:hideMark/>
          </w:tcPr>
          <w:p w14:paraId="1D580FB1" w14:textId="77777777" w:rsidR="00E0730F" w:rsidRPr="00E0730F" w:rsidRDefault="00E0730F" w:rsidP="00E0730F">
            <w:r w:rsidRPr="00E0730F">
              <w:lastRenderedPageBreak/>
              <w:t>Vendors</w:t>
            </w:r>
          </w:p>
        </w:tc>
        <w:tc>
          <w:tcPr>
            <w:tcW w:w="2406" w:type="dxa"/>
            <w:hideMark/>
          </w:tcPr>
          <w:p w14:paraId="565EB039"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Teams meetings</w:t>
            </w:r>
          </w:p>
        </w:tc>
        <w:tc>
          <w:tcPr>
            <w:tcW w:w="1493" w:type="dxa"/>
            <w:hideMark/>
          </w:tcPr>
          <w:p w14:paraId="099B5A05"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Weekly</w:t>
            </w:r>
          </w:p>
        </w:tc>
      </w:tr>
      <w:tr w:rsidR="00E0730F" w:rsidRPr="00E0730F" w14:paraId="7C911EC8" w14:textId="77777777" w:rsidTr="00B837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2" w:type="dxa"/>
            <w:hideMark/>
          </w:tcPr>
          <w:p w14:paraId="50BD7CD0" w14:textId="77777777" w:rsidR="00E0730F" w:rsidRPr="00E0730F" w:rsidRDefault="00E0730F" w:rsidP="00E0730F">
            <w:r w:rsidRPr="00E0730F">
              <w:t>Regulators</w:t>
            </w:r>
          </w:p>
        </w:tc>
        <w:tc>
          <w:tcPr>
            <w:tcW w:w="2406" w:type="dxa"/>
            <w:hideMark/>
          </w:tcPr>
          <w:p w14:paraId="106A2124"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Compliance reports</w:t>
            </w:r>
          </w:p>
        </w:tc>
        <w:tc>
          <w:tcPr>
            <w:tcW w:w="1493" w:type="dxa"/>
            <w:hideMark/>
          </w:tcPr>
          <w:p w14:paraId="528612EE"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Quarterly</w:t>
            </w:r>
          </w:p>
        </w:tc>
      </w:tr>
    </w:tbl>
    <w:p w14:paraId="6B804C34" w14:textId="77777777" w:rsidR="00B8379D" w:rsidRDefault="00B8379D" w:rsidP="00E0730F"/>
    <w:p w14:paraId="2C3DA06E" w14:textId="42D13E4D" w:rsidR="00E0730F" w:rsidRPr="00E0730F" w:rsidRDefault="00B8379D" w:rsidP="00E0730F">
      <w:r w:rsidRPr="00B8379D">
        <w:t>A structured communication plan is essential for maintaining transparency, collaboration, and stakeholder commitment throughout the ConnectPlus project. The project manager will establish clear communication channels, methods, frequencies, and responsibilities tailored to each stakeholder group. Senior management will receive monthly progress reports and strategic review meetings, while project teams will participate in weekly meetings to monitor tasks and resolve issues. Employees will be engaged through training sessions, workshops, and internal newsletters, whereas customers will receive updates through emails, mobile notifications, and social media campaigns. Technology vendors and regulatory authorities will participate in scheduled review meetings and compliance reporting. Effective communication promotes timely information sharing, strengthens stakeholder trust, reduces misunderstandings, and supports informed decision-making across international markets.</w:t>
      </w:r>
      <w:r w:rsidRPr="00B8379D">
        <w:t xml:space="preserve"> </w:t>
      </w:r>
    </w:p>
    <w:p w14:paraId="53405774" w14:textId="77777777" w:rsidR="00E0730F" w:rsidRPr="00E0730F" w:rsidRDefault="00E0730F" w:rsidP="00E0730F">
      <w:pPr>
        <w:rPr>
          <w:b/>
          <w:bCs/>
        </w:rPr>
      </w:pPr>
      <w:r w:rsidRPr="00E0730F">
        <w:rPr>
          <w:b/>
          <w:bCs/>
        </w:rPr>
        <w:t>5.3 RACI Matrix</w:t>
      </w:r>
    </w:p>
    <w:p w14:paraId="11F949A1" w14:textId="6F480EDA" w:rsidR="00B8379D" w:rsidRPr="00B01227" w:rsidRDefault="00B8379D" w:rsidP="00E0730F">
      <w:r w:rsidRPr="00B01227">
        <w:t>The RACI Matrix is an effective responsibility assignment tool that clarifies stakeholder roles and improves accountability throughout the ConnectPlus project. It categorises stakeholders as Responsible (R) for completing tasks, Accountable (A) for final decision-making, Consulted (C) for providing expertise and feedback, and Informed (I) for receiving project updates. For example, the Project Manager is accountable for project delivery, the IT Department is responsible for system development, the Legal and Compliance Team is consulted on regulatory matters, while the Executive Board is informed of project progress and strategic outcomes. Clearly defined responsibilities reduce role ambiguity, improve collaboration, minimise duplication of effort, and support timely decision-making throughout the project lifecycle.</w:t>
      </w:r>
    </w:p>
    <w:tbl>
      <w:tblPr>
        <w:tblStyle w:val="GridTable4-Accent6"/>
        <w:tblW w:w="0" w:type="auto"/>
        <w:tblLook w:val="04A0" w:firstRow="1" w:lastRow="0" w:firstColumn="1" w:lastColumn="0" w:noHBand="0" w:noVBand="1"/>
      </w:tblPr>
      <w:tblGrid>
        <w:gridCol w:w="2465"/>
        <w:gridCol w:w="559"/>
        <w:gridCol w:w="408"/>
        <w:gridCol w:w="1302"/>
        <w:gridCol w:w="797"/>
        <w:gridCol w:w="698"/>
      </w:tblGrid>
      <w:tr w:rsidR="00E0730F" w:rsidRPr="00E0730F" w14:paraId="6947463A" w14:textId="77777777" w:rsidTr="00C924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F6DE1D" w14:textId="77777777" w:rsidR="00E0730F" w:rsidRPr="00E0730F" w:rsidRDefault="00E0730F" w:rsidP="00E0730F">
            <w:pPr>
              <w:rPr>
                <w:b w:val="0"/>
                <w:bCs w:val="0"/>
              </w:rPr>
            </w:pPr>
            <w:r w:rsidRPr="00E0730F">
              <w:t>Activity</w:t>
            </w:r>
          </w:p>
        </w:tc>
        <w:tc>
          <w:tcPr>
            <w:tcW w:w="0" w:type="auto"/>
            <w:hideMark/>
          </w:tcPr>
          <w:p w14:paraId="4EB3CE7C"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PM</w:t>
            </w:r>
          </w:p>
        </w:tc>
        <w:tc>
          <w:tcPr>
            <w:tcW w:w="0" w:type="auto"/>
            <w:hideMark/>
          </w:tcPr>
          <w:p w14:paraId="63053D9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IT</w:t>
            </w:r>
          </w:p>
        </w:tc>
        <w:tc>
          <w:tcPr>
            <w:tcW w:w="0" w:type="auto"/>
            <w:hideMark/>
          </w:tcPr>
          <w:p w14:paraId="5B19B6A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Marketing</w:t>
            </w:r>
          </w:p>
        </w:tc>
        <w:tc>
          <w:tcPr>
            <w:tcW w:w="0" w:type="auto"/>
            <w:hideMark/>
          </w:tcPr>
          <w:p w14:paraId="04821AB7"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Legal</w:t>
            </w:r>
          </w:p>
        </w:tc>
        <w:tc>
          <w:tcPr>
            <w:tcW w:w="0" w:type="auto"/>
            <w:hideMark/>
          </w:tcPr>
          <w:p w14:paraId="0E47885E" w14:textId="77777777" w:rsidR="00E0730F" w:rsidRPr="00E0730F" w:rsidRDefault="00E0730F" w:rsidP="00E0730F">
            <w:pPr>
              <w:cnfStyle w:val="100000000000" w:firstRow="1" w:lastRow="0" w:firstColumn="0" w:lastColumn="0" w:oddVBand="0" w:evenVBand="0" w:oddHBand="0" w:evenHBand="0" w:firstRowFirstColumn="0" w:firstRowLastColumn="0" w:lastRowFirstColumn="0" w:lastRowLastColumn="0"/>
              <w:rPr>
                <w:b w:val="0"/>
                <w:bCs w:val="0"/>
              </w:rPr>
            </w:pPr>
            <w:r w:rsidRPr="00E0730F">
              <w:t>CEO</w:t>
            </w:r>
          </w:p>
        </w:tc>
      </w:tr>
      <w:tr w:rsidR="00E0730F" w:rsidRPr="00E0730F" w14:paraId="637B352A" w14:textId="77777777" w:rsidTr="00C924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5E153B" w14:textId="77777777" w:rsidR="00E0730F" w:rsidRPr="00E0730F" w:rsidRDefault="00E0730F" w:rsidP="00E0730F">
            <w:r w:rsidRPr="00E0730F">
              <w:t>AI Design</w:t>
            </w:r>
          </w:p>
        </w:tc>
        <w:tc>
          <w:tcPr>
            <w:tcW w:w="0" w:type="auto"/>
            <w:hideMark/>
          </w:tcPr>
          <w:p w14:paraId="2A61636F"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w:t>
            </w:r>
          </w:p>
        </w:tc>
        <w:tc>
          <w:tcPr>
            <w:tcW w:w="0" w:type="auto"/>
            <w:hideMark/>
          </w:tcPr>
          <w:p w14:paraId="75305B7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R</w:t>
            </w:r>
          </w:p>
        </w:tc>
        <w:tc>
          <w:tcPr>
            <w:tcW w:w="0" w:type="auto"/>
            <w:hideMark/>
          </w:tcPr>
          <w:p w14:paraId="5B328CC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3D50458D"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4B890B1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r>
      <w:tr w:rsidR="00E0730F" w:rsidRPr="00E0730F" w14:paraId="76412F1D" w14:textId="77777777" w:rsidTr="00C9241E">
        <w:tc>
          <w:tcPr>
            <w:cnfStyle w:val="001000000000" w:firstRow="0" w:lastRow="0" w:firstColumn="1" w:lastColumn="0" w:oddVBand="0" w:evenVBand="0" w:oddHBand="0" w:evenHBand="0" w:firstRowFirstColumn="0" w:firstRowLastColumn="0" w:lastRowFirstColumn="0" w:lastRowLastColumn="0"/>
            <w:tcW w:w="0" w:type="auto"/>
            <w:hideMark/>
          </w:tcPr>
          <w:p w14:paraId="08B374DD" w14:textId="77777777" w:rsidR="00E0730F" w:rsidRPr="00E0730F" w:rsidRDefault="00E0730F" w:rsidP="00E0730F">
            <w:r w:rsidRPr="00E0730F">
              <w:t>Data Protection</w:t>
            </w:r>
          </w:p>
        </w:tc>
        <w:tc>
          <w:tcPr>
            <w:tcW w:w="0" w:type="auto"/>
            <w:hideMark/>
          </w:tcPr>
          <w:p w14:paraId="6796E546"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c>
          <w:tcPr>
            <w:tcW w:w="0" w:type="auto"/>
            <w:hideMark/>
          </w:tcPr>
          <w:p w14:paraId="22E6A7F7"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05C67A0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c>
          <w:tcPr>
            <w:tcW w:w="0" w:type="auto"/>
            <w:hideMark/>
          </w:tcPr>
          <w:p w14:paraId="2A4473CD"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A</w:t>
            </w:r>
          </w:p>
        </w:tc>
        <w:tc>
          <w:tcPr>
            <w:tcW w:w="0" w:type="auto"/>
            <w:hideMark/>
          </w:tcPr>
          <w:p w14:paraId="1F1B52B8"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r>
      <w:tr w:rsidR="00E0730F" w:rsidRPr="00E0730F" w14:paraId="36E0B46F" w14:textId="77777777" w:rsidTr="00C924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9564F" w14:textId="77777777" w:rsidR="00E0730F" w:rsidRPr="00E0730F" w:rsidRDefault="00E0730F" w:rsidP="00E0730F">
            <w:r w:rsidRPr="00E0730F">
              <w:t>Marketing Campaign</w:t>
            </w:r>
          </w:p>
        </w:tc>
        <w:tc>
          <w:tcPr>
            <w:tcW w:w="0" w:type="auto"/>
            <w:hideMark/>
          </w:tcPr>
          <w:p w14:paraId="0A30E866"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1150406A"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c>
          <w:tcPr>
            <w:tcW w:w="0" w:type="auto"/>
            <w:hideMark/>
          </w:tcPr>
          <w:p w14:paraId="4EC3CE31"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A</w:t>
            </w:r>
          </w:p>
        </w:tc>
        <w:tc>
          <w:tcPr>
            <w:tcW w:w="0" w:type="auto"/>
            <w:hideMark/>
          </w:tcPr>
          <w:p w14:paraId="48CA03AB"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C</w:t>
            </w:r>
          </w:p>
        </w:tc>
        <w:tc>
          <w:tcPr>
            <w:tcW w:w="0" w:type="auto"/>
            <w:hideMark/>
          </w:tcPr>
          <w:p w14:paraId="08FB971C" w14:textId="77777777" w:rsidR="00E0730F" w:rsidRPr="00E0730F" w:rsidRDefault="00E0730F" w:rsidP="00E0730F">
            <w:pPr>
              <w:cnfStyle w:val="000000100000" w:firstRow="0" w:lastRow="0" w:firstColumn="0" w:lastColumn="0" w:oddVBand="0" w:evenVBand="0" w:oddHBand="1" w:evenHBand="0" w:firstRowFirstColumn="0" w:firstRowLastColumn="0" w:lastRowFirstColumn="0" w:lastRowLastColumn="0"/>
            </w:pPr>
            <w:r w:rsidRPr="00E0730F">
              <w:t>I</w:t>
            </w:r>
          </w:p>
        </w:tc>
      </w:tr>
      <w:tr w:rsidR="00E0730F" w:rsidRPr="00E0730F" w14:paraId="53D81A8E" w14:textId="77777777" w:rsidTr="00C9241E">
        <w:tc>
          <w:tcPr>
            <w:cnfStyle w:val="001000000000" w:firstRow="0" w:lastRow="0" w:firstColumn="1" w:lastColumn="0" w:oddVBand="0" w:evenVBand="0" w:oddHBand="0" w:evenHBand="0" w:firstRowFirstColumn="0" w:firstRowLastColumn="0" w:lastRowFirstColumn="0" w:lastRowLastColumn="0"/>
            <w:tcW w:w="0" w:type="auto"/>
            <w:hideMark/>
          </w:tcPr>
          <w:p w14:paraId="6576E70E" w14:textId="77777777" w:rsidR="00E0730F" w:rsidRPr="00E0730F" w:rsidRDefault="00E0730F" w:rsidP="00E0730F">
            <w:r w:rsidRPr="00E0730F">
              <w:t>Launch</w:t>
            </w:r>
          </w:p>
        </w:tc>
        <w:tc>
          <w:tcPr>
            <w:tcW w:w="0" w:type="auto"/>
            <w:hideMark/>
          </w:tcPr>
          <w:p w14:paraId="1D8AF109"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A</w:t>
            </w:r>
          </w:p>
        </w:tc>
        <w:tc>
          <w:tcPr>
            <w:tcW w:w="0" w:type="auto"/>
            <w:hideMark/>
          </w:tcPr>
          <w:p w14:paraId="764D9DCA"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1AAB3F14"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R</w:t>
            </w:r>
          </w:p>
        </w:tc>
        <w:tc>
          <w:tcPr>
            <w:tcW w:w="0" w:type="auto"/>
            <w:hideMark/>
          </w:tcPr>
          <w:p w14:paraId="369F9CEF"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C</w:t>
            </w:r>
          </w:p>
        </w:tc>
        <w:tc>
          <w:tcPr>
            <w:tcW w:w="0" w:type="auto"/>
            <w:hideMark/>
          </w:tcPr>
          <w:p w14:paraId="24545F48" w14:textId="77777777" w:rsidR="00E0730F" w:rsidRPr="00E0730F" w:rsidRDefault="00E0730F" w:rsidP="00E0730F">
            <w:pPr>
              <w:cnfStyle w:val="000000000000" w:firstRow="0" w:lastRow="0" w:firstColumn="0" w:lastColumn="0" w:oddVBand="0" w:evenVBand="0" w:oddHBand="0" w:evenHBand="0" w:firstRowFirstColumn="0" w:firstRowLastColumn="0" w:lastRowFirstColumn="0" w:lastRowLastColumn="0"/>
            </w:pPr>
            <w:r w:rsidRPr="00E0730F">
              <w:t>I</w:t>
            </w:r>
          </w:p>
        </w:tc>
      </w:tr>
    </w:tbl>
    <w:p w14:paraId="247FABC7" w14:textId="77777777" w:rsidR="00E0730F" w:rsidRPr="00E0730F" w:rsidRDefault="00E0730F" w:rsidP="00E0730F">
      <w:r w:rsidRPr="00E0730F">
        <w:t>(R = Responsible, A = Accountable)</w:t>
      </w:r>
    </w:p>
    <w:p w14:paraId="180DDA78" w14:textId="704FD8E0" w:rsidR="006F5F7D" w:rsidRDefault="00E0730F" w:rsidP="00E0730F">
      <w:r w:rsidRPr="00E0730F">
        <w:rPr>
          <w:b/>
          <w:bCs/>
        </w:rPr>
        <w:t>5.4 4Cs Model</w:t>
      </w:r>
      <w:r w:rsidR="006F5F7D" w:rsidRPr="006F5F7D">
        <w:t xml:space="preserve"> </w:t>
      </w:r>
    </w:p>
    <w:p w14:paraId="4C8E34EC" w14:textId="40304D2F" w:rsidR="00E0730F" w:rsidRPr="00B01227" w:rsidRDefault="006F5F7D" w:rsidP="00E0730F">
      <w:r w:rsidRPr="00B01227">
        <w:rPr>
          <w:rFonts w:ascii="Arial" w:hAnsi="Arial" w:cs="Arial"/>
          <w:sz w:val="22"/>
          <w:szCs w:val="22"/>
        </w:rPr>
        <w:t xml:space="preserve">The 4Cs Model—Communication, Consultation, Collaboration, and Commitment—provides a structured approach to stakeholder engagement throughout the ConnectPlus project. Communication ensures stakeholders receive timely and accurate project information, while Consultation encourages feedback and incorporates stakeholder perspectives into decision-making. Collaboration promotes teamwork between internal departments, technology vendors, and external partners to achieve shared project objectives. Finally, Commitment focuses on building trust, accountability, and long-term stakeholder support through active </w:t>
      </w:r>
      <w:r w:rsidRPr="00B01227">
        <w:rPr>
          <w:rFonts w:ascii="Arial" w:hAnsi="Arial" w:cs="Arial"/>
          <w:sz w:val="22"/>
          <w:szCs w:val="22"/>
        </w:rPr>
        <w:lastRenderedPageBreak/>
        <w:t>participation and transparent leadership. Applying the 4Cs Model strengthens relationships, reduces resistance to change, improves stakeholder satisfaction, and enhances the likelihood of successfully implementing ConnectPlus across diverse local and international markets.</w:t>
      </w:r>
    </w:p>
    <w:p w14:paraId="11DC9B3F" w14:textId="77777777" w:rsidR="00B01227" w:rsidRDefault="00B01227" w:rsidP="00E0730F">
      <w:pPr>
        <w:rPr>
          <w:b/>
          <w:bCs/>
        </w:rPr>
      </w:pPr>
    </w:p>
    <w:p w14:paraId="726B9F67" w14:textId="0E3B3E95" w:rsidR="00E0730F" w:rsidRPr="00E0730F" w:rsidRDefault="00E0730F" w:rsidP="00E0730F">
      <w:pPr>
        <w:rPr>
          <w:b/>
          <w:bCs/>
        </w:rPr>
      </w:pPr>
      <w:r w:rsidRPr="00E0730F">
        <w:rPr>
          <w:b/>
          <w:bCs/>
        </w:rPr>
        <w:t>5.5 Conflict Management</w:t>
      </w:r>
    </w:p>
    <w:p w14:paraId="0DC5B839" w14:textId="77777777" w:rsidR="008B1432" w:rsidRPr="00B01227" w:rsidRDefault="008B1432" w:rsidP="008B1432">
      <w:pPr>
        <w:rPr>
          <w:rFonts w:ascii="Arial" w:hAnsi="Arial" w:cs="Arial"/>
          <w:sz w:val="22"/>
          <w:szCs w:val="22"/>
        </w:rPr>
      </w:pPr>
      <w:r w:rsidRPr="00B01227">
        <w:rPr>
          <w:rFonts w:ascii="Arial" w:hAnsi="Arial" w:cs="Arial"/>
          <w:sz w:val="22"/>
          <w:szCs w:val="22"/>
        </w:rPr>
        <w:t>Conflict management is a critical responsibility of the Project Manager during the implementation of ConnectPlus, as diverse stakeholder interests, cultural differences, and competing organisational priorities may lead to disagreements. The Thomas–Kilmann Conflict Mode Instrument (TKI) identifies five conflict-handling approaches: competing, collaborating, compromising, avoiding, and accommodating (Thomas and Kilmann, 1974). For the ConnectPlus project, the collaborating approach is the most appropriate because it encourages open communication, joint problem-solving, and mutually beneficial solutions while maintaining strong stakeholder relationships. The Project Manager should identify conflicts early through regular meetings, feedback sessions, and performance reviews, ensuring that concerns are addressed before they escalate. Where necessary, negotiation and mediation techniques can be used to balance stakeholder expectations and achieve consensus. Effective conflict management enhances trust, improves decision-making, reduces project delays, and supports successful stakeholder engagement across different cultural and international contexts (Project Management Institute, 2021). By fostering collaboration and transparency, the project team can minimise resistance to change and improve the likelihood of project success.</w:t>
      </w:r>
    </w:p>
    <w:p w14:paraId="13C05E30" w14:textId="77777777" w:rsidR="00FD72EA" w:rsidRDefault="00FD72EA" w:rsidP="00E0730F">
      <w:pPr>
        <w:rPr>
          <w:b/>
          <w:bCs/>
        </w:rPr>
      </w:pPr>
    </w:p>
    <w:p w14:paraId="19CEFDA7" w14:textId="659332D9" w:rsidR="00E0730F" w:rsidRPr="00E0730F" w:rsidRDefault="00E0730F" w:rsidP="00E0730F">
      <w:pPr>
        <w:rPr>
          <w:b/>
          <w:bCs/>
        </w:rPr>
      </w:pPr>
      <w:r w:rsidRPr="00E0730F">
        <w:rPr>
          <w:b/>
          <w:bCs/>
        </w:rPr>
        <w:t>6. Sustainable Stakeholder Engagement and Business Performance</w:t>
      </w:r>
    </w:p>
    <w:p w14:paraId="3FAA4713" w14:textId="77777777" w:rsidR="00286057" w:rsidRPr="00286057" w:rsidRDefault="00286057" w:rsidP="00286057">
      <w:pPr>
        <w:rPr>
          <w:rFonts w:ascii="Arial" w:hAnsi="Arial" w:cs="Arial"/>
          <w:sz w:val="22"/>
          <w:szCs w:val="22"/>
        </w:rPr>
      </w:pPr>
      <w:r w:rsidRPr="00286057">
        <w:rPr>
          <w:rFonts w:ascii="Arial" w:hAnsi="Arial" w:cs="Arial"/>
          <w:sz w:val="22"/>
          <w:szCs w:val="22"/>
        </w:rPr>
        <w:t>Sustainable stakeholder engagement is a strategic process that involves building long-term, transparent, and mutually beneficial relationships with stakeholders throughout the project lifecycle. For the ConnectPlus project, sustainable engagement extends beyond the successful launch of the AI-enabled customer loyalty platform by ensuring continuous collaboration with employees, customers, technology partners, regulators, and investors. According to Freeman (1984), organisations create long-term value by recognising and balancing the interests of all stakeholders rather than focusing solely on shareholder returns. Sustainable stakeholder engagement therefore contributes significantly to organisational resilience, innovation, customer satisfaction, and competitive advantage.</w:t>
      </w:r>
    </w:p>
    <w:p w14:paraId="02756B2A" w14:textId="77777777" w:rsidR="00286057" w:rsidRPr="00B01227" w:rsidRDefault="00286057" w:rsidP="00286057">
      <w:pPr>
        <w:rPr>
          <w:rFonts w:ascii="Arial" w:hAnsi="Arial" w:cs="Arial"/>
          <w:sz w:val="22"/>
          <w:szCs w:val="22"/>
        </w:rPr>
      </w:pPr>
      <w:r w:rsidRPr="00B01227">
        <w:rPr>
          <w:rFonts w:ascii="Arial" w:hAnsi="Arial" w:cs="Arial"/>
          <w:sz w:val="22"/>
          <w:szCs w:val="22"/>
        </w:rPr>
        <w:t>One of the most significant impacts of sustainable stakeholder engagement is improved customer loyalty and business performance. Customers are the primary users of ConnectPlus and play a crucial role in determining its success. Regular communication, personalised services, and opportunities for customer feedback increase trust and encourage long-term participation in loyalty programmes. Engaged customers are more likely to remain loyal, make repeat purchases, and recommend the brand to others, resulting in increased customer lifetime value and higher revenue. Furthermore, continuous customer feedback enables Tesco to refine AI-driven recommendations and improve service quality, creating a cycle of continuous innovation and customer satisfaction (Kotler and Keller, 2016).</w:t>
      </w:r>
    </w:p>
    <w:p w14:paraId="6D9CD3C4" w14:textId="77777777" w:rsidR="00286057" w:rsidRPr="00B01227" w:rsidRDefault="00286057" w:rsidP="00286057">
      <w:pPr>
        <w:rPr>
          <w:rFonts w:ascii="Arial" w:hAnsi="Arial" w:cs="Arial"/>
          <w:sz w:val="22"/>
          <w:szCs w:val="22"/>
        </w:rPr>
      </w:pPr>
      <w:r w:rsidRPr="00B01227">
        <w:rPr>
          <w:rFonts w:ascii="Arial" w:hAnsi="Arial" w:cs="Arial"/>
          <w:sz w:val="22"/>
          <w:szCs w:val="22"/>
        </w:rPr>
        <w:lastRenderedPageBreak/>
        <w:t>Sustainable engagement also contributes to employee performance and organisational commitment. Employees involved in system development, marketing, customer service, and project delivery require ongoing communication, training, and participation in decision-making. When employees understand project objectives and feel valued, they are more motivated to support organisational change and adopt new technologies. Effective stakeholder engagement therefore reduces resistance to change, improves productivity, and strengthens organisational culture. According to Armstrong and Taylor (2023), employee engagement enhances organisational performance by improving motivation, collaboration, and innovation.</w:t>
      </w:r>
    </w:p>
    <w:p w14:paraId="3474F82C" w14:textId="77777777" w:rsidR="00286057" w:rsidRPr="00B01227" w:rsidRDefault="00286057" w:rsidP="00286057">
      <w:pPr>
        <w:rPr>
          <w:rFonts w:ascii="Arial" w:hAnsi="Arial" w:cs="Arial"/>
          <w:sz w:val="22"/>
          <w:szCs w:val="22"/>
        </w:rPr>
      </w:pPr>
      <w:r w:rsidRPr="00B01227">
        <w:rPr>
          <w:rFonts w:ascii="Arial" w:hAnsi="Arial" w:cs="Arial"/>
          <w:sz w:val="22"/>
          <w:szCs w:val="22"/>
        </w:rPr>
        <w:t>Another important benefit is better decision-making and innovation. ConnectPlus relies heavily on artificial intelligence and customer analytics to deliver personalised shopping experiences. Continuous engagement with customers, technology vendors, and business partners provides valuable insights that support product improvement and innovation. Technology suppliers contribute specialist expertise in artificial intelligence, cybersecurity, and cloud computing, while customer feedback identifies opportunities for service enhancement. Collaborative stakeholder relationships therefore improve organisational learning and enable Tesco to respond quickly to changing customer preferences and market conditions (Freeman, Harrison and Zyglidopoulos, 2018).</w:t>
      </w:r>
    </w:p>
    <w:p w14:paraId="06618508" w14:textId="77777777" w:rsidR="00286057" w:rsidRPr="00B01227" w:rsidRDefault="00286057" w:rsidP="00286057">
      <w:pPr>
        <w:rPr>
          <w:rFonts w:ascii="Arial" w:hAnsi="Arial" w:cs="Arial"/>
          <w:sz w:val="22"/>
          <w:szCs w:val="22"/>
        </w:rPr>
      </w:pPr>
      <w:r w:rsidRPr="00B01227">
        <w:rPr>
          <w:rFonts w:ascii="Arial" w:hAnsi="Arial" w:cs="Arial"/>
          <w:sz w:val="22"/>
          <w:szCs w:val="22"/>
        </w:rPr>
        <w:t>Sustainable stakeholder engagement also enhances risk management and regulatory compliance. As ConnectPlus collects and analyses large volumes of customer data, maintaining transparent relationships with legal teams, regulatory authorities, and data protection agencies is essential. Early consultation with these stakeholders helps identify compliance risks before implementation and ensures adherence to data protection legislation such as the UK General Data Protection Regulation (UK GDPR). Proactive engagement reduces legal risks, protects organisational reputation, and strengthens public confidence in the responsible use of artificial intelligence. Effective governance also demonstrates accountability and supports ethical business practices (Project Management Institute, 2021).</w:t>
      </w:r>
    </w:p>
    <w:p w14:paraId="66393D99" w14:textId="77777777" w:rsidR="00286057" w:rsidRPr="00B01227" w:rsidRDefault="00286057" w:rsidP="00286057">
      <w:pPr>
        <w:rPr>
          <w:rFonts w:ascii="Arial" w:hAnsi="Arial" w:cs="Arial"/>
          <w:sz w:val="22"/>
          <w:szCs w:val="22"/>
        </w:rPr>
      </w:pPr>
      <w:r w:rsidRPr="00B01227">
        <w:rPr>
          <w:rFonts w:ascii="Arial" w:hAnsi="Arial" w:cs="Arial"/>
          <w:sz w:val="22"/>
          <w:szCs w:val="22"/>
        </w:rPr>
        <w:t>Despite these benefits, sustainable stakeholder engagement presents several challenges. Managing stakeholders across different countries requires significant financial resources, continuous communication, and effective coordination. Cultural differences may influence communication styles, decision-making processes, and stakeholder expectations, making global engagement more complex. In addition, balancing conflicting stakeholder interests can be difficult. For example, senior management may prioritise profitability and rapid implementation, whereas regulators focus on legal compliance and customers emphasise privacy and transparency. The project manager must therefore negotiate competing expectations while maintaining stakeholder trust and project objectives (Bourne, 2016).</w:t>
      </w:r>
    </w:p>
    <w:p w14:paraId="3CFD118A" w14:textId="77777777" w:rsidR="00286057" w:rsidRPr="00B01227" w:rsidRDefault="00286057" w:rsidP="00286057">
      <w:pPr>
        <w:rPr>
          <w:rFonts w:ascii="Arial" w:hAnsi="Arial" w:cs="Arial"/>
          <w:sz w:val="22"/>
          <w:szCs w:val="22"/>
        </w:rPr>
      </w:pPr>
      <w:r w:rsidRPr="00B01227">
        <w:rPr>
          <w:rFonts w:ascii="Arial" w:hAnsi="Arial" w:cs="Arial"/>
          <w:sz w:val="22"/>
          <w:szCs w:val="22"/>
        </w:rPr>
        <w:t xml:space="preserve">Ethical considerations are particularly important because ConnectPlus uses artificial intelligence and customer data to generate personalised recommendations. Although data analytics improves customer experience, excessive data collection or opaque algorithms may raise concerns regarding privacy, surveillance, and discrimination. Customers increasingly expect organisations to explain how personal information is collected, processed, and protected. Failure to maintain transparency could reduce customer confidence and damage Tesco's reputation. Therefore, ethical stakeholder engagement </w:t>
      </w:r>
      <w:r w:rsidRPr="00B01227">
        <w:rPr>
          <w:rFonts w:ascii="Arial" w:hAnsi="Arial" w:cs="Arial"/>
          <w:sz w:val="22"/>
          <w:szCs w:val="22"/>
        </w:rPr>
        <w:lastRenderedPageBreak/>
        <w:t>requires informed customer consent, secure data management, algorithmic fairness, and clear communication regarding AI decision-making processes (Floridi and Cowls, 2019).</w:t>
      </w:r>
    </w:p>
    <w:p w14:paraId="5396B7BE" w14:textId="77777777" w:rsidR="00286057" w:rsidRPr="00B01227" w:rsidRDefault="00286057" w:rsidP="00286057">
      <w:pPr>
        <w:rPr>
          <w:rFonts w:ascii="Arial" w:hAnsi="Arial" w:cs="Arial"/>
          <w:sz w:val="22"/>
          <w:szCs w:val="22"/>
        </w:rPr>
      </w:pPr>
      <w:r w:rsidRPr="00B01227">
        <w:rPr>
          <w:rFonts w:ascii="Arial" w:hAnsi="Arial" w:cs="Arial"/>
          <w:sz w:val="22"/>
          <w:szCs w:val="22"/>
        </w:rPr>
        <w:t>Another important aspect of sustainable stakeholder engagement is its contribution to corporate sustainability and environmental, social, and governance (ESG) performance. Strong stakeholder relationships encourage responsible business practices, enhance corporate governance, and improve organisational accountability. By engaging employees, suppliers, customers, and local communities, Tesco can identify opportunities to reduce environmental impacts, improve social responsibility, and strengthen ethical supply chain management. This aligns with Elkington's (1997) Triple Bottom Line framework, which argues that sustainable business success depends on balancing economic, social, and environmental performance rather than focusing solely on financial outcomes.</w:t>
      </w:r>
    </w:p>
    <w:p w14:paraId="5813E158" w14:textId="77777777" w:rsidR="00286057" w:rsidRPr="00B01227" w:rsidRDefault="00286057" w:rsidP="00286057">
      <w:pPr>
        <w:rPr>
          <w:rFonts w:ascii="Arial" w:hAnsi="Arial" w:cs="Arial"/>
          <w:sz w:val="22"/>
          <w:szCs w:val="22"/>
        </w:rPr>
      </w:pPr>
      <w:r w:rsidRPr="00B01227">
        <w:rPr>
          <w:rFonts w:ascii="Arial" w:hAnsi="Arial" w:cs="Arial"/>
          <w:sz w:val="22"/>
          <w:szCs w:val="22"/>
        </w:rPr>
        <w:t>From a strategic management perspective, sustainable stakeholder engagement strengthens Tesco's competitive advantage by creating trust, encouraging innovation, and improving organisational adaptability. Long-term stakeholder relationships increase organisational resilience during periods of technological change and market uncertainty. Continuous engagement also enables Tesco to identify emerging customer needs, respond proactively to regulatory changes, and develop innovative digital services that differentiate the company from competitors. Consequently, stakeholder engagement becomes a strategic capability that supports long-term business growth rather than simply a project management activity.</w:t>
      </w:r>
    </w:p>
    <w:p w14:paraId="0DB8C756" w14:textId="77777777" w:rsidR="00286057" w:rsidRPr="00B01227" w:rsidRDefault="00286057" w:rsidP="00286057">
      <w:pPr>
        <w:rPr>
          <w:rFonts w:ascii="Arial" w:hAnsi="Arial" w:cs="Arial"/>
          <w:sz w:val="22"/>
          <w:szCs w:val="22"/>
        </w:rPr>
      </w:pPr>
      <w:r w:rsidRPr="00B01227">
        <w:rPr>
          <w:rFonts w:ascii="Arial" w:hAnsi="Arial" w:cs="Arial"/>
          <w:sz w:val="22"/>
          <w:szCs w:val="22"/>
        </w:rPr>
        <w:t>Overall, sustainable stakeholder engagement has a significant positive impact on business performance through improved customer loyalty, employee commitment, innovation, regulatory compliance, and organisational reputation. While challenges relating to culture, ethics, and conflicting stakeholder interests remain, adopting transparent communication, responsible governance, and collaborative decision-making enables Tesco to maximise stakeholder value and successfully implement ConnectPlus across international markets. Sustainable stakeholder relationships therefore provide the foundation for long-term organisational success, competitive advantage, and responsible digital transformation.</w:t>
      </w:r>
    </w:p>
    <w:p w14:paraId="55B4F01A" w14:textId="77777777" w:rsidR="00FD72EA" w:rsidRDefault="00FD72EA" w:rsidP="00E0730F">
      <w:pPr>
        <w:rPr>
          <w:b/>
          <w:bCs/>
        </w:rPr>
      </w:pPr>
    </w:p>
    <w:p w14:paraId="5B63253A" w14:textId="77777777" w:rsidR="00FD72EA" w:rsidRDefault="00FD72EA" w:rsidP="00E0730F">
      <w:pPr>
        <w:rPr>
          <w:b/>
          <w:bCs/>
        </w:rPr>
      </w:pPr>
    </w:p>
    <w:p w14:paraId="346E16E2" w14:textId="77777777" w:rsidR="00FD72EA" w:rsidRDefault="00FD72EA" w:rsidP="00E0730F">
      <w:pPr>
        <w:rPr>
          <w:b/>
          <w:bCs/>
        </w:rPr>
      </w:pPr>
    </w:p>
    <w:p w14:paraId="443F72AC" w14:textId="77777777" w:rsidR="00B01227" w:rsidRDefault="00B01227" w:rsidP="00E0730F">
      <w:pPr>
        <w:rPr>
          <w:b/>
          <w:bCs/>
        </w:rPr>
      </w:pPr>
    </w:p>
    <w:p w14:paraId="31966466" w14:textId="77777777" w:rsidR="00B01227" w:rsidRDefault="00B01227" w:rsidP="00E0730F">
      <w:pPr>
        <w:rPr>
          <w:b/>
          <w:bCs/>
        </w:rPr>
      </w:pPr>
    </w:p>
    <w:p w14:paraId="33B2687F" w14:textId="77777777" w:rsidR="00B01227" w:rsidRDefault="00B01227" w:rsidP="00E0730F">
      <w:pPr>
        <w:rPr>
          <w:b/>
          <w:bCs/>
        </w:rPr>
      </w:pPr>
    </w:p>
    <w:p w14:paraId="132BD9FC" w14:textId="77777777" w:rsidR="00B01227" w:rsidRDefault="00B01227" w:rsidP="00E0730F">
      <w:pPr>
        <w:rPr>
          <w:b/>
          <w:bCs/>
        </w:rPr>
      </w:pPr>
    </w:p>
    <w:p w14:paraId="4D5917BB" w14:textId="77777777" w:rsidR="00B01227" w:rsidRDefault="00B01227" w:rsidP="00E0730F">
      <w:pPr>
        <w:rPr>
          <w:b/>
          <w:bCs/>
        </w:rPr>
      </w:pPr>
    </w:p>
    <w:p w14:paraId="354201A3" w14:textId="77777777" w:rsidR="00B01227" w:rsidRDefault="00B01227" w:rsidP="00E0730F">
      <w:pPr>
        <w:rPr>
          <w:b/>
          <w:bCs/>
        </w:rPr>
      </w:pPr>
    </w:p>
    <w:p w14:paraId="4732A71B" w14:textId="77777777" w:rsidR="00B01227" w:rsidRDefault="00B01227" w:rsidP="00E0730F">
      <w:pPr>
        <w:rPr>
          <w:b/>
          <w:bCs/>
        </w:rPr>
      </w:pPr>
    </w:p>
    <w:p w14:paraId="5A3CA09C" w14:textId="77777777" w:rsidR="00B01227" w:rsidRDefault="00B01227" w:rsidP="00E0730F">
      <w:pPr>
        <w:rPr>
          <w:b/>
          <w:bCs/>
        </w:rPr>
      </w:pPr>
    </w:p>
    <w:p w14:paraId="55319328" w14:textId="77777777" w:rsidR="00B01227" w:rsidRDefault="00B01227" w:rsidP="00E0730F">
      <w:pPr>
        <w:rPr>
          <w:b/>
          <w:bCs/>
        </w:rPr>
      </w:pPr>
    </w:p>
    <w:p w14:paraId="672C348B" w14:textId="77777777" w:rsidR="00B01227" w:rsidRDefault="00B01227" w:rsidP="00E0730F">
      <w:pPr>
        <w:rPr>
          <w:b/>
          <w:bCs/>
        </w:rPr>
      </w:pPr>
    </w:p>
    <w:p w14:paraId="6AC08B2E" w14:textId="77777777" w:rsidR="00B01227" w:rsidRDefault="00B01227" w:rsidP="00E0730F">
      <w:pPr>
        <w:rPr>
          <w:b/>
          <w:bCs/>
        </w:rPr>
      </w:pPr>
    </w:p>
    <w:p w14:paraId="122A9864" w14:textId="77777777" w:rsidR="00B01227" w:rsidRDefault="00B01227" w:rsidP="00E0730F">
      <w:pPr>
        <w:rPr>
          <w:b/>
          <w:bCs/>
        </w:rPr>
      </w:pPr>
    </w:p>
    <w:p w14:paraId="4B378E11" w14:textId="77A864A9" w:rsidR="00E0730F" w:rsidRPr="00E0730F" w:rsidRDefault="00E0730F" w:rsidP="00E0730F">
      <w:pPr>
        <w:rPr>
          <w:b/>
          <w:bCs/>
        </w:rPr>
      </w:pPr>
      <w:r w:rsidRPr="00E0730F">
        <w:rPr>
          <w:b/>
          <w:bCs/>
        </w:rPr>
        <w:t xml:space="preserve">7. Recommendations and Conclusion </w:t>
      </w:r>
    </w:p>
    <w:p w14:paraId="54BE90AC" w14:textId="77777777" w:rsidR="00FD72EA" w:rsidRPr="00FD72EA" w:rsidRDefault="00FD72EA" w:rsidP="00FD72EA">
      <w:r w:rsidRPr="00FD72EA">
        <w:t>The successful implementation of ConnectPlus depends on adopting a proactive and sustainable stakeholder engagement strategy that promotes collaboration, trust, and continuous communication throughout the project lifecycle. First, Tesco should establish a structured stakeholder engagement plan that clearly defines stakeholder roles, communication channels, and responsibilities to ensure transparency and accountability. Second, the organisation should invest in comprehensive employee training and change management programmes to improve digital skills and reduce resistance to the adoption of the new platform. Third, regular customer feedback should be collected through surveys, mobile applications, and social media to support continuous improvement of AI-driven services and customer experiences.</w:t>
      </w:r>
    </w:p>
    <w:p w14:paraId="2DC10322" w14:textId="77777777" w:rsidR="00FD72EA" w:rsidRPr="00FD72EA" w:rsidRDefault="00FD72EA" w:rsidP="00FD72EA">
      <w:r w:rsidRPr="00FD72EA">
        <w:t>Furthermore, Tesco should strengthen data governance by ensuring compliance with the UK General Data Protection Regulation (UK GDPR) and international privacy regulations through transparent data management practices and ethical AI implementation. Collaboration with technology vendors, regulators, and business partners should also be maintained through regular meetings, performance reviews, and shared decision-making to minimise project risks and support innovation. Finally, stakeholder satisfaction should be monitored using key performance indicators (KPIs), allowing the project team to evaluate engagement effectiveness and make timely improvements throughout the implementation process.</w:t>
      </w:r>
    </w:p>
    <w:p w14:paraId="60A1F15D" w14:textId="77777777" w:rsidR="00FD72EA" w:rsidRPr="00FD72EA" w:rsidRDefault="00FD72EA" w:rsidP="00FD72EA">
      <w:r w:rsidRPr="00FD72EA">
        <w:t xml:space="preserve">In conclusion, stakeholder engagement is a critical success factor in delivering the ConnectPlus platform across domestic and international markets. The application of stakeholder management frameworks, including the Interest–Influence Matrix, Stakeholder Salience Model, RACI Matrix, Communication Plan, and 4Cs Model, provides a structured approach to identifying stakeholder priorities, enhancing collaboration, and managing conflicts effectively. Sustainable stakeholder engagement contributes to improved customer loyalty, employee commitment, regulatory compliance, innovation, and long-term organisational performance. Although challenges such as cultural differences, competing stakeholder interests, and ethical concerns regarding artificial intelligence and data privacy remain, these can be effectively managed through transparent communication, responsible leadership, and continuous stakeholder involvement. Consequently, by embedding stakeholder </w:t>
      </w:r>
      <w:r w:rsidRPr="00FD72EA">
        <w:lastRenderedPageBreak/>
        <w:t>engagement into every stage of the project lifecycle, Tesco can maximise the successful adoption of ConnectPlus, strengthen its competitive advantage, and support sustainable business growth in the global retail and e-commerce industry.</w:t>
      </w:r>
    </w:p>
    <w:p w14:paraId="78B1C33B" w14:textId="77777777" w:rsidR="00E0730F" w:rsidRPr="00E0730F" w:rsidRDefault="00000000" w:rsidP="00E0730F">
      <w:r>
        <w:pict w14:anchorId="42E67F03">
          <v:rect id="_x0000_i1057" style="width:0;height:1.5pt" o:hralign="center" o:hrstd="t" o:hr="t" fillcolor="#a0a0a0" stroked="f"/>
        </w:pict>
      </w:r>
    </w:p>
    <w:p w14:paraId="34F7CA68" w14:textId="77777777" w:rsidR="00FD72EA" w:rsidRDefault="00FD72EA" w:rsidP="00E0730F">
      <w:pPr>
        <w:rPr>
          <w:b/>
          <w:bCs/>
        </w:rPr>
      </w:pPr>
    </w:p>
    <w:p w14:paraId="66CB5327" w14:textId="77777777" w:rsidR="00FD72EA" w:rsidRDefault="00FD72EA" w:rsidP="00E0730F">
      <w:pPr>
        <w:rPr>
          <w:b/>
          <w:bCs/>
        </w:rPr>
      </w:pPr>
    </w:p>
    <w:p w14:paraId="569BB335" w14:textId="55E5C319" w:rsidR="00E0730F" w:rsidRPr="00E0730F" w:rsidRDefault="00E0730F" w:rsidP="00E0730F">
      <w:pPr>
        <w:rPr>
          <w:b/>
          <w:bCs/>
        </w:rPr>
      </w:pPr>
      <w:r w:rsidRPr="00E0730F">
        <w:rPr>
          <w:b/>
          <w:bCs/>
        </w:rPr>
        <w:t xml:space="preserve">Suggested Academic References </w:t>
      </w:r>
    </w:p>
    <w:p w14:paraId="07633D30" w14:textId="77777777" w:rsidR="00E0730F" w:rsidRPr="00E0730F" w:rsidRDefault="00E0730F" w:rsidP="00E0730F">
      <w:r w:rsidRPr="00E0730F">
        <w:t>Core references:</w:t>
      </w:r>
    </w:p>
    <w:p w14:paraId="052F1928" w14:textId="77777777" w:rsidR="00E0730F" w:rsidRPr="00E0730F" w:rsidRDefault="00E0730F" w:rsidP="00E0730F">
      <w:pPr>
        <w:numPr>
          <w:ilvl w:val="0"/>
          <w:numId w:val="14"/>
        </w:numPr>
      </w:pPr>
      <w:r w:rsidRPr="00E0730F">
        <w:t xml:space="preserve">R. Edward Freeman (1984) </w:t>
      </w:r>
      <w:r w:rsidRPr="00E0730F">
        <w:rPr>
          <w:i/>
          <w:iCs/>
        </w:rPr>
        <w:t>Strategic Management: A Stakeholder Approach</w:t>
      </w:r>
      <w:r w:rsidRPr="00E0730F">
        <w:t xml:space="preserve">. </w:t>
      </w:r>
    </w:p>
    <w:p w14:paraId="7AE4C847" w14:textId="77777777" w:rsidR="00E0730F" w:rsidRPr="00E0730F" w:rsidRDefault="00E0730F" w:rsidP="00E0730F">
      <w:pPr>
        <w:numPr>
          <w:ilvl w:val="0"/>
          <w:numId w:val="14"/>
        </w:numPr>
      </w:pPr>
      <w:r w:rsidRPr="00E0730F">
        <w:t xml:space="preserve">Ronald K. Mitchell, Bradley R. Agle and Donna J. Wood (1997). </w:t>
      </w:r>
      <w:r w:rsidRPr="00E0730F">
        <w:rPr>
          <w:i/>
          <w:iCs/>
        </w:rPr>
        <w:t>Toward a Theory of Stakeholder Identification and Salience</w:t>
      </w:r>
      <w:r w:rsidRPr="00E0730F">
        <w:t xml:space="preserve">. </w:t>
      </w:r>
    </w:p>
    <w:p w14:paraId="35E44733" w14:textId="77777777" w:rsidR="00E0730F" w:rsidRPr="00E0730F" w:rsidRDefault="00E0730F" w:rsidP="00E0730F">
      <w:pPr>
        <w:numPr>
          <w:ilvl w:val="0"/>
          <w:numId w:val="14"/>
        </w:numPr>
      </w:pPr>
      <w:r w:rsidRPr="00E0730F">
        <w:t xml:space="preserve">Aubrey Mendelow (1991). </w:t>
      </w:r>
      <w:r w:rsidRPr="00E0730F">
        <w:rPr>
          <w:i/>
          <w:iCs/>
        </w:rPr>
        <w:t>Stakeholder Mapping</w:t>
      </w:r>
      <w:r w:rsidRPr="00E0730F">
        <w:t xml:space="preserve">. </w:t>
      </w:r>
    </w:p>
    <w:p w14:paraId="118C4FAA" w14:textId="77777777" w:rsidR="00E0730F" w:rsidRPr="00E0730F" w:rsidRDefault="00E0730F" w:rsidP="00E0730F">
      <w:pPr>
        <w:numPr>
          <w:ilvl w:val="0"/>
          <w:numId w:val="14"/>
        </w:numPr>
      </w:pPr>
      <w:r w:rsidRPr="00E0730F">
        <w:t xml:space="preserve">Project Management Institute (2021). </w:t>
      </w:r>
      <w:r w:rsidRPr="00E0730F">
        <w:rPr>
          <w:i/>
          <w:iCs/>
        </w:rPr>
        <w:t>A Guide to the Project Management Body of Knowledge (PMBOK® Guide)</w:t>
      </w:r>
      <w:r w:rsidRPr="00E0730F">
        <w:t xml:space="preserve">, 7th ed. </w:t>
      </w:r>
    </w:p>
    <w:p w14:paraId="4ED8E1F5" w14:textId="77777777" w:rsidR="00E0730F" w:rsidRPr="00E0730F" w:rsidRDefault="00E0730F" w:rsidP="00E0730F">
      <w:pPr>
        <w:numPr>
          <w:ilvl w:val="0"/>
          <w:numId w:val="14"/>
        </w:numPr>
      </w:pPr>
      <w:r w:rsidRPr="00E0730F">
        <w:t xml:space="preserve">Association for Project Management (2019). </w:t>
      </w:r>
      <w:r w:rsidRPr="00E0730F">
        <w:rPr>
          <w:i/>
          <w:iCs/>
        </w:rPr>
        <w:t>APM Body of Knowledge</w:t>
      </w:r>
      <w:r w:rsidRPr="00E0730F">
        <w:t xml:space="preserve">, 7th ed. </w:t>
      </w:r>
    </w:p>
    <w:p w14:paraId="71614C7E" w14:textId="77777777" w:rsidR="00E0730F" w:rsidRPr="00E0730F" w:rsidRDefault="00E0730F" w:rsidP="00E0730F">
      <w:pPr>
        <w:numPr>
          <w:ilvl w:val="0"/>
          <w:numId w:val="14"/>
        </w:numPr>
      </w:pPr>
      <w:r w:rsidRPr="00E0730F">
        <w:t xml:space="preserve">Kenneth Thomas and Ralph Kilmann (1974). </w:t>
      </w:r>
      <w:r w:rsidRPr="00E0730F">
        <w:rPr>
          <w:i/>
          <w:iCs/>
        </w:rPr>
        <w:t>Thomas–Kilmann Conflict Mode Instrument</w:t>
      </w:r>
      <w:r w:rsidRPr="00E0730F">
        <w:t xml:space="preserve">. </w:t>
      </w:r>
    </w:p>
    <w:p w14:paraId="3CC06B78" w14:textId="77777777" w:rsidR="00E0730F" w:rsidRPr="00E0730F" w:rsidRDefault="00E0730F" w:rsidP="00E0730F">
      <w:pPr>
        <w:numPr>
          <w:ilvl w:val="0"/>
          <w:numId w:val="14"/>
        </w:numPr>
      </w:pPr>
      <w:r w:rsidRPr="00E0730F">
        <w:t xml:space="preserve">John Elkington (1997). </w:t>
      </w:r>
      <w:r w:rsidRPr="00E0730F">
        <w:rPr>
          <w:i/>
          <w:iCs/>
        </w:rPr>
        <w:t>Cannibals with Forks: The Triple Bottom Line of 21st Century Business</w:t>
      </w:r>
      <w:r w:rsidRPr="00E0730F">
        <w:t xml:space="preserve">. </w:t>
      </w:r>
    </w:p>
    <w:p w14:paraId="3CE7B170" w14:textId="77777777" w:rsidR="00E0730F" w:rsidRPr="00E0730F" w:rsidRDefault="00E0730F" w:rsidP="00E0730F">
      <w:pPr>
        <w:numPr>
          <w:ilvl w:val="0"/>
          <w:numId w:val="14"/>
        </w:numPr>
      </w:pPr>
      <w:r w:rsidRPr="00E0730F">
        <w:t xml:space="preserve">International Organization for Standardization (2018). </w:t>
      </w:r>
      <w:r w:rsidRPr="00E0730F">
        <w:rPr>
          <w:i/>
          <w:iCs/>
        </w:rPr>
        <w:t>ISO 44001 Collaborative Business Relationship Management Systems</w:t>
      </w:r>
      <w:r w:rsidRPr="00E0730F">
        <w:t>.</w:t>
      </w:r>
    </w:p>
    <w:p w14:paraId="3D96AE1C"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Armstrong, M. and Taylor, S. (2023) </w:t>
      </w:r>
      <w:r w:rsidRPr="00FD72EA">
        <w:rPr>
          <w:rFonts w:ascii="Arial" w:hAnsi="Arial" w:cs="Arial"/>
          <w:i/>
          <w:iCs/>
          <w:sz w:val="22"/>
          <w:szCs w:val="22"/>
        </w:rPr>
        <w:t>Armstrong's Handbook of Human Resource Management Practice</w:t>
      </w:r>
      <w:r w:rsidRPr="00FD72EA">
        <w:rPr>
          <w:rFonts w:ascii="Arial" w:hAnsi="Arial" w:cs="Arial"/>
          <w:sz w:val="22"/>
          <w:szCs w:val="22"/>
        </w:rPr>
        <w:t>. 16th ed. London: Kogan Page.</w:t>
      </w:r>
    </w:p>
    <w:p w14:paraId="58A23CEA"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Bourne, L. (2016) </w:t>
      </w:r>
      <w:r w:rsidRPr="00FD72EA">
        <w:rPr>
          <w:rFonts w:ascii="Arial" w:hAnsi="Arial" w:cs="Arial"/>
          <w:i/>
          <w:iCs/>
          <w:sz w:val="22"/>
          <w:szCs w:val="22"/>
        </w:rPr>
        <w:t>Stakeholder Relationship Management: A Maturity Model for Organisational Implementation</w:t>
      </w:r>
      <w:r w:rsidRPr="00FD72EA">
        <w:rPr>
          <w:rFonts w:ascii="Arial" w:hAnsi="Arial" w:cs="Arial"/>
          <w:sz w:val="22"/>
          <w:szCs w:val="22"/>
        </w:rPr>
        <w:t>. 2nd ed. London: Routledge.</w:t>
      </w:r>
    </w:p>
    <w:p w14:paraId="6307C78E"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Elkington, J. (1997) </w:t>
      </w:r>
      <w:r w:rsidRPr="00FD72EA">
        <w:rPr>
          <w:rFonts w:ascii="Arial" w:hAnsi="Arial" w:cs="Arial"/>
          <w:i/>
          <w:iCs/>
          <w:sz w:val="22"/>
          <w:szCs w:val="22"/>
        </w:rPr>
        <w:t>Cannibals with Forks: The Triple Bottom Line of 21st Century Business</w:t>
      </w:r>
      <w:r w:rsidRPr="00FD72EA">
        <w:rPr>
          <w:rFonts w:ascii="Arial" w:hAnsi="Arial" w:cs="Arial"/>
          <w:sz w:val="22"/>
          <w:szCs w:val="22"/>
        </w:rPr>
        <w:t>. Oxford: Capstone.</w:t>
      </w:r>
    </w:p>
    <w:p w14:paraId="3C7F77AA"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Floridi, L. and Cowls, J. (2019) 'A unified framework of five principles for AI in society', </w:t>
      </w:r>
      <w:r w:rsidRPr="00FD72EA">
        <w:rPr>
          <w:rFonts w:ascii="Arial" w:hAnsi="Arial" w:cs="Arial"/>
          <w:i/>
          <w:iCs/>
          <w:sz w:val="22"/>
          <w:szCs w:val="22"/>
        </w:rPr>
        <w:t>Harvard Data Science Review</w:t>
      </w:r>
      <w:r w:rsidRPr="00FD72EA">
        <w:rPr>
          <w:rFonts w:ascii="Arial" w:hAnsi="Arial" w:cs="Arial"/>
          <w:sz w:val="22"/>
          <w:szCs w:val="22"/>
        </w:rPr>
        <w:t>, 1(1), pp. 1–15.</w:t>
      </w:r>
    </w:p>
    <w:p w14:paraId="011E8FE0"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Freeman, R.E. (1984) </w:t>
      </w:r>
      <w:r w:rsidRPr="00FD72EA">
        <w:rPr>
          <w:rFonts w:ascii="Arial" w:hAnsi="Arial" w:cs="Arial"/>
          <w:i/>
          <w:iCs/>
          <w:sz w:val="22"/>
          <w:szCs w:val="22"/>
        </w:rPr>
        <w:t>Strategic Management: A Stakeholder Approach</w:t>
      </w:r>
      <w:r w:rsidRPr="00FD72EA">
        <w:rPr>
          <w:rFonts w:ascii="Arial" w:hAnsi="Arial" w:cs="Arial"/>
          <w:sz w:val="22"/>
          <w:szCs w:val="22"/>
        </w:rPr>
        <w:t>. Boston: Pitman.</w:t>
      </w:r>
    </w:p>
    <w:p w14:paraId="0C82330F"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Freeman, R.E., Harrison, J.S. and Zyglidopoulos, S. (2018) </w:t>
      </w:r>
      <w:r w:rsidRPr="00FD72EA">
        <w:rPr>
          <w:rFonts w:ascii="Arial" w:hAnsi="Arial" w:cs="Arial"/>
          <w:i/>
          <w:iCs/>
          <w:sz w:val="22"/>
          <w:szCs w:val="22"/>
        </w:rPr>
        <w:t>Stakeholder Theory: Concepts and Strategies</w:t>
      </w:r>
      <w:r w:rsidRPr="00FD72EA">
        <w:rPr>
          <w:rFonts w:ascii="Arial" w:hAnsi="Arial" w:cs="Arial"/>
          <w:sz w:val="22"/>
          <w:szCs w:val="22"/>
        </w:rPr>
        <w:t>. Cambridge: Cambridge University Press.</w:t>
      </w:r>
    </w:p>
    <w:p w14:paraId="79ED8024"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Kotler, P. and Keller, K.L. (2016) </w:t>
      </w:r>
      <w:r w:rsidRPr="00FD72EA">
        <w:rPr>
          <w:rFonts w:ascii="Arial" w:hAnsi="Arial" w:cs="Arial"/>
          <w:i/>
          <w:iCs/>
          <w:sz w:val="22"/>
          <w:szCs w:val="22"/>
        </w:rPr>
        <w:t>Marketing Management</w:t>
      </w:r>
      <w:r w:rsidRPr="00FD72EA">
        <w:rPr>
          <w:rFonts w:ascii="Arial" w:hAnsi="Arial" w:cs="Arial"/>
          <w:sz w:val="22"/>
          <w:szCs w:val="22"/>
        </w:rPr>
        <w:t>. 15th ed. Harlow: Pearson.</w:t>
      </w:r>
    </w:p>
    <w:p w14:paraId="2759EB8A" w14:textId="77777777" w:rsidR="00FD72EA" w:rsidRPr="00286057" w:rsidRDefault="00FD72EA" w:rsidP="00FD72EA">
      <w:pPr>
        <w:pStyle w:val="ListParagraph"/>
        <w:numPr>
          <w:ilvl w:val="0"/>
          <w:numId w:val="14"/>
        </w:numPr>
      </w:pPr>
      <w:r w:rsidRPr="00FD72EA">
        <w:rPr>
          <w:rFonts w:ascii="Arial" w:hAnsi="Arial" w:cs="Arial"/>
          <w:sz w:val="22"/>
          <w:szCs w:val="22"/>
        </w:rPr>
        <w:t xml:space="preserve">Project Management Institute (2021) </w:t>
      </w:r>
      <w:r w:rsidRPr="00FD72EA">
        <w:rPr>
          <w:rFonts w:ascii="Arial" w:hAnsi="Arial" w:cs="Arial"/>
          <w:i/>
          <w:iCs/>
          <w:sz w:val="22"/>
          <w:szCs w:val="22"/>
        </w:rPr>
        <w:t>A Guide to the Project Management Body of Knowledge (PMBOK® Guide)</w:t>
      </w:r>
      <w:r w:rsidRPr="00FD72EA">
        <w:rPr>
          <w:rFonts w:ascii="Arial" w:hAnsi="Arial" w:cs="Arial"/>
          <w:sz w:val="22"/>
          <w:szCs w:val="22"/>
        </w:rPr>
        <w:t>. 7th ed. Newtown Square, PA: PMI.</w:t>
      </w:r>
    </w:p>
    <w:p w14:paraId="55EA18C6"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lastRenderedPageBreak/>
        <w:t xml:space="preserve">Project Management Institute (2021) </w:t>
      </w:r>
      <w:r w:rsidRPr="00FD72EA">
        <w:rPr>
          <w:rFonts w:ascii="Arial" w:hAnsi="Arial" w:cs="Arial"/>
          <w:i/>
          <w:iCs/>
          <w:sz w:val="22"/>
          <w:szCs w:val="22"/>
        </w:rPr>
        <w:t>A Guide to the Project Management Body of Knowledge (PMBOK® Guide)</w:t>
      </w:r>
      <w:r w:rsidRPr="00FD72EA">
        <w:rPr>
          <w:rFonts w:ascii="Arial" w:hAnsi="Arial" w:cs="Arial"/>
          <w:sz w:val="22"/>
          <w:szCs w:val="22"/>
        </w:rPr>
        <w:t>. 7th ed. Newtown Square, PA: PMI.</w:t>
      </w:r>
    </w:p>
    <w:p w14:paraId="10C54CC2" w14:textId="77777777" w:rsidR="00FD72EA" w:rsidRPr="00FD72EA" w:rsidRDefault="00FD72EA" w:rsidP="00FD72EA">
      <w:pPr>
        <w:pStyle w:val="ListParagraph"/>
        <w:numPr>
          <w:ilvl w:val="0"/>
          <w:numId w:val="14"/>
        </w:numPr>
        <w:rPr>
          <w:rFonts w:ascii="Arial" w:hAnsi="Arial" w:cs="Arial"/>
          <w:sz w:val="22"/>
          <w:szCs w:val="22"/>
        </w:rPr>
      </w:pPr>
      <w:r w:rsidRPr="00FD72EA">
        <w:rPr>
          <w:rFonts w:ascii="Arial" w:hAnsi="Arial" w:cs="Arial"/>
          <w:sz w:val="22"/>
          <w:szCs w:val="22"/>
        </w:rPr>
        <w:t xml:space="preserve">Thomas, K.W. and Kilmann, R.H. (1974) </w:t>
      </w:r>
      <w:r w:rsidRPr="00FD72EA">
        <w:rPr>
          <w:rFonts w:ascii="Arial" w:hAnsi="Arial" w:cs="Arial"/>
          <w:i/>
          <w:iCs/>
          <w:sz w:val="22"/>
          <w:szCs w:val="22"/>
        </w:rPr>
        <w:t>Thomas–Kilmann Conflict Mode Instrument</w:t>
      </w:r>
      <w:r w:rsidRPr="00FD72EA">
        <w:rPr>
          <w:rFonts w:ascii="Arial" w:hAnsi="Arial" w:cs="Arial"/>
          <w:sz w:val="22"/>
          <w:szCs w:val="22"/>
        </w:rPr>
        <w:t>. Tuxedo, NY: Xicom.</w:t>
      </w:r>
    </w:p>
    <w:p w14:paraId="0EF56456" w14:textId="77777777" w:rsidR="00D00507" w:rsidRDefault="00D00507"/>
    <w:sectPr w:rsidR="00D005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8B31AE" w14:textId="77777777" w:rsidR="00FF75F0" w:rsidRDefault="00FF75F0" w:rsidP="00CE1F20">
      <w:pPr>
        <w:spacing w:after="0" w:line="240" w:lineRule="auto"/>
      </w:pPr>
      <w:r>
        <w:separator/>
      </w:r>
    </w:p>
  </w:endnote>
  <w:endnote w:type="continuationSeparator" w:id="0">
    <w:p w14:paraId="3B728F69" w14:textId="77777777" w:rsidR="00FF75F0" w:rsidRDefault="00FF75F0" w:rsidP="00CE1F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CE971" w14:textId="77777777" w:rsidR="00FF75F0" w:rsidRDefault="00FF75F0" w:rsidP="00CE1F20">
      <w:pPr>
        <w:spacing w:after="0" w:line="240" w:lineRule="auto"/>
      </w:pPr>
      <w:r>
        <w:separator/>
      </w:r>
    </w:p>
  </w:footnote>
  <w:footnote w:type="continuationSeparator" w:id="0">
    <w:p w14:paraId="54744AE5" w14:textId="77777777" w:rsidR="00FF75F0" w:rsidRDefault="00FF75F0" w:rsidP="00CE1F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0532"/>
    <w:multiLevelType w:val="multilevel"/>
    <w:tmpl w:val="24448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32F34"/>
    <w:multiLevelType w:val="multilevel"/>
    <w:tmpl w:val="1BEA6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BC6832"/>
    <w:multiLevelType w:val="multilevel"/>
    <w:tmpl w:val="1C90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52412B"/>
    <w:multiLevelType w:val="multilevel"/>
    <w:tmpl w:val="B110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9617C"/>
    <w:multiLevelType w:val="multilevel"/>
    <w:tmpl w:val="5234E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E00187"/>
    <w:multiLevelType w:val="multilevel"/>
    <w:tmpl w:val="86840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3044DD"/>
    <w:multiLevelType w:val="multilevel"/>
    <w:tmpl w:val="05F4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47FE7"/>
    <w:multiLevelType w:val="multilevel"/>
    <w:tmpl w:val="1C7A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64050D"/>
    <w:multiLevelType w:val="multilevel"/>
    <w:tmpl w:val="CD18A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0463D0"/>
    <w:multiLevelType w:val="multilevel"/>
    <w:tmpl w:val="DAEAE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392F67"/>
    <w:multiLevelType w:val="multilevel"/>
    <w:tmpl w:val="5CF0F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FB0099A"/>
    <w:multiLevelType w:val="multilevel"/>
    <w:tmpl w:val="36DAA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C5859"/>
    <w:multiLevelType w:val="multilevel"/>
    <w:tmpl w:val="097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DBF5283"/>
    <w:multiLevelType w:val="multilevel"/>
    <w:tmpl w:val="5D203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89417085">
    <w:abstractNumId w:val="0"/>
  </w:num>
  <w:num w:numId="2" w16cid:durableId="1893691943">
    <w:abstractNumId w:val="9"/>
  </w:num>
  <w:num w:numId="3" w16cid:durableId="691616815">
    <w:abstractNumId w:val="3"/>
  </w:num>
  <w:num w:numId="4" w16cid:durableId="1117329801">
    <w:abstractNumId w:val="1"/>
  </w:num>
  <w:num w:numId="5" w16cid:durableId="704451202">
    <w:abstractNumId w:val="11"/>
  </w:num>
  <w:num w:numId="6" w16cid:durableId="1342858841">
    <w:abstractNumId w:val="8"/>
  </w:num>
  <w:num w:numId="7" w16cid:durableId="1007371533">
    <w:abstractNumId w:val="6"/>
  </w:num>
  <w:num w:numId="8" w16cid:durableId="1042906363">
    <w:abstractNumId w:val="7"/>
  </w:num>
  <w:num w:numId="9" w16cid:durableId="335809767">
    <w:abstractNumId w:val="13"/>
  </w:num>
  <w:num w:numId="10" w16cid:durableId="566379201">
    <w:abstractNumId w:val="5"/>
  </w:num>
  <w:num w:numId="11" w16cid:durableId="602610895">
    <w:abstractNumId w:val="4"/>
  </w:num>
  <w:num w:numId="12" w16cid:durableId="1928147200">
    <w:abstractNumId w:val="10"/>
  </w:num>
  <w:num w:numId="13" w16cid:durableId="1484854776">
    <w:abstractNumId w:val="2"/>
  </w:num>
  <w:num w:numId="14" w16cid:durableId="11915545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30F"/>
    <w:rsid w:val="000A081D"/>
    <w:rsid w:val="000B0BD1"/>
    <w:rsid w:val="000F6D33"/>
    <w:rsid w:val="00171971"/>
    <w:rsid w:val="001E6584"/>
    <w:rsid w:val="0025431C"/>
    <w:rsid w:val="00286057"/>
    <w:rsid w:val="003879C3"/>
    <w:rsid w:val="004416FA"/>
    <w:rsid w:val="00490A16"/>
    <w:rsid w:val="00545867"/>
    <w:rsid w:val="00640408"/>
    <w:rsid w:val="00640949"/>
    <w:rsid w:val="006F5F7D"/>
    <w:rsid w:val="006F64F0"/>
    <w:rsid w:val="00734564"/>
    <w:rsid w:val="007C287F"/>
    <w:rsid w:val="0087571E"/>
    <w:rsid w:val="008B1432"/>
    <w:rsid w:val="00973191"/>
    <w:rsid w:val="009A6C8F"/>
    <w:rsid w:val="00AD04EE"/>
    <w:rsid w:val="00B01227"/>
    <w:rsid w:val="00B029F0"/>
    <w:rsid w:val="00B8379D"/>
    <w:rsid w:val="00BA1B6A"/>
    <w:rsid w:val="00C76D64"/>
    <w:rsid w:val="00C9241E"/>
    <w:rsid w:val="00CE1F20"/>
    <w:rsid w:val="00D00507"/>
    <w:rsid w:val="00DF0EC9"/>
    <w:rsid w:val="00E01097"/>
    <w:rsid w:val="00E0730F"/>
    <w:rsid w:val="00E421E8"/>
    <w:rsid w:val="00EA3F9C"/>
    <w:rsid w:val="00EC3CF2"/>
    <w:rsid w:val="00EE20D8"/>
    <w:rsid w:val="00F25377"/>
    <w:rsid w:val="00F5347F"/>
    <w:rsid w:val="00FD72EA"/>
    <w:rsid w:val="00FF7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BC594"/>
  <w15:chartTrackingRefBased/>
  <w15:docId w15:val="{60E3830A-3405-4AE3-8545-87D7C813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7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7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7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7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73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73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73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73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7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7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7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7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7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7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7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7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730F"/>
    <w:rPr>
      <w:rFonts w:eastAsiaTheme="majorEastAsia" w:cstheme="majorBidi"/>
      <w:color w:val="272727" w:themeColor="text1" w:themeTint="D8"/>
    </w:rPr>
  </w:style>
  <w:style w:type="paragraph" w:styleId="Title">
    <w:name w:val="Title"/>
    <w:basedOn w:val="Normal"/>
    <w:next w:val="Normal"/>
    <w:link w:val="TitleChar"/>
    <w:uiPriority w:val="10"/>
    <w:qFormat/>
    <w:rsid w:val="00E07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7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7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7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730F"/>
    <w:pPr>
      <w:spacing w:before="160"/>
      <w:jc w:val="center"/>
    </w:pPr>
    <w:rPr>
      <w:i/>
      <w:iCs/>
      <w:color w:val="404040" w:themeColor="text1" w:themeTint="BF"/>
    </w:rPr>
  </w:style>
  <w:style w:type="character" w:customStyle="1" w:styleId="QuoteChar">
    <w:name w:val="Quote Char"/>
    <w:basedOn w:val="DefaultParagraphFont"/>
    <w:link w:val="Quote"/>
    <w:uiPriority w:val="29"/>
    <w:rsid w:val="00E0730F"/>
    <w:rPr>
      <w:i/>
      <w:iCs/>
      <w:color w:val="404040" w:themeColor="text1" w:themeTint="BF"/>
    </w:rPr>
  </w:style>
  <w:style w:type="paragraph" w:styleId="ListParagraph">
    <w:name w:val="List Paragraph"/>
    <w:basedOn w:val="Normal"/>
    <w:uiPriority w:val="34"/>
    <w:qFormat/>
    <w:rsid w:val="00E0730F"/>
    <w:pPr>
      <w:ind w:left="720"/>
      <w:contextualSpacing/>
    </w:pPr>
  </w:style>
  <w:style w:type="character" w:styleId="IntenseEmphasis">
    <w:name w:val="Intense Emphasis"/>
    <w:basedOn w:val="DefaultParagraphFont"/>
    <w:uiPriority w:val="21"/>
    <w:qFormat/>
    <w:rsid w:val="00E0730F"/>
    <w:rPr>
      <w:i/>
      <w:iCs/>
      <w:color w:val="0F4761" w:themeColor="accent1" w:themeShade="BF"/>
    </w:rPr>
  </w:style>
  <w:style w:type="paragraph" w:styleId="IntenseQuote">
    <w:name w:val="Intense Quote"/>
    <w:basedOn w:val="Normal"/>
    <w:next w:val="Normal"/>
    <w:link w:val="IntenseQuoteChar"/>
    <w:uiPriority w:val="30"/>
    <w:qFormat/>
    <w:rsid w:val="00E07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730F"/>
    <w:rPr>
      <w:i/>
      <w:iCs/>
      <w:color w:val="0F4761" w:themeColor="accent1" w:themeShade="BF"/>
    </w:rPr>
  </w:style>
  <w:style w:type="character" w:styleId="IntenseReference">
    <w:name w:val="Intense Reference"/>
    <w:basedOn w:val="DefaultParagraphFont"/>
    <w:uiPriority w:val="32"/>
    <w:qFormat/>
    <w:rsid w:val="00E0730F"/>
    <w:rPr>
      <w:b/>
      <w:bCs/>
      <w:smallCaps/>
      <w:color w:val="0F4761" w:themeColor="accent1" w:themeShade="BF"/>
      <w:spacing w:val="5"/>
    </w:rPr>
  </w:style>
  <w:style w:type="table" w:styleId="GridTable2-Accent5">
    <w:name w:val="Grid Table 2 Accent 5"/>
    <w:basedOn w:val="TableNormal"/>
    <w:uiPriority w:val="47"/>
    <w:rsid w:val="00F5347F"/>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CE1F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F20"/>
  </w:style>
  <w:style w:type="paragraph" w:styleId="Footer">
    <w:name w:val="footer"/>
    <w:basedOn w:val="Normal"/>
    <w:link w:val="FooterChar"/>
    <w:uiPriority w:val="99"/>
    <w:unhideWhenUsed/>
    <w:rsid w:val="00CE1F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F20"/>
  </w:style>
  <w:style w:type="table" w:styleId="GridTable4-Accent6">
    <w:name w:val="Grid Table 4 Accent 6"/>
    <w:basedOn w:val="TableNormal"/>
    <w:uiPriority w:val="49"/>
    <w:rsid w:val="00F25377"/>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B25D38-A841-47B6-80B7-0EFC4A15AF5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C5E1DBFB-8F09-409B-BD51-75407BA4EE94}">
      <dgm:prSet phldrT="[Text]"/>
      <dgm:spPr/>
      <dgm:t>
        <a:bodyPr/>
        <a:lstStyle/>
        <a:p>
          <a:pPr>
            <a:buNone/>
          </a:pPr>
          <a:r>
            <a:rPr lang="en-GB"/>
            <a:t>Identify</a:t>
          </a:r>
        </a:p>
      </dgm:t>
    </dgm:pt>
    <dgm:pt modelId="{616145E1-8276-45A4-871C-C6D5F2671450}" type="parTrans" cxnId="{097A43A6-2317-42A3-BDFE-5D9014BADE04}">
      <dgm:prSet/>
      <dgm:spPr/>
      <dgm:t>
        <a:bodyPr/>
        <a:lstStyle/>
        <a:p>
          <a:endParaRPr lang="en-GB"/>
        </a:p>
      </dgm:t>
    </dgm:pt>
    <dgm:pt modelId="{638047B0-3ACF-460D-911A-DF6F240E6C15}" type="sibTrans" cxnId="{097A43A6-2317-42A3-BDFE-5D9014BADE04}">
      <dgm:prSet/>
      <dgm:spPr/>
      <dgm:t>
        <a:bodyPr/>
        <a:lstStyle/>
        <a:p>
          <a:endParaRPr lang="en-GB"/>
        </a:p>
      </dgm:t>
    </dgm:pt>
    <dgm:pt modelId="{F01D0358-5D00-4828-BA3D-4FDDA330D9AC}">
      <dgm:prSet phldrT="[Text]"/>
      <dgm:spPr/>
      <dgm:t>
        <a:bodyPr/>
        <a:lstStyle/>
        <a:p>
          <a:pPr>
            <a:buNone/>
          </a:pPr>
          <a:r>
            <a:rPr lang="en-GB"/>
            <a:t>Analyse</a:t>
          </a:r>
        </a:p>
      </dgm:t>
    </dgm:pt>
    <dgm:pt modelId="{0E4AED92-B9D7-4818-8F7F-B07CEC042F1E}" type="parTrans" cxnId="{E1D24A18-42F3-4536-8C40-A736D6F71558}">
      <dgm:prSet/>
      <dgm:spPr/>
      <dgm:t>
        <a:bodyPr/>
        <a:lstStyle/>
        <a:p>
          <a:endParaRPr lang="en-GB"/>
        </a:p>
      </dgm:t>
    </dgm:pt>
    <dgm:pt modelId="{433EA6B4-1141-4BE8-A243-87E0C69F3596}" type="sibTrans" cxnId="{E1D24A18-42F3-4536-8C40-A736D6F71558}">
      <dgm:prSet/>
      <dgm:spPr/>
      <dgm:t>
        <a:bodyPr/>
        <a:lstStyle/>
        <a:p>
          <a:endParaRPr lang="en-GB"/>
        </a:p>
      </dgm:t>
    </dgm:pt>
    <dgm:pt modelId="{51A38A99-1598-40CA-87BA-5E5C2638A363}">
      <dgm:prSet phldrT="[Text]"/>
      <dgm:spPr/>
      <dgm:t>
        <a:bodyPr/>
        <a:lstStyle/>
        <a:p>
          <a:pPr>
            <a:buNone/>
          </a:pPr>
          <a:r>
            <a:rPr lang="en-GB"/>
            <a:t>Plan</a:t>
          </a:r>
        </a:p>
      </dgm:t>
    </dgm:pt>
    <dgm:pt modelId="{6CA8FC08-46E2-4090-B2F2-B716199886FD}" type="parTrans" cxnId="{1883A165-BADD-4BD2-BF22-2BA8C12B370D}">
      <dgm:prSet/>
      <dgm:spPr/>
      <dgm:t>
        <a:bodyPr/>
        <a:lstStyle/>
        <a:p>
          <a:endParaRPr lang="en-GB"/>
        </a:p>
      </dgm:t>
    </dgm:pt>
    <dgm:pt modelId="{3E57312A-4A59-48C8-9FEA-488ED677FB21}" type="sibTrans" cxnId="{1883A165-BADD-4BD2-BF22-2BA8C12B370D}">
      <dgm:prSet/>
      <dgm:spPr/>
      <dgm:t>
        <a:bodyPr/>
        <a:lstStyle/>
        <a:p>
          <a:endParaRPr lang="en-GB"/>
        </a:p>
      </dgm:t>
    </dgm:pt>
    <dgm:pt modelId="{2FCF5658-D95A-4727-B18A-2C269844B295}">
      <dgm:prSet phldrT="[Text]"/>
      <dgm:spPr/>
      <dgm:t>
        <a:bodyPr/>
        <a:lstStyle/>
        <a:p>
          <a:pPr>
            <a:buNone/>
          </a:pPr>
          <a:r>
            <a:rPr lang="en-GB"/>
            <a:t>Manage</a:t>
          </a:r>
        </a:p>
      </dgm:t>
    </dgm:pt>
    <dgm:pt modelId="{10472E36-F7BB-43D4-82F2-2EE5699636A0}" type="parTrans" cxnId="{A802B119-87EE-4A10-BD5F-68A39573CC8F}">
      <dgm:prSet/>
      <dgm:spPr/>
      <dgm:t>
        <a:bodyPr/>
        <a:lstStyle/>
        <a:p>
          <a:endParaRPr lang="en-GB"/>
        </a:p>
      </dgm:t>
    </dgm:pt>
    <dgm:pt modelId="{2127C8A4-A832-4B6A-8BC7-D90330D33305}" type="sibTrans" cxnId="{A802B119-87EE-4A10-BD5F-68A39573CC8F}">
      <dgm:prSet/>
      <dgm:spPr/>
      <dgm:t>
        <a:bodyPr/>
        <a:lstStyle/>
        <a:p>
          <a:endParaRPr lang="en-GB"/>
        </a:p>
      </dgm:t>
    </dgm:pt>
    <dgm:pt modelId="{286D4629-903F-452B-A11C-E5E2C8291100}">
      <dgm:prSet phldrT="[Text]"/>
      <dgm:spPr/>
      <dgm:t>
        <a:bodyPr/>
        <a:lstStyle/>
        <a:p>
          <a:pPr>
            <a:buNone/>
          </a:pPr>
          <a:r>
            <a:rPr lang="en-GB"/>
            <a:t>Monitor</a:t>
          </a:r>
        </a:p>
      </dgm:t>
    </dgm:pt>
    <dgm:pt modelId="{C93AB3D7-87FC-48C3-8AE5-57B22B9E5F47}" type="parTrans" cxnId="{315F7E95-54D2-464F-BDB2-D34659E8FE5A}">
      <dgm:prSet/>
      <dgm:spPr/>
      <dgm:t>
        <a:bodyPr/>
        <a:lstStyle/>
        <a:p>
          <a:endParaRPr lang="en-GB"/>
        </a:p>
      </dgm:t>
    </dgm:pt>
    <dgm:pt modelId="{67738735-D65B-438D-B201-283EA855BE8F}" type="sibTrans" cxnId="{315F7E95-54D2-464F-BDB2-D34659E8FE5A}">
      <dgm:prSet/>
      <dgm:spPr/>
      <dgm:t>
        <a:bodyPr/>
        <a:lstStyle/>
        <a:p>
          <a:endParaRPr lang="en-GB"/>
        </a:p>
      </dgm:t>
    </dgm:pt>
    <dgm:pt modelId="{21E33D07-6308-45AF-8BF0-1D5D8DE649D8}">
      <dgm:prSet phldrT="[Text]"/>
      <dgm:spPr/>
      <dgm:t>
        <a:bodyPr/>
        <a:lstStyle/>
        <a:p>
          <a:pPr>
            <a:buNone/>
          </a:pPr>
          <a:r>
            <a:rPr lang="en-GB"/>
            <a:t>Evaluate</a:t>
          </a:r>
        </a:p>
      </dgm:t>
    </dgm:pt>
    <dgm:pt modelId="{DFF1BD4E-E014-4BFB-B503-6AED89DB2A24}" type="parTrans" cxnId="{77FE3F2B-0136-45AF-8C43-149517F38F7E}">
      <dgm:prSet/>
      <dgm:spPr/>
      <dgm:t>
        <a:bodyPr/>
        <a:lstStyle/>
        <a:p>
          <a:endParaRPr lang="en-GB"/>
        </a:p>
      </dgm:t>
    </dgm:pt>
    <dgm:pt modelId="{E39BBBAD-1085-4942-9065-A3F06E630D27}" type="sibTrans" cxnId="{77FE3F2B-0136-45AF-8C43-149517F38F7E}">
      <dgm:prSet/>
      <dgm:spPr>
        <a:solidFill>
          <a:schemeClr val="bg1"/>
        </a:solidFill>
      </dgm:spPr>
      <dgm:t>
        <a:bodyPr/>
        <a:lstStyle/>
        <a:p>
          <a:endParaRPr lang="en-GB"/>
        </a:p>
      </dgm:t>
    </dgm:pt>
    <dgm:pt modelId="{CFB72617-7A63-45E0-96FA-786999519CE7}" type="pres">
      <dgm:prSet presAssocID="{F9B25D38-A841-47B6-80B7-0EFC4A15AF5F}" presName="cycle" presStyleCnt="0">
        <dgm:presLayoutVars>
          <dgm:dir/>
          <dgm:resizeHandles val="exact"/>
        </dgm:presLayoutVars>
      </dgm:prSet>
      <dgm:spPr/>
    </dgm:pt>
    <dgm:pt modelId="{45460F2C-9D36-4B2D-8124-4703358E48AB}" type="pres">
      <dgm:prSet presAssocID="{C5E1DBFB-8F09-409B-BD51-75407BA4EE94}" presName="node" presStyleLbl="node1" presStyleIdx="0" presStyleCnt="6">
        <dgm:presLayoutVars>
          <dgm:bulletEnabled val="1"/>
        </dgm:presLayoutVars>
      </dgm:prSet>
      <dgm:spPr/>
    </dgm:pt>
    <dgm:pt modelId="{124E3951-BAEF-4D8B-BDCD-7536A58EB0BF}" type="pres">
      <dgm:prSet presAssocID="{638047B0-3ACF-460D-911A-DF6F240E6C15}" presName="sibTrans" presStyleLbl="sibTrans2D1" presStyleIdx="0" presStyleCnt="6"/>
      <dgm:spPr/>
    </dgm:pt>
    <dgm:pt modelId="{0FC37395-4169-45C5-9E70-0047BFDC218E}" type="pres">
      <dgm:prSet presAssocID="{638047B0-3ACF-460D-911A-DF6F240E6C15}" presName="connectorText" presStyleLbl="sibTrans2D1" presStyleIdx="0" presStyleCnt="6"/>
      <dgm:spPr/>
    </dgm:pt>
    <dgm:pt modelId="{5AF6BBDE-FC20-4CE4-A3DB-EA5CBAEC97BF}" type="pres">
      <dgm:prSet presAssocID="{F01D0358-5D00-4828-BA3D-4FDDA330D9AC}" presName="node" presStyleLbl="node1" presStyleIdx="1" presStyleCnt="6">
        <dgm:presLayoutVars>
          <dgm:bulletEnabled val="1"/>
        </dgm:presLayoutVars>
      </dgm:prSet>
      <dgm:spPr/>
    </dgm:pt>
    <dgm:pt modelId="{FE749E49-6D54-43E1-9AF4-F9DA0CB565BE}" type="pres">
      <dgm:prSet presAssocID="{433EA6B4-1141-4BE8-A243-87E0C69F3596}" presName="sibTrans" presStyleLbl="sibTrans2D1" presStyleIdx="1" presStyleCnt="6"/>
      <dgm:spPr/>
    </dgm:pt>
    <dgm:pt modelId="{4A9863C2-144C-4DF2-B299-ECB2AC90D7BB}" type="pres">
      <dgm:prSet presAssocID="{433EA6B4-1141-4BE8-A243-87E0C69F3596}" presName="connectorText" presStyleLbl="sibTrans2D1" presStyleIdx="1" presStyleCnt="6"/>
      <dgm:spPr/>
    </dgm:pt>
    <dgm:pt modelId="{DCE423AC-3881-4A95-8E00-3D6C66F97EB8}" type="pres">
      <dgm:prSet presAssocID="{51A38A99-1598-40CA-87BA-5E5C2638A363}" presName="node" presStyleLbl="node1" presStyleIdx="2" presStyleCnt="6">
        <dgm:presLayoutVars>
          <dgm:bulletEnabled val="1"/>
        </dgm:presLayoutVars>
      </dgm:prSet>
      <dgm:spPr/>
    </dgm:pt>
    <dgm:pt modelId="{027926F0-0F38-47AB-8F63-AD154CC49977}" type="pres">
      <dgm:prSet presAssocID="{3E57312A-4A59-48C8-9FEA-488ED677FB21}" presName="sibTrans" presStyleLbl="sibTrans2D1" presStyleIdx="2" presStyleCnt="6"/>
      <dgm:spPr/>
    </dgm:pt>
    <dgm:pt modelId="{3A6B4272-7B3F-414A-A90D-C21BF569B837}" type="pres">
      <dgm:prSet presAssocID="{3E57312A-4A59-48C8-9FEA-488ED677FB21}" presName="connectorText" presStyleLbl="sibTrans2D1" presStyleIdx="2" presStyleCnt="6"/>
      <dgm:spPr/>
    </dgm:pt>
    <dgm:pt modelId="{C5B84ADF-BA6D-4F4B-A479-CCAEE24EB0DA}" type="pres">
      <dgm:prSet presAssocID="{2FCF5658-D95A-4727-B18A-2C269844B295}" presName="node" presStyleLbl="node1" presStyleIdx="3" presStyleCnt="6">
        <dgm:presLayoutVars>
          <dgm:bulletEnabled val="1"/>
        </dgm:presLayoutVars>
      </dgm:prSet>
      <dgm:spPr/>
    </dgm:pt>
    <dgm:pt modelId="{1DB306F3-4243-4F17-8796-1F41A862419A}" type="pres">
      <dgm:prSet presAssocID="{2127C8A4-A832-4B6A-8BC7-D90330D33305}" presName="sibTrans" presStyleLbl="sibTrans2D1" presStyleIdx="3" presStyleCnt="6"/>
      <dgm:spPr/>
    </dgm:pt>
    <dgm:pt modelId="{A5007742-7991-4E15-88AC-C30703B5D508}" type="pres">
      <dgm:prSet presAssocID="{2127C8A4-A832-4B6A-8BC7-D90330D33305}" presName="connectorText" presStyleLbl="sibTrans2D1" presStyleIdx="3" presStyleCnt="6"/>
      <dgm:spPr/>
    </dgm:pt>
    <dgm:pt modelId="{7C95F35B-5299-4453-86AA-8E597585190C}" type="pres">
      <dgm:prSet presAssocID="{286D4629-903F-452B-A11C-E5E2C8291100}" presName="node" presStyleLbl="node1" presStyleIdx="4" presStyleCnt="6">
        <dgm:presLayoutVars>
          <dgm:bulletEnabled val="1"/>
        </dgm:presLayoutVars>
      </dgm:prSet>
      <dgm:spPr/>
    </dgm:pt>
    <dgm:pt modelId="{14BA568C-D179-4B04-947D-1F84CB9AEC17}" type="pres">
      <dgm:prSet presAssocID="{67738735-D65B-438D-B201-283EA855BE8F}" presName="sibTrans" presStyleLbl="sibTrans2D1" presStyleIdx="4" presStyleCnt="6"/>
      <dgm:spPr/>
    </dgm:pt>
    <dgm:pt modelId="{96D72F73-BF8E-48D1-8D4E-A7B0807D283C}" type="pres">
      <dgm:prSet presAssocID="{67738735-D65B-438D-B201-283EA855BE8F}" presName="connectorText" presStyleLbl="sibTrans2D1" presStyleIdx="4" presStyleCnt="6"/>
      <dgm:spPr/>
    </dgm:pt>
    <dgm:pt modelId="{088D6618-CE53-4F96-B952-444DB907F845}" type="pres">
      <dgm:prSet presAssocID="{21E33D07-6308-45AF-8BF0-1D5D8DE649D8}" presName="node" presStyleLbl="node1" presStyleIdx="5" presStyleCnt="6">
        <dgm:presLayoutVars>
          <dgm:bulletEnabled val="1"/>
        </dgm:presLayoutVars>
      </dgm:prSet>
      <dgm:spPr/>
    </dgm:pt>
    <dgm:pt modelId="{BBDBA19E-C1F2-4F41-B80F-9FA1A62BE897}" type="pres">
      <dgm:prSet presAssocID="{E39BBBAD-1085-4942-9065-A3F06E630D27}" presName="sibTrans" presStyleLbl="sibTrans2D1" presStyleIdx="5" presStyleCnt="6" custLinFactX="600000" custLinFactY="282395" custLinFactNeighborX="692389" custLinFactNeighborY="300000"/>
      <dgm:spPr/>
    </dgm:pt>
    <dgm:pt modelId="{1C4E9132-EF80-42B9-BF32-2D1B811C2038}" type="pres">
      <dgm:prSet presAssocID="{E39BBBAD-1085-4942-9065-A3F06E630D27}" presName="connectorText" presStyleLbl="sibTrans2D1" presStyleIdx="5" presStyleCnt="6"/>
      <dgm:spPr/>
    </dgm:pt>
  </dgm:ptLst>
  <dgm:cxnLst>
    <dgm:cxn modelId="{19E5C105-98AB-4F78-A8D5-371F7F31FDFA}" type="presOf" srcId="{638047B0-3ACF-460D-911A-DF6F240E6C15}" destId="{0FC37395-4169-45C5-9E70-0047BFDC218E}" srcOrd="1" destOrd="0" presId="urn:microsoft.com/office/officeart/2005/8/layout/cycle2"/>
    <dgm:cxn modelId="{D75F900A-7CAA-4A3F-8BFD-B8A3AD349415}" type="presOf" srcId="{E39BBBAD-1085-4942-9065-A3F06E630D27}" destId="{BBDBA19E-C1F2-4F41-B80F-9FA1A62BE897}" srcOrd="0" destOrd="0" presId="urn:microsoft.com/office/officeart/2005/8/layout/cycle2"/>
    <dgm:cxn modelId="{3BF47A0E-A490-42A4-8893-08FC84EB17DD}" type="presOf" srcId="{F01D0358-5D00-4828-BA3D-4FDDA330D9AC}" destId="{5AF6BBDE-FC20-4CE4-A3DB-EA5CBAEC97BF}" srcOrd="0" destOrd="0" presId="urn:microsoft.com/office/officeart/2005/8/layout/cycle2"/>
    <dgm:cxn modelId="{0A752C0F-2C7A-4EAE-BCE5-8342A84CC389}" type="presOf" srcId="{433EA6B4-1141-4BE8-A243-87E0C69F3596}" destId="{4A9863C2-144C-4DF2-B299-ECB2AC90D7BB}" srcOrd="1" destOrd="0" presId="urn:microsoft.com/office/officeart/2005/8/layout/cycle2"/>
    <dgm:cxn modelId="{CE8A4F13-B199-41F9-82C7-8990103FEF6A}" type="presOf" srcId="{3E57312A-4A59-48C8-9FEA-488ED677FB21}" destId="{3A6B4272-7B3F-414A-A90D-C21BF569B837}" srcOrd="1" destOrd="0" presId="urn:microsoft.com/office/officeart/2005/8/layout/cycle2"/>
    <dgm:cxn modelId="{E1D24A18-42F3-4536-8C40-A736D6F71558}" srcId="{F9B25D38-A841-47B6-80B7-0EFC4A15AF5F}" destId="{F01D0358-5D00-4828-BA3D-4FDDA330D9AC}" srcOrd="1" destOrd="0" parTransId="{0E4AED92-B9D7-4818-8F7F-B07CEC042F1E}" sibTransId="{433EA6B4-1141-4BE8-A243-87E0C69F3596}"/>
    <dgm:cxn modelId="{A802B119-87EE-4A10-BD5F-68A39573CC8F}" srcId="{F9B25D38-A841-47B6-80B7-0EFC4A15AF5F}" destId="{2FCF5658-D95A-4727-B18A-2C269844B295}" srcOrd="3" destOrd="0" parTransId="{10472E36-F7BB-43D4-82F2-2EE5699636A0}" sibTransId="{2127C8A4-A832-4B6A-8BC7-D90330D33305}"/>
    <dgm:cxn modelId="{77FE3F2B-0136-45AF-8C43-149517F38F7E}" srcId="{F9B25D38-A841-47B6-80B7-0EFC4A15AF5F}" destId="{21E33D07-6308-45AF-8BF0-1D5D8DE649D8}" srcOrd="5" destOrd="0" parTransId="{DFF1BD4E-E014-4BFB-B503-6AED89DB2A24}" sibTransId="{E39BBBAD-1085-4942-9065-A3F06E630D27}"/>
    <dgm:cxn modelId="{C56DCD3D-14CA-4553-BACF-3BEE0E851660}" type="presOf" srcId="{51A38A99-1598-40CA-87BA-5E5C2638A363}" destId="{DCE423AC-3881-4A95-8E00-3D6C66F97EB8}" srcOrd="0" destOrd="0" presId="urn:microsoft.com/office/officeart/2005/8/layout/cycle2"/>
    <dgm:cxn modelId="{046F4F5B-5FC8-410D-BD60-217C247B42A6}" type="presOf" srcId="{21E33D07-6308-45AF-8BF0-1D5D8DE649D8}" destId="{088D6618-CE53-4F96-B952-444DB907F845}" srcOrd="0" destOrd="0" presId="urn:microsoft.com/office/officeart/2005/8/layout/cycle2"/>
    <dgm:cxn modelId="{8914985C-1D97-429A-AF80-D0B5D76F1718}" type="presOf" srcId="{2FCF5658-D95A-4727-B18A-2C269844B295}" destId="{C5B84ADF-BA6D-4F4B-A479-CCAEE24EB0DA}" srcOrd="0" destOrd="0" presId="urn:microsoft.com/office/officeart/2005/8/layout/cycle2"/>
    <dgm:cxn modelId="{1D7AFB44-B289-4F4B-B673-815F53AA429A}" type="presOf" srcId="{67738735-D65B-438D-B201-283EA855BE8F}" destId="{96D72F73-BF8E-48D1-8D4E-A7B0807D283C}" srcOrd="1" destOrd="0" presId="urn:microsoft.com/office/officeart/2005/8/layout/cycle2"/>
    <dgm:cxn modelId="{1883A165-BADD-4BD2-BF22-2BA8C12B370D}" srcId="{F9B25D38-A841-47B6-80B7-0EFC4A15AF5F}" destId="{51A38A99-1598-40CA-87BA-5E5C2638A363}" srcOrd="2" destOrd="0" parTransId="{6CA8FC08-46E2-4090-B2F2-B716199886FD}" sibTransId="{3E57312A-4A59-48C8-9FEA-488ED677FB21}"/>
    <dgm:cxn modelId="{BC9A7478-EAE9-4223-8384-913FD9A6D581}" type="presOf" srcId="{F9B25D38-A841-47B6-80B7-0EFC4A15AF5F}" destId="{CFB72617-7A63-45E0-96FA-786999519CE7}" srcOrd="0" destOrd="0" presId="urn:microsoft.com/office/officeart/2005/8/layout/cycle2"/>
    <dgm:cxn modelId="{8658D18C-C5BA-4A02-BC47-DB9DFD5A874A}" type="presOf" srcId="{C5E1DBFB-8F09-409B-BD51-75407BA4EE94}" destId="{45460F2C-9D36-4B2D-8124-4703358E48AB}" srcOrd="0" destOrd="0" presId="urn:microsoft.com/office/officeart/2005/8/layout/cycle2"/>
    <dgm:cxn modelId="{315F7E95-54D2-464F-BDB2-D34659E8FE5A}" srcId="{F9B25D38-A841-47B6-80B7-0EFC4A15AF5F}" destId="{286D4629-903F-452B-A11C-E5E2C8291100}" srcOrd="4" destOrd="0" parTransId="{C93AB3D7-87FC-48C3-8AE5-57B22B9E5F47}" sibTransId="{67738735-D65B-438D-B201-283EA855BE8F}"/>
    <dgm:cxn modelId="{EC69B697-12A8-49EB-9F33-74AD12767E6F}" type="presOf" srcId="{3E57312A-4A59-48C8-9FEA-488ED677FB21}" destId="{027926F0-0F38-47AB-8F63-AD154CC49977}" srcOrd="0" destOrd="0" presId="urn:microsoft.com/office/officeart/2005/8/layout/cycle2"/>
    <dgm:cxn modelId="{5D4DC199-3553-42AB-83E3-6AA167C199FC}" type="presOf" srcId="{433EA6B4-1141-4BE8-A243-87E0C69F3596}" destId="{FE749E49-6D54-43E1-9AF4-F9DA0CB565BE}" srcOrd="0" destOrd="0" presId="urn:microsoft.com/office/officeart/2005/8/layout/cycle2"/>
    <dgm:cxn modelId="{097A43A6-2317-42A3-BDFE-5D9014BADE04}" srcId="{F9B25D38-A841-47B6-80B7-0EFC4A15AF5F}" destId="{C5E1DBFB-8F09-409B-BD51-75407BA4EE94}" srcOrd="0" destOrd="0" parTransId="{616145E1-8276-45A4-871C-C6D5F2671450}" sibTransId="{638047B0-3ACF-460D-911A-DF6F240E6C15}"/>
    <dgm:cxn modelId="{47173FB6-C9F6-4DFC-9466-4C4E7C0E11D5}" type="presOf" srcId="{286D4629-903F-452B-A11C-E5E2C8291100}" destId="{7C95F35B-5299-4453-86AA-8E597585190C}" srcOrd="0" destOrd="0" presId="urn:microsoft.com/office/officeart/2005/8/layout/cycle2"/>
    <dgm:cxn modelId="{343546BA-65F9-45DA-A333-5E7A04A4EB99}" type="presOf" srcId="{67738735-D65B-438D-B201-283EA855BE8F}" destId="{14BA568C-D179-4B04-947D-1F84CB9AEC17}" srcOrd="0" destOrd="0" presId="urn:microsoft.com/office/officeart/2005/8/layout/cycle2"/>
    <dgm:cxn modelId="{B0BE55C4-D597-4F29-90B5-10100A86CEB9}" type="presOf" srcId="{E39BBBAD-1085-4942-9065-A3F06E630D27}" destId="{1C4E9132-EF80-42B9-BF32-2D1B811C2038}" srcOrd="1" destOrd="0" presId="urn:microsoft.com/office/officeart/2005/8/layout/cycle2"/>
    <dgm:cxn modelId="{BAF7B4E0-10C3-47C4-B4C1-9316D70BF2FA}" type="presOf" srcId="{2127C8A4-A832-4B6A-8BC7-D90330D33305}" destId="{1DB306F3-4243-4F17-8796-1F41A862419A}" srcOrd="0" destOrd="0" presId="urn:microsoft.com/office/officeart/2005/8/layout/cycle2"/>
    <dgm:cxn modelId="{3AAA9DF5-B439-44E9-9DAF-F5B7A5B4A56F}" type="presOf" srcId="{638047B0-3ACF-460D-911A-DF6F240E6C15}" destId="{124E3951-BAEF-4D8B-BDCD-7536A58EB0BF}" srcOrd="0" destOrd="0" presId="urn:microsoft.com/office/officeart/2005/8/layout/cycle2"/>
    <dgm:cxn modelId="{A09EE9FA-D1AB-4392-9EA4-F30E747E56FB}" type="presOf" srcId="{2127C8A4-A832-4B6A-8BC7-D90330D33305}" destId="{A5007742-7991-4E15-88AC-C30703B5D508}" srcOrd="1" destOrd="0" presId="urn:microsoft.com/office/officeart/2005/8/layout/cycle2"/>
    <dgm:cxn modelId="{C6FAAD18-DBB1-4777-B919-D927EA2A9D46}" type="presParOf" srcId="{CFB72617-7A63-45E0-96FA-786999519CE7}" destId="{45460F2C-9D36-4B2D-8124-4703358E48AB}" srcOrd="0" destOrd="0" presId="urn:microsoft.com/office/officeart/2005/8/layout/cycle2"/>
    <dgm:cxn modelId="{68773C0A-E54F-4CB6-A6FE-E80C5BF5EDFA}" type="presParOf" srcId="{CFB72617-7A63-45E0-96FA-786999519CE7}" destId="{124E3951-BAEF-4D8B-BDCD-7536A58EB0BF}" srcOrd="1" destOrd="0" presId="urn:microsoft.com/office/officeart/2005/8/layout/cycle2"/>
    <dgm:cxn modelId="{936C4E87-027C-4B4B-8B99-C4B3BE9C43F2}" type="presParOf" srcId="{124E3951-BAEF-4D8B-BDCD-7536A58EB0BF}" destId="{0FC37395-4169-45C5-9E70-0047BFDC218E}" srcOrd="0" destOrd="0" presId="urn:microsoft.com/office/officeart/2005/8/layout/cycle2"/>
    <dgm:cxn modelId="{5CBE583E-01D9-41A8-BA91-C2FAB9299ED1}" type="presParOf" srcId="{CFB72617-7A63-45E0-96FA-786999519CE7}" destId="{5AF6BBDE-FC20-4CE4-A3DB-EA5CBAEC97BF}" srcOrd="2" destOrd="0" presId="urn:microsoft.com/office/officeart/2005/8/layout/cycle2"/>
    <dgm:cxn modelId="{62E4B8B8-346A-4EC9-8E30-76552E023047}" type="presParOf" srcId="{CFB72617-7A63-45E0-96FA-786999519CE7}" destId="{FE749E49-6D54-43E1-9AF4-F9DA0CB565BE}" srcOrd="3" destOrd="0" presId="urn:microsoft.com/office/officeart/2005/8/layout/cycle2"/>
    <dgm:cxn modelId="{5251A423-092C-4D02-8FD8-7B21DF2077DF}" type="presParOf" srcId="{FE749E49-6D54-43E1-9AF4-F9DA0CB565BE}" destId="{4A9863C2-144C-4DF2-B299-ECB2AC90D7BB}" srcOrd="0" destOrd="0" presId="urn:microsoft.com/office/officeart/2005/8/layout/cycle2"/>
    <dgm:cxn modelId="{134E5AFD-4CD2-4BEB-96C0-1D7684B3B403}" type="presParOf" srcId="{CFB72617-7A63-45E0-96FA-786999519CE7}" destId="{DCE423AC-3881-4A95-8E00-3D6C66F97EB8}" srcOrd="4" destOrd="0" presId="urn:microsoft.com/office/officeart/2005/8/layout/cycle2"/>
    <dgm:cxn modelId="{A5F72B93-680A-4FD2-B8AE-BA3777C0E8E5}" type="presParOf" srcId="{CFB72617-7A63-45E0-96FA-786999519CE7}" destId="{027926F0-0F38-47AB-8F63-AD154CC49977}" srcOrd="5" destOrd="0" presId="urn:microsoft.com/office/officeart/2005/8/layout/cycle2"/>
    <dgm:cxn modelId="{8ED8DCD4-C415-4763-8BCD-BF7B86193C0B}" type="presParOf" srcId="{027926F0-0F38-47AB-8F63-AD154CC49977}" destId="{3A6B4272-7B3F-414A-A90D-C21BF569B837}" srcOrd="0" destOrd="0" presId="urn:microsoft.com/office/officeart/2005/8/layout/cycle2"/>
    <dgm:cxn modelId="{DD2C5FF1-FDCF-44E5-A27D-8B02943AF0EF}" type="presParOf" srcId="{CFB72617-7A63-45E0-96FA-786999519CE7}" destId="{C5B84ADF-BA6D-4F4B-A479-CCAEE24EB0DA}" srcOrd="6" destOrd="0" presId="urn:microsoft.com/office/officeart/2005/8/layout/cycle2"/>
    <dgm:cxn modelId="{A85AC9D8-9653-4B61-AB17-9A6ADC4F1724}" type="presParOf" srcId="{CFB72617-7A63-45E0-96FA-786999519CE7}" destId="{1DB306F3-4243-4F17-8796-1F41A862419A}" srcOrd="7" destOrd="0" presId="urn:microsoft.com/office/officeart/2005/8/layout/cycle2"/>
    <dgm:cxn modelId="{9AE5913B-766A-47A7-9817-5442B7864259}" type="presParOf" srcId="{1DB306F3-4243-4F17-8796-1F41A862419A}" destId="{A5007742-7991-4E15-88AC-C30703B5D508}" srcOrd="0" destOrd="0" presId="urn:microsoft.com/office/officeart/2005/8/layout/cycle2"/>
    <dgm:cxn modelId="{468731FD-04F2-4731-B4D5-CEF0AFBC5237}" type="presParOf" srcId="{CFB72617-7A63-45E0-96FA-786999519CE7}" destId="{7C95F35B-5299-4453-86AA-8E597585190C}" srcOrd="8" destOrd="0" presId="urn:microsoft.com/office/officeart/2005/8/layout/cycle2"/>
    <dgm:cxn modelId="{A6C0C924-4EDA-4D78-9064-00853D6CBFFF}" type="presParOf" srcId="{CFB72617-7A63-45E0-96FA-786999519CE7}" destId="{14BA568C-D179-4B04-947D-1F84CB9AEC17}" srcOrd="9" destOrd="0" presId="urn:microsoft.com/office/officeart/2005/8/layout/cycle2"/>
    <dgm:cxn modelId="{AD4A133F-ED52-4AA2-AE8A-7BB28AC778A9}" type="presParOf" srcId="{14BA568C-D179-4B04-947D-1F84CB9AEC17}" destId="{96D72F73-BF8E-48D1-8D4E-A7B0807D283C}" srcOrd="0" destOrd="0" presId="urn:microsoft.com/office/officeart/2005/8/layout/cycle2"/>
    <dgm:cxn modelId="{3296B1BE-24CA-44E4-8A55-6B36F7E06AB1}" type="presParOf" srcId="{CFB72617-7A63-45E0-96FA-786999519CE7}" destId="{088D6618-CE53-4F96-B952-444DB907F845}" srcOrd="10" destOrd="0" presId="urn:microsoft.com/office/officeart/2005/8/layout/cycle2"/>
    <dgm:cxn modelId="{BDEC4FC6-2496-4895-9327-6763EAF091EF}" type="presParOf" srcId="{CFB72617-7A63-45E0-96FA-786999519CE7}" destId="{BBDBA19E-C1F2-4F41-B80F-9FA1A62BE897}" srcOrd="11" destOrd="0" presId="urn:microsoft.com/office/officeart/2005/8/layout/cycle2"/>
    <dgm:cxn modelId="{29C4EBF9-F50C-4D62-8500-E239B4406227}" type="presParOf" srcId="{BBDBA19E-C1F2-4F41-B80F-9FA1A62BE897}" destId="{1C4E9132-EF80-42B9-BF32-2D1B811C2038}" srcOrd="0" destOrd="0" presId="urn:microsoft.com/office/officeart/2005/8/layout/cycle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460F2C-9D36-4B2D-8124-4703358E48AB}">
      <dsp:nvSpPr>
        <dsp:cNvPr id="0" name=""/>
        <dsp:cNvSpPr/>
      </dsp:nvSpPr>
      <dsp:spPr>
        <a:xfrm>
          <a:off x="2344042" y="593"/>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Identify</a:t>
          </a:r>
        </a:p>
      </dsp:txBody>
      <dsp:txXfrm>
        <a:off x="2460952" y="117503"/>
        <a:ext cx="564494" cy="564494"/>
      </dsp:txXfrm>
    </dsp:sp>
    <dsp:sp modelId="{124E3951-BAEF-4D8B-BDCD-7536A58EB0BF}">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155503" y="600032"/>
        <a:ext cx="149192" cy="161658"/>
      </dsp:txXfrm>
    </dsp:sp>
    <dsp:sp modelId="{5AF6BBDE-FC20-4CE4-A3DB-EA5CBAEC97BF}">
      <dsp:nvSpPr>
        <dsp:cNvPr id="0" name=""/>
        <dsp:cNvSpPr/>
      </dsp:nvSpPr>
      <dsp:spPr>
        <a:xfrm>
          <a:off x="3383662" y="600818"/>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Analyse</a:t>
          </a:r>
        </a:p>
      </dsp:txBody>
      <dsp:txXfrm>
        <a:off x="3500572" y="717728"/>
        <a:ext cx="564494" cy="564494"/>
      </dsp:txXfrm>
    </dsp:sp>
    <dsp:sp modelId="{FE749E49-6D54-43E1-9AF4-F9DA0CB565BE}">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708223" y="1481369"/>
        <a:ext cx="149192" cy="161658"/>
      </dsp:txXfrm>
    </dsp:sp>
    <dsp:sp modelId="{DCE423AC-3881-4A95-8E00-3D6C66F97EB8}">
      <dsp:nvSpPr>
        <dsp:cNvPr id="0" name=""/>
        <dsp:cNvSpPr/>
      </dsp:nvSpPr>
      <dsp:spPr>
        <a:xfrm>
          <a:off x="3383662" y="1801267"/>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Plan</a:t>
          </a:r>
        </a:p>
      </dsp:txBody>
      <dsp:txXfrm>
        <a:off x="3500572" y="1918177"/>
        <a:ext cx="564494" cy="564494"/>
      </dsp:txXfrm>
    </dsp:sp>
    <dsp:sp modelId="{027926F0-0F38-47AB-8F63-AD154CC49977}">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221323" y="2400706"/>
        <a:ext cx="149192" cy="161658"/>
      </dsp:txXfrm>
    </dsp:sp>
    <dsp:sp modelId="{C5B84ADF-BA6D-4F4B-A479-CCAEE24EB0DA}">
      <dsp:nvSpPr>
        <dsp:cNvPr id="0" name=""/>
        <dsp:cNvSpPr/>
      </dsp:nvSpPr>
      <dsp:spPr>
        <a:xfrm>
          <a:off x="2344042" y="2401491"/>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Manage</a:t>
          </a:r>
        </a:p>
      </dsp:txBody>
      <dsp:txXfrm>
        <a:off x="2460952" y="2518401"/>
        <a:ext cx="564494" cy="564494"/>
      </dsp:txXfrm>
    </dsp:sp>
    <dsp:sp modelId="{1DB306F3-4243-4F17-8796-1F41A862419A}">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181704" y="2438708"/>
        <a:ext cx="149192" cy="161658"/>
      </dsp:txXfrm>
    </dsp:sp>
    <dsp:sp modelId="{7C95F35B-5299-4453-86AA-8E597585190C}">
      <dsp:nvSpPr>
        <dsp:cNvPr id="0" name=""/>
        <dsp:cNvSpPr/>
      </dsp:nvSpPr>
      <dsp:spPr>
        <a:xfrm>
          <a:off x="1304423" y="1801267"/>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Monitor</a:t>
          </a:r>
        </a:p>
      </dsp:txBody>
      <dsp:txXfrm>
        <a:off x="1421333" y="1918177"/>
        <a:ext cx="564494" cy="564494"/>
      </dsp:txXfrm>
    </dsp:sp>
    <dsp:sp modelId="{14BA568C-D179-4B04-947D-1F84CB9AEC17}">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1628984" y="1557372"/>
        <a:ext cx="149192" cy="161658"/>
      </dsp:txXfrm>
    </dsp:sp>
    <dsp:sp modelId="{088D6618-CE53-4F96-B952-444DB907F845}">
      <dsp:nvSpPr>
        <dsp:cNvPr id="0" name=""/>
        <dsp:cNvSpPr/>
      </dsp:nvSpPr>
      <dsp:spPr>
        <a:xfrm>
          <a:off x="1304423" y="600818"/>
          <a:ext cx="798314" cy="798314"/>
        </a:xfrm>
        <a:prstGeom prst="ellipse">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Evaluate</a:t>
          </a:r>
        </a:p>
      </dsp:txBody>
      <dsp:txXfrm>
        <a:off x="1421333" y="717728"/>
        <a:ext cx="564494" cy="564494"/>
      </dsp:txXfrm>
    </dsp:sp>
    <dsp:sp modelId="{BBDBA19E-C1F2-4F41-B80F-9FA1A62BE897}">
      <dsp:nvSpPr>
        <dsp:cNvPr id="0" name=""/>
        <dsp:cNvSpPr/>
      </dsp:nvSpPr>
      <dsp:spPr>
        <a:xfrm rot="19800000">
          <a:off x="4866089" y="2137316"/>
          <a:ext cx="213131" cy="269430"/>
        </a:xfrm>
        <a:prstGeom prst="rightArrow">
          <a:avLst>
            <a:gd name="adj1" fmla="val 60000"/>
            <a:gd name="adj2" fmla="val 50000"/>
          </a:avLst>
        </a:prstGeom>
        <a:solidFill>
          <a:schemeClr val="bg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870372" y="2207187"/>
        <a:ext cx="149192" cy="16165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1957</TotalTime>
  <Pages>17</Pages>
  <Words>5804</Words>
  <Characters>33083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Kariol Lohore (2441747)</dc:creator>
  <cp:keywords/>
  <dc:description/>
  <cp:lastModifiedBy>Kariol Lohore (2441747)</cp:lastModifiedBy>
  <cp:revision>25</cp:revision>
  <dcterms:created xsi:type="dcterms:W3CDTF">2026-07-09T08:44:00Z</dcterms:created>
  <dcterms:modified xsi:type="dcterms:W3CDTF">2026-07-17T22:50:00Z</dcterms:modified>
</cp:coreProperties>
</file>