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50266" w14:textId="77777777" w:rsidR="00051EBC" w:rsidRPr="00051EBC" w:rsidRDefault="00051EBC" w:rsidP="00051EBC">
      <w:pPr>
        <w:rPr>
          <w:rFonts w:ascii="Arial" w:hAnsi="Arial" w:cs="Arial"/>
          <w:b/>
          <w:bCs/>
          <w:sz w:val="22"/>
          <w:szCs w:val="22"/>
        </w:rPr>
      </w:pPr>
      <w:r w:rsidRPr="00051EBC">
        <w:rPr>
          <w:rFonts w:ascii="Arial" w:hAnsi="Arial" w:cs="Arial"/>
          <w:b/>
          <w:bCs/>
          <w:sz w:val="22"/>
          <w:szCs w:val="22"/>
        </w:rPr>
        <w:t>Essay one:</w:t>
      </w:r>
    </w:p>
    <w:p w14:paraId="5849A48C" w14:textId="77777777" w:rsidR="00051EBC" w:rsidRPr="00051EBC" w:rsidRDefault="00051EBC" w:rsidP="00051EBC">
      <w:pPr>
        <w:rPr>
          <w:rFonts w:ascii="Arial" w:hAnsi="Arial" w:cs="Arial"/>
          <w:b/>
          <w:bCs/>
          <w:sz w:val="22"/>
          <w:szCs w:val="22"/>
        </w:rPr>
      </w:pPr>
      <w:r w:rsidRPr="00051EBC">
        <w:rPr>
          <w:rFonts w:ascii="Arial" w:hAnsi="Arial" w:cs="Arial"/>
          <w:b/>
          <w:bCs/>
          <w:sz w:val="22"/>
          <w:szCs w:val="22"/>
        </w:rPr>
        <w:t>How effectively has the police service adapted to accommodate diversity within the UK? Consider the police force itself and/or the way police engage with diverse communities.</w:t>
      </w:r>
    </w:p>
    <w:p w14:paraId="08EC0E49" w14:textId="77777777" w:rsidR="00051EBC" w:rsidRPr="00051EBC" w:rsidRDefault="00051EBC" w:rsidP="00051EBC">
      <w:pPr>
        <w:rPr>
          <w:rFonts w:ascii="Arial" w:hAnsi="Arial" w:cs="Arial"/>
          <w:sz w:val="22"/>
          <w:szCs w:val="22"/>
        </w:rPr>
      </w:pPr>
      <w:r w:rsidRPr="00051EBC">
        <w:rPr>
          <w:rFonts w:ascii="Arial" w:hAnsi="Arial" w:cs="Arial"/>
          <w:sz w:val="22"/>
          <w:szCs w:val="22"/>
        </w:rPr>
        <w:t xml:space="preserve">Effective policing relies on cooperation, engagement of, and support from the population.  The UK’s population is diverse.  This means that the UK’s police </w:t>
      </w:r>
      <w:proofErr w:type="gramStart"/>
      <w:r w:rsidRPr="00051EBC">
        <w:rPr>
          <w:rFonts w:ascii="Arial" w:hAnsi="Arial" w:cs="Arial"/>
          <w:sz w:val="22"/>
          <w:szCs w:val="22"/>
        </w:rPr>
        <w:t>needs</w:t>
      </w:r>
      <w:proofErr w:type="gramEnd"/>
      <w:r w:rsidRPr="00051EBC">
        <w:rPr>
          <w:rFonts w:ascii="Arial" w:hAnsi="Arial" w:cs="Arial"/>
          <w:sz w:val="22"/>
          <w:szCs w:val="22"/>
        </w:rPr>
        <w:t xml:space="preserve"> to be able to understand, relate to, and be relatable by, diverse demographics. This can help to increase mutual acceptance, cooperation, and compliance with policing measures, and reduce or ideally prevent perceived and real discrimination against diverse demographics</w:t>
      </w:r>
    </w:p>
    <w:p w14:paraId="62ECC2C3" w14:textId="77777777" w:rsidR="00051EBC" w:rsidRPr="00051EBC" w:rsidRDefault="00051EBC" w:rsidP="00051EBC">
      <w:pPr>
        <w:rPr>
          <w:rFonts w:ascii="Arial" w:hAnsi="Arial" w:cs="Arial"/>
          <w:sz w:val="22"/>
          <w:szCs w:val="22"/>
        </w:rPr>
      </w:pPr>
    </w:p>
    <w:p w14:paraId="2FF88E2E" w14:textId="77777777" w:rsidR="00051EBC" w:rsidRPr="00051EBC" w:rsidRDefault="00051EBC" w:rsidP="00051EBC">
      <w:pPr>
        <w:rPr>
          <w:rFonts w:ascii="Arial" w:hAnsi="Arial" w:cs="Arial"/>
          <w:sz w:val="22"/>
          <w:szCs w:val="22"/>
        </w:rPr>
      </w:pPr>
      <w:r w:rsidRPr="00051EBC">
        <w:rPr>
          <w:rFonts w:ascii="Arial" w:hAnsi="Arial" w:cs="Arial"/>
          <w:sz w:val="22"/>
          <w:szCs w:val="22"/>
        </w:rPr>
        <w:t xml:space="preserve">Perceived and real discrimination against diverse demographics presents a key barrier to effective and equitable policing.  Diversity-related discrimination during policing can quickly inflame any new or existing tensions, potentially leading to confrontation and risk escalation that can become violent, and/or widespread, and difficult to manage.   Racism </w:t>
      </w:r>
      <w:proofErr w:type="gramStart"/>
      <w:r w:rsidRPr="00051EBC">
        <w:rPr>
          <w:rFonts w:ascii="Arial" w:hAnsi="Arial" w:cs="Arial"/>
          <w:sz w:val="22"/>
          <w:szCs w:val="22"/>
        </w:rPr>
        <w:t>in particular can</w:t>
      </w:r>
      <w:proofErr w:type="gramEnd"/>
      <w:r w:rsidRPr="00051EBC">
        <w:rPr>
          <w:rFonts w:ascii="Arial" w:hAnsi="Arial" w:cs="Arial"/>
          <w:sz w:val="22"/>
          <w:szCs w:val="22"/>
        </w:rPr>
        <w:t xml:space="preserve"> be both incidental and institutionalised, and drivers can range from cultural misunderstandings, situational misinterpretation, prejudice, to fear between different demographics and the police. These can increase the risk of aggression and inappropriate use of force during policing.  In recognition of this issue, efforts have been made to investigate and address racism in policing.  However, an Anti-Racism Action Plan (NPCC and College of Policing, 2022) designed to address disparities in policing outcomes, improve diversity and inclusion, improve engagement with BAME communities seems to largely have failed to achieve its aims. (Casey, L, 2023); this seems to suggest that the plan may not have captured and addressed the drivers for racism in policing, be they institutional or individual.</w:t>
      </w:r>
    </w:p>
    <w:p w14:paraId="6D733E4B" w14:textId="77777777" w:rsidR="00051EBC" w:rsidRPr="00051EBC" w:rsidRDefault="00051EBC" w:rsidP="00051EBC">
      <w:pPr>
        <w:rPr>
          <w:rFonts w:ascii="Arial" w:hAnsi="Arial" w:cs="Arial"/>
          <w:sz w:val="22"/>
          <w:szCs w:val="22"/>
        </w:rPr>
      </w:pPr>
    </w:p>
    <w:p w14:paraId="7929BD4D" w14:textId="641F44DD" w:rsidR="00051EBC" w:rsidRPr="00051EBC" w:rsidRDefault="00051EBC" w:rsidP="00051EBC">
      <w:pPr>
        <w:rPr>
          <w:rFonts w:ascii="Arial" w:hAnsi="Arial" w:cs="Arial"/>
          <w:sz w:val="22"/>
          <w:szCs w:val="22"/>
        </w:rPr>
      </w:pPr>
      <w:r w:rsidRPr="00051EBC">
        <w:rPr>
          <w:rFonts w:ascii="Arial" w:hAnsi="Arial" w:cs="Arial"/>
          <w:sz w:val="22"/>
          <w:szCs w:val="22"/>
        </w:rPr>
        <w:t xml:space="preserve">In the case of institutional racism, an organisation’s practices, policies or procedures lead to unequal outcomes or treatment for different groups. In a 2024 report, the Independent Office for Police Conduct (IOPC) found that the police service </w:t>
      </w:r>
      <w:r w:rsidR="007C426A" w:rsidRPr="00051EBC">
        <w:rPr>
          <w:rFonts w:ascii="Arial" w:hAnsi="Arial" w:cs="Arial"/>
          <w:sz w:val="22"/>
          <w:szCs w:val="22"/>
        </w:rPr>
        <w:t>was</w:t>
      </w:r>
      <w:r w:rsidRPr="00051EBC">
        <w:rPr>
          <w:rFonts w:ascii="Arial" w:hAnsi="Arial" w:cs="Arial"/>
          <w:sz w:val="22"/>
          <w:szCs w:val="22"/>
        </w:rPr>
        <w:t xml:space="preserve"> having significant issues relating to institutional racism and the perception of institutional racism. Their work included over 300 IOPC investigations and reviews of certain complaints where race was a significant factor as well as public surveys from 2023 to 2024. In that same timeframe there had been 85,458 complaint cases (Clark, 2025), as such while the IOPC study does show serious cases </w:t>
      </w:r>
      <w:r w:rsidR="00F2347D">
        <w:rPr>
          <w:rFonts w:ascii="Arial" w:hAnsi="Arial" w:cs="Arial"/>
          <w:sz w:val="22"/>
          <w:szCs w:val="22"/>
        </w:rPr>
        <w:t>of</w:t>
      </w:r>
      <w:r w:rsidRPr="00051EBC">
        <w:rPr>
          <w:rFonts w:ascii="Arial" w:hAnsi="Arial" w:cs="Arial"/>
          <w:sz w:val="22"/>
          <w:szCs w:val="22"/>
        </w:rPr>
        <w:t xml:space="preserve"> the police service </w:t>
      </w:r>
      <w:r w:rsidR="00F2347D">
        <w:rPr>
          <w:rFonts w:ascii="Arial" w:hAnsi="Arial" w:cs="Arial"/>
          <w:sz w:val="22"/>
          <w:szCs w:val="22"/>
        </w:rPr>
        <w:t xml:space="preserve">failing </w:t>
      </w:r>
      <w:r w:rsidRPr="00051EBC">
        <w:rPr>
          <w:rFonts w:ascii="Arial" w:hAnsi="Arial" w:cs="Arial"/>
          <w:sz w:val="22"/>
          <w:szCs w:val="22"/>
        </w:rPr>
        <w:t xml:space="preserve">to accommodate diversity, the small sample size makes it hard to judge how widespread the issue is. </w:t>
      </w:r>
      <w:r w:rsidR="002D7BC9" w:rsidRPr="00051EBC">
        <w:rPr>
          <w:rFonts w:ascii="Arial" w:hAnsi="Arial" w:cs="Arial"/>
          <w:sz w:val="22"/>
          <w:szCs w:val="22"/>
        </w:rPr>
        <w:t>However,</w:t>
      </w:r>
      <w:r w:rsidRPr="00051EBC">
        <w:rPr>
          <w:rFonts w:ascii="Arial" w:hAnsi="Arial" w:cs="Arial"/>
          <w:sz w:val="22"/>
          <w:szCs w:val="22"/>
        </w:rPr>
        <w:t xml:space="preserve"> the findings are supported </w:t>
      </w:r>
      <w:r w:rsidR="00062C7C">
        <w:rPr>
          <w:rFonts w:ascii="Arial" w:hAnsi="Arial" w:cs="Arial"/>
          <w:sz w:val="22"/>
          <w:szCs w:val="22"/>
        </w:rPr>
        <w:t xml:space="preserve">by </w:t>
      </w:r>
      <w:r w:rsidR="008D26E1">
        <w:rPr>
          <w:rFonts w:ascii="Arial" w:hAnsi="Arial" w:cs="Arial"/>
          <w:sz w:val="22"/>
          <w:szCs w:val="22"/>
        </w:rPr>
        <w:t>t</w:t>
      </w:r>
      <w:r w:rsidRPr="00051EBC">
        <w:rPr>
          <w:rFonts w:ascii="Arial" w:hAnsi="Arial" w:cs="Arial"/>
          <w:sz w:val="22"/>
          <w:szCs w:val="22"/>
        </w:rPr>
        <w:t xml:space="preserve">he </w:t>
      </w:r>
      <w:r w:rsidR="008D26E1">
        <w:rPr>
          <w:rFonts w:ascii="Arial" w:hAnsi="Arial" w:cs="Arial"/>
          <w:sz w:val="22"/>
          <w:szCs w:val="22"/>
        </w:rPr>
        <w:t>r</w:t>
      </w:r>
      <w:r w:rsidRPr="00051EBC">
        <w:rPr>
          <w:rFonts w:ascii="Arial" w:hAnsi="Arial" w:cs="Arial"/>
          <w:sz w:val="22"/>
          <w:szCs w:val="22"/>
        </w:rPr>
        <w:t xml:space="preserve">eport of the Commission on Race and Ethnic Disparities (Sewell, 2021) to a point, broadly agreeing that </w:t>
      </w:r>
      <w:proofErr w:type="gramStart"/>
      <w:r w:rsidRPr="00051EBC">
        <w:rPr>
          <w:rFonts w:ascii="Arial" w:hAnsi="Arial" w:cs="Arial"/>
          <w:sz w:val="22"/>
          <w:szCs w:val="22"/>
        </w:rPr>
        <w:t>there</w:t>
      </w:r>
      <w:proofErr w:type="gramEnd"/>
      <w:r w:rsidRPr="00051EBC">
        <w:rPr>
          <w:rFonts w:ascii="Arial" w:hAnsi="Arial" w:cs="Arial"/>
          <w:sz w:val="22"/>
          <w:szCs w:val="22"/>
        </w:rPr>
        <w:t xml:space="preserve"> issues with </w:t>
      </w:r>
      <w:r w:rsidR="00385B07">
        <w:rPr>
          <w:rFonts w:ascii="Arial" w:hAnsi="Arial" w:cs="Arial"/>
          <w:sz w:val="22"/>
          <w:szCs w:val="22"/>
        </w:rPr>
        <w:t xml:space="preserve">racial </w:t>
      </w:r>
      <w:r w:rsidRPr="00051EBC">
        <w:rPr>
          <w:rFonts w:ascii="Arial" w:hAnsi="Arial" w:cs="Arial"/>
          <w:sz w:val="22"/>
          <w:szCs w:val="22"/>
        </w:rPr>
        <w:t xml:space="preserve">disparities but stopping short of referring to the police as institutionally racist.  </w:t>
      </w:r>
    </w:p>
    <w:p w14:paraId="51502F21" w14:textId="4006A33D" w:rsidR="00051EBC" w:rsidRPr="00051EBC" w:rsidRDefault="00051EBC" w:rsidP="00051EBC">
      <w:pPr>
        <w:rPr>
          <w:rFonts w:ascii="Arial" w:hAnsi="Arial" w:cs="Arial"/>
          <w:sz w:val="22"/>
          <w:szCs w:val="22"/>
        </w:rPr>
      </w:pPr>
      <w:r w:rsidRPr="00051EBC">
        <w:rPr>
          <w:rFonts w:ascii="Arial" w:hAnsi="Arial" w:cs="Arial"/>
          <w:sz w:val="22"/>
          <w:szCs w:val="22"/>
        </w:rPr>
        <w:t xml:space="preserve">Further research (Statista 2024a, 2024b; Inquest 2023) found that Black individuals were more likely than White individuals to be subjected to stop and search, and to be involved more often in situations where restraint or force was used.  This suggests issues of discrimination involving individuals from BAME backgrounds. It should however be noted that the data is qualitative, i.e., while </w:t>
      </w:r>
      <w:proofErr w:type="gramStart"/>
      <w:r w:rsidRPr="00051EBC">
        <w:rPr>
          <w:rFonts w:ascii="Arial" w:hAnsi="Arial" w:cs="Arial"/>
          <w:sz w:val="22"/>
          <w:szCs w:val="22"/>
        </w:rPr>
        <w:t>all of</w:t>
      </w:r>
      <w:proofErr w:type="gramEnd"/>
      <w:r w:rsidRPr="00051EBC">
        <w:rPr>
          <w:rFonts w:ascii="Arial" w:hAnsi="Arial" w:cs="Arial"/>
          <w:sz w:val="22"/>
          <w:szCs w:val="22"/>
        </w:rPr>
        <w:t xml:space="preserve"> these studies paint </w:t>
      </w:r>
      <w:r w:rsidR="00385B07" w:rsidRPr="00051EBC">
        <w:rPr>
          <w:rFonts w:ascii="Arial" w:hAnsi="Arial" w:cs="Arial"/>
          <w:sz w:val="22"/>
          <w:szCs w:val="22"/>
        </w:rPr>
        <w:t>a vivid</w:t>
      </w:r>
      <w:r w:rsidRPr="00051EBC">
        <w:rPr>
          <w:rFonts w:ascii="Arial" w:hAnsi="Arial" w:cs="Arial"/>
          <w:sz w:val="22"/>
          <w:szCs w:val="22"/>
        </w:rPr>
        <w:t xml:space="preserve"> picture of BAME </w:t>
      </w:r>
      <w:r w:rsidRPr="00051EBC">
        <w:rPr>
          <w:rFonts w:ascii="Arial" w:hAnsi="Arial" w:cs="Arial"/>
          <w:sz w:val="22"/>
          <w:szCs w:val="22"/>
        </w:rPr>
        <w:lastRenderedPageBreak/>
        <w:t>individuals frequently being subject to greater force, they do not show why.  It is possible that other factors influence those cases, for example crime patterns and socioeconomic factors.</w:t>
      </w:r>
    </w:p>
    <w:p w14:paraId="0C2CDE15" w14:textId="77777777" w:rsidR="00051EBC" w:rsidRPr="00051EBC" w:rsidRDefault="00051EBC" w:rsidP="00051EBC">
      <w:pPr>
        <w:rPr>
          <w:rFonts w:ascii="Arial" w:hAnsi="Arial" w:cs="Arial"/>
          <w:sz w:val="22"/>
          <w:szCs w:val="22"/>
        </w:rPr>
      </w:pPr>
    </w:p>
    <w:p w14:paraId="30507DFB" w14:textId="77777777" w:rsidR="00051EBC" w:rsidRPr="00051EBC" w:rsidRDefault="00051EBC" w:rsidP="00051EBC">
      <w:pPr>
        <w:rPr>
          <w:rFonts w:ascii="Arial" w:hAnsi="Arial" w:cs="Arial"/>
          <w:sz w:val="22"/>
          <w:szCs w:val="22"/>
        </w:rPr>
      </w:pPr>
      <w:r w:rsidRPr="00051EBC">
        <w:rPr>
          <w:rFonts w:ascii="Arial" w:hAnsi="Arial" w:cs="Arial"/>
          <w:sz w:val="22"/>
          <w:szCs w:val="22"/>
        </w:rPr>
        <w:t>Whilst the evidence appears consistent in pointing towards racism as an issue in policing, it appears less clear whether this is inherent to the police failing to integrate diversity, or if those external factors are the drivers, or whether it is a mix of both.  This seems to suggest that a better understanding of the drivers and mechanisms of racing in policing could result in more focused and effective measures to address the issue, and the interplay of socio-economic factors, institutional and individual views on race and race relations in policing may need to be researched further.</w:t>
      </w:r>
    </w:p>
    <w:p w14:paraId="1AFDE26C" w14:textId="75BB83CE" w:rsidR="00051EBC" w:rsidRPr="00051EBC" w:rsidRDefault="00051EBC" w:rsidP="00051EBC">
      <w:pPr>
        <w:rPr>
          <w:rFonts w:ascii="Arial" w:hAnsi="Arial" w:cs="Arial"/>
          <w:sz w:val="22"/>
          <w:szCs w:val="22"/>
        </w:rPr>
      </w:pPr>
      <w:r w:rsidRPr="00051EBC">
        <w:rPr>
          <w:rFonts w:ascii="Arial" w:hAnsi="Arial" w:cs="Arial"/>
          <w:sz w:val="22"/>
          <w:szCs w:val="22"/>
        </w:rPr>
        <w:t xml:space="preserve">It has also been argued that the police </w:t>
      </w:r>
      <w:proofErr w:type="gramStart"/>
      <w:r w:rsidRPr="00051EBC">
        <w:rPr>
          <w:rFonts w:ascii="Arial" w:hAnsi="Arial" w:cs="Arial"/>
          <w:sz w:val="22"/>
          <w:szCs w:val="22"/>
        </w:rPr>
        <w:t>is</w:t>
      </w:r>
      <w:proofErr w:type="gramEnd"/>
      <w:r w:rsidRPr="00051EBC">
        <w:rPr>
          <w:rFonts w:ascii="Arial" w:hAnsi="Arial" w:cs="Arial"/>
          <w:sz w:val="22"/>
          <w:szCs w:val="22"/>
        </w:rPr>
        <w:t xml:space="preserve"> failing to accommodate diversity internally. (Home Office, 2023a).  The data suggests issues with disparities in policing practice and possibly disproportionate lack of career progression for BAME officers.  </w:t>
      </w:r>
      <w:r w:rsidR="002A6CDB">
        <w:rPr>
          <w:rFonts w:ascii="Arial" w:hAnsi="Arial" w:cs="Arial"/>
          <w:sz w:val="22"/>
          <w:szCs w:val="22"/>
        </w:rPr>
        <w:t>Additionally</w:t>
      </w:r>
      <w:r w:rsidRPr="00051EBC">
        <w:rPr>
          <w:rFonts w:ascii="Arial" w:hAnsi="Arial" w:cs="Arial"/>
          <w:sz w:val="22"/>
          <w:szCs w:val="22"/>
        </w:rPr>
        <w:t>, to reflect the values of a modern, effective police force, the police should also reflect the diversity of the population it serves.  It seems that this has been recognised through efforts to increase the diversity within the police.  However, progress has been slow: As of 31 March 2023, the Home Office reported that only 8.4% of police officers in England and Wales identified as BAME, which is still short of matching the general population of the UK, where 14.4% identify as BAME. This disparity highlights the ongoing challenges in achieving a representative police force. (Home Office 2023</w:t>
      </w:r>
      <w:r w:rsidR="008F25BF" w:rsidRPr="00051EBC">
        <w:rPr>
          <w:rFonts w:ascii="Arial" w:hAnsi="Arial" w:cs="Arial"/>
          <w:sz w:val="22"/>
          <w:szCs w:val="22"/>
        </w:rPr>
        <w:t>b) It</w:t>
      </w:r>
      <w:r w:rsidRPr="00051EBC">
        <w:rPr>
          <w:rFonts w:ascii="Arial" w:hAnsi="Arial" w:cs="Arial"/>
          <w:sz w:val="22"/>
          <w:szCs w:val="22"/>
        </w:rPr>
        <w:t xml:space="preserve"> should be noted that, while the home office adheres to stringent data collection and analysis standards, the report is quantitative in nature and not qualitative.  Therefore, while it shows the low number of BAME officers, it does not clearly identify the reasons or indicate what factors are leading to that disparity.</w:t>
      </w:r>
    </w:p>
    <w:p w14:paraId="18E413B7" w14:textId="77777777" w:rsidR="00051EBC" w:rsidRPr="00051EBC" w:rsidRDefault="00051EBC" w:rsidP="00051EBC">
      <w:pPr>
        <w:rPr>
          <w:rFonts w:ascii="Arial" w:hAnsi="Arial" w:cs="Arial"/>
          <w:sz w:val="22"/>
          <w:szCs w:val="22"/>
        </w:rPr>
      </w:pPr>
      <w:r w:rsidRPr="00051EBC">
        <w:rPr>
          <w:rFonts w:ascii="Arial" w:hAnsi="Arial" w:cs="Arial"/>
          <w:sz w:val="22"/>
          <w:szCs w:val="22"/>
        </w:rPr>
        <w:t xml:space="preserve">Career progression for BAME officers also seems to be comparatively slow: An earlier report from the Home Affairs Committee (2021) found that only 4% of BAME police officers had attained the rank of Chief Inspector or higher, and only 2% became Chief Officers. Here too, the data indicates a failure to accommodate BAME officers but lacks sufficient qualitative information to indicate the reasons for such low numbers. Therefore, it cannot be concluded with certainty whether this situation is due to a failure of the police to accommodate diversity, or whether there is a variety of factors impacting on BAME officers’ professional development.  </w:t>
      </w:r>
    </w:p>
    <w:p w14:paraId="00D51C17" w14:textId="77777777" w:rsidR="00051EBC" w:rsidRPr="00051EBC" w:rsidRDefault="00051EBC" w:rsidP="00051EBC">
      <w:pPr>
        <w:rPr>
          <w:rFonts w:ascii="Arial" w:hAnsi="Arial" w:cs="Arial"/>
          <w:sz w:val="22"/>
          <w:szCs w:val="22"/>
        </w:rPr>
      </w:pPr>
      <w:proofErr w:type="gramStart"/>
      <w:r w:rsidRPr="00051EBC">
        <w:rPr>
          <w:rFonts w:ascii="Arial" w:hAnsi="Arial" w:cs="Arial"/>
          <w:sz w:val="22"/>
          <w:szCs w:val="22"/>
        </w:rPr>
        <w:t>Similar to</w:t>
      </w:r>
      <w:proofErr w:type="gramEnd"/>
      <w:r w:rsidRPr="00051EBC">
        <w:rPr>
          <w:rFonts w:ascii="Arial" w:hAnsi="Arial" w:cs="Arial"/>
          <w:sz w:val="22"/>
          <w:szCs w:val="22"/>
        </w:rPr>
        <w:t xml:space="preserve"> race, research, such as a study by (Pickles, 2020), also shows LGBT+ individuals in England and Wales, including LGBT+ police officers, have a largely negative perception of interacting with the police, and find it more challenging to report incidents including hate crimes.  For this qualitative study, individuals were interviewed to gain a deeper understanding of their experience.  It indicates a profound lack of trust towards, and a reluctance to approach and engage with the police. This makes it difficult to effectively prosecute crimes where LGBT+ people are affected or involved.  Whilst the police seem to be keen to engage with LGBT+ communities, for example through LGB&amp;T liaison officers and community engagement officers, it seems uncertain how effective such efforts are.  </w:t>
      </w:r>
    </w:p>
    <w:p w14:paraId="0AA35236" w14:textId="77777777" w:rsidR="00051EBC" w:rsidRPr="00051EBC" w:rsidRDefault="00051EBC" w:rsidP="00051EBC">
      <w:pPr>
        <w:rPr>
          <w:rFonts w:ascii="Arial" w:hAnsi="Arial" w:cs="Arial"/>
          <w:sz w:val="22"/>
          <w:szCs w:val="22"/>
        </w:rPr>
      </w:pPr>
      <w:r w:rsidRPr="00051EBC">
        <w:rPr>
          <w:rFonts w:ascii="Arial" w:hAnsi="Arial" w:cs="Arial"/>
          <w:sz w:val="22"/>
          <w:szCs w:val="22"/>
        </w:rPr>
        <w:t xml:space="preserve">However, it should be noted that as with many qualitative studies the sample size is relatively small, and that this study was based in the </w:t>
      </w:r>
      <w:proofErr w:type="gramStart"/>
      <w:r w:rsidRPr="00051EBC">
        <w:rPr>
          <w:rFonts w:ascii="Arial" w:hAnsi="Arial" w:cs="Arial"/>
          <w:sz w:val="22"/>
          <w:szCs w:val="22"/>
        </w:rPr>
        <w:t>North East</w:t>
      </w:r>
      <w:proofErr w:type="gramEnd"/>
      <w:r w:rsidRPr="00051EBC">
        <w:rPr>
          <w:rFonts w:ascii="Arial" w:hAnsi="Arial" w:cs="Arial"/>
          <w:sz w:val="22"/>
          <w:szCs w:val="22"/>
        </w:rPr>
        <w:t xml:space="preserve"> of England and may not be reflective of the whole of the UK. </w:t>
      </w:r>
    </w:p>
    <w:p w14:paraId="36958968" w14:textId="77777777" w:rsidR="00051EBC" w:rsidRPr="00051EBC" w:rsidRDefault="00051EBC" w:rsidP="00051EBC">
      <w:pPr>
        <w:rPr>
          <w:rFonts w:ascii="Arial" w:hAnsi="Arial" w:cs="Arial"/>
          <w:sz w:val="22"/>
          <w:szCs w:val="22"/>
        </w:rPr>
      </w:pPr>
      <w:r w:rsidRPr="00051EBC">
        <w:rPr>
          <w:rFonts w:ascii="Arial" w:hAnsi="Arial" w:cs="Arial"/>
          <w:sz w:val="22"/>
          <w:szCs w:val="22"/>
        </w:rPr>
        <w:lastRenderedPageBreak/>
        <w:t>In conclusion, efforts have been made to adapt the police service to accommodate diversity within the UK, but improvement still seems to be slow and might benefit from further research to better understand the factors which might influence how effective such efforts are, and whether efforts need to be changed or improved.</w:t>
      </w:r>
    </w:p>
    <w:p w14:paraId="21C52B12" w14:textId="77777777" w:rsidR="00051EBC" w:rsidRPr="00051EBC" w:rsidRDefault="00051EBC" w:rsidP="00051EBC">
      <w:pPr>
        <w:rPr>
          <w:rFonts w:ascii="Arial" w:hAnsi="Arial" w:cs="Arial"/>
          <w:sz w:val="22"/>
          <w:szCs w:val="22"/>
        </w:rPr>
      </w:pPr>
    </w:p>
    <w:p w14:paraId="15F65659" w14:textId="1B79D9B7" w:rsidR="00051EBC" w:rsidRPr="00B34CB6" w:rsidRDefault="00051EBC" w:rsidP="00051EBC">
      <w:pPr>
        <w:rPr>
          <w:rFonts w:ascii="Arial" w:hAnsi="Arial" w:cs="Arial"/>
          <w:b/>
          <w:bCs/>
          <w:sz w:val="22"/>
          <w:szCs w:val="22"/>
        </w:rPr>
      </w:pPr>
      <w:r w:rsidRPr="00B34CB6">
        <w:rPr>
          <w:rFonts w:ascii="Arial" w:hAnsi="Arial" w:cs="Arial"/>
          <w:b/>
          <w:bCs/>
          <w:sz w:val="22"/>
          <w:szCs w:val="22"/>
        </w:rPr>
        <w:t>[10</w:t>
      </w:r>
      <w:r w:rsidR="00B34CB6" w:rsidRPr="00B34CB6">
        <w:rPr>
          <w:rFonts w:ascii="Arial" w:hAnsi="Arial" w:cs="Arial"/>
          <w:b/>
          <w:bCs/>
          <w:sz w:val="22"/>
          <w:szCs w:val="22"/>
        </w:rPr>
        <w:t>86</w:t>
      </w:r>
      <w:r w:rsidRPr="00B34CB6">
        <w:rPr>
          <w:rFonts w:ascii="Arial" w:hAnsi="Arial" w:cs="Arial"/>
          <w:b/>
          <w:bCs/>
          <w:sz w:val="22"/>
          <w:szCs w:val="22"/>
        </w:rPr>
        <w:t xml:space="preserve"> words]</w:t>
      </w:r>
    </w:p>
    <w:p w14:paraId="44138D12" w14:textId="77777777" w:rsidR="008C5520" w:rsidRDefault="008C5520" w:rsidP="00051EBC">
      <w:pPr>
        <w:rPr>
          <w:rFonts w:ascii="Arial" w:hAnsi="Arial" w:cs="Arial"/>
          <w:sz w:val="22"/>
          <w:szCs w:val="22"/>
        </w:rPr>
      </w:pPr>
    </w:p>
    <w:p w14:paraId="52977BF2" w14:textId="187AD898" w:rsidR="008C5520" w:rsidRDefault="008C5520">
      <w:pPr>
        <w:rPr>
          <w:rFonts w:ascii="Arial" w:hAnsi="Arial" w:cs="Arial"/>
          <w:sz w:val="22"/>
          <w:szCs w:val="22"/>
        </w:rPr>
      </w:pPr>
      <w:r>
        <w:rPr>
          <w:rFonts w:ascii="Arial" w:hAnsi="Arial" w:cs="Arial"/>
          <w:sz w:val="22"/>
          <w:szCs w:val="22"/>
        </w:rPr>
        <w:br w:type="page"/>
      </w:r>
    </w:p>
    <w:p w14:paraId="596C2E34" w14:textId="77777777" w:rsidR="00E67148" w:rsidRPr="00E67148" w:rsidRDefault="00E67148" w:rsidP="00E67148">
      <w:pPr>
        <w:rPr>
          <w:rFonts w:ascii="Arial" w:hAnsi="Arial" w:cs="Arial"/>
          <w:b/>
          <w:bCs/>
          <w:sz w:val="22"/>
          <w:szCs w:val="22"/>
        </w:rPr>
      </w:pPr>
      <w:r w:rsidRPr="00E67148">
        <w:rPr>
          <w:rFonts w:ascii="Arial" w:hAnsi="Arial" w:cs="Arial"/>
          <w:b/>
          <w:bCs/>
          <w:sz w:val="22"/>
          <w:szCs w:val="22"/>
        </w:rPr>
        <w:lastRenderedPageBreak/>
        <w:t>Essay two:</w:t>
      </w:r>
    </w:p>
    <w:p w14:paraId="26355988" w14:textId="77777777" w:rsidR="00E67148" w:rsidRPr="00E67148" w:rsidRDefault="00E67148" w:rsidP="00E67148">
      <w:pPr>
        <w:rPr>
          <w:rFonts w:ascii="Arial" w:hAnsi="Arial" w:cs="Arial"/>
          <w:b/>
          <w:bCs/>
          <w:sz w:val="22"/>
          <w:szCs w:val="22"/>
        </w:rPr>
      </w:pPr>
      <w:r w:rsidRPr="00E67148">
        <w:rPr>
          <w:rFonts w:ascii="Arial" w:hAnsi="Arial" w:cs="Arial"/>
          <w:b/>
          <w:bCs/>
          <w:sz w:val="22"/>
          <w:szCs w:val="22"/>
        </w:rPr>
        <w:t>Response policing – Why is it important to manage mental wellbeing in policing? What can be the consequences if mental wellbeing is not managed appropriately?</w:t>
      </w:r>
    </w:p>
    <w:p w14:paraId="67B88BAC" w14:textId="77777777" w:rsidR="00E67148" w:rsidRPr="00E67148" w:rsidRDefault="00E67148" w:rsidP="00E67148">
      <w:pPr>
        <w:rPr>
          <w:rFonts w:ascii="Arial" w:hAnsi="Arial" w:cs="Arial"/>
          <w:sz w:val="22"/>
          <w:szCs w:val="22"/>
        </w:rPr>
      </w:pPr>
    </w:p>
    <w:p w14:paraId="2DD33A73" w14:textId="77777777" w:rsidR="00E67148" w:rsidRPr="00E67148" w:rsidRDefault="00E67148" w:rsidP="00E67148">
      <w:pPr>
        <w:rPr>
          <w:rFonts w:ascii="Arial" w:hAnsi="Arial" w:cs="Arial"/>
          <w:sz w:val="22"/>
          <w:szCs w:val="22"/>
        </w:rPr>
      </w:pPr>
      <w:r w:rsidRPr="00E67148">
        <w:rPr>
          <w:rFonts w:ascii="Arial" w:hAnsi="Arial" w:cs="Arial"/>
          <w:sz w:val="22"/>
          <w:szCs w:val="22"/>
        </w:rPr>
        <w:t xml:space="preserve">This essay explores the importance of managing the mental wellbeing of officers in response policing, as well as the consequences of failing to do so. </w:t>
      </w:r>
    </w:p>
    <w:p w14:paraId="1B761603" w14:textId="77777777" w:rsidR="00E67148" w:rsidRPr="00E67148" w:rsidRDefault="00E67148" w:rsidP="00E67148">
      <w:pPr>
        <w:rPr>
          <w:rFonts w:ascii="Arial" w:hAnsi="Arial" w:cs="Arial"/>
          <w:sz w:val="22"/>
          <w:szCs w:val="22"/>
        </w:rPr>
      </w:pPr>
      <w:r w:rsidRPr="00E67148">
        <w:rPr>
          <w:rFonts w:ascii="Arial" w:hAnsi="Arial" w:cs="Arial"/>
          <w:sz w:val="22"/>
          <w:szCs w:val="22"/>
        </w:rPr>
        <w:t xml:space="preserve">Mental health and wellbeing of officers in response policing has been a topic of academic interest for some time, with relevance to performance, public safety, occupational health, and cost, and there is a growing body of research highlighting the importance of managing mental wellbeing in policing effectively.    </w:t>
      </w:r>
    </w:p>
    <w:p w14:paraId="1C372877" w14:textId="6F97D5EB" w:rsidR="00E67148" w:rsidRPr="00E67148" w:rsidRDefault="00E67148" w:rsidP="00E67148">
      <w:pPr>
        <w:rPr>
          <w:rFonts w:ascii="Arial" w:hAnsi="Arial" w:cs="Arial"/>
          <w:sz w:val="22"/>
          <w:szCs w:val="22"/>
        </w:rPr>
      </w:pPr>
      <w:r w:rsidRPr="00E67148">
        <w:rPr>
          <w:rFonts w:ascii="Arial" w:hAnsi="Arial" w:cs="Arial"/>
          <w:sz w:val="22"/>
          <w:szCs w:val="22"/>
        </w:rPr>
        <w:t>A benchmark survey by the University of Cambridge (2018) found that police staff were more vulnerable to mental health issues</w:t>
      </w:r>
      <w:r w:rsidR="000E1444">
        <w:rPr>
          <w:rFonts w:ascii="Arial" w:hAnsi="Arial" w:cs="Arial"/>
          <w:sz w:val="22"/>
          <w:szCs w:val="22"/>
        </w:rPr>
        <w:t xml:space="preserve"> </w:t>
      </w:r>
      <w:r w:rsidR="005624F3">
        <w:rPr>
          <w:rFonts w:ascii="Arial" w:hAnsi="Arial" w:cs="Arial"/>
          <w:sz w:val="22"/>
          <w:szCs w:val="22"/>
        </w:rPr>
        <w:t>than</w:t>
      </w:r>
      <w:r w:rsidR="000E1444">
        <w:rPr>
          <w:rFonts w:ascii="Arial" w:hAnsi="Arial" w:cs="Arial"/>
          <w:sz w:val="22"/>
          <w:szCs w:val="22"/>
        </w:rPr>
        <w:t xml:space="preserve"> the </w:t>
      </w:r>
      <w:r w:rsidR="005624F3">
        <w:rPr>
          <w:rFonts w:ascii="Arial" w:hAnsi="Arial" w:cs="Arial"/>
          <w:sz w:val="22"/>
          <w:szCs w:val="22"/>
        </w:rPr>
        <w:t>public</w:t>
      </w:r>
      <w:r w:rsidRPr="00E67148">
        <w:rPr>
          <w:rFonts w:ascii="Arial" w:hAnsi="Arial" w:cs="Arial"/>
          <w:sz w:val="22"/>
          <w:szCs w:val="22"/>
        </w:rPr>
        <w:t xml:space="preserve"> with around 20% of the force diagnosed with some form of PTSD, and over two thirds of the affected officers being unaware.  The online survey collected quantitative data from officers across multiple forces in the UK.  Following data cleansing, it provided a robust dataset drawn from a large sample of officers and staff.  The data indicate that failure to properly manage mental health can result in non-clinical mental health concerns or non-complex PTSD becoming exacerbated, growing more complex and affecting physical health over time.  This leads to the conclusion that awareness of, and effective management of mental health, might mitigate such negative impacts.  </w:t>
      </w:r>
    </w:p>
    <w:p w14:paraId="0B1819A0" w14:textId="2050A608" w:rsidR="00E67148" w:rsidRPr="00E67148" w:rsidRDefault="00E67148" w:rsidP="00E67148">
      <w:pPr>
        <w:rPr>
          <w:rFonts w:ascii="Arial" w:hAnsi="Arial" w:cs="Arial"/>
          <w:sz w:val="22"/>
          <w:szCs w:val="22"/>
        </w:rPr>
      </w:pPr>
      <w:r w:rsidRPr="00E67148">
        <w:rPr>
          <w:rFonts w:ascii="Arial" w:hAnsi="Arial" w:cs="Arial"/>
          <w:sz w:val="22"/>
          <w:szCs w:val="22"/>
        </w:rPr>
        <w:t xml:space="preserve">A more recent study by Jones (2022) also found that stress seriously impacted officers’ mental wellbeing, leading to various mental ailments.  Jones (2022) study was mainly qualitive, exploring a wide range of stressors relating to police work including external (e.g. crime) and internal (e.g. understaffing); it was primarily conducted using interviews and surveys with officers, providing detailed insights but limited in scope by its relatively small sample size. A commonly mentioned issue by officers was stress from being unable to adequately help members of the public due to lack of resourcing and large workloads.  </w:t>
      </w:r>
    </w:p>
    <w:p w14:paraId="369BD209" w14:textId="77777777" w:rsidR="00E67148" w:rsidRPr="00E67148" w:rsidRDefault="00E67148" w:rsidP="00E67148">
      <w:pPr>
        <w:rPr>
          <w:rFonts w:ascii="Arial" w:hAnsi="Arial" w:cs="Arial"/>
          <w:sz w:val="22"/>
          <w:szCs w:val="22"/>
        </w:rPr>
      </w:pPr>
      <w:r w:rsidRPr="00E67148">
        <w:rPr>
          <w:rFonts w:ascii="Arial" w:hAnsi="Arial" w:cs="Arial"/>
          <w:sz w:val="22"/>
          <w:szCs w:val="22"/>
        </w:rPr>
        <w:t xml:space="preserve">A study by the University of Central </w:t>
      </w:r>
      <w:proofErr w:type="spellStart"/>
      <w:r w:rsidRPr="00E67148">
        <w:rPr>
          <w:rFonts w:ascii="Arial" w:hAnsi="Arial" w:cs="Arial"/>
          <w:sz w:val="22"/>
          <w:szCs w:val="22"/>
        </w:rPr>
        <w:t>Lancanshire</w:t>
      </w:r>
      <w:proofErr w:type="spellEnd"/>
      <w:r w:rsidRPr="00E67148">
        <w:rPr>
          <w:rFonts w:ascii="Arial" w:hAnsi="Arial" w:cs="Arial"/>
          <w:sz w:val="22"/>
          <w:szCs w:val="22"/>
        </w:rPr>
        <w:t xml:space="preserve"> (2022) and research by Krishnan et al. (2022) also found that prolonged job-related stress, repeated exposure to traumatic incidents, and high job demands all contributed to an increased risk of suicide in officers.  Both used existing literature to thoroughly examine stressors and risk factors for suicide among police officers.  They are mainly quantitative studies analysing existing </w:t>
      </w:r>
      <w:proofErr w:type="gramStart"/>
      <w:r w:rsidRPr="00E67148">
        <w:rPr>
          <w:rFonts w:ascii="Arial" w:hAnsi="Arial" w:cs="Arial"/>
          <w:sz w:val="22"/>
          <w:szCs w:val="22"/>
        </w:rPr>
        <w:t>material, and</w:t>
      </w:r>
      <w:proofErr w:type="gramEnd"/>
      <w:r w:rsidRPr="00E67148">
        <w:rPr>
          <w:rFonts w:ascii="Arial" w:hAnsi="Arial" w:cs="Arial"/>
          <w:sz w:val="22"/>
          <w:szCs w:val="22"/>
        </w:rPr>
        <w:t xml:space="preserve"> offer a generalised view of the UK police as a whole rather than providing insights for specific police forces.  Despite these limitations, both studies seem to confirm a strong link between mental wellbeing deterioration from working in a policing role and a subsequent increased risk of suicide.  Therefore, it can be concluded that failing to manage mental wellbeing in response policing can severely compromise an officer’s ability to function in both a professional and personal setting, affecting not only quality of life, but also impacting job performance, potentially leading to compromised decision-making ability, higher incidence of mistakes, worse productivity, and a decline in engagement with the community which in turn can put the officer and the members of the public at greater risk. </w:t>
      </w:r>
    </w:p>
    <w:p w14:paraId="12D584FB" w14:textId="21B71FF8" w:rsidR="00E67148" w:rsidRPr="00E67148" w:rsidRDefault="00E67148" w:rsidP="00E67148">
      <w:pPr>
        <w:rPr>
          <w:rFonts w:ascii="Arial" w:hAnsi="Arial" w:cs="Arial"/>
          <w:sz w:val="22"/>
          <w:szCs w:val="22"/>
        </w:rPr>
      </w:pPr>
      <w:r w:rsidRPr="00E67148">
        <w:rPr>
          <w:rFonts w:ascii="Arial" w:hAnsi="Arial" w:cs="Arial"/>
          <w:sz w:val="22"/>
          <w:szCs w:val="22"/>
        </w:rPr>
        <w:t xml:space="preserve">Further research by Elliott-Davies (2023) found that police officers had higher instances of anxiety, depression, and stress than the general population. This research utilised data from </w:t>
      </w:r>
      <w:r w:rsidRPr="00E67148">
        <w:rPr>
          <w:rFonts w:ascii="Arial" w:hAnsi="Arial" w:cs="Arial"/>
          <w:sz w:val="22"/>
          <w:szCs w:val="22"/>
        </w:rPr>
        <w:lastRenderedPageBreak/>
        <w:t xml:space="preserve">the Airwave Health Monitoring Study which included a large sample size of police employees across the UK, making for a large and reliable data set.  The results broadly align with previous research.  It also seems to highlight additional dimensions to the issue </w:t>
      </w:r>
      <w:r w:rsidR="00F14FE8" w:rsidRPr="00E67148">
        <w:rPr>
          <w:rFonts w:ascii="Arial" w:hAnsi="Arial" w:cs="Arial"/>
          <w:sz w:val="22"/>
          <w:szCs w:val="22"/>
        </w:rPr>
        <w:t>of failing</w:t>
      </w:r>
      <w:r w:rsidRPr="00E67148">
        <w:rPr>
          <w:rFonts w:ascii="Arial" w:hAnsi="Arial" w:cs="Arial"/>
          <w:sz w:val="22"/>
          <w:szCs w:val="22"/>
        </w:rPr>
        <w:t xml:space="preserve"> to manage mental wellbeing, most notably how officers’ ability to perform their duties and interact with the public could be compromised by mental health issues. </w:t>
      </w:r>
    </w:p>
    <w:p w14:paraId="245B3F44" w14:textId="0AB2490D" w:rsidR="00E67148" w:rsidRPr="00E67148" w:rsidRDefault="00E67148" w:rsidP="00E67148">
      <w:pPr>
        <w:rPr>
          <w:rFonts w:ascii="Arial" w:hAnsi="Arial" w:cs="Arial"/>
          <w:sz w:val="22"/>
          <w:szCs w:val="22"/>
        </w:rPr>
      </w:pPr>
      <w:r w:rsidRPr="00E67148">
        <w:rPr>
          <w:rFonts w:ascii="Arial" w:hAnsi="Arial" w:cs="Arial"/>
          <w:sz w:val="22"/>
          <w:szCs w:val="22"/>
        </w:rPr>
        <w:t>Similarly, Brunetto et al. (2023) found that the performance of officers in conducting their duties is directly linked to their mental wellbeing, though the study had a limited sample size with 228 completed surveys</w:t>
      </w:r>
      <w:r w:rsidR="003626FA">
        <w:rPr>
          <w:rFonts w:ascii="Arial" w:hAnsi="Arial" w:cs="Arial"/>
          <w:sz w:val="22"/>
          <w:szCs w:val="22"/>
        </w:rPr>
        <w:t xml:space="preserve"> </w:t>
      </w:r>
      <w:r w:rsidRPr="00E67148">
        <w:rPr>
          <w:rFonts w:ascii="Arial" w:hAnsi="Arial" w:cs="Arial"/>
          <w:sz w:val="22"/>
          <w:szCs w:val="22"/>
        </w:rPr>
        <w:t xml:space="preserve">from England.  Whilst on its own the data may not be robust enough to allow wide-reaching conclusions, its findings do align with the other studies already noted. </w:t>
      </w:r>
    </w:p>
    <w:p w14:paraId="5B96E260" w14:textId="77777777" w:rsidR="00E67148" w:rsidRPr="00E67148" w:rsidRDefault="00E67148" w:rsidP="00E67148">
      <w:pPr>
        <w:rPr>
          <w:rFonts w:ascii="Arial" w:hAnsi="Arial" w:cs="Arial"/>
          <w:sz w:val="22"/>
          <w:szCs w:val="22"/>
        </w:rPr>
      </w:pPr>
      <w:r w:rsidRPr="00E67148">
        <w:rPr>
          <w:rFonts w:ascii="Arial" w:hAnsi="Arial" w:cs="Arial"/>
          <w:sz w:val="22"/>
          <w:szCs w:val="22"/>
        </w:rPr>
        <w:t>An investigation by The Office for National Statistics (ONS, 2023) also found that police officers in the UK have a higher suicide rate than the general population, although the data only shows that there is a higher risk of suicide not the specific reason.  Its findings do however appear to suggest that negative impacts on mental wellbeing may be a significant contributor to higher suicide rates among officers.</w:t>
      </w:r>
    </w:p>
    <w:p w14:paraId="46777270" w14:textId="77777777" w:rsidR="00E67148" w:rsidRPr="00E67148" w:rsidRDefault="00E67148" w:rsidP="00E67148">
      <w:pPr>
        <w:rPr>
          <w:rFonts w:ascii="Arial" w:hAnsi="Arial" w:cs="Arial"/>
          <w:sz w:val="22"/>
          <w:szCs w:val="22"/>
        </w:rPr>
      </w:pPr>
    </w:p>
    <w:p w14:paraId="6F6E0C4D" w14:textId="2DE909E4" w:rsidR="00E67148" w:rsidRPr="00E67148" w:rsidRDefault="00E67148" w:rsidP="00E67148">
      <w:pPr>
        <w:rPr>
          <w:rFonts w:ascii="Arial" w:hAnsi="Arial" w:cs="Arial"/>
          <w:sz w:val="22"/>
          <w:szCs w:val="22"/>
        </w:rPr>
      </w:pPr>
      <w:r w:rsidRPr="00E67148">
        <w:rPr>
          <w:rFonts w:ascii="Arial" w:hAnsi="Arial" w:cs="Arial"/>
          <w:sz w:val="22"/>
          <w:szCs w:val="22"/>
        </w:rPr>
        <w:t xml:space="preserve">Overall, the research seems to show a link between the stress and trauma inherent to policing, its impacts on mental health, and </w:t>
      </w:r>
      <w:r w:rsidR="008B5201" w:rsidRPr="00E67148">
        <w:rPr>
          <w:rFonts w:ascii="Arial" w:hAnsi="Arial" w:cs="Arial"/>
          <w:sz w:val="22"/>
          <w:szCs w:val="22"/>
        </w:rPr>
        <w:t>consequently</w:t>
      </w:r>
      <w:r w:rsidRPr="00E67148">
        <w:rPr>
          <w:rFonts w:ascii="Arial" w:hAnsi="Arial" w:cs="Arial"/>
          <w:sz w:val="22"/>
          <w:szCs w:val="22"/>
        </w:rPr>
        <w:t xml:space="preserve"> a clear need to further strengthen efforts to manage mental health among officers to mitigate such impacts. UK police services have been aware for some time of this issue, and in 2019, the National Police Wellbeing Service (NPWS) was established, with the aim of providing mental health resources, training, and support to officers. (Oscar Kilo, 2019).  The approach has been supported by findings from the National Police Federation (2023), which indicate that prevention is effective means of mitigating stress, and that ready access to mental health resources can help preserving mental wellbeing. More recently, Queirós (2024) also argued for regular mental health screenings to identify early signs of mental health problems.</w:t>
      </w:r>
    </w:p>
    <w:p w14:paraId="6BDAC91A" w14:textId="529FBE81" w:rsidR="00E67148" w:rsidRPr="00E67148" w:rsidRDefault="00E67148" w:rsidP="00E67148">
      <w:pPr>
        <w:rPr>
          <w:rFonts w:ascii="Arial" w:hAnsi="Arial" w:cs="Arial"/>
          <w:sz w:val="22"/>
          <w:szCs w:val="22"/>
        </w:rPr>
      </w:pPr>
      <w:r w:rsidRPr="00E67148">
        <w:rPr>
          <w:rFonts w:ascii="Arial" w:hAnsi="Arial" w:cs="Arial"/>
          <w:sz w:val="22"/>
          <w:szCs w:val="22"/>
        </w:rPr>
        <w:t xml:space="preserve">The National Police Federation’s (2023) data was gathered via surveys of members of the National Police Federation.  Not all serving officers are registered, limiting its scope.  </w:t>
      </w:r>
      <w:r w:rsidR="00B35D45" w:rsidRPr="00E67148">
        <w:rPr>
          <w:rFonts w:ascii="Arial" w:hAnsi="Arial" w:cs="Arial"/>
          <w:sz w:val="22"/>
          <w:szCs w:val="22"/>
        </w:rPr>
        <w:t>However,</w:t>
      </w:r>
      <w:r w:rsidRPr="00E67148">
        <w:rPr>
          <w:rFonts w:ascii="Arial" w:hAnsi="Arial" w:cs="Arial"/>
          <w:sz w:val="22"/>
          <w:szCs w:val="22"/>
        </w:rPr>
        <w:t xml:space="preserve"> Queirós (2024) featured a comprehensive review of existing tools for mental health screenings. The study was conducted using the Joanna Briggs Institute’s (JBI) guidelines and features </w:t>
      </w:r>
      <w:proofErr w:type="spellStart"/>
      <w:proofErr w:type="gramStart"/>
      <w:r w:rsidRPr="00E67148">
        <w:rPr>
          <w:rFonts w:ascii="Arial" w:hAnsi="Arial" w:cs="Arial"/>
          <w:sz w:val="22"/>
          <w:szCs w:val="22"/>
        </w:rPr>
        <w:t>a</w:t>
      </w:r>
      <w:proofErr w:type="spellEnd"/>
      <w:proofErr w:type="gramEnd"/>
      <w:r w:rsidRPr="00E67148">
        <w:rPr>
          <w:rFonts w:ascii="Arial" w:hAnsi="Arial" w:cs="Arial"/>
          <w:sz w:val="22"/>
          <w:szCs w:val="22"/>
        </w:rPr>
        <w:t xml:space="preserve"> extensive, robust, and current dataset.  Based on this, it can be argued that early intervention and access to mental health services can significantly reduce the likelihood of officers developing or exacerbating mental health issues, thereby reducing impacts on mental wellbeing and improve occupational performance. </w:t>
      </w:r>
    </w:p>
    <w:p w14:paraId="4361D046" w14:textId="6869052A" w:rsidR="00E67148" w:rsidRPr="00E67148" w:rsidRDefault="00E67148" w:rsidP="00E67148">
      <w:pPr>
        <w:rPr>
          <w:rFonts w:ascii="Arial" w:hAnsi="Arial" w:cs="Arial"/>
          <w:sz w:val="22"/>
          <w:szCs w:val="22"/>
        </w:rPr>
      </w:pPr>
      <w:r w:rsidRPr="00E67148">
        <w:rPr>
          <w:rFonts w:ascii="Arial" w:hAnsi="Arial" w:cs="Arial"/>
          <w:sz w:val="22"/>
          <w:szCs w:val="22"/>
        </w:rPr>
        <w:t xml:space="preserve">In conclusion, response policing is highly stressful, and stress can negatively impact officers’ mental wellbeing, if mental wellbeing is not managed.  This can lead to other issues such as PTSD, increased risk of suicide, and deteriorating performance </w:t>
      </w:r>
      <w:r w:rsidR="00B35D45" w:rsidRPr="00E67148">
        <w:rPr>
          <w:rFonts w:ascii="Arial" w:hAnsi="Arial" w:cs="Arial"/>
          <w:sz w:val="22"/>
          <w:szCs w:val="22"/>
        </w:rPr>
        <w:t>including</w:t>
      </w:r>
      <w:r w:rsidRPr="00E67148">
        <w:rPr>
          <w:rFonts w:ascii="Arial" w:hAnsi="Arial" w:cs="Arial"/>
          <w:sz w:val="22"/>
          <w:szCs w:val="22"/>
        </w:rPr>
        <w:t xml:space="preserve"> poor decisions and mistakes which may place individual response officers, their colleagues, and the </w:t>
      </w:r>
      <w:proofErr w:type="gramStart"/>
      <w:r w:rsidRPr="00E67148">
        <w:rPr>
          <w:rFonts w:ascii="Arial" w:hAnsi="Arial" w:cs="Arial"/>
          <w:sz w:val="22"/>
          <w:szCs w:val="22"/>
        </w:rPr>
        <w:t>general public</w:t>
      </w:r>
      <w:proofErr w:type="gramEnd"/>
      <w:r w:rsidRPr="00E67148">
        <w:rPr>
          <w:rFonts w:ascii="Arial" w:hAnsi="Arial" w:cs="Arial"/>
          <w:sz w:val="22"/>
          <w:szCs w:val="22"/>
        </w:rPr>
        <w:t xml:space="preserve"> at risk.  </w:t>
      </w:r>
    </w:p>
    <w:p w14:paraId="1A7FE194" w14:textId="5644BEAB" w:rsidR="00E67148" w:rsidRPr="00E67148" w:rsidRDefault="00E67148" w:rsidP="00E67148">
      <w:pPr>
        <w:rPr>
          <w:rFonts w:ascii="Arial" w:hAnsi="Arial" w:cs="Arial"/>
          <w:sz w:val="22"/>
          <w:szCs w:val="22"/>
        </w:rPr>
      </w:pPr>
      <w:r w:rsidRPr="00E67148">
        <w:rPr>
          <w:rFonts w:ascii="Arial" w:hAnsi="Arial" w:cs="Arial"/>
          <w:sz w:val="22"/>
          <w:szCs w:val="22"/>
        </w:rPr>
        <w:t xml:space="preserve">Therefore, maintaining the mental wellbeing of response officers is crucial to prevent such negative impacts on individual officers, the police force, and the public.  Whilst individual studies may offer only limited insights, the available research overall suggests a strong link between traumatic and stressful situations, mental health issues, and performance in </w:t>
      </w:r>
      <w:r w:rsidRPr="00E67148">
        <w:rPr>
          <w:rFonts w:ascii="Arial" w:hAnsi="Arial" w:cs="Arial"/>
          <w:sz w:val="22"/>
          <w:szCs w:val="22"/>
        </w:rPr>
        <w:lastRenderedPageBreak/>
        <w:t>policing. Raising awareness among officers and police leadership</w:t>
      </w:r>
      <w:r w:rsidR="00745115">
        <w:rPr>
          <w:rFonts w:ascii="Arial" w:hAnsi="Arial" w:cs="Arial"/>
          <w:sz w:val="22"/>
          <w:szCs w:val="22"/>
        </w:rPr>
        <w:t>,</w:t>
      </w:r>
      <w:r w:rsidRPr="00E67148">
        <w:rPr>
          <w:rFonts w:ascii="Arial" w:hAnsi="Arial" w:cs="Arial"/>
          <w:sz w:val="22"/>
          <w:szCs w:val="22"/>
        </w:rPr>
        <w:t xml:space="preserve"> destigmatising mental health issues, and implementing resources, support, and training are important mechanisms to address the issues.  Management of mental </w:t>
      </w:r>
      <w:r w:rsidR="00B35D45" w:rsidRPr="00E67148">
        <w:rPr>
          <w:rFonts w:ascii="Arial" w:hAnsi="Arial" w:cs="Arial"/>
          <w:sz w:val="22"/>
          <w:szCs w:val="22"/>
        </w:rPr>
        <w:t>wellbeing</w:t>
      </w:r>
      <w:r w:rsidRPr="00E67148">
        <w:rPr>
          <w:rFonts w:ascii="Arial" w:hAnsi="Arial" w:cs="Arial"/>
          <w:sz w:val="22"/>
          <w:szCs w:val="22"/>
        </w:rPr>
        <w:t xml:space="preserve">, for example as part of occupational health support, can </w:t>
      </w:r>
      <w:r w:rsidR="00A65F34">
        <w:rPr>
          <w:rFonts w:ascii="Arial" w:hAnsi="Arial" w:cs="Arial"/>
          <w:sz w:val="22"/>
          <w:szCs w:val="22"/>
        </w:rPr>
        <w:t xml:space="preserve">potentially </w:t>
      </w:r>
      <w:r w:rsidRPr="00E67148">
        <w:rPr>
          <w:rFonts w:ascii="Arial" w:hAnsi="Arial" w:cs="Arial"/>
          <w:sz w:val="22"/>
          <w:szCs w:val="22"/>
        </w:rPr>
        <w:t xml:space="preserve">help mitigate risks and negative impacts of poor mental health among officers.  </w:t>
      </w:r>
    </w:p>
    <w:p w14:paraId="36FD9D91" w14:textId="77777777" w:rsidR="00E67148" w:rsidRPr="00E67148" w:rsidRDefault="00E67148" w:rsidP="00E67148">
      <w:pPr>
        <w:rPr>
          <w:rFonts w:ascii="Arial" w:hAnsi="Arial" w:cs="Arial"/>
          <w:sz w:val="22"/>
          <w:szCs w:val="22"/>
        </w:rPr>
      </w:pPr>
    </w:p>
    <w:p w14:paraId="3BD4055A" w14:textId="709C8148" w:rsidR="001E03A4" w:rsidRPr="00FB0CE7" w:rsidRDefault="009D0754" w:rsidP="00E67148">
      <w:pPr>
        <w:rPr>
          <w:rFonts w:ascii="Arial" w:hAnsi="Arial" w:cs="Arial"/>
          <w:b/>
          <w:bCs/>
          <w:sz w:val="22"/>
          <w:szCs w:val="22"/>
        </w:rPr>
      </w:pPr>
      <w:r w:rsidRPr="00FB0CE7">
        <w:rPr>
          <w:rFonts w:ascii="Arial" w:hAnsi="Arial" w:cs="Arial"/>
          <w:b/>
          <w:bCs/>
          <w:sz w:val="22"/>
          <w:szCs w:val="22"/>
        </w:rPr>
        <w:t>[</w:t>
      </w:r>
      <w:r w:rsidR="009D3A5B" w:rsidRPr="00FB0CE7">
        <w:rPr>
          <w:rFonts w:ascii="Arial" w:hAnsi="Arial" w:cs="Arial"/>
          <w:b/>
          <w:bCs/>
          <w:sz w:val="22"/>
          <w:szCs w:val="22"/>
        </w:rPr>
        <w:t>1</w:t>
      </w:r>
      <w:r w:rsidR="005624F3" w:rsidRPr="00FB0CE7">
        <w:rPr>
          <w:rFonts w:ascii="Arial" w:hAnsi="Arial" w:cs="Arial"/>
          <w:b/>
          <w:bCs/>
          <w:sz w:val="22"/>
          <w:szCs w:val="22"/>
        </w:rPr>
        <w:t>0</w:t>
      </w:r>
      <w:r w:rsidR="009D3A5B" w:rsidRPr="00FB0CE7">
        <w:rPr>
          <w:rFonts w:ascii="Arial" w:hAnsi="Arial" w:cs="Arial"/>
          <w:b/>
          <w:bCs/>
          <w:sz w:val="22"/>
          <w:szCs w:val="22"/>
        </w:rPr>
        <w:t>9</w:t>
      </w:r>
      <w:r w:rsidR="00A65F34" w:rsidRPr="00FB0CE7">
        <w:rPr>
          <w:rFonts w:ascii="Arial" w:hAnsi="Arial" w:cs="Arial"/>
          <w:b/>
          <w:bCs/>
          <w:sz w:val="22"/>
          <w:szCs w:val="22"/>
        </w:rPr>
        <w:t>5</w:t>
      </w:r>
      <w:r w:rsidR="00E67148" w:rsidRPr="00FB0CE7">
        <w:rPr>
          <w:rFonts w:ascii="Arial" w:hAnsi="Arial" w:cs="Arial"/>
          <w:b/>
          <w:bCs/>
          <w:sz w:val="22"/>
          <w:szCs w:val="22"/>
        </w:rPr>
        <w:t xml:space="preserve"> Words</w:t>
      </w:r>
      <w:r w:rsidRPr="00FB0CE7">
        <w:rPr>
          <w:rFonts w:ascii="Arial" w:hAnsi="Arial" w:cs="Arial"/>
          <w:b/>
          <w:bCs/>
          <w:sz w:val="22"/>
          <w:szCs w:val="22"/>
        </w:rPr>
        <w:t>]</w:t>
      </w:r>
    </w:p>
    <w:p w14:paraId="4C97A8FA" w14:textId="77777777" w:rsidR="001E03A4" w:rsidRDefault="001E03A4">
      <w:pPr>
        <w:rPr>
          <w:rFonts w:ascii="Arial" w:hAnsi="Arial" w:cs="Arial"/>
          <w:sz w:val="22"/>
          <w:szCs w:val="22"/>
        </w:rPr>
      </w:pPr>
      <w:r>
        <w:rPr>
          <w:rFonts w:ascii="Arial" w:hAnsi="Arial" w:cs="Arial"/>
          <w:sz w:val="22"/>
          <w:szCs w:val="22"/>
        </w:rPr>
        <w:br w:type="page"/>
      </w:r>
    </w:p>
    <w:p w14:paraId="348D2E2D" w14:textId="77777777" w:rsidR="001E03A4" w:rsidRPr="001E03A4" w:rsidRDefault="001E03A4" w:rsidP="001E03A4">
      <w:pPr>
        <w:rPr>
          <w:rFonts w:ascii="Arial" w:hAnsi="Arial" w:cs="Arial"/>
          <w:b/>
          <w:bCs/>
          <w:sz w:val="22"/>
          <w:szCs w:val="22"/>
        </w:rPr>
      </w:pPr>
      <w:r w:rsidRPr="001E03A4">
        <w:rPr>
          <w:rFonts w:ascii="Arial" w:hAnsi="Arial" w:cs="Arial"/>
          <w:b/>
          <w:bCs/>
          <w:sz w:val="22"/>
          <w:szCs w:val="22"/>
        </w:rPr>
        <w:lastRenderedPageBreak/>
        <w:t xml:space="preserve">Essay three: </w:t>
      </w:r>
    </w:p>
    <w:p w14:paraId="27313C95" w14:textId="77777777" w:rsidR="001E03A4" w:rsidRPr="001E03A4" w:rsidRDefault="001E03A4" w:rsidP="001E03A4">
      <w:pPr>
        <w:rPr>
          <w:rFonts w:ascii="Arial" w:hAnsi="Arial" w:cs="Arial"/>
          <w:b/>
          <w:bCs/>
          <w:sz w:val="22"/>
          <w:szCs w:val="22"/>
        </w:rPr>
      </w:pPr>
      <w:r w:rsidRPr="001E03A4">
        <w:rPr>
          <w:rFonts w:ascii="Arial" w:hAnsi="Arial" w:cs="Arial"/>
          <w:b/>
          <w:bCs/>
          <w:sz w:val="22"/>
          <w:szCs w:val="22"/>
        </w:rPr>
        <w:t>Outline potential links between serious and organised crime and public protection issues. What characteristics make some people more vulnerable to exploitation by serious and organised crime gangs?</w:t>
      </w:r>
    </w:p>
    <w:p w14:paraId="26EDD781" w14:textId="77777777" w:rsidR="001E03A4" w:rsidRPr="001E03A4" w:rsidRDefault="001E03A4" w:rsidP="001E03A4">
      <w:pPr>
        <w:rPr>
          <w:rFonts w:ascii="Arial" w:hAnsi="Arial" w:cs="Arial"/>
          <w:sz w:val="22"/>
          <w:szCs w:val="22"/>
        </w:rPr>
      </w:pPr>
    </w:p>
    <w:p w14:paraId="0D712C42" w14:textId="77777777" w:rsidR="001E03A4" w:rsidRPr="001E03A4" w:rsidRDefault="001E03A4" w:rsidP="001E03A4">
      <w:pPr>
        <w:rPr>
          <w:rFonts w:ascii="Arial" w:hAnsi="Arial" w:cs="Arial"/>
          <w:sz w:val="22"/>
          <w:szCs w:val="22"/>
        </w:rPr>
      </w:pPr>
      <w:r w:rsidRPr="001E03A4">
        <w:rPr>
          <w:rFonts w:ascii="Arial" w:hAnsi="Arial" w:cs="Arial"/>
          <w:sz w:val="22"/>
          <w:szCs w:val="22"/>
        </w:rPr>
        <w:t>This essay discusses the potential links between serious organised crime (SOC) and public protection issues, including characteristics making some people more vulnerable to exploitation by SOC gangs.</w:t>
      </w:r>
    </w:p>
    <w:p w14:paraId="49BBA2E3" w14:textId="77777777" w:rsidR="001E03A4" w:rsidRPr="001E03A4" w:rsidRDefault="001E03A4" w:rsidP="001E03A4">
      <w:pPr>
        <w:rPr>
          <w:rFonts w:ascii="Arial" w:hAnsi="Arial" w:cs="Arial"/>
          <w:sz w:val="22"/>
          <w:szCs w:val="22"/>
        </w:rPr>
      </w:pPr>
      <w:r w:rsidRPr="001E03A4">
        <w:rPr>
          <w:rFonts w:ascii="Arial" w:hAnsi="Arial" w:cs="Arial"/>
          <w:sz w:val="22"/>
          <w:szCs w:val="22"/>
        </w:rPr>
        <w:t>SOC requires a network of people carrying out criminal activities.  To recruit people, especially for simpler but risky activities, such as transporting or selling street drugs, SOC gangs exploit vulnerabilities, such as socio-economic disadvantage, youth, mental health issues, and substance misuse.  Poor education, difficult family situations, and poverty can be important motivators for some individuals to get involved with SOC.  Vulnerabilities may also intersect.</w:t>
      </w:r>
    </w:p>
    <w:p w14:paraId="3E64C02C" w14:textId="77777777" w:rsidR="001E03A4" w:rsidRPr="001E03A4" w:rsidRDefault="001E03A4" w:rsidP="001E03A4">
      <w:pPr>
        <w:rPr>
          <w:rFonts w:ascii="Arial" w:hAnsi="Arial" w:cs="Arial"/>
          <w:sz w:val="22"/>
          <w:szCs w:val="22"/>
        </w:rPr>
      </w:pPr>
      <w:r w:rsidRPr="001E03A4">
        <w:rPr>
          <w:rFonts w:ascii="Arial" w:hAnsi="Arial" w:cs="Arial"/>
          <w:sz w:val="22"/>
          <w:szCs w:val="22"/>
        </w:rPr>
        <w:t xml:space="preserve">A systematic review by Smith et al (2023) found that vulnerable individuals are more likely to be exploited by SOC gangs, and that addressing these underlying psychological, economic, and social factors is essential tackling recruitment by SOC gangs. The review was comprehensive, including quantitative and qualitative research of empirical data from across the UK.  Whilst the findings were not broken down by region, thus lacking geographical and cultural context, </w:t>
      </w:r>
      <w:proofErr w:type="gramStart"/>
      <w:r w:rsidRPr="001E03A4">
        <w:rPr>
          <w:rFonts w:ascii="Arial" w:hAnsi="Arial" w:cs="Arial"/>
          <w:sz w:val="22"/>
          <w:szCs w:val="22"/>
        </w:rPr>
        <w:t>and also</w:t>
      </w:r>
      <w:proofErr w:type="gramEnd"/>
      <w:r w:rsidRPr="001E03A4">
        <w:rPr>
          <w:rFonts w:ascii="Arial" w:hAnsi="Arial" w:cs="Arial"/>
          <w:sz w:val="22"/>
          <w:szCs w:val="22"/>
        </w:rPr>
        <w:t xml:space="preserve"> do not provide details for specific demographics, the review still offers current insights into what makes some people more vulnerable to exploitation by SOC gangs.  It seems to confirm youth as a key factor making individuals more vulnerable to exploitation by SOC gangs.</w:t>
      </w:r>
    </w:p>
    <w:p w14:paraId="3A2D2C6E" w14:textId="77777777" w:rsidR="001E03A4" w:rsidRPr="001E03A4" w:rsidRDefault="001E03A4" w:rsidP="001E03A4">
      <w:pPr>
        <w:rPr>
          <w:rFonts w:ascii="Arial" w:hAnsi="Arial" w:cs="Arial"/>
          <w:sz w:val="22"/>
          <w:szCs w:val="22"/>
        </w:rPr>
      </w:pPr>
      <w:r w:rsidRPr="001E03A4">
        <w:rPr>
          <w:rFonts w:ascii="Arial" w:hAnsi="Arial" w:cs="Arial"/>
          <w:sz w:val="22"/>
          <w:szCs w:val="22"/>
        </w:rPr>
        <w:t>A previous study by Gill et al (2020) also found that youths are more vulnerable to SOC gangs.  It identified economic hardship, susceptibility to peer pressure, lack of cultural acceptance or education as factors which were used by SOC gangs to exploit young people.  The study used detailed qualitative data on these factors that make youth more vulnerable to SOC groups.</w:t>
      </w:r>
    </w:p>
    <w:p w14:paraId="720E46A2" w14:textId="77777777" w:rsidR="001E03A4" w:rsidRPr="001E03A4" w:rsidRDefault="001E03A4" w:rsidP="001E03A4">
      <w:pPr>
        <w:rPr>
          <w:rFonts w:ascii="Arial" w:hAnsi="Arial" w:cs="Arial"/>
          <w:sz w:val="22"/>
          <w:szCs w:val="22"/>
        </w:rPr>
      </w:pPr>
      <w:r w:rsidRPr="001E03A4">
        <w:rPr>
          <w:rFonts w:ascii="Arial" w:hAnsi="Arial" w:cs="Arial"/>
          <w:sz w:val="22"/>
          <w:szCs w:val="22"/>
        </w:rPr>
        <w:t>A later study by His Majesty’s Inspectorate of Probation (2024) had similar findings.  Although this study is limited to analysis of pre-existing qualitative and quantitative research, it is based on large robust datasets.  The results seem to confirm that young people are more prone to be exploited by SOC, but it also indicates the role of other factors making people susceptible to SOC exploitation.</w:t>
      </w:r>
    </w:p>
    <w:p w14:paraId="28B8AA6A" w14:textId="77777777" w:rsidR="001E03A4" w:rsidRPr="001E03A4" w:rsidRDefault="001E03A4" w:rsidP="001E03A4">
      <w:pPr>
        <w:rPr>
          <w:rFonts w:ascii="Arial" w:hAnsi="Arial" w:cs="Arial"/>
          <w:sz w:val="22"/>
          <w:szCs w:val="22"/>
        </w:rPr>
      </w:pPr>
      <w:r w:rsidRPr="001E03A4">
        <w:rPr>
          <w:rFonts w:ascii="Arial" w:hAnsi="Arial" w:cs="Arial"/>
          <w:sz w:val="22"/>
          <w:szCs w:val="22"/>
        </w:rPr>
        <w:t xml:space="preserve">Overall, existing research seems to confirm that youths are particularly vulnerable to exploitation by SOC gangs, making them more likely to become involved in SOC.  It also seems that peer pressure and being impressionable are important factors which SOC gangs use to recruit young people.  </w:t>
      </w:r>
    </w:p>
    <w:p w14:paraId="4F6E7E32" w14:textId="77777777" w:rsidR="001E03A4" w:rsidRPr="001E03A4" w:rsidRDefault="001E03A4" w:rsidP="001E03A4">
      <w:pPr>
        <w:rPr>
          <w:rFonts w:ascii="Arial" w:hAnsi="Arial" w:cs="Arial"/>
          <w:sz w:val="22"/>
          <w:szCs w:val="22"/>
        </w:rPr>
      </w:pPr>
      <w:r w:rsidRPr="001E03A4">
        <w:rPr>
          <w:rFonts w:ascii="Arial" w:hAnsi="Arial" w:cs="Arial"/>
          <w:sz w:val="22"/>
          <w:szCs w:val="22"/>
        </w:rPr>
        <w:t xml:space="preserve">Socioeconomic factors also appear to be a key factor linked to SOC and public protection issues: A meta-analysis by Ross et al. (2022) explores this further, finding that unemployment, poverty and lack of education can be significant factors leading to exploitation by SOC groups. Ross analysed 202 studies with no geographical scope or specific date.  While the data is generalised, the large samples size makes it less prone to </w:t>
      </w:r>
      <w:r w:rsidRPr="001E03A4">
        <w:rPr>
          <w:rFonts w:ascii="Arial" w:hAnsi="Arial" w:cs="Arial"/>
          <w:sz w:val="22"/>
          <w:szCs w:val="22"/>
        </w:rPr>
        <w:lastRenderedPageBreak/>
        <w:t xml:space="preserve">error and skewing by specific factors such as geographical variation, and therefore more suitable to support wider conclusions.  </w:t>
      </w:r>
    </w:p>
    <w:p w14:paraId="5CEC2E43" w14:textId="77777777" w:rsidR="001E03A4" w:rsidRPr="001E03A4" w:rsidRDefault="001E03A4" w:rsidP="001E03A4">
      <w:pPr>
        <w:rPr>
          <w:rFonts w:ascii="Arial" w:hAnsi="Arial" w:cs="Arial"/>
          <w:sz w:val="22"/>
          <w:szCs w:val="22"/>
        </w:rPr>
      </w:pPr>
      <w:r w:rsidRPr="001E03A4">
        <w:rPr>
          <w:rFonts w:ascii="Arial" w:hAnsi="Arial" w:cs="Arial"/>
          <w:sz w:val="22"/>
          <w:szCs w:val="22"/>
        </w:rPr>
        <w:t xml:space="preserve">A study by Bendall (2023), while primarily focused on youths, came to a similar conclusion. The study provides useful insights though it covers a limited sample size and is geographically focused on urban areas, whilst lacking data on more rural areas. </w:t>
      </w:r>
    </w:p>
    <w:p w14:paraId="6BB7A1F8" w14:textId="77777777" w:rsidR="001E03A4" w:rsidRPr="001E03A4" w:rsidRDefault="001E03A4" w:rsidP="001E03A4">
      <w:pPr>
        <w:rPr>
          <w:rFonts w:ascii="Arial" w:hAnsi="Arial" w:cs="Arial"/>
          <w:sz w:val="22"/>
          <w:szCs w:val="22"/>
        </w:rPr>
      </w:pPr>
      <w:r w:rsidRPr="001E03A4">
        <w:rPr>
          <w:rFonts w:ascii="Arial" w:hAnsi="Arial" w:cs="Arial"/>
          <w:sz w:val="22"/>
          <w:szCs w:val="22"/>
        </w:rPr>
        <w:t xml:space="preserve">Overall, the research seems to confirm that individuals or families that are socioeconomically disadvantaged, unemployed, in poverty, or lacking educational opportunities, are more vulnerable to exploitation and/or recruitment by SOC gangs.  Under such circumstances, participation in SOC may be presented by SOC gangs, and accepted by vulnerable individuals, as the only option to improve socioeconomic hardship.  It is likely that SOC gangs are </w:t>
      </w:r>
      <w:proofErr w:type="gramStart"/>
      <w:r w:rsidRPr="001E03A4">
        <w:rPr>
          <w:rFonts w:ascii="Arial" w:hAnsi="Arial" w:cs="Arial"/>
          <w:sz w:val="22"/>
          <w:szCs w:val="22"/>
        </w:rPr>
        <w:t>well aware</w:t>
      </w:r>
      <w:proofErr w:type="gramEnd"/>
      <w:r w:rsidRPr="001E03A4">
        <w:rPr>
          <w:rFonts w:ascii="Arial" w:hAnsi="Arial" w:cs="Arial"/>
          <w:sz w:val="22"/>
          <w:szCs w:val="22"/>
        </w:rPr>
        <w:t xml:space="preserve"> of this and will recruit youths in deprived areas, where individuals are more likely to consider criminal activity as a path to financial stability. </w:t>
      </w:r>
    </w:p>
    <w:p w14:paraId="7ECD9AEE" w14:textId="7FE957DB" w:rsidR="001E03A4" w:rsidRPr="001E03A4" w:rsidRDefault="001E03A4" w:rsidP="001E03A4">
      <w:pPr>
        <w:rPr>
          <w:rFonts w:ascii="Arial" w:hAnsi="Arial" w:cs="Arial"/>
          <w:sz w:val="22"/>
          <w:szCs w:val="22"/>
        </w:rPr>
      </w:pPr>
      <w:r w:rsidRPr="001E03A4">
        <w:rPr>
          <w:rFonts w:ascii="Arial" w:hAnsi="Arial" w:cs="Arial"/>
          <w:sz w:val="22"/>
          <w:szCs w:val="22"/>
        </w:rPr>
        <w:t xml:space="preserve">This leads to the conclusion that the influence of SOC can be reduced and public protection improved by mitigating the vulnerabilities which SOC </w:t>
      </w:r>
      <w:proofErr w:type="gramStart"/>
      <w:r w:rsidRPr="001E03A4">
        <w:rPr>
          <w:rFonts w:ascii="Arial" w:hAnsi="Arial" w:cs="Arial"/>
          <w:sz w:val="22"/>
          <w:szCs w:val="22"/>
        </w:rPr>
        <w:t>gangs</w:t>
      </w:r>
      <w:proofErr w:type="gramEnd"/>
      <w:r w:rsidRPr="001E03A4">
        <w:rPr>
          <w:rFonts w:ascii="Arial" w:hAnsi="Arial" w:cs="Arial"/>
          <w:sz w:val="22"/>
          <w:szCs w:val="22"/>
        </w:rPr>
        <w:t xml:space="preserve"> exploit.  However, addressing these vulnerabilities – for example, poverty and peer pressure – is largely outside of the control of the police. Bendall (2023) considered options such as support and rehabilitation programmes but found mixed results with the primary issue preventing success being a lack of trust in law enforcement.  Therefore, a multi-agency approach is required to reduce vulnerabilities and improve public protection outcomes.</w:t>
      </w:r>
    </w:p>
    <w:p w14:paraId="30BD95C5" w14:textId="77777777" w:rsidR="001E03A4" w:rsidRPr="001E03A4" w:rsidRDefault="001E03A4" w:rsidP="001E03A4">
      <w:pPr>
        <w:rPr>
          <w:rFonts w:ascii="Arial" w:hAnsi="Arial" w:cs="Arial"/>
          <w:sz w:val="22"/>
          <w:szCs w:val="22"/>
        </w:rPr>
      </w:pPr>
    </w:p>
    <w:p w14:paraId="74278366" w14:textId="4ECF86BC" w:rsidR="001E03A4" w:rsidRPr="001E03A4" w:rsidRDefault="001E03A4" w:rsidP="001E03A4">
      <w:pPr>
        <w:rPr>
          <w:rFonts w:ascii="Arial" w:hAnsi="Arial" w:cs="Arial"/>
          <w:sz w:val="22"/>
          <w:szCs w:val="22"/>
        </w:rPr>
      </w:pPr>
      <w:r w:rsidRPr="001E03A4">
        <w:rPr>
          <w:rFonts w:ascii="Arial" w:hAnsi="Arial" w:cs="Arial"/>
          <w:sz w:val="22"/>
          <w:szCs w:val="22"/>
        </w:rPr>
        <w:t xml:space="preserve">Substance abuse and mental health issues also seem to render some people more vulnerable to exploitation by SOC gangs.  Substance abuse and </w:t>
      </w:r>
      <w:r w:rsidR="00455406" w:rsidRPr="001E03A4">
        <w:rPr>
          <w:rFonts w:ascii="Arial" w:hAnsi="Arial" w:cs="Arial"/>
          <w:sz w:val="22"/>
          <w:szCs w:val="22"/>
        </w:rPr>
        <w:t>mental</w:t>
      </w:r>
      <w:r w:rsidRPr="001E03A4">
        <w:rPr>
          <w:rFonts w:ascii="Arial" w:hAnsi="Arial" w:cs="Arial"/>
          <w:sz w:val="22"/>
          <w:szCs w:val="22"/>
        </w:rPr>
        <w:t xml:space="preserve"> health issues are often linked, as shown in a report by The Centre for Social Justice (2024).   The report focuses on criminal exploitation and modern slavery, relying on quantitative data; however, it is highly relevant because it considers the exploitation of mental health and substance abuse issues, and modern slavery is closely linked to SOC.  The data for the report was collected by the Home Office from 2014 to 2023 (Home Office, Modern Slavery Research &amp; Analysis, 2024), covering a large sample size from across the UK, generating a robust dataset focused on vulnerable individuals. </w:t>
      </w:r>
    </w:p>
    <w:p w14:paraId="2AE8E248" w14:textId="31491F2C" w:rsidR="001E03A4" w:rsidRPr="001E03A4" w:rsidRDefault="001E03A4" w:rsidP="001E03A4">
      <w:pPr>
        <w:rPr>
          <w:rFonts w:ascii="Arial" w:hAnsi="Arial" w:cs="Arial"/>
          <w:sz w:val="22"/>
          <w:szCs w:val="22"/>
        </w:rPr>
      </w:pPr>
      <w:r w:rsidRPr="001E03A4">
        <w:rPr>
          <w:rFonts w:ascii="Arial" w:hAnsi="Arial" w:cs="Arial"/>
          <w:sz w:val="22"/>
          <w:szCs w:val="22"/>
        </w:rPr>
        <w:t>An earlier study by Spicer et al (2019) also found that in cases of cuckooing</w:t>
      </w:r>
      <w:r w:rsidR="0020227C">
        <w:rPr>
          <w:rFonts w:ascii="Arial" w:hAnsi="Arial" w:cs="Arial"/>
          <w:sz w:val="22"/>
          <w:szCs w:val="22"/>
        </w:rPr>
        <w:t>;</w:t>
      </w:r>
      <w:r w:rsidRPr="001E03A4">
        <w:rPr>
          <w:rFonts w:ascii="Arial" w:hAnsi="Arial" w:cs="Arial"/>
          <w:sz w:val="22"/>
          <w:szCs w:val="22"/>
        </w:rPr>
        <w:t xml:space="preserve"> offenders targeted vulnerable people living alone such as drug users or individuals with mental health problems or disabilities, and over time invaded and took over the victims’ property.  The study uses qualitative data collected through interviews with social services, law enforcement, and individuals involved in drug markets.  It covers a relatively small sample size but provides insight into how vulnerabilities such as addiction and mental health issues are used to exploit a vulnerable member of the public in practice.  This seems to confirm that vulnerable individuals with substance abuse issues may purchase drugs to the point of becoming indebted.  Debts and the urge to procure drugs are then used by SOC gangs as levers for coercion.  It also leads to the conclusion that individuals with mental health issues may be more likely to be coerced or manipulated.  From this it can be argued that substance abuse and mental health issues make some people more vulnerable to exploitation</w:t>
      </w:r>
    </w:p>
    <w:p w14:paraId="433DB24E" w14:textId="77777777" w:rsidR="001E03A4" w:rsidRPr="001E03A4" w:rsidRDefault="001E03A4" w:rsidP="001E03A4">
      <w:pPr>
        <w:rPr>
          <w:rFonts w:ascii="Arial" w:hAnsi="Arial" w:cs="Arial"/>
          <w:sz w:val="22"/>
          <w:szCs w:val="22"/>
        </w:rPr>
      </w:pPr>
    </w:p>
    <w:p w14:paraId="30EE457C" w14:textId="77777777" w:rsidR="001E03A4" w:rsidRPr="001E03A4" w:rsidRDefault="001E03A4" w:rsidP="001E03A4">
      <w:pPr>
        <w:rPr>
          <w:rFonts w:ascii="Arial" w:hAnsi="Arial" w:cs="Arial"/>
          <w:sz w:val="22"/>
          <w:szCs w:val="22"/>
        </w:rPr>
      </w:pPr>
      <w:r w:rsidRPr="001E03A4">
        <w:rPr>
          <w:rFonts w:ascii="Arial" w:hAnsi="Arial" w:cs="Arial"/>
          <w:sz w:val="22"/>
          <w:szCs w:val="22"/>
        </w:rPr>
        <w:lastRenderedPageBreak/>
        <w:t xml:space="preserve">In conclusion, there is a close relation between SOC and public protection.  SOC gangs exploit vulnerabilities including socio-economic disadvantage, youth, substance abuse, and mental health issues to coerce individuals into conducting criminal activities.  This can lead to greater SOC activity in areas with greater numbers of vulnerable people.  Police must strike a difficult balance between public protection and prosecuting crime, even when committed by a vulnerable person.  Targeted interventions and support for vulnerable individuals and communities can help reduce the risk of exploitation by SOC gangs.  However, many of the discussed vulnerabilities such as addiction, socioeconomic factors, and mental health are not within the control of the </w:t>
      </w:r>
      <w:proofErr w:type="gramStart"/>
      <w:r w:rsidRPr="001E03A4">
        <w:rPr>
          <w:rFonts w:ascii="Arial" w:hAnsi="Arial" w:cs="Arial"/>
          <w:sz w:val="22"/>
          <w:szCs w:val="22"/>
        </w:rPr>
        <w:t>police, and</w:t>
      </w:r>
      <w:proofErr w:type="gramEnd"/>
      <w:r w:rsidRPr="001E03A4">
        <w:rPr>
          <w:rFonts w:ascii="Arial" w:hAnsi="Arial" w:cs="Arial"/>
          <w:sz w:val="22"/>
          <w:szCs w:val="22"/>
        </w:rPr>
        <w:t xml:space="preserve"> addressing them requires a multi-organisational effort across a range of services, and with sufficient scope and time to have a noticeable impact.</w:t>
      </w:r>
    </w:p>
    <w:p w14:paraId="3FEC7625" w14:textId="77777777" w:rsidR="001E03A4" w:rsidRPr="001E03A4" w:rsidRDefault="001E03A4" w:rsidP="001E03A4">
      <w:pPr>
        <w:rPr>
          <w:rFonts w:ascii="Arial" w:hAnsi="Arial" w:cs="Arial"/>
          <w:sz w:val="22"/>
          <w:szCs w:val="22"/>
        </w:rPr>
      </w:pPr>
    </w:p>
    <w:p w14:paraId="0D5FAEC9" w14:textId="080D24E0" w:rsidR="008C5520" w:rsidRPr="00C258C4" w:rsidRDefault="00C258C4" w:rsidP="001E03A4">
      <w:pPr>
        <w:rPr>
          <w:rFonts w:ascii="Arial" w:hAnsi="Arial" w:cs="Arial"/>
          <w:b/>
          <w:bCs/>
          <w:sz w:val="22"/>
          <w:szCs w:val="22"/>
        </w:rPr>
      </w:pPr>
      <w:r w:rsidRPr="00C258C4">
        <w:rPr>
          <w:rFonts w:ascii="Arial" w:hAnsi="Arial" w:cs="Arial"/>
          <w:b/>
          <w:bCs/>
          <w:sz w:val="22"/>
          <w:szCs w:val="22"/>
        </w:rPr>
        <w:t>[</w:t>
      </w:r>
      <w:r w:rsidR="001E03A4" w:rsidRPr="00C258C4">
        <w:rPr>
          <w:rFonts w:ascii="Arial" w:hAnsi="Arial" w:cs="Arial"/>
          <w:b/>
          <w:bCs/>
          <w:sz w:val="22"/>
          <w:szCs w:val="22"/>
        </w:rPr>
        <w:t>1</w:t>
      </w:r>
      <w:r w:rsidRPr="00C258C4">
        <w:rPr>
          <w:rFonts w:ascii="Arial" w:hAnsi="Arial" w:cs="Arial"/>
          <w:b/>
          <w:bCs/>
          <w:sz w:val="22"/>
          <w:szCs w:val="22"/>
        </w:rPr>
        <w:t>099</w:t>
      </w:r>
      <w:r w:rsidR="001E03A4" w:rsidRPr="00C258C4">
        <w:rPr>
          <w:rFonts w:ascii="Arial" w:hAnsi="Arial" w:cs="Arial"/>
          <w:b/>
          <w:bCs/>
          <w:sz w:val="22"/>
          <w:szCs w:val="22"/>
        </w:rPr>
        <w:t xml:space="preserve"> words</w:t>
      </w:r>
      <w:r w:rsidRPr="00C258C4">
        <w:rPr>
          <w:rFonts w:ascii="Arial" w:hAnsi="Arial" w:cs="Arial"/>
          <w:b/>
          <w:bCs/>
          <w:sz w:val="22"/>
          <w:szCs w:val="22"/>
        </w:rPr>
        <w:t>]</w:t>
      </w:r>
    </w:p>
    <w:p w14:paraId="44E142EA" w14:textId="77777777" w:rsidR="00011931" w:rsidRDefault="00011931">
      <w:pPr>
        <w:rPr>
          <w:rFonts w:ascii="Arial" w:hAnsi="Arial" w:cs="Arial"/>
          <w:sz w:val="22"/>
          <w:szCs w:val="22"/>
        </w:rPr>
      </w:pPr>
      <w:r>
        <w:rPr>
          <w:rFonts w:ascii="Arial" w:hAnsi="Arial" w:cs="Arial"/>
          <w:sz w:val="22"/>
          <w:szCs w:val="22"/>
        </w:rPr>
        <w:br w:type="page"/>
      </w:r>
    </w:p>
    <w:p w14:paraId="6106BCAD" w14:textId="77777777" w:rsidR="00011931" w:rsidRPr="00011931" w:rsidRDefault="00011931" w:rsidP="00011931">
      <w:pPr>
        <w:rPr>
          <w:rFonts w:ascii="Arial" w:hAnsi="Arial" w:cs="Arial"/>
          <w:b/>
          <w:bCs/>
          <w:sz w:val="22"/>
          <w:szCs w:val="22"/>
        </w:rPr>
      </w:pPr>
      <w:r w:rsidRPr="00011931">
        <w:rPr>
          <w:rFonts w:ascii="Arial" w:hAnsi="Arial" w:cs="Arial"/>
          <w:b/>
          <w:bCs/>
          <w:sz w:val="22"/>
          <w:szCs w:val="22"/>
        </w:rPr>
        <w:lastRenderedPageBreak/>
        <w:t xml:space="preserve">Essay four: </w:t>
      </w:r>
    </w:p>
    <w:p w14:paraId="5A81183B" w14:textId="77777777" w:rsidR="00011931" w:rsidRPr="00011931" w:rsidRDefault="00011931" w:rsidP="00011931">
      <w:pPr>
        <w:rPr>
          <w:rFonts w:ascii="Arial" w:hAnsi="Arial" w:cs="Arial"/>
          <w:b/>
          <w:bCs/>
          <w:sz w:val="22"/>
          <w:szCs w:val="22"/>
        </w:rPr>
      </w:pPr>
      <w:r w:rsidRPr="00011931">
        <w:rPr>
          <w:rFonts w:ascii="Arial" w:hAnsi="Arial" w:cs="Arial"/>
          <w:b/>
          <w:bCs/>
          <w:sz w:val="22"/>
          <w:szCs w:val="22"/>
        </w:rPr>
        <w:t>How effective is early intervention as an effective means of preventing young people from offending or re-offending?</w:t>
      </w:r>
    </w:p>
    <w:p w14:paraId="258B720B" w14:textId="77777777" w:rsidR="00011931" w:rsidRPr="00011931" w:rsidRDefault="00011931" w:rsidP="00011931">
      <w:pPr>
        <w:rPr>
          <w:rFonts w:ascii="Arial" w:hAnsi="Arial" w:cs="Arial"/>
          <w:b/>
          <w:bCs/>
          <w:sz w:val="22"/>
          <w:szCs w:val="22"/>
        </w:rPr>
      </w:pPr>
      <w:r w:rsidRPr="00011931">
        <w:rPr>
          <w:rFonts w:ascii="Arial" w:hAnsi="Arial" w:cs="Arial"/>
          <w:b/>
          <w:bCs/>
          <w:sz w:val="22"/>
          <w:szCs w:val="22"/>
        </w:rPr>
        <w:t xml:space="preserve">Your answer must be based on academic research, but you may </w:t>
      </w:r>
      <w:proofErr w:type="gramStart"/>
      <w:r w:rsidRPr="00011931">
        <w:rPr>
          <w:rFonts w:ascii="Arial" w:hAnsi="Arial" w:cs="Arial"/>
          <w:b/>
          <w:bCs/>
          <w:sz w:val="22"/>
          <w:szCs w:val="22"/>
        </w:rPr>
        <w:t>make reference</w:t>
      </w:r>
      <w:proofErr w:type="gramEnd"/>
      <w:r w:rsidRPr="00011931">
        <w:rPr>
          <w:rFonts w:ascii="Arial" w:hAnsi="Arial" w:cs="Arial"/>
          <w:b/>
          <w:bCs/>
          <w:sz w:val="22"/>
          <w:szCs w:val="22"/>
        </w:rPr>
        <w:t xml:space="preserve"> to relevant case studies.</w:t>
      </w:r>
    </w:p>
    <w:p w14:paraId="71A2C4F8" w14:textId="77777777" w:rsidR="00011931" w:rsidRPr="00011931" w:rsidRDefault="00011931" w:rsidP="00011931">
      <w:pPr>
        <w:rPr>
          <w:rFonts w:ascii="Arial" w:hAnsi="Arial" w:cs="Arial"/>
          <w:sz w:val="22"/>
          <w:szCs w:val="22"/>
        </w:rPr>
      </w:pPr>
    </w:p>
    <w:p w14:paraId="0C6B480C" w14:textId="577D1F63" w:rsidR="00011931" w:rsidRPr="00011931" w:rsidRDefault="00011931" w:rsidP="00011931">
      <w:pPr>
        <w:rPr>
          <w:rFonts w:ascii="Arial" w:hAnsi="Arial" w:cs="Arial"/>
          <w:sz w:val="22"/>
          <w:szCs w:val="22"/>
        </w:rPr>
      </w:pPr>
      <w:r w:rsidRPr="00011931">
        <w:rPr>
          <w:rFonts w:ascii="Arial" w:hAnsi="Arial" w:cs="Arial"/>
          <w:sz w:val="22"/>
          <w:szCs w:val="22"/>
        </w:rPr>
        <w:t>Youth offending has been an issue in the UK for some time. Young offenders have a significant effect on both the economy and local communities. Ministry of Justice (2019</w:t>
      </w:r>
      <w:proofErr w:type="gramStart"/>
      <w:r w:rsidRPr="00011931">
        <w:rPr>
          <w:rFonts w:ascii="Arial" w:hAnsi="Arial" w:cs="Arial"/>
          <w:sz w:val="22"/>
          <w:szCs w:val="22"/>
        </w:rPr>
        <w:t>)  Early</w:t>
      </w:r>
      <w:proofErr w:type="gramEnd"/>
      <w:r w:rsidRPr="00011931">
        <w:rPr>
          <w:rFonts w:ascii="Arial" w:hAnsi="Arial" w:cs="Arial"/>
          <w:sz w:val="22"/>
          <w:szCs w:val="22"/>
        </w:rPr>
        <w:t xml:space="preserve"> intervention measures (EIMs), aimed at tackling the root causes of youth offending before it can become chronic or escalate, may be able to reduce</w:t>
      </w:r>
      <w:r w:rsidR="008510CB">
        <w:rPr>
          <w:rFonts w:ascii="Arial" w:hAnsi="Arial" w:cs="Arial"/>
          <w:sz w:val="22"/>
          <w:szCs w:val="22"/>
        </w:rPr>
        <w:t xml:space="preserve"> rates of</w:t>
      </w:r>
      <w:r w:rsidRPr="00011931">
        <w:rPr>
          <w:rFonts w:ascii="Arial" w:hAnsi="Arial" w:cs="Arial"/>
          <w:sz w:val="22"/>
          <w:szCs w:val="22"/>
        </w:rPr>
        <w:t xml:space="preserve"> offending and re-offending by young people.  This essay considers the effectiveness of EIMs in the UK.  </w:t>
      </w:r>
    </w:p>
    <w:p w14:paraId="0AB7A1D8" w14:textId="77777777" w:rsidR="00011931" w:rsidRPr="00011931" w:rsidRDefault="00011931" w:rsidP="00011931">
      <w:pPr>
        <w:rPr>
          <w:rFonts w:ascii="Arial" w:hAnsi="Arial" w:cs="Arial"/>
          <w:sz w:val="22"/>
          <w:szCs w:val="22"/>
        </w:rPr>
      </w:pPr>
    </w:p>
    <w:p w14:paraId="41C898C3" w14:textId="77777777" w:rsidR="00011931" w:rsidRPr="00011931" w:rsidRDefault="00011931" w:rsidP="00011931">
      <w:pPr>
        <w:rPr>
          <w:rFonts w:ascii="Arial" w:hAnsi="Arial" w:cs="Arial"/>
          <w:sz w:val="22"/>
          <w:szCs w:val="22"/>
        </w:rPr>
      </w:pPr>
      <w:r w:rsidRPr="00011931">
        <w:rPr>
          <w:rFonts w:ascii="Arial" w:hAnsi="Arial" w:cs="Arial"/>
          <w:sz w:val="22"/>
          <w:szCs w:val="22"/>
        </w:rPr>
        <w:t>The Ministry of Justice (2023) found that:</w:t>
      </w:r>
    </w:p>
    <w:p w14:paraId="47993AA5" w14:textId="77777777" w:rsidR="00011931" w:rsidRPr="00011931" w:rsidRDefault="00011931" w:rsidP="00011931">
      <w:pPr>
        <w:rPr>
          <w:rFonts w:ascii="Arial" w:hAnsi="Arial" w:cs="Arial"/>
          <w:sz w:val="22"/>
          <w:szCs w:val="22"/>
        </w:rPr>
      </w:pPr>
      <w:r w:rsidRPr="00011931">
        <w:rPr>
          <w:rFonts w:ascii="Arial" w:hAnsi="Arial" w:cs="Arial"/>
          <w:sz w:val="22"/>
          <w:szCs w:val="22"/>
        </w:rPr>
        <w:t>•</w:t>
      </w:r>
      <w:r w:rsidRPr="00011931">
        <w:rPr>
          <w:rFonts w:ascii="Arial" w:hAnsi="Arial" w:cs="Arial"/>
          <w:sz w:val="22"/>
          <w:szCs w:val="22"/>
        </w:rPr>
        <w:tab/>
        <w:t xml:space="preserve">arrests of children aged 10-17 had increased 9% compared to the previous </w:t>
      </w:r>
      <w:proofErr w:type="gramStart"/>
      <w:r w:rsidRPr="00011931">
        <w:rPr>
          <w:rFonts w:ascii="Arial" w:hAnsi="Arial" w:cs="Arial"/>
          <w:sz w:val="22"/>
          <w:szCs w:val="22"/>
        </w:rPr>
        <w:t>year;</w:t>
      </w:r>
      <w:proofErr w:type="gramEnd"/>
    </w:p>
    <w:p w14:paraId="5C6BA28F" w14:textId="77777777" w:rsidR="00011931" w:rsidRPr="00011931" w:rsidRDefault="00011931" w:rsidP="00011931">
      <w:pPr>
        <w:rPr>
          <w:rFonts w:ascii="Arial" w:hAnsi="Arial" w:cs="Arial"/>
          <w:sz w:val="22"/>
          <w:szCs w:val="22"/>
        </w:rPr>
      </w:pPr>
      <w:r w:rsidRPr="00011931">
        <w:rPr>
          <w:rFonts w:ascii="Arial" w:hAnsi="Arial" w:cs="Arial"/>
          <w:sz w:val="22"/>
          <w:szCs w:val="22"/>
        </w:rPr>
        <w:t>•</w:t>
      </w:r>
      <w:r w:rsidRPr="00011931">
        <w:rPr>
          <w:rFonts w:ascii="Arial" w:hAnsi="Arial" w:cs="Arial"/>
          <w:sz w:val="22"/>
          <w:szCs w:val="22"/>
        </w:rPr>
        <w:tab/>
        <w:t xml:space="preserve">there were just below 8,400 child first-time entrants into the justice system, a 1% increase to the previous </w:t>
      </w:r>
      <w:proofErr w:type="gramStart"/>
      <w:r w:rsidRPr="00011931">
        <w:rPr>
          <w:rFonts w:ascii="Arial" w:hAnsi="Arial" w:cs="Arial"/>
          <w:sz w:val="22"/>
          <w:szCs w:val="22"/>
        </w:rPr>
        <w:t>year;</w:t>
      </w:r>
      <w:proofErr w:type="gramEnd"/>
    </w:p>
    <w:p w14:paraId="284820E4" w14:textId="77777777" w:rsidR="00011931" w:rsidRPr="00011931" w:rsidRDefault="00011931" w:rsidP="00011931">
      <w:pPr>
        <w:rPr>
          <w:rFonts w:ascii="Arial" w:hAnsi="Arial" w:cs="Arial"/>
          <w:sz w:val="22"/>
          <w:szCs w:val="22"/>
        </w:rPr>
      </w:pPr>
      <w:r w:rsidRPr="00011931">
        <w:rPr>
          <w:rFonts w:ascii="Arial" w:hAnsi="Arial" w:cs="Arial"/>
          <w:sz w:val="22"/>
          <w:szCs w:val="22"/>
        </w:rPr>
        <w:t>•</w:t>
      </w:r>
      <w:r w:rsidRPr="00011931">
        <w:rPr>
          <w:rFonts w:ascii="Arial" w:hAnsi="Arial" w:cs="Arial"/>
          <w:sz w:val="22"/>
          <w:szCs w:val="22"/>
        </w:rPr>
        <w:tab/>
        <w:t>the reoffending rate increased by 0.9% against the previous year.</w:t>
      </w:r>
    </w:p>
    <w:p w14:paraId="7222959B" w14:textId="77777777" w:rsidR="00011931" w:rsidRPr="00011931" w:rsidRDefault="00011931" w:rsidP="00011931">
      <w:pPr>
        <w:rPr>
          <w:rFonts w:ascii="Arial" w:hAnsi="Arial" w:cs="Arial"/>
          <w:sz w:val="22"/>
          <w:szCs w:val="22"/>
        </w:rPr>
      </w:pPr>
      <w:r w:rsidRPr="00011931">
        <w:rPr>
          <w:rFonts w:ascii="Arial" w:hAnsi="Arial" w:cs="Arial"/>
          <w:sz w:val="22"/>
          <w:szCs w:val="22"/>
        </w:rPr>
        <w:t xml:space="preserve">The research was based on extensive data collection and analysis, generating a large and robust dataset from across the UK, though factors such as changes in recording practice, underreporting, and police discretion could mean that actual numbers may be significantly higher. Despite this limitation, these figures and trends seem to indicate a need to address youth offending and re-offending.  EIMs aim to do this.  </w:t>
      </w:r>
    </w:p>
    <w:p w14:paraId="33D23FCA" w14:textId="65F9305A" w:rsidR="00011931" w:rsidRPr="00011931" w:rsidRDefault="00011931" w:rsidP="00011931">
      <w:pPr>
        <w:rPr>
          <w:rFonts w:ascii="Arial" w:hAnsi="Arial" w:cs="Arial"/>
          <w:sz w:val="22"/>
          <w:szCs w:val="22"/>
        </w:rPr>
      </w:pPr>
      <w:r w:rsidRPr="00011931">
        <w:rPr>
          <w:rFonts w:ascii="Arial" w:hAnsi="Arial" w:cs="Arial"/>
          <w:sz w:val="22"/>
          <w:szCs w:val="22"/>
        </w:rPr>
        <w:t>EIMs have been the subject of research for their effectiveness in preventing initial offending/re-offending. EIMs are practices and policies intended to identify and address issues that may lead to serious criminal behaviour later in life.  They take many forms and target various aspects of young people’s life, such as education, family, and mental health. (House of Commons Library, 2020) EIMs aim to address these issues early, thus reducing the likelihood of youths engaging in criminal behaviour in the long-term.  Existing research indicates that EIMs can have a major impact because they might be able to target key risk-factors contributing to a youth’s likelihood of offending such as lack of education, poor parenting, and social exclusion.  EIMs seem to be especially useful if they include family-based interventions, which can be particularly effective in reducing offending behaviour in youth</w:t>
      </w:r>
      <w:r w:rsidR="0094614B">
        <w:rPr>
          <w:rFonts w:ascii="Arial" w:hAnsi="Arial" w:cs="Arial"/>
          <w:sz w:val="22"/>
          <w:szCs w:val="22"/>
        </w:rPr>
        <w:t>s</w:t>
      </w:r>
      <w:r w:rsidRPr="00011931">
        <w:rPr>
          <w:rFonts w:ascii="Arial" w:hAnsi="Arial" w:cs="Arial"/>
          <w:sz w:val="22"/>
          <w:szCs w:val="22"/>
        </w:rPr>
        <w:t xml:space="preserve"> and children.</w:t>
      </w:r>
    </w:p>
    <w:p w14:paraId="23E5F230" w14:textId="77777777" w:rsidR="00011931" w:rsidRPr="00011931" w:rsidRDefault="00011931" w:rsidP="00011931">
      <w:pPr>
        <w:rPr>
          <w:rFonts w:ascii="Arial" w:hAnsi="Arial" w:cs="Arial"/>
          <w:sz w:val="22"/>
          <w:szCs w:val="22"/>
        </w:rPr>
      </w:pPr>
      <w:r w:rsidRPr="00011931">
        <w:rPr>
          <w:rFonts w:ascii="Arial" w:hAnsi="Arial" w:cs="Arial"/>
          <w:sz w:val="22"/>
          <w:szCs w:val="22"/>
        </w:rPr>
        <w:t>Over time, several EIMs programmes have been implemented in the UK, with mixed results:</w:t>
      </w:r>
    </w:p>
    <w:p w14:paraId="4788F20E" w14:textId="531A9A0D" w:rsidR="00011931" w:rsidRPr="00011931" w:rsidRDefault="00011931" w:rsidP="00011931">
      <w:pPr>
        <w:rPr>
          <w:rFonts w:ascii="Arial" w:hAnsi="Arial" w:cs="Arial"/>
          <w:sz w:val="22"/>
          <w:szCs w:val="22"/>
        </w:rPr>
      </w:pPr>
      <w:r w:rsidRPr="00011931">
        <w:rPr>
          <w:rFonts w:ascii="Arial" w:hAnsi="Arial" w:cs="Arial"/>
          <w:sz w:val="22"/>
          <w:szCs w:val="22"/>
        </w:rPr>
        <w:t xml:space="preserve">The Think Family Early Intervention programme targeted families whose children were at risk of challenges likely to lead to criminal behaviour later in life.  It provided tailored support, addressing issues such as housing, family dynamics, mental health, and educational support. The intention was to intervene before those issues could lead to criminal activity and aimed to prevent youths from being criminalised.   An evaluation of the programme found that targeting underlying issues such as family dynamics, education, and employment </w:t>
      </w:r>
      <w:r w:rsidRPr="00011931">
        <w:rPr>
          <w:rFonts w:ascii="Arial" w:hAnsi="Arial" w:cs="Arial"/>
          <w:sz w:val="22"/>
          <w:szCs w:val="22"/>
        </w:rPr>
        <w:lastRenderedPageBreak/>
        <w:t>through support reduced likelihood of criminal behaviour.  The programme was found to be effective in reducing youth crime and improving long-term quality of life for families. (College of Policing, 2021</w:t>
      </w:r>
      <w:r w:rsidR="00B067FC" w:rsidRPr="00011931">
        <w:rPr>
          <w:rFonts w:ascii="Arial" w:hAnsi="Arial" w:cs="Arial"/>
          <w:sz w:val="22"/>
          <w:szCs w:val="22"/>
        </w:rPr>
        <w:t>) The</w:t>
      </w:r>
      <w:r w:rsidRPr="00011931">
        <w:rPr>
          <w:rFonts w:ascii="Arial" w:hAnsi="Arial" w:cs="Arial"/>
          <w:sz w:val="22"/>
          <w:szCs w:val="22"/>
        </w:rPr>
        <w:t xml:space="preserve"> study was qualitative and quantitative, though relatively limited in scope, only covering vulnerable families in Avon and Somerset with no control group. It consisted of two phone interviews and three focus groups with a total of 18 participants involved in supporting families through the programme, with varying levels of involvement.  Though this is a relatively small sample size, it offered much detailed information, and the study found a significant reduction in youth crime in the supported families.   The lack of control group makes it difficult to come to causal conclusions, but the study still seems to confirm the potential for EIMs in reducing youth offending.</w:t>
      </w:r>
    </w:p>
    <w:p w14:paraId="6BBADC06" w14:textId="77777777" w:rsidR="00011931" w:rsidRPr="00011931" w:rsidRDefault="00011931" w:rsidP="00011931">
      <w:pPr>
        <w:rPr>
          <w:rFonts w:ascii="Arial" w:hAnsi="Arial" w:cs="Arial"/>
          <w:sz w:val="22"/>
          <w:szCs w:val="22"/>
        </w:rPr>
      </w:pPr>
      <w:r w:rsidRPr="00011931">
        <w:rPr>
          <w:rFonts w:ascii="Arial" w:hAnsi="Arial" w:cs="Arial"/>
          <w:sz w:val="22"/>
          <w:szCs w:val="22"/>
        </w:rPr>
        <w:t xml:space="preserve">Another example would be the Troubled Families Programme.  Launched in 2012, it concentrated on providing co-ordinated support, to help address issues such as unemployment, crime and education, for and with affected families.  An evaluation (Department for Communities and Local Government, 2020b) found that the programme reduced the number of youth offences from troubled families by 32%.  This data was based on a large sample size of 21,576 individuals with a comparison group of 7,815 individuals using Propensity Score Matching over a 5-year period, a robust method of measuring impacts over large datasets, generating a reliable dataset (Department for Communities and Local Government 2020b). There was also some limited qualitative data taken between October 2015 and March 2016 across 48 families and 60 staff members delivering the program. While this does give additional context to the quantitative data, it seems </w:t>
      </w:r>
      <w:proofErr w:type="gramStart"/>
      <w:r w:rsidRPr="00011931">
        <w:rPr>
          <w:rFonts w:ascii="Arial" w:hAnsi="Arial" w:cs="Arial"/>
          <w:sz w:val="22"/>
          <w:szCs w:val="22"/>
        </w:rPr>
        <w:t>fairly limited</w:t>
      </w:r>
      <w:proofErr w:type="gramEnd"/>
      <w:r w:rsidRPr="00011931">
        <w:rPr>
          <w:rFonts w:ascii="Arial" w:hAnsi="Arial" w:cs="Arial"/>
          <w:sz w:val="22"/>
          <w:szCs w:val="22"/>
        </w:rPr>
        <w:t xml:space="preserve"> given the comparative large scope of the quantitative data.</w:t>
      </w:r>
    </w:p>
    <w:p w14:paraId="7A97C351" w14:textId="77777777" w:rsidR="00011931" w:rsidRPr="00011931" w:rsidRDefault="00011931" w:rsidP="00011931">
      <w:pPr>
        <w:rPr>
          <w:rFonts w:ascii="Arial" w:hAnsi="Arial" w:cs="Arial"/>
          <w:sz w:val="22"/>
          <w:szCs w:val="22"/>
        </w:rPr>
      </w:pPr>
      <w:r w:rsidRPr="00011931">
        <w:rPr>
          <w:rFonts w:ascii="Arial" w:hAnsi="Arial" w:cs="Arial"/>
          <w:sz w:val="22"/>
          <w:szCs w:val="22"/>
        </w:rPr>
        <w:t xml:space="preserve">A qualitative case study by Parr (2016), to review earlier results of the Troubled Families Programme, argued that the focus on quantitative data and outcome focused methods limited future evaluations as it did not sufficiently explore the why and how behind the results.   Although the programme can be considered a success, this presents a salient point: While the Troubled Families Programme shows significant potential, the limited qualitative data means harder to confidently explain why/how it achieved its results, potentially limiting a replication of its success.  </w:t>
      </w:r>
    </w:p>
    <w:p w14:paraId="2B2D056B" w14:textId="77777777" w:rsidR="00011931" w:rsidRPr="00011931" w:rsidRDefault="00011931" w:rsidP="00011931">
      <w:pPr>
        <w:rPr>
          <w:rFonts w:ascii="Arial" w:hAnsi="Arial" w:cs="Arial"/>
          <w:sz w:val="22"/>
          <w:szCs w:val="22"/>
        </w:rPr>
      </w:pPr>
      <w:r w:rsidRPr="00011931">
        <w:rPr>
          <w:rFonts w:ascii="Arial" w:hAnsi="Arial" w:cs="Arial"/>
          <w:sz w:val="22"/>
          <w:szCs w:val="22"/>
        </w:rPr>
        <w:t xml:space="preserve">Overall, existing research seems to confirm the potential for EIMs in reducing youth offending and re-offending; however, EIMs programmes do have significant issues; Their effectiveness is dependent on funding and implementation, and a poorly resourced or designed programme could be either ineffective or have negative impacts, such as inconsistent delivery or failing to reach target demographics. </w:t>
      </w:r>
    </w:p>
    <w:p w14:paraId="7935B19C" w14:textId="356B4515" w:rsidR="00011931" w:rsidRPr="00011931" w:rsidRDefault="00011931" w:rsidP="00011931">
      <w:pPr>
        <w:rPr>
          <w:rFonts w:ascii="Arial" w:hAnsi="Arial" w:cs="Arial"/>
          <w:sz w:val="22"/>
          <w:szCs w:val="22"/>
        </w:rPr>
      </w:pPr>
      <w:r w:rsidRPr="00011931">
        <w:rPr>
          <w:rFonts w:ascii="Arial" w:hAnsi="Arial" w:cs="Arial"/>
          <w:sz w:val="22"/>
          <w:szCs w:val="22"/>
        </w:rPr>
        <w:t>Funding, to secure the long-term viability of EIMs programmes, is a major factor to consider, many EIMs programmes must rely on short-term funding, compromising their ability to achieve sustained results. For instance, the Department for Communities and Local Government (2020a) found that the Troubled Families Programme, despite its effectiveness in reducing Youth offending rates, faced criticism because its reliance on short-term funding which cast doubts on its long-term effectiveness and future continuity.  The issue of funding appears critical, because families receiving support from programmes such as the Troubled Families Programme may be reliant on it.</w:t>
      </w:r>
    </w:p>
    <w:p w14:paraId="1BEBA26A" w14:textId="77777777" w:rsidR="00011931" w:rsidRPr="00011931" w:rsidRDefault="00011931" w:rsidP="00011931">
      <w:pPr>
        <w:rPr>
          <w:rFonts w:ascii="Arial" w:hAnsi="Arial" w:cs="Arial"/>
          <w:sz w:val="22"/>
          <w:szCs w:val="22"/>
        </w:rPr>
      </w:pPr>
      <w:r w:rsidRPr="00011931">
        <w:rPr>
          <w:rFonts w:ascii="Arial" w:hAnsi="Arial" w:cs="Arial"/>
          <w:sz w:val="22"/>
          <w:szCs w:val="22"/>
        </w:rPr>
        <w:t xml:space="preserve">Another concern raised by the Department for Communities and Local Government (2020a) was the programme’s ability to identify at-risk individuals early enough for programme interventions to have a significant impact.  Identifying young people who are more at risk of </w:t>
      </w:r>
      <w:r w:rsidRPr="00011931">
        <w:rPr>
          <w:rFonts w:ascii="Arial" w:hAnsi="Arial" w:cs="Arial"/>
          <w:sz w:val="22"/>
          <w:szCs w:val="22"/>
        </w:rPr>
        <w:lastRenderedPageBreak/>
        <w:t>engaging in criminal behaviour is likely to be a complex and difficult process. This may be further complicated by the fact that it could lead to wrongly ‘labelling’ and stigmatising youths who would not offend.  This could lead to well-intentioned EIMs generating negative impacts.</w:t>
      </w:r>
    </w:p>
    <w:p w14:paraId="39C26FFC" w14:textId="77777777" w:rsidR="00011931" w:rsidRPr="00011931" w:rsidRDefault="00011931" w:rsidP="00011931">
      <w:pPr>
        <w:rPr>
          <w:rFonts w:ascii="Arial" w:hAnsi="Arial" w:cs="Arial"/>
          <w:sz w:val="22"/>
          <w:szCs w:val="22"/>
        </w:rPr>
      </w:pPr>
    </w:p>
    <w:p w14:paraId="734EE837" w14:textId="77777777" w:rsidR="00011931" w:rsidRPr="00011931" w:rsidRDefault="00011931" w:rsidP="00011931">
      <w:pPr>
        <w:rPr>
          <w:rFonts w:ascii="Arial" w:hAnsi="Arial" w:cs="Arial"/>
          <w:sz w:val="22"/>
          <w:szCs w:val="22"/>
        </w:rPr>
      </w:pPr>
      <w:r w:rsidRPr="00011931">
        <w:rPr>
          <w:rFonts w:ascii="Arial" w:hAnsi="Arial" w:cs="Arial"/>
          <w:sz w:val="22"/>
          <w:szCs w:val="22"/>
        </w:rPr>
        <w:t>In conclusion, there appears to be potential of EIMs reducing youth offending/reoffending in the UK. However, there are still major concerns such as ensuring reliable funding for, and quality implementation of, EIMs programmes, as well as improving methods of identifying at-risk youth. If those issues can be addressed, then EIM could be effective in reducing youth crime and improving the long-term quality of life of youths and affected families in the UK.</w:t>
      </w:r>
    </w:p>
    <w:p w14:paraId="352F85BC" w14:textId="77777777" w:rsidR="00011931" w:rsidRPr="00011931" w:rsidRDefault="00011931" w:rsidP="00011931">
      <w:pPr>
        <w:rPr>
          <w:rFonts w:ascii="Arial" w:hAnsi="Arial" w:cs="Arial"/>
          <w:sz w:val="22"/>
          <w:szCs w:val="22"/>
        </w:rPr>
      </w:pPr>
    </w:p>
    <w:p w14:paraId="7B2A4B98" w14:textId="77777777" w:rsidR="00011931" w:rsidRPr="00011931" w:rsidRDefault="00011931" w:rsidP="00011931">
      <w:pPr>
        <w:rPr>
          <w:rFonts w:ascii="Arial" w:hAnsi="Arial" w:cs="Arial"/>
          <w:sz w:val="22"/>
          <w:szCs w:val="22"/>
        </w:rPr>
      </w:pPr>
    </w:p>
    <w:p w14:paraId="5B30504D" w14:textId="7A0F16D7" w:rsidR="00051EBC" w:rsidRPr="00E46185" w:rsidRDefault="00B0064F" w:rsidP="00011931">
      <w:pPr>
        <w:rPr>
          <w:rFonts w:ascii="Arial" w:hAnsi="Arial" w:cs="Arial"/>
          <w:b/>
          <w:bCs/>
          <w:sz w:val="22"/>
          <w:szCs w:val="22"/>
        </w:rPr>
      </w:pPr>
      <w:r w:rsidRPr="00E46185">
        <w:rPr>
          <w:rFonts w:ascii="Arial" w:hAnsi="Arial" w:cs="Arial"/>
          <w:b/>
          <w:bCs/>
          <w:sz w:val="22"/>
          <w:szCs w:val="22"/>
        </w:rPr>
        <w:t>[</w:t>
      </w:r>
      <w:r w:rsidR="00011931" w:rsidRPr="00E46185">
        <w:rPr>
          <w:rFonts w:ascii="Arial" w:hAnsi="Arial" w:cs="Arial"/>
          <w:b/>
          <w:bCs/>
          <w:sz w:val="22"/>
          <w:szCs w:val="22"/>
        </w:rPr>
        <w:t>109</w:t>
      </w:r>
      <w:r w:rsidRPr="00E46185">
        <w:rPr>
          <w:rFonts w:ascii="Arial" w:hAnsi="Arial" w:cs="Arial"/>
          <w:b/>
          <w:bCs/>
          <w:sz w:val="22"/>
          <w:szCs w:val="22"/>
        </w:rPr>
        <w:t>3</w:t>
      </w:r>
      <w:r w:rsidR="00011931" w:rsidRPr="00E46185">
        <w:rPr>
          <w:rFonts w:ascii="Arial" w:hAnsi="Arial" w:cs="Arial"/>
          <w:b/>
          <w:bCs/>
          <w:sz w:val="22"/>
          <w:szCs w:val="22"/>
        </w:rPr>
        <w:t xml:space="preserve"> Words</w:t>
      </w:r>
      <w:r w:rsidRPr="00E46185">
        <w:rPr>
          <w:rFonts w:ascii="Arial" w:hAnsi="Arial" w:cs="Arial"/>
          <w:b/>
          <w:bCs/>
          <w:sz w:val="22"/>
          <w:szCs w:val="22"/>
        </w:rPr>
        <w:t>]</w:t>
      </w:r>
      <w:r w:rsidR="00051EBC" w:rsidRPr="00E46185">
        <w:rPr>
          <w:rFonts w:ascii="Arial" w:hAnsi="Arial" w:cs="Arial"/>
          <w:b/>
          <w:bCs/>
          <w:sz w:val="22"/>
          <w:szCs w:val="22"/>
        </w:rPr>
        <w:br w:type="page"/>
      </w:r>
    </w:p>
    <w:p w14:paraId="0F2CA761" w14:textId="77777777" w:rsidR="0059033D" w:rsidRPr="0059033D" w:rsidRDefault="0059033D" w:rsidP="0059033D">
      <w:pPr>
        <w:rPr>
          <w:rFonts w:ascii="Arial" w:hAnsi="Arial" w:cs="Arial"/>
          <w:b/>
          <w:bCs/>
          <w:sz w:val="22"/>
          <w:szCs w:val="22"/>
        </w:rPr>
      </w:pPr>
      <w:r w:rsidRPr="0059033D">
        <w:rPr>
          <w:rFonts w:ascii="Arial" w:hAnsi="Arial" w:cs="Arial"/>
          <w:b/>
          <w:bCs/>
          <w:sz w:val="22"/>
          <w:szCs w:val="22"/>
        </w:rPr>
        <w:lastRenderedPageBreak/>
        <w:t>References</w:t>
      </w:r>
    </w:p>
    <w:p w14:paraId="36C0F40A" w14:textId="77777777" w:rsidR="00657B9B" w:rsidRDefault="00657B9B" w:rsidP="00C56908">
      <w:pPr>
        <w:pStyle w:val="ListParagraph"/>
        <w:numPr>
          <w:ilvl w:val="0"/>
          <w:numId w:val="7"/>
        </w:numPr>
        <w:rPr>
          <w:rFonts w:ascii="Arial" w:hAnsi="Arial" w:cs="Arial"/>
          <w:sz w:val="22"/>
          <w:szCs w:val="22"/>
        </w:rPr>
      </w:pPr>
      <w:r w:rsidRPr="00C56908">
        <w:rPr>
          <w:rFonts w:ascii="Arial" w:hAnsi="Arial" w:cs="Arial"/>
          <w:sz w:val="22"/>
          <w:szCs w:val="22"/>
        </w:rPr>
        <w:t>Bendall, J. (2023) 'Young People's Perceptions and Motivations for Joining Gangs in the UK', Journal of Youth Studies, 26(4), pp. 456-472. Available at: https://researchportal.port.ac.uk/files/12967463/Final_Project_of_the_Professional_Doctorate_of_Jonathan_Bendall.pdf (Accessed: 18 January 2025).</w:t>
      </w:r>
    </w:p>
    <w:p w14:paraId="3237F018" w14:textId="77777777" w:rsidR="0087378C" w:rsidRPr="00C56908" w:rsidRDefault="0087378C" w:rsidP="0087378C">
      <w:pPr>
        <w:pStyle w:val="ListParagraph"/>
        <w:rPr>
          <w:rFonts w:ascii="Arial" w:hAnsi="Arial" w:cs="Arial"/>
          <w:sz w:val="22"/>
          <w:szCs w:val="22"/>
        </w:rPr>
      </w:pPr>
    </w:p>
    <w:p w14:paraId="4BF67698" w14:textId="2E32EB9E" w:rsidR="0087378C" w:rsidRPr="0087378C" w:rsidRDefault="00657B9B" w:rsidP="0087378C">
      <w:pPr>
        <w:pStyle w:val="ListParagraph"/>
        <w:numPr>
          <w:ilvl w:val="0"/>
          <w:numId w:val="7"/>
        </w:numPr>
        <w:suppressAutoHyphens/>
        <w:spacing w:line="240" w:lineRule="auto"/>
        <w:rPr>
          <w:rFonts w:ascii="Arial" w:hAnsi="Arial" w:cs="Arial"/>
          <w:sz w:val="22"/>
          <w:szCs w:val="22"/>
        </w:rPr>
      </w:pPr>
      <w:r>
        <w:rPr>
          <w:rFonts w:ascii="Arial" w:hAnsi="Arial" w:cs="Arial"/>
          <w:sz w:val="22"/>
          <w:szCs w:val="22"/>
        </w:rPr>
        <w:t>Brunetto Y, Farr-Wharton B, Wankhade P, et al. (2023) Managing emotional labour: the importance of organisational support for managing police officers in England and Italy. International Journal of Human Resource Management 34(4): 832–854.</w:t>
      </w:r>
    </w:p>
    <w:p w14:paraId="2799A25C" w14:textId="77777777" w:rsidR="0087378C" w:rsidRDefault="0087378C" w:rsidP="0087378C">
      <w:pPr>
        <w:pStyle w:val="ListParagraph"/>
        <w:suppressAutoHyphens/>
        <w:spacing w:line="240" w:lineRule="auto"/>
        <w:rPr>
          <w:rFonts w:ascii="Arial" w:hAnsi="Arial" w:cs="Arial"/>
          <w:sz w:val="22"/>
          <w:szCs w:val="22"/>
        </w:rPr>
      </w:pPr>
    </w:p>
    <w:p w14:paraId="752E568F" w14:textId="138AACAC" w:rsidR="0087378C" w:rsidRPr="0087378C" w:rsidRDefault="00657B9B" w:rsidP="0087378C">
      <w:pPr>
        <w:pStyle w:val="ListParagraph"/>
        <w:numPr>
          <w:ilvl w:val="0"/>
          <w:numId w:val="7"/>
        </w:numPr>
        <w:rPr>
          <w:rFonts w:ascii="Arial" w:hAnsi="Arial" w:cs="Arial"/>
          <w:sz w:val="22"/>
          <w:szCs w:val="22"/>
        </w:rPr>
      </w:pPr>
      <w:r w:rsidRPr="00C56908">
        <w:rPr>
          <w:rFonts w:ascii="Arial" w:hAnsi="Arial" w:cs="Arial"/>
          <w:sz w:val="22"/>
          <w:szCs w:val="22"/>
        </w:rPr>
        <w:t>Centre for Social Justice (2024) Criminal Exploitation: The Missing Link in Tackling Serious and Organised Crime. Available at: https://www.centreforsocialjustice.org.uk/wp-content/uploads/2024/02/CSJ-JC_Criminal_exploitation.pdf (Accessed: 18 January 2025).</w:t>
      </w:r>
    </w:p>
    <w:p w14:paraId="11834D04" w14:textId="77777777" w:rsidR="0087378C" w:rsidRPr="00C56908" w:rsidRDefault="0087378C" w:rsidP="0087378C">
      <w:pPr>
        <w:pStyle w:val="ListParagraph"/>
        <w:rPr>
          <w:rFonts w:ascii="Arial" w:hAnsi="Arial" w:cs="Arial"/>
          <w:sz w:val="22"/>
          <w:szCs w:val="22"/>
        </w:rPr>
      </w:pPr>
    </w:p>
    <w:p w14:paraId="6F036E37" w14:textId="3414A28A" w:rsidR="0087378C" w:rsidRPr="0087378C" w:rsidRDefault="00657B9B" w:rsidP="0087378C">
      <w:pPr>
        <w:numPr>
          <w:ilvl w:val="0"/>
          <w:numId w:val="7"/>
        </w:numPr>
        <w:suppressAutoHyphens/>
        <w:spacing w:line="240" w:lineRule="auto"/>
        <w:rPr>
          <w:rFonts w:ascii="Arial" w:eastAsia="Aptos" w:hAnsi="Arial" w:cs="Arial"/>
          <w:sz w:val="22"/>
          <w:szCs w:val="22"/>
        </w:rPr>
      </w:pPr>
      <w:r w:rsidRPr="00073BC1">
        <w:rPr>
          <w:rFonts w:ascii="Arial" w:eastAsia="Aptos" w:hAnsi="Arial" w:cs="Arial"/>
          <w:sz w:val="22"/>
          <w:szCs w:val="22"/>
        </w:rPr>
        <w:t>Clark, D (2025) Number of complaint cases recorded against the police in England and Wales from 2004/05 to 2021/22. Available at: https://www.statista.com/statistics/283291/police-complaint-cases-in-england-and-wales/#statisticContainer (Accessed: 28 January 2025).</w:t>
      </w:r>
    </w:p>
    <w:p w14:paraId="3CED19CC" w14:textId="77777777" w:rsidR="0087378C" w:rsidRPr="00073BC1" w:rsidRDefault="0087378C" w:rsidP="0087378C">
      <w:pPr>
        <w:suppressAutoHyphens/>
        <w:spacing w:line="240" w:lineRule="auto"/>
        <w:ind w:left="720"/>
        <w:rPr>
          <w:rFonts w:ascii="Arial" w:eastAsia="Aptos" w:hAnsi="Arial" w:cs="Arial"/>
          <w:sz w:val="22"/>
          <w:szCs w:val="22"/>
        </w:rPr>
      </w:pPr>
    </w:p>
    <w:p w14:paraId="734D210A" w14:textId="7BC3E1FB" w:rsidR="0087378C" w:rsidRPr="0087378C" w:rsidRDefault="00657B9B" w:rsidP="0087378C">
      <w:pPr>
        <w:pStyle w:val="ListParagraph"/>
        <w:numPr>
          <w:ilvl w:val="0"/>
          <w:numId w:val="7"/>
        </w:numPr>
        <w:rPr>
          <w:rFonts w:ascii="Arial" w:hAnsi="Arial" w:cs="Arial"/>
          <w:sz w:val="22"/>
          <w:szCs w:val="22"/>
        </w:rPr>
      </w:pPr>
      <w:r w:rsidRPr="00654E29">
        <w:rPr>
          <w:rFonts w:ascii="Arial" w:hAnsi="Arial" w:cs="Arial"/>
          <w:sz w:val="22"/>
          <w:szCs w:val="22"/>
        </w:rPr>
        <w:t>College of Policing (2021) Evaluation of the Think Family Early Intervention programme. Available at: https://assets.college.police.uk/s3fs-public/2021-07/vvcp-evaluation-of-tfei.pdf (Accessed: 18 January 2025).</w:t>
      </w:r>
    </w:p>
    <w:p w14:paraId="6C181792" w14:textId="77777777" w:rsidR="0087378C" w:rsidRPr="00654E29" w:rsidRDefault="0087378C" w:rsidP="0087378C">
      <w:pPr>
        <w:pStyle w:val="ListParagraph"/>
        <w:rPr>
          <w:rFonts w:ascii="Arial" w:hAnsi="Arial" w:cs="Arial"/>
          <w:sz w:val="22"/>
          <w:szCs w:val="22"/>
        </w:rPr>
      </w:pPr>
    </w:p>
    <w:p w14:paraId="178785CF" w14:textId="718A5710" w:rsidR="005B218E" w:rsidRPr="005B218E" w:rsidRDefault="00657B9B" w:rsidP="005B218E">
      <w:pPr>
        <w:pStyle w:val="ListParagraph"/>
        <w:numPr>
          <w:ilvl w:val="0"/>
          <w:numId w:val="7"/>
        </w:numPr>
        <w:rPr>
          <w:rFonts w:ascii="Arial" w:hAnsi="Arial" w:cs="Arial"/>
          <w:sz w:val="22"/>
          <w:szCs w:val="22"/>
        </w:rPr>
      </w:pPr>
      <w:r w:rsidRPr="00654E29">
        <w:rPr>
          <w:rFonts w:ascii="Arial" w:hAnsi="Arial" w:cs="Arial"/>
          <w:sz w:val="22"/>
          <w:szCs w:val="22"/>
        </w:rPr>
        <w:t>College of Policing (2021) Evaluation of the Think Family Early Intervention programme. Available at: https://assets.college.police.uk/s3fs-public/2021-07/vvcp-evaluation-of-tfei.pdf (Accessed: 18 January 2025).</w:t>
      </w:r>
    </w:p>
    <w:p w14:paraId="70AC2800" w14:textId="77777777" w:rsidR="005B218E" w:rsidRPr="0087378C" w:rsidRDefault="005B218E" w:rsidP="005B218E">
      <w:pPr>
        <w:pStyle w:val="ListParagraph"/>
        <w:rPr>
          <w:rFonts w:ascii="Arial" w:hAnsi="Arial" w:cs="Arial"/>
          <w:sz w:val="22"/>
          <w:szCs w:val="22"/>
        </w:rPr>
      </w:pPr>
    </w:p>
    <w:p w14:paraId="5F49C3B1" w14:textId="77777777" w:rsidR="005B218E" w:rsidRPr="0087378C" w:rsidRDefault="005B218E" w:rsidP="005B218E">
      <w:pPr>
        <w:pStyle w:val="ListParagraph"/>
        <w:numPr>
          <w:ilvl w:val="0"/>
          <w:numId w:val="7"/>
        </w:numPr>
        <w:rPr>
          <w:rFonts w:ascii="Arial" w:hAnsi="Arial" w:cs="Arial"/>
          <w:sz w:val="22"/>
          <w:szCs w:val="22"/>
        </w:rPr>
      </w:pPr>
      <w:r w:rsidRPr="00654E29">
        <w:rPr>
          <w:rFonts w:ascii="Arial" w:hAnsi="Arial" w:cs="Arial"/>
          <w:sz w:val="22"/>
          <w:szCs w:val="22"/>
        </w:rPr>
        <w:t>Department for Communities and Local Government, (2020a). National Evaluation of the Troubled Families Programme 2015-2020. [online] GOV.UK. Available at: https://www.gov.uk/government/publications/national-evaluation-of-the-troubled-families-programme-2015-to-2020-findings [Accessed 01 October 2024].</w:t>
      </w:r>
    </w:p>
    <w:p w14:paraId="2A5626E3" w14:textId="77777777" w:rsidR="0087378C" w:rsidRPr="00654E29" w:rsidRDefault="0087378C" w:rsidP="0087378C">
      <w:pPr>
        <w:pStyle w:val="ListParagraph"/>
        <w:rPr>
          <w:rFonts w:ascii="Arial" w:hAnsi="Arial" w:cs="Arial"/>
          <w:sz w:val="22"/>
          <w:szCs w:val="22"/>
        </w:rPr>
      </w:pPr>
    </w:p>
    <w:p w14:paraId="1CCB6C87" w14:textId="113FDE4D" w:rsidR="0087378C" w:rsidRPr="0087378C" w:rsidRDefault="00657B9B" w:rsidP="0087378C">
      <w:pPr>
        <w:pStyle w:val="ListParagraph"/>
        <w:numPr>
          <w:ilvl w:val="0"/>
          <w:numId w:val="7"/>
        </w:numPr>
        <w:rPr>
          <w:rFonts w:ascii="Arial" w:hAnsi="Arial" w:cs="Arial"/>
          <w:sz w:val="22"/>
          <w:szCs w:val="22"/>
        </w:rPr>
      </w:pPr>
      <w:r w:rsidRPr="00654E29">
        <w:rPr>
          <w:rFonts w:ascii="Arial" w:hAnsi="Arial" w:cs="Arial"/>
          <w:sz w:val="22"/>
          <w:szCs w:val="22"/>
        </w:rPr>
        <w:t>Department for Communities and Local Government (2020b) National evaluation of the Troubled Families Programme 2015 to 2020: Family outcomes – national and local datasets (Part 4). Available at: https://assets.publishing.service.gov.uk/media/5c90ac1140f0b633fc95f6d6/National_evaluation_of_the_Troubled_Families_Programme_2015_to_2020_family_outcomes___national_and_local_datasets_part_4.pdf (Accessed: 1 October 2024).</w:t>
      </w:r>
    </w:p>
    <w:p w14:paraId="37038328" w14:textId="77777777" w:rsidR="0087378C" w:rsidRPr="00654E29" w:rsidRDefault="0087378C" w:rsidP="0087378C">
      <w:pPr>
        <w:pStyle w:val="ListParagraph"/>
        <w:rPr>
          <w:rFonts w:ascii="Arial" w:hAnsi="Arial" w:cs="Arial"/>
          <w:sz w:val="22"/>
          <w:szCs w:val="22"/>
        </w:rPr>
      </w:pPr>
    </w:p>
    <w:p w14:paraId="6B9BBD71" w14:textId="45D5604D" w:rsidR="0087378C" w:rsidRPr="0087378C" w:rsidRDefault="00657B9B" w:rsidP="0087378C">
      <w:pPr>
        <w:pStyle w:val="ListParagraph"/>
        <w:numPr>
          <w:ilvl w:val="0"/>
          <w:numId w:val="7"/>
        </w:numPr>
        <w:suppressAutoHyphens/>
        <w:spacing w:line="276" w:lineRule="auto"/>
        <w:rPr>
          <w:rFonts w:ascii="Arial" w:hAnsi="Arial" w:cs="Arial"/>
          <w:sz w:val="22"/>
          <w:szCs w:val="22"/>
        </w:rPr>
      </w:pPr>
      <w:r>
        <w:rPr>
          <w:rFonts w:ascii="Arial" w:hAnsi="Arial" w:cs="Arial"/>
          <w:sz w:val="22"/>
          <w:szCs w:val="22"/>
        </w:rPr>
        <w:t xml:space="preserve">Elliott-Davies, M., Donnelly, J., Boag-Munroe, F., and Van Mechelen, D. (2023) ‘Primary care consultations and mental health in UK police employees: evidence from the Airwave Health Monitoring Study’, Public Health Research, 11(3), pp. 1-12. Available at: https://pmc.ncbi.nlm.nih.gov/articles/PMC10227927/ (Accessed: 15 January 2025). </w:t>
      </w:r>
    </w:p>
    <w:p w14:paraId="63E537D4" w14:textId="77777777" w:rsidR="0087378C" w:rsidRPr="00120221" w:rsidRDefault="0087378C" w:rsidP="0087378C">
      <w:pPr>
        <w:pStyle w:val="ListParagraph"/>
        <w:suppressAutoHyphens/>
        <w:spacing w:line="276" w:lineRule="auto"/>
        <w:rPr>
          <w:rFonts w:ascii="Arial" w:hAnsi="Arial" w:cs="Arial"/>
          <w:sz w:val="22"/>
          <w:szCs w:val="22"/>
        </w:rPr>
      </w:pPr>
    </w:p>
    <w:p w14:paraId="6E8D5A1B" w14:textId="05D6E827" w:rsidR="000F426C" w:rsidRPr="000F426C" w:rsidRDefault="00657B9B" w:rsidP="000F426C">
      <w:pPr>
        <w:pStyle w:val="ListParagraph"/>
        <w:numPr>
          <w:ilvl w:val="0"/>
          <w:numId w:val="7"/>
        </w:numPr>
        <w:rPr>
          <w:rFonts w:ascii="Arial" w:hAnsi="Arial" w:cs="Arial"/>
          <w:sz w:val="22"/>
          <w:szCs w:val="22"/>
        </w:rPr>
      </w:pPr>
      <w:r w:rsidRPr="00C56908">
        <w:rPr>
          <w:rFonts w:ascii="Arial" w:hAnsi="Arial" w:cs="Arial"/>
          <w:sz w:val="22"/>
          <w:szCs w:val="22"/>
        </w:rPr>
        <w:lastRenderedPageBreak/>
        <w:t>Gill, P., and Warrington, C. (2020) ‘Exploitation of children by organised crime groups: Motivations, methods, and impacts’, Journal of Criminology, 56(2), pp. 225-245. Available at: https://journals.sagepub.com/doi/full/10.1177/0042098020902299 (Accessed: 19 January 2025).</w:t>
      </w:r>
    </w:p>
    <w:p w14:paraId="1A69F94A" w14:textId="77777777" w:rsidR="000F426C" w:rsidRPr="00C56908" w:rsidRDefault="000F426C" w:rsidP="000F426C">
      <w:pPr>
        <w:pStyle w:val="ListParagraph"/>
        <w:rPr>
          <w:rFonts w:ascii="Arial" w:hAnsi="Arial" w:cs="Arial"/>
          <w:sz w:val="22"/>
          <w:szCs w:val="22"/>
        </w:rPr>
      </w:pPr>
    </w:p>
    <w:p w14:paraId="18FB4CB0" w14:textId="77777777" w:rsidR="00657B9B" w:rsidRDefault="00657B9B" w:rsidP="00C56908">
      <w:pPr>
        <w:pStyle w:val="ListParagraph"/>
        <w:numPr>
          <w:ilvl w:val="0"/>
          <w:numId w:val="7"/>
        </w:numPr>
        <w:rPr>
          <w:rFonts w:ascii="Arial" w:hAnsi="Arial" w:cs="Arial"/>
          <w:sz w:val="22"/>
          <w:szCs w:val="22"/>
        </w:rPr>
      </w:pPr>
      <w:r w:rsidRPr="00C56908">
        <w:rPr>
          <w:rFonts w:ascii="Arial" w:hAnsi="Arial" w:cs="Arial"/>
          <w:sz w:val="22"/>
          <w:szCs w:val="22"/>
        </w:rPr>
        <w:t>His Majesty’s Inspectorate of Probation (2024) Children involved in urban street gangs. Available at: https://www.justiceinspectorates.gov.uk/hmiprobation/research/the-evidence-base-youth-offending-services/specific-sub-groups/children-involved-in-urban-street-gangs/ (Accessed: 19 January 2025).</w:t>
      </w:r>
    </w:p>
    <w:p w14:paraId="7062C2C5" w14:textId="77777777" w:rsidR="0087378C" w:rsidRPr="00C56908" w:rsidRDefault="0087378C" w:rsidP="0087378C">
      <w:pPr>
        <w:pStyle w:val="ListParagraph"/>
        <w:rPr>
          <w:rFonts w:ascii="Arial" w:hAnsi="Arial" w:cs="Arial"/>
          <w:sz w:val="22"/>
          <w:szCs w:val="22"/>
        </w:rPr>
      </w:pPr>
    </w:p>
    <w:p w14:paraId="349E7AA0" w14:textId="22CFA275" w:rsidR="0087378C" w:rsidRPr="0087378C" w:rsidRDefault="00657B9B" w:rsidP="0087378C">
      <w:pPr>
        <w:numPr>
          <w:ilvl w:val="0"/>
          <w:numId w:val="7"/>
        </w:numPr>
        <w:suppressAutoHyphens/>
        <w:spacing w:after="0" w:line="240" w:lineRule="auto"/>
        <w:contextualSpacing/>
        <w:rPr>
          <w:rFonts w:ascii="Arial" w:eastAsia="Times New Roman" w:hAnsi="Arial" w:cs="Arial"/>
          <w:kern w:val="0"/>
          <w:sz w:val="22"/>
          <w:szCs w:val="22"/>
          <w:lang w:eastAsia="en-GB"/>
          <w14:ligatures w14:val="none"/>
        </w:rPr>
      </w:pPr>
      <w:r w:rsidRPr="00073BC1">
        <w:rPr>
          <w:rFonts w:ascii="Arial" w:eastAsia="Times New Roman" w:hAnsi="Arial" w:cs="Arial"/>
          <w:kern w:val="0"/>
          <w:sz w:val="22"/>
          <w:szCs w:val="22"/>
          <w:lang w:eastAsia="en-GB"/>
          <w14:ligatures w14:val="none"/>
        </w:rPr>
        <w:t>Home Affairs Committee (2021) The Macpherson Report: Twenty-two years on. Available at: https://publications.parliament.uk/pa/cm5802/cmselect/cmhaff/139/13907.htm (Accessed: 17 January 2025).</w:t>
      </w:r>
    </w:p>
    <w:p w14:paraId="2D3064F9" w14:textId="77777777" w:rsidR="0087378C" w:rsidRPr="00073BC1" w:rsidRDefault="0087378C" w:rsidP="0087378C">
      <w:pPr>
        <w:suppressAutoHyphens/>
        <w:spacing w:after="0" w:line="240" w:lineRule="auto"/>
        <w:ind w:left="720"/>
        <w:contextualSpacing/>
        <w:rPr>
          <w:rFonts w:ascii="Arial" w:eastAsia="Times New Roman" w:hAnsi="Arial" w:cs="Arial"/>
          <w:kern w:val="0"/>
          <w:sz w:val="22"/>
          <w:szCs w:val="22"/>
          <w:lang w:eastAsia="en-GB"/>
          <w14:ligatures w14:val="none"/>
        </w:rPr>
      </w:pPr>
    </w:p>
    <w:p w14:paraId="25ADD492" w14:textId="4934612B" w:rsidR="0087378C" w:rsidRPr="0087378C" w:rsidRDefault="00657B9B" w:rsidP="0087378C">
      <w:pPr>
        <w:numPr>
          <w:ilvl w:val="0"/>
          <w:numId w:val="7"/>
        </w:numPr>
        <w:suppressAutoHyphens/>
        <w:spacing w:line="276" w:lineRule="auto"/>
        <w:contextualSpacing/>
        <w:rPr>
          <w:rFonts w:ascii="Arial" w:eastAsia="Aptos" w:hAnsi="Arial" w:cs="Arial"/>
          <w:sz w:val="22"/>
          <w:szCs w:val="22"/>
        </w:rPr>
      </w:pPr>
      <w:r w:rsidRPr="00073BC1">
        <w:rPr>
          <w:rFonts w:ascii="Arial" w:eastAsia="Aptos" w:hAnsi="Arial" w:cs="Arial"/>
          <w:sz w:val="22"/>
          <w:szCs w:val="22"/>
        </w:rPr>
        <w:t>Home Office (2023a) The impact of discrimination and misconduct in UK policing. London: Home Office. Available at: https://www.gov.uk/government/publications/impact-of-discrimination-and-misconduct-in-uk-policing (Accessed: 22 November 2024)</w:t>
      </w:r>
    </w:p>
    <w:p w14:paraId="72C90ABC" w14:textId="77777777" w:rsidR="0087378C" w:rsidRPr="00073BC1" w:rsidRDefault="0087378C" w:rsidP="0087378C">
      <w:pPr>
        <w:suppressAutoHyphens/>
        <w:spacing w:line="276" w:lineRule="auto"/>
        <w:ind w:left="720"/>
        <w:contextualSpacing/>
        <w:rPr>
          <w:rFonts w:ascii="Arial" w:eastAsia="Aptos" w:hAnsi="Arial" w:cs="Arial"/>
          <w:sz w:val="22"/>
          <w:szCs w:val="22"/>
        </w:rPr>
      </w:pPr>
    </w:p>
    <w:p w14:paraId="7D1AF08D" w14:textId="2E30A62D" w:rsidR="0087378C" w:rsidRPr="0087378C" w:rsidRDefault="00657B9B" w:rsidP="0087378C">
      <w:pPr>
        <w:numPr>
          <w:ilvl w:val="0"/>
          <w:numId w:val="7"/>
        </w:numPr>
        <w:suppressAutoHyphens/>
        <w:spacing w:line="276" w:lineRule="auto"/>
        <w:contextualSpacing/>
        <w:rPr>
          <w:rFonts w:ascii="Arial" w:eastAsia="Aptos" w:hAnsi="Arial" w:cs="Arial"/>
          <w:sz w:val="22"/>
          <w:szCs w:val="22"/>
        </w:rPr>
      </w:pPr>
      <w:r w:rsidRPr="00073BC1">
        <w:rPr>
          <w:rFonts w:ascii="Arial" w:eastAsia="Aptos" w:hAnsi="Arial" w:cs="Arial"/>
          <w:sz w:val="22"/>
          <w:szCs w:val="22"/>
        </w:rPr>
        <w:t>Home Office (2023b) Police workforce statistics, England and Wales: 31 March 2023. Available at: https://www.gov.uk/government/statistics/police-workforce-england-and-wales-31-march-2023 (Accessed: 17 January 2025).</w:t>
      </w:r>
    </w:p>
    <w:p w14:paraId="52B822C6" w14:textId="77777777" w:rsidR="0087378C" w:rsidRPr="00073BC1" w:rsidRDefault="0087378C" w:rsidP="0087378C">
      <w:pPr>
        <w:suppressAutoHyphens/>
        <w:spacing w:line="276" w:lineRule="auto"/>
        <w:ind w:left="720"/>
        <w:contextualSpacing/>
        <w:rPr>
          <w:rFonts w:ascii="Arial" w:eastAsia="Aptos" w:hAnsi="Arial" w:cs="Arial"/>
          <w:sz w:val="22"/>
          <w:szCs w:val="22"/>
        </w:rPr>
      </w:pPr>
    </w:p>
    <w:p w14:paraId="18D1DDD0" w14:textId="3601AB0D" w:rsidR="0087378C" w:rsidRPr="0087378C" w:rsidRDefault="00657B9B" w:rsidP="0087378C">
      <w:pPr>
        <w:pStyle w:val="ListParagraph"/>
        <w:numPr>
          <w:ilvl w:val="0"/>
          <w:numId w:val="7"/>
        </w:numPr>
        <w:rPr>
          <w:rFonts w:ascii="Arial" w:hAnsi="Arial" w:cs="Arial"/>
          <w:sz w:val="22"/>
          <w:szCs w:val="22"/>
        </w:rPr>
      </w:pPr>
      <w:r w:rsidRPr="00C56908">
        <w:rPr>
          <w:rFonts w:ascii="Arial" w:hAnsi="Arial" w:cs="Arial"/>
          <w:sz w:val="22"/>
          <w:szCs w:val="22"/>
        </w:rPr>
        <w:t xml:space="preserve">Home Office, Modern Slavery Research &amp; Analysis. (2024). National Referral Mechanism and Duty to Notify Statistics, 2014-2024. [data collection]. 14th Edition. UK Data Service. SN: 8910, DOI: </w:t>
      </w:r>
      <w:hyperlink r:id="rId5">
        <w:r w:rsidRPr="00C56908">
          <w:rPr>
            <w:rStyle w:val="Hyperlink"/>
            <w:rFonts w:ascii="Arial" w:hAnsi="Arial" w:cs="Arial"/>
            <w:sz w:val="22"/>
            <w:szCs w:val="22"/>
          </w:rPr>
          <w:t>http://doi.org/10.5255/UKDA-SN-8910-14</w:t>
        </w:r>
      </w:hyperlink>
    </w:p>
    <w:p w14:paraId="61F89751" w14:textId="77777777" w:rsidR="0087378C" w:rsidRPr="00C56908" w:rsidRDefault="0087378C" w:rsidP="0087378C">
      <w:pPr>
        <w:pStyle w:val="ListParagraph"/>
        <w:rPr>
          <w:rFonts w:ascii="Arial" w:hAnsi="Arial" w:cs="Arial"/>
          <w:sz w:val="22"/>
          <w:szCs w:val="22"/>
        </w:rPr>
      </w:pPr>
    </w:p>
    <w:p w14:paraId="25DD5480" w14:textId="6FBE4BF3" w:rsidR="0087378C" w:rsidRPr="0087378C" w:rsidRDefault="00657B9B" w:rsidP="0087378C">
      <w:pPr>
        <w:pStyle w:val="ListParagraph"/>
        <w:numPr>
          <w:ilvl w:val="0"/>
          <w:numId w:val="7"/>
        </w:numPr>
        <w:rPr>
          <w:rFonts w:ascii="Arial" w:hAnsi="Arial" w:cs="Arial"/>
          <w:sz w:val="22"/>
          <w:szCs w:val="22"/>
        </w:rPr>
      </w:pPr>
      <w:r w:rsidRPr="00654E29">
        <w:rPr>
          <w:rFonts w:ascii="Arial" w:hAnsi="Arial" w:cs="Arial"/>
          <w:sz w:val="22"/>
          <w:szCs w:val="22"/>
        </w:rPr>
        <w:t>House of Commons Library (2020) Early intervention: Policy and provision. Available at: https://commonslibrary.parliament.uk/research-briefings/cbp-7647/ (Accessed: 31 January 2025).</w:t>
      </w:r>
    </w:p>
    <w:p w14:paraId="599AE202" w14:textId="77777777" w:rsidR="0087378C" w:rsidRPr="00654E29" w:rsidRDefault="0087378C" w:rsidP="0087378C">
      <w:pPr>
        <w:pStyle w:val="ListParagraph"/>
        <w:rPr>
          <w:rFonts w:ascii="Arial" w:hAnsi="Arial" w:cs="Arial"/>
          <w:sz w:val="22"/>
          <w:szCs w:val="22"/>
        </w:rPr>
      </w:pPr>
    </w:p>
    <w:p w14:paraId="42AD9656" w14:textId="09F31C6B" w:rsidR="0087378C" w:rsidRPr="0087378C" w:rsidRDefault="00657B9B" w:rsidP="0087378C">
      <w:pPr>
        <w:numPr>
          <w:ilvl w:val="0"/>
          <w:numId w:val="7"/>
        </w:numPr>
        <w:suppressAutoHyphens/>
        <w:spacing w:line="240" w:lineRule="auto"/>
        <w:rPr>
          <w:rFonts w:ascii="Arial" w:eastAsia="Aptos" w:hAnsi="Arial" w:cs="Arial"/>
          <w:sz w:val="22"/>
          <w:szCs w:val="22"/>
        </w:rPr>
      </w:pPr>
      <w:r w:rsidRPr="00073BC1">
        <w:rPr>
          <w:rFonts w:ascii="Arial" w:eastAsia="Times New Roman" w:hAnsi="Arial" w:cs="Arial"/>
          <w:kern w:val="0"/>
          <w:sz w:val="22"/>
          <w:szCs w:val="22"/>
          <w:lang w:eastAsia="en-GB"/>
          <w14:ligatures w14:val="none"/>
        </w:rPr>
        <w:t>Independent Office for Police Conduct (2024) Race discrimination report. Available at: https://www.policeconduct.gov.uk/our-work/key-areas-of-work/race-discrimination (Accessed: 17 January 2025).</w:t>
      </w:r>
    </w:p>
    <w:p w14:paraId="7C9A3343" w14:textId="77777777" w:rsidR="0087378C" w:rsidRPr="00073BC1" w:rsidRDefault="0087378C" w:rsidP="0087378C">
      <w:pPr>
        <w:suppressAutoHyphens/>
        <w:spacing w:line="240" w:lineRule="auto"/>
        <w:ind w:left="720"/>
        <w:rPr>
          <w:rFonts w:ascii="Arial" w:eastAsia="Aptos" w:hAnsi="Arial" w:cs="Arial"/>
          <w:sz w:val="22"/>
          <w:szCs w:val="22"/>
        </w:rPr>
      </w:pPr>
    </w:p>
    <w:p w14:paraId="3B42A537" w14:textId="04727341" w:rsidR="0087378C" w:rsidRPr="0087378C" w:rsidRDefault="00657B9B" w:rsidP="0087378C">
      <w:pPr>
        <w:numPr>
          <w:ilvl w:val="0"/>
          <w:numId w:val="7"/>
        </w:numPr>
        <w:suppressAutoHyphens/>
        <w:spacing w:line="276" w:lineRule="auto"/>
        <w:contextualSpacing/>
        <w:rPr>
          <w:rFonts w:ascii="Arial" w:eastAsia="Aptos" w:hAnsi="Arial" w:cs="Arial"/>
          <w:sz w:val="22"/>
          <w:szCs w:val="22"/>
        </w:rPr>
      </w:pPr>
      <w:r w:rsidRPr="00073BC1">
        <w:rPr>
          <w:rFonts w:ascii="Arial" w:eastAsia="Aptos" w:hAnsi="Arial" w:cs="Arial"/>
          <w:sz w:val="22"/>
          <w:szCs w:val="22"/>
        </w:rPr>
        <w:t xml:space="preserve">INQUEST (2023) Black people seven times more likely to die after police restraint in Britain, figures show. Available at: https://www.inquest.org.uk/police-racism-report-2023? https://www.inquest.org.uk/police-racism-report-2023? (Accessed: 17 January 2025). </w:t>
      </w:r>
    </w:p>
    <w:p w14:paraId="6AEDAE3F" w14:textId="77777777" w:rsidR="0087378C" w:rsidRPr="00073BC1" w:rsidRDefault="0087378C" w:rsidP="0087378C">
      <w:pPr>
        <w:suppressAutoHyphens/>
        <w:spacing w:line="276" w:lineRule="auto"/>
        <w:ind w:left="720"/>
        <w:contextualSpacing/>
        <w:rPr>
          <w:rFonts w:ascii="Arial" w:eastAsia="Aptos" w:hAnsi="Arial" w:cs="Arial"/>
          <w:sz w:val="22"/>
          <w:szCs w:val="22"/>
        </w:rPr>
      </w:pPr>
    </w:p>
    <w:p w14:paraId="092203F8" w14:textId="6E8DE975" w:rsidR="0087378C" w:rsidRPr="0087378C" w:rsidRDefault="00657B9B" w:rsidP="0087378C">
      <w:pPr>
        <w:numPr>
          <w:ilvl w:val="0"/>
          <w:numId w:val="7"/>
        </w:numPr>
        <w:suppressAutoHyphens/>
        <w:spacing w:line="240" w:lineRule="auto"/>
        <w:rPr>
          <w:rFonts w:ascii="Arial" w:hAnsi="Arial" w:cs="Arial"/>
          <w:sz w:val="22"/>
          <w:szCs w:val="22"/>
        </w:rPr>
      </w:pPr>
      <w:r>
        <w:rPr>
          <w:rFonts w:ascii="Arial" w:hAnsi="Arial" w:cs="Arial"/>
          <w:sz w:val="22"/>
          <w:szCs w:val="22"/>
        </w:rPr>
        <w:t>Jones, P. (2022) 'The stress and demands of response policing in the UK: An analysis of daily challenges'. Journal of Policing and Public Safety, 34(2), pp. 112-126.</w:t>
      </w:r>
    </w:p>
    <w:p w14:paraId="10F459B4" w14:textId="77777777" w:rsidR="0087378C" w:rsidRPr="00124C2F" w:rsidRDefault="0087378C" w:rsidP="0087378C">
      <w:pPr>
        <w:suppressAutoHyphens/>
        <w:spacing w:line="240" w:lineRule="auto"/>
        <w:ind w:left="720"/>
        <w:rPr>
          <w:rFonts w:ascii="Arial" w:hAnsi="Arial" w:cs="Arial"/>
          <w:sz w:val="22"/>
          <w:szCs w:val="22"/>
        </w:rPr>
      </w:pPr>
    </w:p>
    <w:p w14:paraId="4FCEE061" w14:textId="1355F61B" w:rsidR="000F426C" w:rsidRPr="000F426C" w:rsidRDefault="00657B9B" w:rsidP="000F426C">
      <w:pPr>
        <w:pStyle w:val="ListParagraph"/>
        <w:numPr>
          <w:ilvl w:val="0"/>
          <w:numId w:val="7"/>
        </w:numPr>
        <w:suppressAutoHyphens/>
        <w:spacing w:line="276" w:lineRule="auto"/>
        <w:rPr>
          <w:rFonts w:ascii="Arial" w:hAnsi="Arial" w:cs="Arial"/>
          <w:sz w:val="22"/>
          <w:szCs w:val="22"/>
        </w:rPr>
      </w:pPr>
      <w:r>
        <w:rPr>
          <w:rFonts w:ascii="Arial" w:hAnsi="Arial" w:cs="Arial"/>
          <w:sz w:val="22"/>
          <w:szCs w:val="22"/>
        </w:rPr>
        <w:t>Krishnan, N., Steene, L.M.B., Lewis, M. et al. (2022) A Systematic Review of Risk Factors Implicated in the Suicide of Police Officers. J Police Crim Psych 37, 939–951. https://doi.org/10.1007/s11896-022-09539-1 (Accessed: 17 January 2025).</w:t>
      </w:r>
    </w:p>
    <w:p w14:paraId="4943F9B1" w14:textId="77777777" w:rsidR="000F426C" w:rsidRDefault="000F426C" w:rsidP="000F426C">
      <w:pPr>
        <w:pStyle w:val="ListParagraph"/>
        <w:suppressAutoHyphens/>
        <w:spacing w:line="276" w:lineRule="auto"/>
        <w:rPr>
          <w:rFonts w:ascii="Arial" w:hAnsi="Arial" w:cs="Arial"/>
          <w:sz w:val="22"/>
          <w:szCs w:val="22"/>
        </w:rPr>
      </w:pPr>
    </w:p>
    <w:p w14:paraId="70B3C088" w14:textId="77777777" w:rsidR="00657B9B" w:rsidRDefault="00657B9B" w:rsidP="00654E29">
      <w:pPr>
        <w:pStyle w:val="ListParagraph"/>
        <w:numPr>
          <w:ilvl w:val="0"/>
          <w:numId w:val="7"/>
        </w:numPr>
        <w:rPr>
          <w:rFonts w:ascii="Arial" w:hAnsi="Arial" w:cs="Arial"/>
          <w:sz w:val="22"/>
          <w:szCs w:val="22"/>
        </w:rPr>
      </w:pPr>
      <w:r w:rsidRPr="00654E29">
        <w:rPr>
          <w:rFonts w:ascii="Arial" w:hAnsi="Arial" w:cs="Arial"/>
          <w:sz w:val="22"/>
          <w:szCs w:val="22"/>
        </w:rPr>
        <w:t>Ministry of Justice (2019) Economic and social costs of reoffending. Available at: https://assets.publishing.service.gov.uk/media/5d1de7a4e5274a08d13a684e/economic-social-costs-reoffending.pdf (Accessed: 31 January 2025).</w:t>
      </w:r>
    </w:p>
    <w:p w14:paraId="64C10304" w14:textId="77777777" w:rsidR="0087378C" w:rsidRPr="00654E29" w:rsidRDefault="0087378C" w:rsidP="0087378C">
      <w:pPr>
        <w:pStyle w:val="ListParagraph"/>
        <w:rPr>
          <w:rFonts w:ascii="Arial" w:hAnsi="Arial" w:cs="Arial"/>
          <w:sz w:val="22"/>
          <w:szCs w:val="22"/>
        </w:rPr>
      </w:pPr>
    </w:p>
    <w:p w14:paraId="49922598" w14:textId="0D7BDAC5" w:rsidR="0087378C" w:rsidRPr="005B218E" w:rsidRDefault="00657B9B" w:rsidP="005B218E">
      <w:pPr>
        <w:pStyle w:val="ListParagraph"/>
        <w:numPr>
          <w:ilvl w:val="0"/>
          <w:numId w:val="7"/>
        </w:numPr>
        <w:rPr>
          <w:rFonts w:ascii="Arial" w:hAnsi="Arial" w:cs="Arial"/>
          <w:sz w:val="22"/>
          <w:szCs w:val="22"/>
        </w:rPr>
      </w:pPr>
      <w:r w:rsidRPr="00654E29">
        <w:rPr>
          <w:rFonts w:ascii="Arial" w:hAnsi="Arial" w:cs="Arial"/>
          <w:sz w:val="22"/>
          <w:szCs w:val="22"/>
        </w:rPr>
        <w:t>Ministry of Justice</w:t>
      </w:r>
      <w:r w:rsidR="0087378C">
        <w:rPr>
          <w:rFonts w:ascii="Arial" w:hAnsi="Arial" w:cs="Arial"/>
          <w:sz w:val="22"/>
          <w:szCs w:val="22"/>
        </w:rPr>
        <w:t xml:space="preserve"> (</w:t>
      </w:r>
      <w:r w:rsidRPr="00654E29">
        <w:rPr>
          <w:rFonts w:ascii="Arial" w:hAnsi="Arial" w:cs="Arial"/>
          <w:sz w:val="22"/>
          <w:szCs w:val="22"/>
        </w:rPr>
        <w:t>2023</w:t>
      </w:r>
      <w:r w:rsidR="0087378C">
        <w:rPr>
          <w:rFonts w:ascii="Arial" w:hAnsi="Arial" w:cs="Arial"/>
          <w:sz w:val="22"/>
          <w:szCs w:val="22"/>
        </w:rPr>
        <w:t>)</w:t>
      </w:r>
      <w:r w:rsidRPr="00654E29">
        <w:rPr>
          <w:rFonts w:ascii="Arial" w:hAnsi="Arial" w:cs="Arial"/>
          <w:sz w:val="22"/>
          <w:szCs w:val="22"/>
        </w:rPr>
        <w:t xml:space="preserve"> Youth Justice Statistics: 2022 to 2023 (accessible version). [online] GOV.UK. Available at: https://www.gov.uk/government/statistics/youth-justice-statistics-2022-to-2023 [Accessed 01 October 2024].</w:t>
      </w:r>
    </w:p>
    <w:p w14:paraId="47808223" w14:textId="77777777" w:rsidR="0087378C" w:rsidRPr="00654E29" w:rsidRDefault="0087378C" w:rsidP="0087378C">
      <w:pPr>
        <w:pStyle w:val="ListParagraph"/>
        <w:rPr>
          <w:rFonts w:ascii="Arial" w:hAnsi="Arial" w:cs="Arial"/>
          <w:sz w:val="22"/>
          <w:szCs w:val="22"/>
        </w:rPr>
      </w:pPr>
    </w:p>
    <w:p w14:paraId="08BFE5A4" w14:textId="03E5C91A" w:rsidR="0087378C" w:rsidRPr="0087378C" w:rsidRDefault="00657B9B" w:rsidP="0087378C">
      <w:pPr>
        <w:numPr>
          <w:ilvl w:val="0"/>
          <w:numId w:val="7"/>
        </w:numPr>
        <w:suppressAutoHyphens/>
        <w:spacing w:line="240" w:lineRule="auto"/>
        <w:rPr>
          <w:rFonts w:ascii="Arial" w:hAnsi="Arial" w:cs="Arial"/>
          <w:sz w:val="22"/>
          <w:szCs w:val="22"/>
        </w:rPr>
      </w:pPr>
      <w:r>
        <w:rPr>
          <w:rFonts w:ascii="Arial" w:hAnsi="Arial" w:cs="Arial"/>
          <w:sz w:val="22"/>
          <w:szCs w:val="22"/>
        </w:rPr>
        <w:t>National Police Federation (2023) Mental health support and prevention strategies for police officers. Available at: https://www.npffederation.org.uk/mental-health-support-police (Accessed: 22 November 2024).</w:t>
      </w:r>
    </w:p>
    <w:p w14:paraId="373F0C19" w14:textId="77777777" w:rsidR="0087378C" w:rsidRPr="00120221" w:rsidRDefault="0087378C" w:rsidP="0087378C">
      <w:pPr>
        <w:suppressAutoHyphens/>
        <w:spacing w:line="240" w:lineRule="auto"/>
        <w:ind w:left="720"/>
        <w:rPr>
          <w:rFonts w:ascii="Arial" w:hAnsi="Arial" w:cs="Arial"/>
          <w:sz w:val="22"/>
          <w:szCs w:val="22"/>
        </w:rPr>
      </w:pPr>
    </w:p>
    <w:p w14:paraId="2533EEC3" w14:textId="7D798AA4" w:rsidR="0087378C" w:rsidRPr="0087378C" w:rsidRDefault="00657B9B" w:rsidP="0087378C">
      <w:pPr>
        <w:numPr>
          <w:ilvl w:val="0"/>
          <w:numId w:val="7"/>
        </w:numPr>
        <w:suppressAutoHyphens/>
        <w:spacing w:line="240" w:lineRule="auto"/>
        <w:rPr>
          <w:rFonts w:ascii="Arial" w:hAnsi="Arial" w:cs="Arial"/>
          <w:sz w:val="22"/>
          <w:szCs w:val="22"/>
        </w:rPr>
      </w:pPr>
      <w:r>
        <w:rPr>
          <w:rFonts w:ascii="Arial" w:hAnsi="Arial" w:cs="Arial"/>
          <w:sz w:val="22"/>
          <w:szCs w:val="22"/>
        </w:rPr>
        <w:t>Office for National Statistics (ONS) (2019). Police officer deaths by suicide 2019 to 2023. Available at: https://www.ons.gov.uk/aboutus/transparencyandgovernance/freedomofinformationfoi/policeofficerdeathsbysuicide2019to2023 (Accessed: 29 January 2025).</w:t>
      </w:r>
    </w:p>
    <w:p w14:paraId="1166861E" w14:textId="77777777" w:rsidR="0087378C" w:rsidRDefault="0087378C" w:rsidP="0087378C">
      <w:pPr>
        <w:suppressAutoHyphens/>
        <w:spacing w:line="240" w:lineRule="auto"/>
        <w:ind w:left="720"/>
        <w:rPr>
          <w:rFonts w:ascii="Arial" w:hAnsi="Arial" w:cs="Arial"/>
          <w:sz w:val="22"/>
          <w:szCs w:val="22"/>
        </w:rPr>
      </w:pPr>
    </w:p>
    <w:p w14:paraId="711CB5EA" w14:textId="112FD66E" w:rsidR="0087378C" w:rsidRPr="0087378C" w:rsidRDefault="00657B9B" w:rsidP="0087378C">
      <w:pPr>
        <w:pStyle w:val="ListParagraph"/>
        <w:numPr>
          <w:ilvl w:val="0"/>
          <w:numId w:val="7"/>
        </w:numPr>
        <w:suppressAutoHyphens/>
        <w:spacing w:line="240" w:lineRule="auto"/>
        <w:rPr>
          <w:rFonts w:ascii="Arial" w:hAnsi="Arial" w:cs="Arial"/>
          <w:sz w:val="22"/>
          <w:szCs w:val="22"/>
        </w:rPr>
      </w:pPr>
      <w:r>
        <w:rPr>
          <w:rFonts w:ascii="Arial" w:hAnsi="Arial" w:cs="Arial"/>
          <w:sz w:val="22"/>
          <w:szCs w:val="22"/>
        </w:rPr>
        <w:t>Oscar Kilo (2019) About us: National Police Wellbeing Service. Available at: https://www.oscarkilo.org.uk/about-us (Accessed: 18 January 2025).</w:t>
      </w:r>
    </w:p>
    <w:p w14:paraId="3F9C7AB8" w14:textId="77777777" w:rsidR="0087378C" w:rsidRPr="00120221" w:rsidRDefault="0087378C" w:rsidP="0087378C">
      <w:pPr>
        <w:pStyle w:val="ListParagraph"/>
        <w:suppressAutoHyphens/>
        <w:spacing w:line="240" w:lineRule="auto"/>
        <w:rPr>
          <w:rFonts w:ascii="Arial" w:hAnsi="Arial" w:cs="Arial"/>
          <w:sz w:val="22"/>
          <w:szCs w:val="22"/>
        </w:rPr>
      </w:pPr>
    </w:p>
    <w:p w14:paraId="0117F6A7" w14:textId="087C9E90" w:rsidR="0087378C" w:rsidRPr="0087378C" w:rsidRDefault="00657B9B" w:rsidP="0087378C">
      <w:pPr>
        <w:pStyle w:val="ListParagraph"/>
        <w:numPr>
          <w:ilvl w:val="0"/>
          <w:numId w:val="7"/>
        </w:numPr>
        <w:rPr>
          <w:rFonts w:ascii="Arial" w:hAnsi="Arial" w:cs="Arial"/>
          <w:sz w:val="22"/>
          <w:szCs w:val="22"/>
        </w:rPr>
      </w:pPr>
      <w:r w:rsidRPr="00654E29">
        <w:rPr>
          <w:rFonts w:ascii="Arial" w:hAnsi="Arial" w:cs="Arial"/>
          <w:sz w:val="22"/>
          <w:szCs w:val="22"/>
        </w:rPr>
        <w:t>Parr, S. (2016) ‘The Troubled Families Programme: Learning about policy impact through qualitative research’, Sheffield Hallam University Research Archive. Available at: https://shura.shu.ac.uk/24636/ (Accessed: 22 December 2024).</w:t>
      </w:r>
    </w:p>
    <w:p w14:paraId="41840747" w14:textId="77777777" w:rsidR="0087378C" w:rsidRPr="00654E29" w:rsidRDefault="0087378C" w:rsidP="0087378C">
      <w:pPr>
        <w:pStyle w:val="ListParagraph"/>
        <w:rPr>
          <w:rFonts w:ascii="Arial" w:hAnsi="Arial" w:cs="Arial"/>
          <w:sz w:val="22"/>
          <w:szCs w:val="22"/>
        </w:rPr>
      </w:pPr>
    </w:p>
    <w:p w14:paraId="79155CA2" w14:textId="3C9E51BF" w:rsidR="0087378C" w:rsidRPr="0087378C" w:rsidRDefault="00657B9B" w:rsidP="0087378C">
      <w:pPr>
        <w:numPr>
          <w:ilvl w:val="0"/>
          <w:numId w:val="7"/>
        </w:numPr>
        <w:suppressAutoHyphens/>
        <w:spacing w:line="276" w:lineRule="auto"/>
        <w:contextualSpacing/>
        <w:rPr>
          <w:rFonts w:ascii="Arial" w:eastAsia="Aptos" w:hAnsi="Arial" w:cs="Arial"/>
          <w:sz w:val="22"/>
          <w:szCs w:val="22"/>
        </w:rPr>
      </w:pPr>
      <w:r w:rsidRPr="00073BC1">
        <w:rPr>
          <w:rFonts w:ascii="Arial" w:eastAsia="Aptos" w:hAnsi="Arial" w:cs="Arial"/>
          <w:sz w:val="22"/>
          <w:szCs w:val="22"/>
        </w:rPr>
        <w:t xml:space="preserve">Pickles, J. (2020). Policing hate and bridging communities: a qualitative evaluation of relations between LGBT+ people and the police within the </w:t>
      </w:r>
      <w:proofErr w:type="gramStart"/>
      <w:r w:rsidRPr="00073BC1">
        <w:rPr>
          <w:rFonts w:ascii="Arial" w:eastAsia="Aptos" w:hAnsi="Arial" w:cs="Arial"/>
          <w:sz w:val="22"/>
          <w:szCs w:val="22"/>
        </w:rPr>
        <w:t>North East</w:t>
      </w:r>
      <w:proofErr w:type="gramEnd"/>
      <w:r w:rsidRPr="00073BC1">
        <w:rPr>
          <w:rFonts w:ascii="Arial" w:eastAsia="Aptos" w:hAnsi="Arial" w:cs="Arial"/>
          <w:sz w:val="22"/>
          <w:szCs w:val="22"/>
        </w:rPr>
        <w:t xml:space="preserve"> of England. Policing &amp; Society, 30(7), 741–759. Retrieved from Taylor &amp; Francis Online: </w:t>
      </w:r>
      <w:hyperlink r:id="rId6" w:history="1">
        <w:r w:rsidRPr="00073BC1">
          <w:rPr>
            <w:rStyle w:val="Hyperlink"/>
            <w:rFonts w:ascii="Arial" w:eastAsia="Aptos" w:hAnsi="Arial" w:cs="Arial"/>
            <w:sz w:val="22"/>
            <w:szCs w:val="22"/>
          </w:rPr>
          <w:t>https://doi.org/10.1080/10439463.2019.1588269</w:t>
        </w:r>
      </w:hyperlink>
    </w:p>
    <w:p w14:paraId="1AA9A46B" w14:textId="77777777" w:rsidR="0087378C" w:rsidRDefault="0087378C" w:rsidP="0087378C">
      <w:pPr>
        <w:suppressAutoHyphens/>
        <w:spacing w:line="276" w:lineRule="auto"/>
        <w:ind w:left="720"/>
        <w:contextualSpacing/>
        <w:rPr>
          <w:rFonts w:ascii="Arial" w:eastAsia="Aptos" w:hAnsi="Arial" w:cs="Arial"/>
          <w:sz w:val="22"/>
          <w:szCs w:val="22"/>
        </w:rPr>
      </w:pPr>
    </w:p>
    <w:p w14:paraId="5CEA1F4F" w14:textId="226143A4" w:rsidR="0087378C" w:rsidRPr="0087378C" w:rsidRDefault="00657B9B" w:rsidP="0087378C">
      <w:pPr>
        <w:pStyle w:val="ListParagraph"/>
        <w:numPr>
          <w:ilvl w:val="0"/>
          <w:numId w:val="7"/>
        </w:numPr>
        <w:suppressAutoHyphens/>
        <w:spacing w:line="276" w:lineRule="auto"/>
        <w:rPr>
          <w:rFonts w:ascii="Arial" w:hAnsi="Arial" w:cs="Arial"/>
          <w:sz w:val="22"/>
          <w:szCs w:val="22"/>
        </w:rPr>
      </w:pPr>
      <w:r>
        <w:rPr>
          <w:rFonts w:ascii="Arial" w:hAnsi="Arial" w:cs="Arial"/>
          <w:sz w:val="22"/>
          <w:szCs w:val="22"/>
        </w:rPr>
        <w:t xml:space="preserve">Queirós, C., Passos, F., </w:t>
      </w:r>
      <w:proofErr w:type="spellStart"/>
      <w:r>
        <w:rPr>
          <w:rFonts w:ascii="Arial" w:hAnsi="Arial" w:cs="Arial"/>
          <w:sz w:val="22"/>
          <w:szCs w:val="22"/>
        </w:rPr>
        <w:t>Bártolo</w:t>
      </w:r>
      <w:proofErr w:type="spellEnd"/>
      <w:r>
        <w:rPr>
          <w:rFonts w:ascii="Arial" w:hAnsi="Arial" w:cs="Arial"/>
          <w:sz w:val="22"/>
          <w:szCs w:val="22"/>
        </w:rPr>
        <w:t xml:space="preserve">, A., Marques, A., Fernandes, R., &amp; Pereira, A. (2024). Assessment of the mental health of police officers: A systematic review of specific instruments. International Journal of Environmental Research and Public Health, 21(1), 1300. Available at: </w:t>
      </w:r>
      <w:hyperlink r:id="rId7" w:history="1">
        <w:r w:rsidR="0087378C" w:rsidRPr="000F7302">
          <w:rPr>
            <w:rStyle w:val="Hyperlink"/>
            <w:rFonts w:ascii="Arial" w:hAnsi="Arial" w:cs="Arial"/>
            <w:sz w:val="22"/>
            <w:szCs w:val="22"/>
          </w:rPr>
          <w:t>https://www.mdpi.com/&amp;#8203;:contentReference[oaicite:0]{index=0}</w:t>
        </w:r>
      </w:hyperlink>
    </w:p>
    <w:p w14:paraId="091A7D8D" w14:textId="77777777" w:rsidR="0087378C" w:rsidRDefault="0087378C" w:rsidP="0087378C">
      <w:pPr>
        <w:pStyle w:val="ListParagraph"/>
        <w:suppressAutoHyphens/>
        <w:spacing w:line="276" w:lineRule="auto"/>
        <w:rPr>
          <w:rFonts w:ascii="Arial" w:hAnsi="Arial" w:cs="Arial"/>
          <w:sz w:val="22"/>
          <w:szCs w:val="22"/>
        </w:rPr>
      </w:pPr>
    </w:p>
    <w:p w14:paraId="2ED6F4F6" w14:textId="3C2510A5" w:rsidR="0087378C" w:rsidRPr="0087378C" w:rsidRDefault="00657B9B" w:rsidP="0087378C">
      <w:pPr>
        <w:pStyle w:val="ListParagraph"/>
        <w:numPr>
          <w:ilvl w:val="0"/>
          <w:numId w:val="7"/>
        </w:numPr>
        <w:rPr>
          <w:rFonts w:ascii="Arial" w:hAnsi="Arial" w:cs="Arial"/>
          <w:sz w:val="22"/>
          <w:szCs w:val="22"/>
        </w:rPr>
      </w:pPr>
      <w:r w:rsidRPr="00C56908">
        <w:rPr>
          <w:rFonts w:ascii="Arial" w:hAnsi="Arial" w:cs="Arial"/>
          <w:sz w:val="22"/>
          <w:szCs w:val="22"/>
        </w:rPr>
        <w:t xml:space="preserve">Ross, D.K., Smith, J.P., Williams, L.R. and Green, M.T. (2022) ‘Organized Crime Groups: A Systematic Review of Individual-Level Risk Factors Associated with Membership’, Journal of Criminology and Justice Studies, 45(2), pp. 120–140. </w:t>
      </w:r>
      <w:r w:rsidRPr="00C56908">
        <w:rPr>
          <w:rFonts w:ascii="Arial" w:hAnsi="Arial" w:cs="Arial"/>
          <w:sz w:val="22"/>
          <w:szCs w:val="22"/>
        </w:rPr>
        <w:lastRenderedPageBreak/>
        <w:t>Available at: https://pmc.ncbi.nlm.nih.gov/articles/PMC8833286 (Accessed: 1 February 2025).</w:t>
      </w:r>
    </w:p>
    <w:p w14:paraId="0C5B8A57" w14:textId="77777777" w:rsidR="0087378C" w:rsidRPr="00654E29" w:rsidRDefault="0087378C" w:rsidP="0087378C">
      <w:pPr>
        <w:pStyle w:val="ListParagraph"/>
        <w:rPr>
          <w:rFonts w:ascii="Arial" w:hAnsi="Arial" w:cs="Arial"/>
          <w:sz w:val="22"/>
          <w:szCs w:val="22"/>
        </w:rPr>
      </w:pPr>
    </w:p>
    <w:p w14:paraId="607D1E83" w14:textId="1110DF8E" w:rsidR="0087378C" w:rsidRPr="0087378C" w:rsidRDefault="00657B9B" w:rsidP="0087378C">
      <w:pPr>
        <w:numPr>
          <w:ilvl w:val="0"/>
          <w:numId w:val="7"/>
        </w:numPr>
        <w:suppressAutoHyphens/>
        <w:spacing w:line="276" w:lineRule="auto"/>
        <w:contextualSpacing/>
        <w:rPr>
          <w:rFonts w:ascii="Arial" w:eastAsia="Aptos" w:hAnsi="Arial" w:cs="Arial"/>
          <w:sz w:val="22"/>
          <w:szCs w:val="22"/>
        </w:rPr>
      </w:pPr>
      <w:r w:rsidRPr="00073BC1">
        <w:rPr>
          <w:rFonts w:ascii="Arial" w:eastAsia="Aptos" w:hAnsi="Arial" w:cs="Arial"/>
          <w:sz w:val="22"/>
          <w:szCs w:val="22"/>
        </w:rPr>
        <w:t>Sewell (2021) The Report of the Commission on Race and Ethnic Disparities. Available at: https://www.gov.uk/government/publications/the-report-of-the-commission-on-race-and-ethnic-disparities (Accessed: 19 January 2025).</w:t>
      </w:r>
    </w:p>
    <w:p w14:paraId="0DE68B5D" w14:textId="77777777" w:rsidR="0087378C" w:rsidRPr="00073BC1" w:rsidRDefault="0087378C" w:rsidP="0087378C">
      <w:pPr>
        <w:suppressAutoHyphens/>
        <w:spacing w:line="276" w:lineRule="auto"/>
        <w:ind w:left="720"/>
        <w:contextualSpacing/>
        <w:rPr>
          <w:rFonts w:ascii="Arial" w:eastAsia="Aptos" w:hAnsi="Arial" w:cs="Arial"/>
          <w:sz w:val="22"/>
          <w:szCs w:val="22"/>
        </w:rPr>
      </w:pPr>
    </w:p>
    <w:p w14:paraId="05FFC728" w14:textId="292434EE" w:rsidR="0087378C" w:rsidRPr="0087378C" w:rsidRDefault="00657B9B" w:rsidP="0087378C">
      <w:pPr>
        <w:pStyle w:val="ListParagraph"/>
        <w:numPr>
          <w:ilvl w:val="0"/>
          <w:numId w:val="7"/>
        </w:numPr>
        <w:rPr>
          <w:rFonts w:ascii="Arial" w:hAnsi="Arial" w:cs="Arial"/>
          <w:sz w:val="22"/>
          <w:szCs w:val="22"/>
        </w:rPr>
      </w:pPr>
      <w:r w:rsidRPr="00C56908">
        <w:rPr>
          <w:rFonts w:ascii="Arial" w:hAnsi="Arial" w:cs="Arial"/>
          <w:sz w:val="22"/>
          <w:szCs w:val="22"/>
        </w:rPr>
        <w:t>Smith, P., Williams, R., and Thompson, H. (2023) ‘Recruitment into organised criminal groups: A systematic review’, Crime and Society Journal, 45(2). Available at: https://www.researchgate.net/publication/367908939_Recruitment_into_organised_criminal_groups_A_systematic_review (Accessed: 19 January 2025).</w:t>
      </w:r>
    </w:p>
    <w:p w14:paraId="3D29C1E2" w14:textId="77777777" w:rsidR="0087378C" w:rsidRDefault="0087378C" w:rsidP="0087378C">
      <w:pPr>
        <w:pStyle w:val="ListParagraph"/>
        <w:rPr>
          <w:rFonts w:ascii="Arial" w:hAnsi="Arial" w:cs="Arial"/>
          <w:sz w:val="22"/>
          <w:szCs w:val="22"/>
        </w:rPr>
      </w:pPr>
    </w:p>
    <w:p w14:paraId="2593825B" w14:textId="0673EB98" w:rsidR="0087378C" w:rsidRPr="0087378C" w:rsidRDefault="00657B9B" w:rsidP="0087378C">
      <w:pPr>
        <w:pStyle w:val="ListParagraph"/>
        <w:numPr>
          <w:ilvl w:val="0"/>
          <w:numId w:val="7"/>
        </w:numPr>
        <w:rPr>
          <w:rFonts w:ascii="Arial" w:hAnsi="Arial" w:cs="Arial"/>
          <w:sz w:val="22"/>
          <w:szCs w:val="22"/>
        </w:rPr>
      </w:pPr>
      <w:r w:rsidRPr="00C56908">
        <w:rPr>
          <w:rFonts w:ascii="Arial" w:hAnsi="Arial" w:cs="Arial"/>
          <w:sz w:val="22"/>
          <w:szCs w:val="22"/>
        </w:rPr>
        <w:t>Spicer, J., Moyle, L., and Coomber, R. (2019) 'The variable and evolving nature of 'cuckooing' as a form of criminal exploitation in street level drug markets', Trends in Organized Crime, 23(3), pp. 301–323. Available at: https://link.springer.com/article/10.1007/s12117-019-09368-5 (Accessed: 18 January 2025).</w:t>
      </w:r>
    </w:p>
    <w:p w14:paraId="02522CF6" w14:textId="77777777" w:rsidR="0087378C" w:rsidRPr="00C56908" w:rsidRDefault="0087378C" w:rsidP="0087378C">
      <w:pPr>
        <w:pStyle w:val="ListParagraph"/>
        <w:rPr>
          <w:rFonts w:ascii="Arial" w:hAnsi="Arial" w:cs="Arial"/>
          <w:sz w:val="22"/>
          <w:szCs w:val="22"/>
        </w:rPr>
      </w:pPr>
    </w:p>
    <w:p w14:paraId="012C9239" w14:textId="502A5EF9" w:rsidR="0087378C" w:rsidRPr="0087378C" w:rsidRDefault="00657B9B" w:rsidP="0087378C">
      <w:pPr>
        <w:numPr>
          <w:ilvl w:val="0"/>
          <w:numId w:val="7"/>
        </w:numPr>
        <w:suppressAutoHyphens/>
        <w:spacing w:after="0" w:line="240" w:lineRule="auto"/>
        <w:contextualSpacing/>
        <w:rPr>
          <w:rFonts w:ascii="Arial" w:eastAsia="Times New Roman" w:hAnsi="Arial" w:cs="Arial"/>
          <w:kern w:val="0"/>
          <w:sz w:val="22"/>
          <w:szCs w:val="22"/>
          <w:lang w:eastAsia="en-GB"/>
          <w14:ligatures w14:val="none"/>
        </w:rPr>
      </w:pPr>
      <w:r w:rsidRPr="00073BC1">
        <w:rPr>
          <w:rFonts w:ascii="Arial" w:eastAsia="Times New Roman" w:hAnsi="Arial" w:cs="Arial"/>
          <w:kern w:val="0"/>
          <w:sz w:val="22"/>
          <w:szCs w:val="22"/>
          <w:lang w:eastAsia="en-GB"/>
          <w14:ligatures w14:val="none"/>
        </w:rPr>
        <w:t>Statista (2024a) Police stop and searches in England and Wales 2023/24, by ethnicity. Available at: https://www.statista.com/statistics/284677/police-stop-and-searches-in-england-and-wales-by-ethnicity/ (Accessed: 17 January 2025).</w:t>
      </w:r>
    </w:p>
    <w:p w14:paraId="33C0A953" w14:textId="77777777" w:rsidR="0087378C" w:rsidRPr="00073BC1" w:rsidRDefault="0087378C" w:rsidP="0087378C">
      <w:pPr>
        <w:suppressAutoHyphens/>
        <w:spacing w:after="0" w:line="240" w:lineRule="auto"/>
        <w:ind w:left="720"/>
        <w:contextualSpacing/>
        <w:rPr>
          <w:rFonts w:ascii="Arial" w:eastAsia="Times New Roman" w:hAnsi="Arial" w:cs="Arial"/>
          <w:kern w:val="0"/>
          <w:sz w:val="22"/>
          <w:szCs w:val="22"/>
          <w:lang w:eastAsia="en-GB"/>
          <w14:ligatures w14:val="none"/>
        </w:rPr>
      </w:pPr>
    </w:p>
    <w:p w14:paraId="07546A00" w14:textId="17B94D9F" w:rsidR="0087378C" w:rsidRPr="0087378C" w:rsidRDefault="00657B9B" w:rsidP="0087378C">
      <w:pPr>
        <w:numPr>
          <w:ilvl w:val="0"/>
          <w:numId w:val="7"/>
        </w:numPr>
        <w:suppressAutoHyphens/>
        <w:spacing w:after="0" w:line="240" w:lineRule="auto"/>
        <w:contextualSpacing/>
        <w:rPr>
          <w:rFonts w:ascii="Arial" w:eastAsia="Times New Roman" w:hAnsi="Arial" w:cs="Arial"/>
          <w:kern w:val="0"/>
          <w:sz w:val="22"/>
          <w:szCs w:val="22"/>
          <w:lang w:eastAsia="en-GB"/>
          <w14:ligatures w14:val="none"/>
        </w:rPr>
      </w:pPr>
      <w:r w:rsidRPr="00073BC1">
        <w:rPr>
          <w:rFonts w:ascii="Arial" w:eastAsia="Times New Roman" w:hAnsi="Arial" w:cs="Arial"/>
          <w:kern w:val="0"/>
          <w:sz w:val="22"/>
          <w:szCs w:val="22"/>
          <w:lang w:eastAsia="en-GB"/>
          <w14:ligatures w14:val="none"/>
        </w:rPr>
        <w:t xml:space="preserve">Statista (2024b) </w:t>
      </w:r>
      <w:r w:rsidRPr="00073BC1">
        <w:rPr>
          <w:rFonts w:ascii="Arial" w:eastAsia="Times New Roman" w:hAnsi="Arial" w:cs="Arial"/>
          <w:i/>
          <w:iCs/>
          <w:kern w:val="0"/>
          <w:sz w:val="22"/>
          <w:szCs w:val="22"/>
          <w:lang w:eastAsia="en-GB"/>
          <w14:ligatures w14:val="none"/>
        </w:rPr>
        <w:t>Police use of force rate England and Wales 2023, by ethnicity</w:t>
      </w:r>
      <w:r w:rsidRPr="00073BC1">
        <w:rPr>
          <w:rFonts w:ascii="Arial" w:eastAsia="Times New Roman" w:hAnsi="Arial" w:cs="Arial"/>
          <w:kern w:val="0"/>
          <w:sz w:val="22"/>
          <w:szCs w:val="22"/>
          <w:lang w:eastAsia="en-GB"/>
          <w14:ligatures w14:val="none"/>
        </w:rPr>
        <w:t>. Available at: https://www.statista.com/statistics/1230747/police-use-of-force-rate-england-and-wales-by-ethnicity/ (Accessed: 17 January 2025).</w:t>
      </w:r>
    </w:p>
    <w:p w14:paraId="4CC39C6A" w14:textId="77777777" w:rsidR="0087378C" w:rsidRPr="00073BC1" w:rsidRDefault="0087378C" w:rsidP="0087378C">
      <w:pPr>
        <w:suppressAutoHyphens/>
        <w:spacing w:after="0" w:line="240" w:lineRule="auto"/>
        <w:ind w:left="720"/>
        <w:contextualSpacing/>
        <w:rPr>
          <w:rFonts w:ascii="Arial" w:eastAsia="Times New Roman" w:hAnsi="Arial" w:cs="Arial"/>
          <w:kern w:val="0"/>
          <w:sz w:val="22"/>
          <w:szCs w:val="22"/>
          <w:lang w:eastAsia="en-GB"/>
          <w14:ligatures w14:val="none"/>
        </w:rPr>
      </w:pPr>
    </w:p>
    <w:p w14:paraId="2BC2D740" w14:textId="4C9ACD57" w:rsidR="0087378C" w:rsidRPr="0087378C" w:rsidRDefault="00657B9B" w:rsidP="0087378C">
      <w:pPr>
        <w:pStyle w:val="ListParagraph"/>
        <w:numPr>
          <w:ilvl w:val="0"/>
          <w:numId w:val="7"/>
        </w:numPr>
        <w:suppressAutoHyphens/>
        <w:spacing w:line="276" w:lineRule="auto"/>
        <w:rPr>
          <w:rFonts w:ascii="Arial" w:hAnsi="Arial" w:cs="Arial"/>
          <w:sz w:val="22"/>
          <w:szCs w:val="22"/>
        </w:rPr>
      </w:pPr>
      <w:r>
        <w:rPr>
          <w:rFonts w:ascii="Arial" w:hAnsi="Arial" w:cs="Arial"/>
          <w:sz w:val="22"/>
          <w:szCs w:val="22"/>
        </w:rPr>
        <w:t>University of Cambridge (2018) Policing: The Job &amp; The Life: Findings. Available at: https://www.cam.ac.uk/sites/www.cam.ac.uk/files/inner-images/thejobthelife_findings.pdf (Accessed: 19 January 2025).</w:t>
      </w:r>
    </w:p>
    <w:p w14:paraId="438DA369" w14:textId="77777777" w:rsidR="0087378C" w:rsidRPr="00124C2F" w:rsidRDefault="0087378C" w:rsidP="0087378C">
      <w:pPr>
        <w:pStyle w:val="ListParagraph"/>
        <w:suppressAutoHyphens/>
        <w:spacing w:line="276" w:lineRule="auto"/>
        <w:rPr>
          <w:rFonts w:ascii="Arial" w:hAnsi="Arial" w:cs="Arial"/>
          <w:sz w:val="22"/>
          <w:szCs w:val="22"/>
        </w:rPr>
      </w:pPr>
    </w:p>
    <w:p w14:paraId="383F23B3" w14:textId="77777777" w:rsidR="00657B9B" w:rsidRPr="00120221" w:rsidRDefault="00657B9B" w:rsidP="00120221">
      <w:pPr>
        <w:pStyle w:val="ListParagraph"/>
        <w:numPr>
          <w:ilvl w:val="0"/>
          <w:numId w:val="7"/>
        </w:numPr>
        <w:suppressAutoHyphens/>
        <w:spacing w:line="276" w:lineRule="auto"/>
        <w:rPr>
          <w:rFonts w:ascii="Arial" w:hAnsi="Arial" w:cs="Arial"/>
          <w:sz w:val="22"/>
          <w:szCs w:val="22"/>
        </w:rPr>
      </w:pPr>
      <w:r>
        <w:rPr>
          <w:rFonts w:ascii="Arial" w:hAnsi="Arial" w:cs="Arial"/>
          <w:sz w:val="22"/>
          <w:szCs w:val="22"/>
        </w:rPr>
        <w:t>University of Central Lancashire (2022) ‘Suicide risk factors in the police service: A review of systematic evidence’, Journal of Occupational Health and Safety, 41(3), pp. 260-271. Available at: https://clok.uclan.ac.uk/42818/10/s11896-022-09539-1.pdf (Accessed: 17 January 2025).</w:t>
      </w:r>
    </w:p>
    <w:sectPr w:rsidR="00657B9B" w:rsidRPr="001202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567CC"/>
    <w:multiLevelType w:val="multilevel"/>
    <w:tmpl w:val="6FB278F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14291E80"/>
    <w:multiLevelType w:val="hybridMultilevel"/>
    <w:tmpl w:val="ACA00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415AA"/>
    <w:multiLevelType w:val="hybridMultilevel"/>
    <w:tmpl w:val="C4E2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C42C1"/>
    <w:multiLevelType w:val="multilevel"/>
    <w:tmpl w:val="48D0C298"/>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15:restartNumberingAfterBreak="0">
    <w:nsid w:val="2F2D0229"/>
    <w:multiLevelType w:val="hybridMultilevel"/>
    <w:tmpl w:val="3A788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92551"/>
    <w:multiLevelType w:val="hybridMultilevel"/>
    <w:tmpl w:val="BF387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B7935"/>
    <w:multiLevelType w:val="hybridMultilevel"/>
    <w:tmpl w:val="6B7C1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FC6C90"/>
    <w:multiLevelType w:val="hybridMultilevel"/>
    <w:tmpl w:val="6248F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9713080">
    <w:abstractNumId w:val="7"/>
  </w:num>
  <w:num w:numId="2" w16cid:durableId="1161239797">
    <w:abstractNumId w:val="1"/>
  </w:num>
  <w:num w:numId="3" w16cid:durableId="1849712117">
    <w:abstractNumId w:val="5"/>
  </w:num>
  <w:num w:numId="4" w16cid:durableId="1386414387">
    <w:abstractNumId w:val="4"/>
  </w:num>
  <w:num w:numId="5" w16cid:durableId="114257578">
    <w:abstractNumId w:val="6"/>
  </w:num>
  <w:num w:numId="6" w16cid:durableId="1594432641">
    <w:abstractNumId w:val="2"/>
  </w:num>
  <w:num w:numId="7" w16cid:durableId="1317756401">
    <w:abstractNumId w:val="3"/>
  </w:num>
  <w:num w:numId="8" w16cid:durableId="1087582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ABD"/>
    <w:rsid w:val="00011931"/>
    <w:rsid w:val="00051EBC"/>
    <w:rsid w:val="00062C7C"/>
    <w:rsid w:val="00073BC1"/>
    <w:rsid w:val="00085B9D"/>
    <w:rsid w:val="00086A02"/>
    <w:rsid w:val="000E1444"/>
    <w:rsid w:val="000F426C"/>
    <w:rsid w:val="00120221"/>
    <w:rsid w:val="00124C2F"/>
    <w:rsid w:val="0015156D"/>
    <w:rsid w:val="00185FAE"/>
    <w:rsid w:val="001B7136"/>
    <w:rsid w:val="001E03A4"/>
    <w:rsid w:val="001E3267"/>
    <w:rsid w:val="0020227C"/>
    <w:rsid w:val="0025741C"/>
    <w:rsid w:val="002A6CDB"/>
    <w:rsid w:val="002D7BC9"/>
    <w:rsid w:val="003626FA"/>
    <w:rsid w:val="0036338F"/>
    <w:rsid w:val="00385B07"/>
    <w:rsid w:val="003D46D8"/>
    <w:rsid w:val="00416768"/>
    <w:rsid w:val="00455406"/>
    <w:rsid w:val="00502817"/>
    <w:rsid w:val="005624F3"/>
    <w:rsid w:val="00562C01"/>
    <w:rsid w:val="0059033D"/>
    <w:rsid w:val="005A0085"/>
    <w:rsid w:val="005B218E"/>
    <w:rsid w:val="005F0613"/>
    <w:rsid w:val="00654E29"/>
    <w:rsid w:val="00657ABD"/>
    <w:rsid w:val="00657B9B"/>
    <w:rsid w:val="00694A46"/>
    <w:rsid w:val="00712802"/>
    <w:rsid w:val="00745115"/>
    <w:rsid w:val="007870E7"/>
    <w:rsid w:val="007C1C69"/>
    <w:rsid w:val="007C426A"/>
    <w:rsid w:val="00820DFF"/>
    <w:rsid w:val="008510CB"/>
    <w:rsid w:val="0087378C"/>
    <w:rsid w:val="008B5201"/>
    <w:rsid w:val="008C5520"/>
    <w:rsid w:val="008D26E1"/>
    <w:rsid w:val="008D3ADB"/>
    <w:rsid w:val="008F25BF"/>
    <w:rsid w:val="0094614B"/>
    <w:rsid w:val="00990E7D"/>
    <w:rsid w:val="009A6B6C"/>
    <w:rsid w:val="009D0754"/>
    <w:rsid w:val="009D3A5B"/>
    <w:rsid w:val="00A05239"/>
    <w:rsid w:val="00A65F34"/>
    <w:rsid w:val="00AB4628"/>
    <w:rsid w:val="00AE7898"/>
    <w:rsid w:val="00B0064F"/>
    <w:rsid w:val="00B065FB"/>
    <w:rsid w:val="00B067FC"/>
    <w:rsid w:val="00B34CB6"/>
    <w:rsid w:val="00B35D45"/>
    <w:rsid w:val="00B457BC"/>
    <w:rsid w:val="00B73370"/>
    <w:rsid w:val="00B767DD"/>
    <w:rsid w:val="00B86568"/>
    <w:rsid w:val="00B90A41"/>
    <w:rsid w:val="00C258C4"/>
    <w:rsid w:val="00C34566"/>
    <w:rsid w:val="00C4364F"/>
    <w:rsid w:val="00C56908"/>
    <w:rsid w:val="00C86554"/>
    <w:rsid w:val="00E01412"/>
    <w:rsid w:val="00E259E7"/>
    <w:rsid w:val="00E46185"/>
    <w:rsid w:val="00E67148"/>
    <w:rsid w:val="00F07BB6"/>
    <w:rsid w:val="00F1052D"/>
    <w:rsid w:val="00F14FE8"/>
    <w:rsid w:val="00F2347D"/>
    <w:rsid w:val="00FB0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21C44"/>
  <w15:chartTrackingRefBased/>
  <w15:docId w15:val="{F42CE128-79AD-4893-B944-53613CA45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ABD"/>
    <w:rPr>
      <w:rFonts w:eastAsiaTheme="majorEastAsia" w:cstheme="majorBidi"/>
      <w:color w:val="272727" w:themeColor="text1" w:themeTint="D8"/>
    </w:rPr>
  </w:style>
  <w:style w:type="paragraph" w:styleId="Title">
    <w:name w:val="Title"/>
    <w:basedOn w:val="Normal"/>
    <w:next w:val="Normal"/>
    <w:link w:val="TitleChar"/>
    <w:uiPriority w:val="10"/>
    <w:qFormat/>
    <w:rsid w:val="00657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ABD"/>
    <w:pPr>
      <w:spacing w:before="160"/>
      <w:jc w:val="center"/>
    </w:pPr>
    <w:rPr>
      <w:i/>
      <w:iCs/>
      <w:color w:val="404040" w:themeColor="text1" w:themeTint="BF"/>
    </w:rPr>
  </w:style>
  <w:style w:type="character" w:customStyle="1" w:styleId="QuoteChar">
    <w:name w:val="Quote Char"/>
    <w:basedOn w:val="DefaultParagraphFont"/>
    <w:link w:val="Quote"/>
    <w:uiPriority w:val="29"/>
    <w:rsid w:val="00657ABD"/>
    <w:rPr>
      <w:i/>
      <w:iCs/>
      <w:color w:val="404040" w:themeColor="text1" w:themeTint="BF"/>
    </w:rPr>
  </w:style>
  <w:style w:type="paragraph" w:styleId="ListParagraph">
    <w:name w:val="List Paragraph"/>
    <w:basedOn w:val="Normal"/>
    <w:uiPriority w:val="34"/>
    <w:qFormat/>
    <w:rsid w:val="00657ABD"/>
    <w:pPr>
      <w:ind w:left="720"/>
      <w:contextualSpacing/>
    </w:pPr>
  </w:style>
  <w:style w:type="character" w:styleId="IntenseEmphasis">
    <w:name w:val="Intense Emphasis"/>
    <w:basedOn w:val="DefaultParagraphFont"/>
    <w:uiPriority w:val="21"/>
    <w:qFormat/>
    <w:rsid w:val="00657ABD"/>
    <w:rPr>
      <w:i/>
      <w:iCs/>
      <w:color w:val="0F4761" w:themeColor="accent1" w:themeShade="BF"/>
    </w:rPr>
  </w:style>
  <w:style w:type="paragraph" w:styleId="IntenseQuote">
    <w:name w:val="Intense Quote"/>
    <w:basedOn w:val="Normal"/>
    <w:next w:val="Normal"/>
    <w:link w:val="IntenseQuoteChar"/>
    <w:uiPriority w:val="30"/>
    <w:qFormat/>
    <w:rsid w:val="00657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ABD"/>
    <w:rPr>
      <w:i/>
      <w:iCs/>
      <w:color w:val="0F4761" w:themeColor="accent1" w:themeShade="BF"/>
    </w:rPr>
  </w:style>
  <w:style w:type="character" w:styleId="IntenseReference">
    <w:name w:val="Intense Reference"/>
    <w:basedOn w:val="DefaultParagraphFont"/>
    <w:uiPriority w:val="32"/>
    <w:qFormat/>
    <w:rsid w:val="00657ABD"/>
    <w:rPr>
      <w:b/>
      <w:bCs/>
      <w:smallCaps/>
      <w:color w:val="0F4761" w:themeColor="accent1" w:themeShade="BF"/>
      <w:spacing w:val="5"/>
    </w:rPr>
  </w:style>
  <w:style w:type="character" w:styleId="Hyperlink">
    <w:name w:val="Hyperlink"/>
    <w:basedOn w:val="DefaultParagraphFont"/>
    <w:uiPriority w:val="99"/>
    <w:unhideWhenUsed/>
    <w:rsid w:val="001B7136"/>
    <w:rPr>
      <w:color w:val="467886" w:themeColor="hyperlink"/>
      <w:u w:val="single"/>
    </w:rPr>
  </w:style>
  <w:style w:type="character" w:styleId="UnresolvedMention">
    <w:name w:val="Unresolved Mention"/>
    <w:basedOn w:val="DefaultParagraphFont"/>
    <w:uiPriority w:val="99"/>
    <w:semiHidden/>
    <w:unhideWhenUsed/>
    <w:rsid w:val="001B71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dpi.com/&amp;#8203;:contentReference[oaicite:0]{index=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0439463.2019.1588269" TargetMode="External"/><Relationship Id="rId5" Type="http://schemas.openxmlformats.org/officeDocument/2006/relationships/hyperlink" Target="http://doi.org/10.5255/UKDA-SN-8910-1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5825</Words>
  <Characters>33209</Characters>
  <Application>Microsoft Office Word</Application>
  <DocSecurity>0</DocSecurity>
  <Lines>276</Lines>
  <Paragraphs>77</Paragraphs>
  <ScaleCrop>false</ScaleCrop>
  <Company/>
  <LinksUpToDate>false</LinksUpToDate>
  <CharactersWithSpaces>38957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Martin</dc:creator>
  <cp:keywords/>
  <dc:description/>
  <cp:lastModifiedBy>David Martin</cp:lastModifiedBy>
  <cp:revision>2</cp:revision>
  <dcterms:created xsi:type="dcterms:W3CDTF">2025-02-03T19:41:00Z</dcterms:created>
  <dcterms:modified xsi:type="dcterms:W3CDTF">2025-02-03T19:41:00Z</dcterms:modified>
</cp:coreProperties>
</file>