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0499" w:rsidRPr="00C60499" w:rsidRDefault="00C60499" w:rsidP="00C60499">
      <w:pPr>
        <w:tabs>
          <w:tab w:val="left" w:pos="4057"/>
        </w:tabs>
        <w:spacing w:after="0" w:line="240" w:lineRule="auto"/>
        <w:rPr>
          <w:rFonts w:ascii="Arial" w:eastAsia="Calibri" w:hAnsi="Arial" w:cs="Arial"/>
          <w:sz w:val="20"/>
          <w:szCs w:val="20"/>
        </w:rPr>
      </w:pPr>
      <w:bookmarkStart w:id="0" w:name="_GoBack"/>
      <w:bookmarkEnd w:id="0"/>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jc w:val="center"/>
        <w:rPr>
          <w:rFonts w:ascii="Arial" w:eastAsia="Calibri" w:hAnsi="Arial" w:cs="Arial"/>
          <w:sz w:val="32"/>
          <w:szCs w:val="32"/>
        </w:rPr>
      </w:pPr>
      <w:r w:rsidRPr="00C60499">
        <w:rPr>
          <w:rFonts w:ascii="Arial" w:eastAsia="Calibri" w:hAnsi="Arial" w:cs="Arial"/>
          <w:sz w:val="32"/>
          <w:szCs w:val="32"/>
        </w:rPr>
        <w:t xml:space="preserve">PD01 A1 Task 2 </w:t>
      </w: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jc w:val="center"/>
        <w:rPr>
          <w:rFonts w:ascii="Arial" w:eastAsia="Calibri" w:hAnsi="Arial" w:cs="Arial"/>
          <w:sz w:val="32"/>
          <w:szCs w:val="32"/>
        </w:rPr>
      </w:pPr>
      <w:r w:rsidRPr="00C60499">
        <w:rPr>
          <w:rFonts w:ascii="Arial" w:eastAsia="Calibri" w:hAnsi="Arial" w:cs="Arial"/>
          <w:sz w:val="32"/>
          <w:szCs w:val="32"/>
        </w:rPr>
        <w:t>LOGISTIC TRADE-OFFS</w:t>
      </w: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jc w:val="center"/>
        <w:rPr>
          <w:rFonts w:ascii="Arial" w:eastAsia="Calibri" w:hAnsi="Arial" w:cs="Arial"/>
          <w:b/>
          <w:sz w:val="32"/>
          <w:szCs w:val="32"/>
        </w:rPr>
      </w:pPr>
    </w:p>
    <w:p w:rsidR="00C60499" w:rsidRPr="00C60499" w:rsidRDefault="00C60499" w:rsidP="00C60499">
      <w:pPr>
        <w:tabs>
          <w:tab w:val="left" w:pos="4057"/>
        </w:tabs>
        <w:spacing w:after="0" w:line="240" w:lineRule="auto"/>
        <w:jc w:val="center"/>
        <w:rPr>
          <w:rFonts w:ascii="Arial" w:eastAsia="Calibri" w:hAnsi="Arial" w:cs="Arial"/>
          <w:b/>
          <w:sz w:val="32"/>
          <w:szCs w:val="32"/>
        </w:rPr>
      </w:pPr>
    </w:p>
    <w:p w:rsidR="00C60499" w:rsidRPr="00C60499" w:rsidRDefault="00C60499" w:rsidP="00C60499">
      <w:pPr>
        <w:tabs>
          <w:tab w:val="left" w:pos="4057"/>
        </w:tabs>
        <w:spacing w:after="0" w:line="240" w:lineRule="auto"/>
        <w:jc w:val="center"/>
        <w:rPr>
          <w:rFonts w:ascii="Arial" w:eastAsia="Calibri" w:hAnsi="Arial" w:cs="Arial"/>
          <w:b/>
          <w:sz w:val="32"/>
          <w:szCs w:val="32"/>
        </w:rPr>
      </w:pPr>
    </w:p>
    <w:p w:rsidR="00C60499" w:rsidRPr="00C60499" w:rsidRDefault="00C60499" w:rsidP="00C60499">
      <w:pPr>
        <w:tabs>
          <w:tab w:val="left" w:pos="4057"/>
        </w:tabs>
        <w:spacing w:after="0" w:line="240" w:lineRule="auto"/>
        <w:jc w:val="center"/>
        <w:rPr>
          <w:rFonts w:ascii="Arial" w:eastAsia="Calibri" w:hAnsi="Arial" w:cs="Arial"/>
          <w:b/>
          <w:sz w:val="32"/>
          <w:szCs w:val="32"/>
        </w:rPr>
      </w:pP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jc w:val="center"/>
        <w:rPr>
          <w:rFonts w:ascii="Arial" w:eastAsia="Calibri" w:hAnsi="Arial" w:cs="Arial"/>
          <w:sz w:val="32"/>
          <w:szCs w:val="32"/>
        </w:rPr>
      </w:pPr>
    </w:p>
    <w:p w:rsidR="00C60499" w:rsidRPr="00C60499" w:rsidRDefault="00C60499" w:rsidP="00C60499">
      <w:pPr>
        <w:tabs>
          <w:tab w:val="left" w:pos="4057"/>
        </w:tabs>
        <w:spacing w:after="0" w:line="240" w:lineRule="auto"/>
        <w:rPr>
          <w:rFonts w:ascii="Arial" w:eastAsia="Calibri" w:hAnsi="Arial" w:cs="Arial"/>
          <w:sz w:val="28"/>
          <w:szCs w:val="28"/>
        </w:rPr>
      </w:pPr>
    </w:p>
    <w:p w:rsidR="00C60499" w:rsidRPr="00C60499" w:rsidRDefault="00C60499" w:rsidP="00C60499">
      <w:pPr>
        <w:tabs>
          <w:tab w:val="left" w:pos="4057"/>
        </w:tabs>
        <w:spacing w:after="0" w:line="240" w:lineRule="auto"/>
        <w:rPr>
          <w:rFonts w:ascii="Arial" w:eastAsia="Calibri" w:hAnsi="Arial" w:cs="Arial"/>
          <w:sz w:val="28"/>
          <w:szCs w:val="28"/>
        </w:rPr>
      </w:pPr>
    </w:p>
    <w:p w:rsidR="00C60499" w:rsidRPr="00C60499" w:rsidRDefault="00C60499" w:rsidP="00C60499">
      <w:pPr>
        <w:tabs>
          <w:tab w:val="left" w:pos="4057"/>
        </w:tabs>
        <w:spacing w:after="0" w:line="240" w:lineRule="auto"/>
        <w:rPr>
          <w:rFonts w:ascii="Arial" w:eastAsia="Calibri" w:hAnsi="Arial" w:cs="Arial"/>
          <w:sz w:val="28"/>
          <w:szCs w:val="28"/>
        </w:rPr>
      </w:pPr>
    </w:p>
    <w:p w:rsidR="00C60499" w:rsidRPr="00C60499" w:rsidRDefault="00C60499" w:rsidP="00C60499">
      <w:pPr>
        <w:tabs>
          <w:tab w:val="left" w:pos="4057"/>
        </w:tabs>
        <w:spacing w:after="0" w:line="240" w:lineRule="auto"/>
        <w:rPr>
          <w:rFonts w:ascii="Arial" w:eastAsia="Calibri" w:hAnsi="Arial" w:cs="Arial"/>
          <w:sz w:val="28"/>
          <w:szCs w:val="28"/>
        </w:rPr>
      </w:pPr>
      <w:r w:rsidRPr="00C60499">
        <w:rPr>
          <w:rFonts w:ascii="Arial" w:eastAsia="Calibri" w:hAnsi="Arial" w:cs="Arial"/>
          <w:sz w:val="28"/>
          <w:szCs w:val="28"/>
        </w:rPr>
        <w:t>Lecturer:       Mr Graham Orr</w:t>
      </w:r>
    </w:p>
    <w:p w:rsidR="00C60499" w:rsidRPr="00C60499" w:rsidRDefault="00C60499" w:rsidP="00C60499">
      <w:pPr>
        <w:tabs>
          <w:tab w:val="left" w:pos="4057"/>
        </w:tabs>
        <w:spacing w:after="0" w:line="240" w:lineRule="auto"/>
        <w:rPr>
          <w:rFonts w:ascii="Arial" w:eastAsia="Calibri" w:hAnsi="Arial" w:cs="Arial"/>
          <w:sz w:val="28"/>
          <w:szCs w:val="28"/>
        </w:rPr>
      </w:pPr>
      <w:r w:rsidRPr="00C60499">
        <w:rPr>
          <w:rFonts w:ascii="Arial" w:eastAsia="Calibri" w:hAnsi="Arial" w:cs="Arial"/>
          <w:sz w:val="28"/>
          <w:szCs w:val="28"/>
        </w:rPr>
        <w:t xml:space="preserve">Student:        Mr Nigel Millbank </w:t>
      </w:r>
    </w:p>
    <w:p w:rsidR="00C60499" w:rsidRPr="00C60499" w:rsidRDefault="00C60499" w:rsidP="00C60499">
      <w:pPr>
        <w:tabs>
          <w:tab w:val="left" w:pos="4057"/>
        </w:tabs>
        <w:spacing w:after="0" w:line="240" w:lineRule="auto"/>
        <w:rPr>
          <w:rFonts w:ascii="Arial" w:eastAsia="Calibri" w:hAnsi="Arial" w:cs="Arial"/>
          <w:sz w:val="28"/>
          <w:szCs w:val="28"/>
        </w:rPr>
      </w:pPr>
      <w:r w:rsidRPr="00C60499">
        <w:rPr>
          <w:rFonts w:ascii="Arial" w:eastAsia="Calibri" w:hAnsi="Arial" w:cs="Arial"/>
          <w:sz w:val="28"/>
          <w:szCs w:val="28"/>
        </w:rPr>
        <w:t>Student ID:   1712048</w:t>
      </w:r>
    </w:p>
    <w:p w:rsidR="00C60499" w:rsidRPr="00C60499" w:rsidRDefault="00C60499" w:rsidP="00C60499">
      <w:pPr>
        <w:tabs>
          <w:tab w:val="left" w:pos="4057"/>
        </w:tabs>
        <w:spacing w:after="0" w:line="240" w:lineRule="auto"/>
        <w:rPr>
          <w:rFonts w:ascii="Arial" w:eastAsia="Calibri" w:hAnsi="Arial" w:cs="Arial"/>
          <w:sz w:val="28"/>
          <w:szCs w:val="28"/>
        </w:rPr>
      </w:pPr>
    </w:p>
    <w:p w:rsidR="00C60499" w:rsidRPr="00C60499" w:rsidRDefault="00C60499" w:rsidP="00C60499">
      <w:pPr>
        <w:tabs>
          <w:tab w:val="left" w:pos="4057"/>
        </w:tabs>
        <w:spacing w:after="0" w:line="240" w:lineRule="auto"/>
        <w:rPr>
          <w:rFonts w:ascii="Arial" w:eastAsia="Calibri" w:hAnsi="Arial" w:cs="Arial"/>
          <w:sz w:val="28"/>
          <w:szCs w:val="28"/>
        </w:rPr>
      </w:pPr>
    </w:p>
    <w:p w:rsidR="00C60499" w:rsidRPr="00C60499" w:rsidRDefault="00C60499" w:rsidP="00C60499">
      <w:pPr>
        <w:tabs>
          <w:tab w:val="left" w:pos="4057"/>
        </w:tabs>
        <w:spacing w:after="0" w:line="240" w:lineRule="auto"/>
        <w:rPr>
          <w:rFonts w:ascii="Arial" w:eastAsia="Calibri" w:hAnsi="Arial" w:cs="Arial"/>
          <w:sz w:val="28"/>
          <w:szCs w:val="28"/>
        </w:rPr>
      </w:pPr>
    </w:p>
    <w:p w:rsidR="00C60499" w:rsidRPr="00C60499" w:rsidRDefault="00C60499" w:rsidP="00C60499">
      <w:pPr>
        <w:tabs>
          <w:tab w:val="left" w:pos="4057"/>
        </w:tabs>
        <w:spacing w:after="0" w:line="240" w:lineRule="auto"/>
        <w:rPr>
          <w:rFonts w:ascii="Arial" w:eastAsia="Calibri" w:hAnsi="Arial" w:cs="Arial"/>
          <w:sz w:val="28"/>
          <w:szCs w:val="28"/>
        </w:rPr>
      </w:pPr>
    </w:p>
    <w:p w:rsidR="00C60499" w:rsidRPr="00C60499" w:rsidRDefault="00C60499" w:rsidP="00C60499">
      <w:pPr>
        <w:spacing w:after="0" w:line="240" w:lineRule="auto"/>
        <w:rPr>
          <w:rFonts w:ascii="Arial" w:eastAsia="Calibri" w:hAnsi="Arial" w:cs="Arial"/>
          <w:b/>
          <w:sz w:val="20"/>
          <w:szCs w:val="20"/>
        </w:rPr>
      </w:pPr>
      <w:r w:rsidRPr="00C60499">
        <w:rPr>
          <w:rFonts w:ascii="Arial" w:eastAsia="Calibri" w:hAnsi="Arial" w:cs="Arial"/>
          <w:i/>
          <w:sz w:val="24"/>
          <w:szCs w:val="20"/>
        </w:rPr>
        <w:t>I declare that this assignment is all my own work and that I have acknowledged all materials used from the published or unpublished works of other people. All references have been duly cited.</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Calibri" w:eastAsia="Calibri" w:hAnsi="Calibri" w:cs="Times New Roman"/>
          <w:b/>
          <w:sz w:val="20"/>
          <w:szCs w:val="20"/>
        </w:rPr>
      </w:pPr>
      <w:r w:rsidRPr="00C60499">
        <w:rPr>
          <w:rFonts w:ascii="Arial" w:eastAsia="Calibri" w:hAnsi="Arial" w:cs="Arial"/>
          <w:b/>
          <w:sz w:val="24"/>
          <w:szCs w:val="24"/>
        </w:rPr>
        <w:t xml:space="preserve">Executive Summary </w:t>
      </w:r>
    </w:p>
    <w:p w:rsidR="00C60499" w:rsidRPr="00C60499" w:rsidRDefault="00C60499" w:rsidP="00C60499">
      <w:pPr>
        <w:tabs>
          <w:tab w:val="left" w:pos="4057"/>
        </w:tabs>
        <w:spacing w:after="0" w:line="240" w:lineRule="auto"/>
        <w:rPr>
          <w:rFonts w:ascii="Calibri" w:eastAsia="Calibri" w:hAnsi="Calibri" w:cs="Times New Roman"/>
          <w:sz w:val="24"/>
          <w:szCs w:val="24"/>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A Movement Controller within the British army is responsible for assisting in planning, preparation, documentation, coordination and control of military movements in support of operations and exercises.  They have good working knowledge of all forms of transport, both military and civilian.</w:t>
      </w: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Working in conjunction with elements of all services, other government departments, civilian and commercial officials.  Within the Ministry of Defence  (MOD) “Marketing Plan” the movement controller trades uses their existing logistics component</w:t>
      </w:r>
      <w:r w:rsidR="00904345">
        <w:rPr>
          <w:rFonts w:ascii="Arial" w:eastAsia="Calibri" w:hAnsi="Arial" w:cs="Arial"/>
          <w:sz w:val="20"/>
          <w:szCs w:val="20"/>
        </w:rPr>
        <w:t>s to achieve the MOD’s overall o</w:t>
      </w:r>
      <w:r w:rsidRPr="00C60499">
        <w:rPr>
          <w:rFonts w:ascii="Arial" w:eastAsia="Calibri" w:hAnsi="Arial" w:cs="Arial"/>
          <w:sz w:val="20"/>
          <w:szCs w:val="20"/>
        </w:rPr>
        <w:t xml:space="preserve">bjectives.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In recent years all expenditure with in the public sector has been tightly scrutinised this makes effective logistic planning and thinking a critical element to any success with in the MOD.  Working closely with both military and civilian assets allows for a competitive advantage to achieve its “corporate” objectives.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The MOD must comply with military regulations i.e. Joint Service Publications (JSP’s) Defence Instructional Notices (DINS) Defence codes of Practice(DcOP) these are all made up of European and international legislation they are constantly changing and updates regularly.  As well as military regulations the MOD must adhere strictly to civilian regulations for example gaining clearances for moving out of gauge material on civilian highways throughout the world.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Logistics trade-offs occur regularly occur when demand for transport is high.  For example, when units are deploying overseas on either operations and exercise there is times when Military assets cannot be used.  This can be down to either unserviceably or conflict of jobs.  When this happens, the task gets put out to civilian companies to bid for.  The considerations that need to be taken before giving the jobs are security, required delivery dates and most importantly price.  These are all factors that movements controllers must consider when applying logistic trade-offs to achieve the MOD’s objectives.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One of the principles of the military movements is the “full use of carrying capacity” this ties in to the environmentally efficient mindset of the movement control trade.  There as are also key considerations when planning any movements with in the MOD such as bio security, multi modal containerization and where possible the grouping of loads destined for the same location these have environmental impacts.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b/>
          <w:sz w:val="24"/>
          <w:szCs w:val="24"/>
        </w:rPr>
      </w:pPr>
      <w:r w:rsidRPr="00C60499">
        <w:rPr>
          <w:rFonts w:ascii="Arial" w:eastAsia="Calibri" w:hAnsi="Arial" w:cs="Arial"/>
          <w:b/>
          <w:sz w:val="24"/>
          <w:szCs w:val="24"/>
        </w:rPr>
        <w:t>Introduction</w:t>
      </w:r>
    </w:p>
    <w:p w:rsidR="00C60499" w:rsidRPr="00C60499" w:rsidRDefault="00C60499" w:rsidP="00C60499">
      <w:pPr>
        <w:spacing w:before="120" w:after="120" w:line="240" w:lineRule="auto"/>
        <w:jc w:val="both"/>
        <w:rPr>
          <w:rFonts w:ascii="Arial" w:eastAsia="Calibri" w:hAnsi="Arial" w:cs="Arial"/>
          <w:sz w:val="20"/>
          <w:szCs w:val="20"/>
        </w:rPr>
      </w:pPr>
      <w:r w:rsidRPr="00C60499">
        <w:rPr>
          <w:rFonts w:ascii="Arial" w:eastAsia="Calibri" w:hAnsi="Arial" w:cs="Arial"/>
          <w:sz w:val="20"/>
          <w:szCs w:val="20"/>
        </w:rPr>
        <w:t>This report is going consider the Movement Controller Trade within the Royal Logistics Corps’ of the British Army and the environmental, legal and technological requirements of existing arrangements and what trade-offs may arise if alternative methods of meeting customer demands were to be implemented.</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numPr>
          <w:ilvl w:val="0"/>
          <w:numId w:val="1"/>
        </w:numPr>
        <w:tabs>
          <w:tab w:val="left" w:pos="4057"/>
        </w:tabs>
        <w:spacing w:after="0" w:line="240" w:lineRule="auto"/>
        <w:contextualSpacing/>
        <w:rPr>
          <w:rFonts w:ascii="Arial" w:eastAsia="Calibri" w:hAnsi="Arial" w:cs="Arial"/>
          <w:b/>
          <w:sz w:val="24"/>
          <w:szCs w:val="24"/>
        </w:rPr>
      </w:pPr>
      <w:r w:rsidRPr="00C60499">
        <w:rPr>
          <w:rFonts w:ascii="Arial" w:eastAsia="Calibri" w:hAnsi="Arial" w:cs="Arial"/>
          <w:b/>
          <w:sz w:val="24"/>
          <w:szCs w:val="24"/>
        </w:rPr>
        <w:t>Market Orientation</w:t>
      </w:r>
    </w:p>
    <w:p w:rsidR="00C60499" w:rsidRPr="00C60499" w:rsidRDefault="00C60499" w:rsidP="00C60499">
      <w:pPr>
        <w:tabs>
          <w:tab w:val="left" w:pos="4057"/>
        </w:tabs>
        <w:spacing w:after="0" w:line="240" w:lineRule="auto"/>
        <w:rPr>
          <w:rFonts w:ascii="Arial" w:eastAsia="Calibri" w:hAnsi="Arial" w:cs="Arial"/>
          <w:sz w:val="24"/>
          <w:szCs w:val="24"/>
        </w:rPr>
      </w:pPr>
    </w:p>
    <w:p w:rsidR="00C60499" w:rsidRPr="00C60499" w:rsidRDefault="00C60499" w:rsidP="00C60499">
      <w:pPr>
        <w:tabs>
          <w:tab w:val="left" w:pos="4057"/>
        </w:tabs>
        <w:spacing w:after="0" w:line="240" w:lineRule="auto"/>
        <w:rPr>
          <w:rFonts w:ascii="Arial" w:eastAsia="Calibri" w:hAnsi="Arial" w:cs="Arial"/>
          <w:b/>
          <w:sz w:val="20"/>
          <w:szCs w:val="20"/>
        </w:rPr>
      </w:pPr>
      <w:r w:rsidRPr="00C60499">
        <w:rPr>
          <w:rFonts w:ascii="Arial" w:eastAsia="Calibri" w:hAnsi="Arial" w:cs="Arial"/>
          <w:b/>
          <w:sz w:val="20"/>
          <w:szCs w:val="20"/>
        </w:rPr>
        <w:t xml:space="preserve">1.1 Movement Control Trade Position and Role </w:t>
      </w:r>
    </w:p>
    <w:p w:rsidR="00C60499" w:rsidRPr="00C60499" w:rsidRDefault="00C60499" w:rsidP="00C60499">
      <w:pPr>
        <w:tabs>
          <w:tab w:val="left" w:pos="4057"/>
        </w:tabs>
        <w:spacing w:after="0" w:line="240" w:lineRule="auto"/>
        <w:rPr>
          <w:rFonts w:ascii="Arial" w:eastAsia="Calibri" w:hAnsi="Arial" w:cs="Arial"/>
          <w:sz w:val="24"/>
          <w:szCs w:val="24"/>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1.1.1     The role and position of a movement controller is to advise units and give specific advise on logistical and transport issues with in there set area of responsibility (AOR).  They are also to give advice to commanders at all levels on local and international transport law.</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1.1.2     The Army Movements trade work closely with not just internal MOD organisation such as the RAF and other trade groups within the Royal Logistics Corps but externally with civilian agencies.  As Fugate et al., (2008) states, ‘survival depends on acquiring intelligence from outside the organisation’ </w:t>
      </w: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Examples of commonly used civilian agencies are charter companies, shipping agents and sea and rail authorities. Intelligence gained from such external companies can be used to better provide customer (units) experience given by movement controllers by moulding and reengineering existing procedures this is relatable to what is stated in (Fugate et al., (2008)), ‘development and maintenance of collaborative relationships by interacting with external marketplace participants’</w:t>
      </w:r>
    </w:p>
    <w:p w:rsidR="00C60499" w:rsidRPr="00C60499" w:rsidRDefault="00C60499" w:rsidP="00C60499">
      <w:pPr>
        <w:numPr>
          <w:ilvl w:val="0"/>
          <w:numId w:val="1"/>
        </w:numPr>
        <w:tabs>
          <w:tab w:val="left" w:pos="4057"/>
        </w:tabs>
        <w:spacing w:after="0" w:line="240" w:lineRule="auto"/>
        <w:contextualSpacing/>
        <w:rPr>
          <w:rFonts w:ascii="Arial" w:eastAsia="Calibri" w:hAnsi="Arial" w:cs="Arial"/>
          <w:b/>
          <w:sz w:val="24"/>
          <w:szCs w:val="24"/>
        </w:rPr>
      </w:pPr>
      <w:r w:rsidRPr="00C60499">
        <w:rPr>
          <w:rFonts w:ascii="Arial" w:eastAsia="Calibri" w:hAnsi="Arial" w:cs="Arial"/>
          <w:b/>
          <w:sz w:val="24"/>
          <w:szCs w:val="24"/>
        </w:rPr>
        <w:lastRenderedPageBreak/>
        <w:t>Importance of an Appropriate Marketing Mix</w:t>
      </w:r>
    </w:p>
    <w:p w:rsidR="00C60499" w:rsidRPr="00C60499" w:rsidRDefault="00C60499" w:rsidP="00C60499">
      <w:pPr>
        <w:tabs>
          <w:tab w:val="left" w:pos="4057"/>
        </w:tabs>
        <w:spacing w:after="0" w:line="240" w:lineRule="auto"/>
        <w:rPr>
          <w:rFonts w:ascii="Arial" w:eastAsia="Calibri" w:hAnsi="Arial" w:cs="Arial"/>
          <w:sz w:val="24"/>
          <w:szCs w:val="24"/>
        </w:rPr>
      </w:pPr>
    </w:p>
    <w:p w:rsidR="00C60499" w:rsidRPr="00C60499" w:rsidRDefault="00C60499" w:rsidP="00C60499">
      <w:pPr>
        <w:numPr>
          <w:ilvl w:val="1"/>
          <w:numId w:val="1"/>
        </w:numPr>
        <w:tabs>
          <w:tab w:val="left" w:pos="4057"/>
        </w:tabs>
        <w:spacing w:after="0" w:line="240" w:lineRule="auto"/>
        <w:contextualSpacing/>
        <w:rPr>
          <w:rFonts w:ascii="Arial" w:eastAsia="Calibri" w:hAnsi="Arial" w:cs="Arial"/>
          <w:b/>
          <w:sz w:val="20"/>
          <w:szCs w:val="20"/>
        </w:rPr>
      </w:pPr>
      <w:r w:rsidRPr="00C60499">
        <w:rPr>
          <w:rFonts w:ascii="Arial" w:eastAsia="Calibri" w:hAnsi="Arial" w:cs="Arial"/>
          <w:b/>
          <w:sz w:val="20"/>
          <w:szCs w:val="20"/>
        </w:rPr>
        <w:t xml:space="preserve">Marketing Plan and the Logistics Components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2.1.1     The MOD’s marketing plan employs movement controllers to use their logistic components to reduce the cost of transport. This ultimately also saves the customer (Units) money. This is done by using an appropriate marketing mix.  As Murphy and Wood, (2013) states: ‘Logistic strategies can facilitate customer satisfaction by reducing cost of products’.</w:t>
      </w: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 </w:t>
      </w: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2.1.2      Movement controllers can be found strategically placed at all military transhipment points for example the Sea Mounting Centre (SMC) at Marchwood port in Southampton.  The price of all transport is negotiated with trade-offs between customer services and reduction in costs being applied. For example, boats have been known to make stops at unscheduled ports to pick up equipment as to save money on the road move elements of the travel. All the aforementioned shows that Movement control applies elements of the ‘</w:t>
      </w:r>
      <w:r w:rsidRPr="00C60499">
        <w:rPr>
          <w:rFonts w:ascii="Arial" w:eastAsia="Calibri" w:hAnsi="Arial" w:cs="Arial"/>
          <w:i/>
          <w:sz w:val="20"/>
          <w:szCs w:val="20"/>
        </w:rPr>
        <w:t>four Ps</w:t>
      </w:r>
      <w:r w:rsidRPr="00C60499">
        <w:rPr>
          <w:rFonts w:ascii="Arial" w:eastAsia="Calibri" w:hAnsi="Arial" w:cs="Arial"/>
          <w:sz w:val="20"/>
          <w:szCs w:val="20"/>
        </w:rPr>
        <w:t xml:space="preserve"> of marketing’ (Murphy and Wood, (2013)).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numPr>
          <w:ilvl w:val="0"/>
          <w:numId w:val="1"/>
        </w:numPr>
        <w:tabs>
          <w:tab w:val="left" w:pos="4057"/>
        </w:tabs>
        <w:spacing w:after="0" w:line="240" w:lineRule="auto"/>
        <w:contextualSpacing/>
        <w:rPr>
          <w:rFonts w:ascii="Arial" w:eastAsia="Calibri" w:hAnsi="Arial" w:cs="Arial"/>
          <w:b/>
          <w:sz w:val="24"/>
          <w:szCs w:val="24"/>
        </w:rPr>
      </w:pPr>
      <w:r w:rsidRPr="00C60499">
        <w:rPr>
          <w:rFonts w:ascii="Arial" w:eastAsia="Calibri" w:hAnsi="Arial" w:cs="Arial"/>
          <w:b/>
          <w:sz w:val="24"/>
          <w:szCs w:val="24"/>
        </w:rPr>
        <w:t>Supply, Demand and Price Principles</w:t>
      </w:r>
    </w:p>
    <w:p w:rsidR="00C60499" w:rsidRPr="00C60499" w:rsidRDefault="00C60499" w:rsidP="00C60499">
      <w:pPr>
        <w:tabs>
          <w:tab w:val="left" w:pos="4057"/>
        </w:tabs>
        <w:spacing w:after="0" w:line="240" w:lineRule="auto"/>
        <w:rPr>
          <w:rFonts w:ascii="Arial" w:eastAsia="Calibri" w:hAnsi="Arial" w:cs="Arial"/>
          <w:b/>
          <w:sz w:val="20"/>
          <w:szCs w:val="20"/>
        </w:rPr>
      </w:pPr>
    </w:p>
    <w:p w:rsidR="00C60499" w:rsidRPr="00C60499" w:rsidRDefault="00C60499" w:rsidP="00C60499">
      <w:pPr>
        <w:tabs>
          <w:tab w:val="left" w:pos="4057"/>
        </w:tabs>
        <w:spacing w:after="0" w:line="240" w:lineRule="auto"/>
        <w:rPr>
          <w:rFonts w:ascii="Arial" w:eastAsia="Calibri" w:hAnsi="Arial" w:cs="Arial"/>
          <w:b/>
          <w:sz w:val="20"/>
          <w:szCs w:val="20"/>
        </w:rPr>
      </w:pPr>
      <w:r w:rsidRPr="00C60499">
        <w:rPr>
          <w:rFonts w:ascii="Arial" w:eastAsia="Calibri" w:hAnsi="Arial" w:cs="Arial"/>
          <w:b/>
          <w:sz w:val="20"/>
          <w:szCs w:val="20"/>
        </w:rPr>
        <w:t>3.1 Effectiveness of Supply Arrangements to Meet Demand</w:t>
      </w:r>
    </w:p>
    <w:p w:rsidR="00C60499" w:rsidRPr="00C60499" w:rsidRDefault="00C60499" w:rsidP="00C60499">
      <w:pPr>
        <w:spacing w:after="0" w:line="240" w:lineRule="auto"/>
        <w:rPr>
          <w:rFonts w:ascii="Calibri" w:eastAsia="Calibri" w:hAnsi="Calibri" w:cs="Times New Roman"/>
          <w:sz w:val="24"/>
          <w:szCs w:val="24"/>
        </w:rPr>
      </w:pPr>
    </w:p>
    <w:p w:rsidR="00C60499" w:rsidRPr="00C60499" w:rsidRDefault="00C60499" w:rsidP="00C60499">
      <w:pPr>
        <w:spacing w:after="0" w:line="240" w:lineRule="auto"/>
        <w:rPr>
          <w:rFonts w:ascii="Arial" w:eastAsia="Calibri" w:hAnsi="Arial" w:cs="Arial"/>
          <w:sz w:val="20"/>
          <w:szCs w:val="20"/>
        </w:rPr>
      </w:pPr>
      <w:r w:rsidRPr="00C60499">
        <w:rPr>
          <w:rFonts w:ascii="Arial" w:eastAsia="Calibri" w:hAnsi="Arial" w:cs="Arial"/>
          <w:sz w:val="20"/>
          <w:szCs w:val="20"/>
        </w:rPr>
        <w:t xml:space="preserve">3.1.1     Unlike in the commercial world the military movement controller has to use different ways of allocation when the need for transport increase however the amount of transport stays the same.  The method used is a priority method using supply priority codes (SPC) .  This gives preference to tasking with operational effectiveness importance over exercises and routine taskings.  In the commercial world it would simply be a case of whoever pays the most would be the priority. </w:t>
      </w:r>
    </w:p>
    <w:p w:rsidR="00C60499" w:rsidRPr="00C60499" w:rsidRDefault="00C60499" w:rsidP="00C60499">
      <w:pPr>
        <w:spacing w:after="0" w:line="240" w:lineRule="auto"/>
        <w:rPr>
          <w:rFonts w:ascii="Arial" w:eastAsia="Calibri" w:hAnsi="Arial" w:cs="Arial"/>
          <w:sz w:val="20"/>
          <w:szCs w:val="20"/>
        </w:rPr>
      </w:pPr>
    </w:p>
    <w:p w:rsidR="00C60499" w:rsidRPr="00C60499" w:rsidRDefault="00C60499" w:rsidP="00C60499">
      <w:pPr>
        <w:spacing w:after="0" w:line="240" w:lineRule="auto"/>
        <w:rPr>
          <w:rFonts w:ascii="Arial" w:eastAsia="Calibri" w:hAnsi="Arial" w:cs="Arial"/>
          <w:sz w:val="20"/>
          <w:szCs w:val="20"/>
        </w:rPr>
      </w:pPr>
      <w:r w:rsidRPr="00C60499">
        <w:rPr>
          <w:rFonts w:ascii="Arial" w:eastAsia="Calibri" w:hAnsi="Arial" w:cs="Arial"/>
          <w:sz w:val="20"/>
          <w:szCs w:val="20"/>
        </w:rPr>
        <w:t>3.1.2     As Rushton et al., (2014) states: ‘once a suitable logistics strategy has been identified, it is essential to undertake the dual process of evaluating this strategy against the preferred business strategy and ensuring that due account has been taken of any practical considerations’. When Senior Movement Controllers are involved in the planning of transport they should consider the overall objectives of the MOD.  This will enable them to make a practical and realistic decision, for example giving considerations contingency plans that involve civilian contracted companies to meet demand, with the trade-off associated with cost when using external transport solutions.</w:t>
      </w:r>
    </w:p>
    <w:p w:rsidR="00C60499" w:rsidRPr="00C60499" w:rsidRDefault="00C60499" w:rsidP="00C60499">
      <w:pPr>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numPr>
          <w:ilvl w:val="0"/>
          <w:numId w:val="1"/>
        </w:numPr>
        <w:tabs>
          <w:tab w:val="left" w:pos="4057"/>
        </w:tabs>
        <w:spacing w:after="0" w:line="240" w:lineRule="auto"/>
        <w:contextualSpacing/>
        <w:rPr>
          <w:rFonts w:ascii="Arial" w:eastAsia="Calibri" w:hAnsi="Arial" w:cs="Arial"/>
          <w:b/>
          <w:sz w:val="24"/>
          <w:szCs w:val="24"/>
        </w:rPr>
      </w:pPr>
      <w:r w:rsidRPr="00C60499">
        <w:rPr>
          <w:rFonts w:ascii="Arial" w:eastAsia="Calibri" w:hAnsi="Arial" w:cs="Arial"/>
          <w:b/>
          <w:sz w:val="24"/>
          <w:szCs w:val="24"/>
        </w:rPr>
        <w:t xml:space="preserve">Contribution to Competitive Advantage from Effective Logistics Thinking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b/>
          <w:sz w:val="20"/>
          <w:szCs w:val="20"/>
        </w:rPr>
      </w:pPr>
      <w:r w:rsidRPr="00C60499">
        <w:rPr>
          <w:rFonts w:ascii="Arial" w:eastAsia="Calibri" w:hAnsi="Arial" w:cs="Arial"/>
          <w:b/>
          <w:sz w:val="20"/>
          <w:szCs w:val="20"/>
        </w:rPr>
        <w:t>4.1 Role of Existing Logistics Arrangements in Meeting Corporate Objectives</w:t>
      </w:r>
    </w:p>
    <w:p w:rsidR="00C60499" w:rsidRPr="00C60499" w:rsidRDefault="00C60499" w:rsidP="00C60499">
      <w:pPr>
        <w:tabs>
          <w:tab w:val="left" w:pos="4057"/>
        </w:tabs>
        <w:spacing w:after="0" w:line="240" w:lineRule="auto"/>
        <w:rPr>
          <w:rFonts w:ascii="Arial" w:eastAsia="Calibri" w:hAnsi="Arial" w:cs="Arial"/>
          <w:b/>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4.1.1 The Army and Royal Air force (RAF) both have different types of movements organisation.  They are in constant competition with each other for funding and resources.  However, there are robust logistical arrangements in place which allow them to cooperate to achieve the corporate goals sets by the MOD.  An example of this can be seen with all freight and passenger loaded to an RAF aircraft anywhere in the world has been pre-processed by a team of Army Movement controllers.  This is all in line with what is stated in (Christopher, (2004)  ‘Traditionally most organisations have viewed themselves as entities that exist independently from others and indeed need to compete with them in order to survive… However, such a philosophy can be self-defeating if it leads to an unwillingness to co-operate in order to compete’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  </w:t>
      </w:r>
    </w:p>
    <w:p w:rsidR="00271F0D" w:rsidRDefault="00271F0D" w:rsidP="00C60499">
      <w:pPr>
        <w:tabs>
          <w:tab w:val="left" w:pos="4057"/>
        </w:tabs>
        <w:spacing w:after="0" w:line="240" w:lineRule="auto"/>
        <w:ind w:left="360"/>
        <w:rPr>
          <w:rFonts w:ascii="Arial" w:eastAsia="Calibri" w:hAnsi="Arial" w:cs="Arial"/>
          <w:b/>
          <w:sz w:val="24"/>
          <w:szCs w:val="24"/>
        </w:rPr>
      </w:pPr>
    </w:p>
    <w:p w:rsidR="00271F0D" w:rsidRDefault="00271F0D" w:rsidP="00C60499">
      <w:pPr>
        <w:tabs>
          <w:tab w:val="left" w:pos="4057"/>
        </w:tabs>
        <w:spacing w:after="0" w:line="240" w:lineRule="auto"/>
        <w:ind w:left="360"/>
        <w:rPr>
          <w:rFonts w:ascii="Arial" w:eastAsia="Calibri" w:hAnsi="Arial" w:cs="Arial"/>
          <w:b/>
          <w:sz w:val="24"/>
          <w:szCs w:val="24"/>
        </w:rPr>
      </w:pPr>
    </w:p>
    <w:p w:rsidR="00271F0D" w:rsidRDefault="00271F0D" w:rsidP="00C60499">
      <w:pPr>
        <w:tabs>
          <w:tab w:val="left" w:pos="4057"/>
        </w:tabs>
        <w:spacing w:after="0" w:line="240" w:lineRule="auto"/>
        <w:ind w:left="360"/>
        <w:rPr>
          <w:rFonts w:ascii="Arial" w:eastAsia="Calibri" w:hAnsi="Arial" w:cs="Arial"/>
          <w:b/>
          <w:sz w:val="24"/>
          <w:szCs w:val="24"/>
        </w:rPr>
      </w:pPr>
    </w:p>
    <w:p w:rsidR="00271F0D" w:rsidRDefault="00271F0D" w:rsidP="00C60499">
      <w:pPr>
        <w:tabs>
          <w:tab w:val="left" w:pos="4057"/>
        </w:tabs>
        <w:spacing w:after="0" w:line="240" w:lineRule="auto"/>
        <w:ind w:left="360"/>
        <w:rPr>
          <w:rFonts w:ascii="Arial" w:eastAsia="Calibri" w:hAnsi="Arial" w:cs="Arial"/>
          <w:b/>
          <w:sz w:val="24"/>
          <w:szCs w:val="24"/>
        </w:rPr>
      </w:pPr>
    </w:p>
    <w:p w:rsidR="00C60499" w:rsidRPr="00C60499" w:rsidRDefault="00C60499" w:rsidP="00C60499">
      <w:pPr>
        <w:tabs>
          <w:tab w:val="left" w:pos="4057"/>
        </w:tabs>
        <w:spacing w:after="0" w:line="240" w:lineRule="auto"/>
        <w:ind w:left="360"/>
        <w:rPr>
          <w:rFonts w:ascii="Arial" w:eastAsia="Calibri" w:hAnsi="Arial" w:cs="Arial"/>
          <w:b/>
          <w:sz w:val="24"/>
          <w:szCs w:val="24"/>
        </w:rPr>
      </w:pPr>
      <w:r w:rsidRPr="00C60499">
        <w:rPr>
          <w:rFonts w:ascii="Arial" w:eastAsia="Calibri" w:hAnsi="Arial" w:cs="Arial"/>
          <w:b/>
          <w:sz w:val="24"/>
          <w:szCs w:val="24"/>
        </w:rPr>
        <w:lastRenderedPageBreak/>
        <w:t>5. Types and Mechanics of Trade-Offs in Logistics and Transport</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b/>
          <w:sz w:val="20"/>
          <w:szCs w:val="20"/>
        </w:rPr>
      </w:pPr>
      <w:r w:rsidRPr="00C60499">
        <w:rPr>
          <w:rFonts w:ascii="Arial" w:eastAsia="Calibri" w:hAnsi="Arial" w:cs="Arial"/>
          <w:b/>
          <w:sz w:val="20"/>
          <w:szCs w:val="20"/>
        </w:rPr>
        <w:t>5.1 Trade-Offs that will contribute to Corporate Objectives</w:t>
      </w:r>
    </w:p>
    <w:p w:rsidR="00C60499" w:rsidRPr="00C60499" w:rsidRDefault="00C60499" w:rsidP="00C60499">
      <w:pPr>
        <w:tabs>
          <w:tab w:val="left" w:pos="4057"/>
        </w:tabs>
        <w:spacing w:after="0" w:line="240" w:lineRule="auto"/>
        <w:rPr>
          <w:rFonts w:ascii="Arial" w:eastAsia="Calibri" w:hAnsi="Arial" w:cs="Arial"/>
          <w:b/>
          <w:sz w:val="20"/>
          <w:szCs w:val="20"/>
        </w:rPr>
      </w:pPr>
    </w:p>
    <w:p w:rsidR="00C60499" w:rsidRPr="00C60499" w:rsidRDefault="00C60499" w:rsidP="00C60499">
      <w:pPr>
        <w:tabs>
          <w:tab w:val="left" w:pos="4057"/>
        </w:tabs>
        <w:spacing w:after="0" w:line="240" w:lineRule="auto"/>
        <w:rPr>
          <w:rFonts w:ascii="Arial" w:eastAsia="Calibri" w:hAnsi="Arial" w:cs="Arial"/>
          <w:noProof/>
          <w:sz w:val="20"/>
          <w:szCs w:val="20"/>
        </w:rPr>
      </w:pPr>
      <w:r w:rsidRPr="00C60499">
        <w:rPr>
          <w:rFonts w:ascii="Arial" w:eastAsia="Calibri" w:hAnsi="Arial" w:cs="Arial"/>
          <w:sz w:val="20"/>
          <w:szCs w:val="20"/>
        </w:rPr>
        <w:t xml:space="preserve">5.1.1     Trade-offs associated with the Movement Control organisation’s choices of transport solutions relate to </w:t>
      </w:r>
      <w:r w:rsidRPr="00C60499">
        <w:rPr>
          <w:rFonts w:ascii="Arial" w:eastAsia="Calibri" w:hAnsi="Arial" w:cs="Arial"/>
          <w:noProof/>
          <w:sz w:val="20"/>
          <w:szCs w:val="20"/>
        </w:rPr>
        <w:t xml:space="preserve">Lammgård and Andersson’s findings, however with some key diffrences. ‘Price, transport time from door-to-door, time-precision and environmental efficency’ (Lammgård and Andersson, (2014)) are the typical trade-offs that underwrite routine movement of people and material, however the MOD must also consider the interests of public safety and national security. An example of this is the movment of classified matrial for example the armour on a main battle tank is classed as secret an can not be seen by anyone outside of the MOD. This is a key consideration when they are being transported and the need to maintain the secrecy is paramount with price being pushed further down the priortys </w:t>
      </w:r>
    </w:p>
    <w:p w:rsidR="00C60499" w:rsidRPr="00C60499" w:rsidRDefault="00C60499" w:rsidP="00C60499">
      <w:pPr>
        <w:tabs>
          <w:tab w:val="left" w:pos="4057"/>
        </w:tabs>
        <w:spacing w:after="0" w:line="240" w:lineRule="auto"/>
        <w:rPr>
          <w:rFonts w:ascii="Arial" w:eastAsia="Calibri" w:hAnsi="Arial" w:cs="Arial"/>
          <w:noProof/>
          <w:sz w:val="20"/>
          <w:szCs w:val="20"/>
        </w:rPr>
      </w:pPr>
      <w:r w:rsidRPr="00C60499">
        <w:rPr>
          <w:rFonts w:ascii="Arial" w:eastAsia="Calibri" w:hAnsi="Arial" w:cs="Arial"/>
          <w:noProof/>
          <w:sz w:val="20"/>
          <w:szCs w:val="20"/>
        </w:rPr>
        <w:t xml:space="preserve"> </w:t>
      </w:r>
    </w:p>
    <w:p w:rsidR="00C60499" w:rsidRPr="00C60499" w:rsidRDefault="00C60499" w:rsidP="00C60499">
      <w:pPr>
        <w:tabs>
          <w:tab w:val="left" w:pos="4057"/>
        </w:tabs>
        <w:spacing w:after="0" w:line="240" w:lineRule="auto"/>
        <w:rPr>
          <w:rFonts w:ascii="Arial" w:eastAsia="Calibri" w:hAnsi="Arial" w:cs="Arial"/>
          <w:noProof/>
          <w:sz w:val="20"/>
          <w:szCs w:val="20"/>
        </w:rPr>
      </w:pPr>
      <w:r w:rsidRPr="00C60499">
        <w:rPr>
          <w:rFonts w:ascii="Arial" w:eastAsia="Calibri" w:hAnsi="Arial" w:cs="Arial"/>
          <w:noProof/>
          <w:sz w:val="20"/>
          <w:szCs w:val="20"/>
        </w:rPr>
        <w:t>5.1.2   The MOD as an organisation is very environemntally concious, with full means of carrying capacity being a key principle if you are to have a succesful career as a Movement Controller.</w:t>
      </w: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noProof/>
          <w:sz w:val="20"/>
          <w:szCs w:val="20"/>
        </w:rPr>
        <w:t>A strategy the MOD employs to reduce trade-offs is local procurement when exercising abroad. This increases environmetal efficeincey, economy and transport time.</w:t>
      </w:r>
    </w:p>
    <w:p w:rsidR="00C60499" w:rsidRPr="00C60499" w:rsidRDefault="00C60499" w:rsidP="00C60499">
      <w:pPr>
        <w:tabs>
          <w:tab w:val="left" w:pos="4057"/>
        </w:tabs>
        <w:spacing w:after="0" w:line="240" w:lineRule="auto"/>
        <w:rPr>
          <w:rFonts w:ascii="Arial" w:eastAsia="Calibri" w:hAnsi="Arial" w:cs="Arial"/>
          <w:b/>
          <w:sz w:val="24"/>
          <w:szCs w:val="24"/>
        </w:rPr>
      </w:pPr>
    </w:p>
    <w:p w:rsidR="00C60499" w:rsidRPr="00C60499" w:rsidRDefault="00C60499" w:rsidP="00C60499">
      <w:pPr>
        <w:tabs>
          <w:tab w:val="left" w:pos="4057"/>
        </w:tabs>
        <w:spacing w:after="0" w:line="240" w:lineRule="auto"/>
        <w:rPr>
          <w:rFonts w:ascii="Arial" w:eastAsia="Calibri" w:hAnsi="Arial" w:cs="Arial"/>
          <w:b/>
          <w:sz w:val="24"/>
          <w:szCs w:val="24"/>
        </w:rPr>
      </w:pPr>
    </w:p>
    <w:p w:rsidR="00C60499" w:rsidRPr="00C60499" w:rsidRDefault="00C60499" w:rsidP="00C60499">
      <w:pPr>
        <w:tabs>
          <w:tab w:val="left" w:pos="4057"/>
        </w:tabs>
        <w:spacing w:after="0" w:line="240" w:lineRule="auto"/>
        <w:ind w:left="360"/>
        <w:rPr>
          <w:rFonts w:ascii="Arial" w:eastAsia="Calibri" w:hAnsi="Arial" w:cs="Arial"/>
          <w:b/>
          <w:sz w:val="24"/>
          <w:szCs w:val="24"/>
        </w:rPr>
      </w:pPr>
      <w:r w:rsidRPr="00C60499">
        <w:rPr>
          <w:rFonts w:ascii="Arial" w:eastAsia="Calibri" w:hAnsi="Arial" w:cs="Arial"/>
          <w:b/>
          <w:sz w:val="24"/>
          <w:szCs w:val="24"/>
        </w:rPr>
        <w:t>6. Impact of Local, National, EU and International Legislation on Logistics Operations</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b/>
          <w:sz w:val="20"/>
          <w:szCs w:val="20"/>
        </w:rPr>
      </w:pPr>
      <w:r w:rsidRPr="00C60499">
        <w:rPr>
          <w:rFonts w:ascii="Arial" w:eastAsia="Calibri" w:hAnsi="Arial" w:cs="Arial"/>
          <w:b/>
          <w:sz w:val="20"/>
          <w:szCs w:val="20"/>
        </w:rPr>
        <w:t>6.1 Management of Logistics Operations to ensure compliance with legal requirements</w:t>
      </w:r>
    </w:p>
    <w:p w:rsidR="00C60499" w:rsidRPr="00C60499" w:rsidRDefault="00C60499" w:rsidP="00C60499">
      <w:pPr>
        <w:tabs>
          <w:tab w:val="left" w:pos="4057"/>
        </w:tabs>
        <w:spacing w:after="0" w:line="240" w:lineRule="auto"/>
        <w:rPr>
          <w:rFonts w:ascii="Arial" w:eastAsia="Calibri" w:hAnsi="Arial" w:cs="Arial"/>
          <w:b/>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6.1.1   ‘Strategic and visionary declarations by the EU, which are supported by both current and impeding legislation, will affect those involved in logistics to a greater or lesser nature’ (Rushton et al., (2014))  This is no exception to the MOD, departments within the ministry produce Joint Service Publications (JSP’s) and Defence Instructional Notes (DIN’s).  These are all regulations that apply to all logistic operations carried out by the MOD or for the MOD.  Not only do the MOD comply with their own rule but they must adhere to international rule for example the International Maritime Dangerous Goods Code (IMDG).  Most of the JSP’s and DINs are made up of extracts from the international rules.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b/>
          <w:sz w:val="24"/>
          <w:szCs w:val="24"/>
        </w:rPr>
      </w:pPr>
      <w:r w:rsidRPr="00C60499">
        <w:rPr>
          <w:rFonts w:ascii="Arial" w:eastAsia="Calibri" w:hAnsi="Arial" w:cs="Arial"/>
          <w:sz w:val="20"/>
          <w:szCs w:val="20"/>
        </w:rPr>
        <w:t xml:space="preserve">       </w:t>
      </w:r>
      <w:r w:rsidRPr="00C60499">
        <w:rPr>
          <w:rFonts w:ascii="Arial" w:eastAsia="Calibri" w:hAnsi="Arial" w:cs="Arial"/>
          <w:b/>
          <w:sz w:val="24"/>
          <w:szCs w:val="24"/>
        </w:rPr>
        <w:t>7. Importance of Sustainability in logistics and Transport</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b/>
          <w:sz w:val="20"/>
          <w:szCs w:val="20"/>
        </w:rPr>
      </w:pPr>
      <w:r w:rsidRPr="00C60499">
        <w:rPr>
          <w:rFonts w:ascii="Arial" w:eastAsia="Calibri" w:hAnsi="Arial" w:cs="Arial"/>
          <w:b/>
          <w:sz w:val="20"/>
          <w:szCs w:val="20"/>
        </w:rPr>
        <w:t xml:space="preserve">7.1 Management of Logistics and Transport Operations to Minimise Impact on the Environment </w:t>
      </w:r>
    </w:p>
    <w:p w:rsidR="00C60499" w:rsidRPr="00C60499" w:rsidRDefault="00C60499" w:rsidP="00C60499">
      <w:pPr>
        <w:tabs>
          <w:tab w:val="left" w:pos="4057"/>
        </w:tabs>
        <w:spacing w:after="0" w:line="240" w:lineRule="auto"/>
        <w:rPr>
          <w:rFonts w:ascii="Arial" w:eastAsia="Calibri" w:hAnsi="Arial" w:cs="Arial"/>
          <w:b/>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7.1.1     ‘With respect to the environment, transportation is the most visible of aspect of supply chains’ (Dekker et al., (2012)).  Movement controllers always have sustainability and the environment at the forefront when planning any logistics and transport operation an example of this is where possible the exercising unit donate a lot of consumable items to host nations when exercising overseas this saves on the transport to get it back to the UK.  ‘Financial and social-environmental considerations’ (Dekker et al., (2012)) such as the choice of mode of transport for fresh food in the past we would ship all food in refrigerated containers which uses a lot of fuel. The recent trend is for the units to but all fresh food in the exercise area and which is a trade-off between cost and the environment.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7.1.2     Intermodal transport is regularly used within the MOD, typically in the form of containers. ‘One of the main inefficiencies in transport is the handling of the goods at transhipment points. The introduction of containers has significantly reduced this inefficiency’ (Dekker et al., (2012)). </w:t>
      </w: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In recent years the use of rail in the UK has shrunk, so much so that it hasn’t been done to carry MOD stores for over 10 years. This is changing with top management pushing for all exercises to have a Rail move incorporated to remove the need for long journeys by road thus saving on fuel. </w:t>
      </w:r>
    </w:p>
    <w:p w:rsidR="00C60499" w:rsidRPr="00C60499" w:rsidRDefault="00C60499" w:rsidP="00C60499">
      <w:pPr>
        <w:tabs>
          <w:tab w:val="left" w:pos="4057"/>
        </w:tabs>
        <w:spacing w:after="0" w:line="240" w:lineRule="auto"/>
        <w:rPr>
          <w:rFonts w:ascii="Calibri" w:eastAsia="Calibri" w:hAnsi="Calibri" w:cs="Times New Roman"/>
          <w:sz w:val="24"/>
          <w:szCs w:val="24"/>
        </w:rPr>
      </w:pPr>
    </w:p>
    <w:p w:rsidR="00C60499" w:rsidRPr="00C60499" w:rsidRDefault="00C60499" w:rsidP="00C60499">
      <w:pPr>
        <w:tabs>
          <w:tab w:val="left" w:pos="4057"/>
        </w:tabs>
        <w:spacing w:after="0" w:line="240" w:lineRule="auto"/>
        <w:rPr>
          <w:rFonts w:ascii="Calibri" w:eastAsia="Calibri" w:hAnsi="Calibri" w:cs="Times New Roman"/>
          <w:sz w:val="24"/>
          <w:szCs w:val="24"/>
        </w:rPr>
      </w:pPr>
    </w:p>
    <w:p w:rsidR="00C60499" w:rsidRPr="00C60499" w:rsidRDefault="00C60499" w:rsidP="00C60499">
      <w:pPr>
        <w:tabs>
          <w:tab w:val="left" w:pos="4057"/>
        </w:tabs>
        <w:spacing w:after="0" w:line="240" w:lineRule="auto"/>
        <w:rPr>
          <w:rFonts w:ascii="Arial" w:eastAsia="Calibri" w:hAnsi="Arial" w:cs="Arial"/>
          <w:b/>
          <w:sz w:val="24"/>
          <w:szCs w:val="24"/>
        </w:rPr>
      </w:pPr>
      <w:r w:rsidRPr="00C60499">
        <w:rPr>
          <w:rFonts w:ascii="Arial" w:eastAsia="Calibri" w:hAnsi="Arial" w:cs="Arial"/>
          <w:b/>
          <w:sz w:val="24"/>
          <w:szCs w:val="24"/>
        </w:rPr>
        <w:lastRenderedPageBreak/>
        <w:t>Conclusion</w:t>
      </w:r>
    </w:p>
    <w:p w:rsidR="00C60499" w:rsidRPr="00C60499" w:rsidRDefault="00C60499" w:rsidP="00C60499">
      <w:pPr>
        <w:tabs>
          <w:tab w:val="left" w:pos="4057"/>
        </w:tabs>
        <w:spacing w:after="0" w:line="240" w:lineRule="auto"/>
        <w:rPr>
          <w:rFonts w:ascii="Calibri" w:eastAsia="Calibri" w:hAnsi="Calibri" w:cs="Times New Roman"/>
          <w:sz w:val="24"/>
          <w:szCs w:val="24"/>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The direction and control of the use of all means of transport with the object of getting the right men and material to the right place and the right time in the right order in the right condition by the most economical means to the satisfaction of commanders at all levels. This is mission of movements for all Movements Controllers with in the British army.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Liaising with not only other MOD organisations but outside agencies sees Movement Controllers   achieve goals which would be impossible without logistics collaborations. Innovating current logistic components of the MOD’s Marketing plan to further achieve its overall objectives create more efficient business environment and improves the flow of transport.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All expenditure with in the public sector has been tightly scrutinised this makes effective logistic planning and thinking a critical element to any success with in the MOD. Supply arrangements such as the SPC (supply priority code) systems ensure that all movement in done occurring to priority ensuring the effectiveness of the supply chain.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r w:rsidRPr="00C60499">
        <w:rPr>
          <w:rFonts w:ascii="Arial" w:eastAsia="Calibri" w:hAnsi="Arial" w:cs="Arial"/>
          <w:sz w:val="20"/>
          <w:szCs w:val="20"/>
        </w:rPr>
        <w:t xml:space="preserve">Within the MOD unlike in the commercial world Trade-offs often occur as security and public expense are paramount.  This can be mitigated by applying one of the principles of military movements which is ‘full carrying capacity’ which is an example of effective logistic thinking. </w:t>
      </w: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tabs>
          <w:tab w:val="left" w:pos="4057"/>
        </w:tabs>
        <w:spacing w:after="0" w:line="240" w:lineRule="auto"/>
        <w:rPr>
          <w:rFonts w:ascii="Arial" w:eastAsia="Calibri" w:hAnsi="Arial" w:cs="Arial"/>
          <w:sz w:val="20"/>
          <w:szCs w:val="20"/>
        </w:rPr>
      </w:pPr>
    </w:p>
    <w:p w:rsidR="00271F0D" w:rsidRDefault="00271F0D" w:rsidP="00C60499">
      <w:pPr>
        <w:tabs>
          <w:tab w:val="left" w:pos="4057"/>
        </w:tabs>
        <w:spacing w:after="0" w:line="240" w:lineRule="auto"/>
        <w:rPr>
          <w:rFonts w:ascii="Arial" w:eastAsia="Calibri" w:hAnsi="Arial" w:cs="Arial"/>
          <w:b/>
          <w:sz w:val="24"/>
          <w:szCs w:val="24"/>
        </w:rPr>
      </w:pPr>
    </w:p>
    <w:p w:rsidR="00271F0D" w:rsidRDefault="00271F0D" w:rsidP="00C60499">
      <w:pPr>
        <w:tabs>
          <w:tab w:val="left" w:pos="4057"/>
        </w:tabs>
        <w:spacing w:after="0" w:line="240" w:lineRule="auto"/>
        <w:rPr>
          <w:rFonts w:ascii="Arial" w:eastAsia="Calibri" w:hAnsi="Arial" w:cs="Arial"/>
          <w:b/>
          <w:sz w:val="24"/>
          <w:szCs w:val="24"/>
        </w:rPr>
      </w:pPr>
    </w:p>
    <w:p w:rsidR="00C60499" w:rsidRPr="00C60499" w:rsidRDefault="00C60499" w:rsidP="00C60499">
      <w:pPr>
        <w:tabs>
          <w:tab w:val="left" w:pos="4057"/>
        </w:tabs>
        <w:spacing w:after="0" w:line="240" w:lineRule="auto"/>
        <w:rPr>
          <w:rFonts w:ascii="Arial" w:eastAsia="Calibri" w:hAnsi="Arial" w:cs="Arial"/>
          <w:b/>
          <w:sz w:val="24"/>
          <w:szCs w:val="24"/>
        </w:rPr>
      </w:pPr>
      <w:r w:rsidRPr="00C60499">
        <w:rPr>
          <w:rFonts w:ascii="Arial" w:eastAsia="Calibri" w:hAnsi="Arial" w:cs="Arial"/>
          <w:b/>
          <w:sz w:val="24"/>
          <w:szCs w:val="24"/>
        </w:rPr>
        <w:t>References</w:t>
      </w:r>
    </w:p>
    <w:p w:rsidR="00C60499" w:rsidRPr="00C60499" w:rsidRDefault="00C60499" w:rsidP="00C60499">
      <w:pPr>
        <w:tabs>
          <w:tab w:val="left" w:pos="4057"/>
        </w:tabs>
        <w:spacing w:after="0" w:line="240" w:lineRule="auto"/>
        <w:rPr>
          <w:rFonts w:ascii="Arial" w:eastAsia="Calibri" w:hAnsi="Arial" w:cs="Arial"/>
          <w:b/>
          <w:sz w:val="24"/>
          <w:szCs w:val="24"/>
        </w:rPr>
      </w:pPr>
    </w:p>
    <w:p w:rsidR="00C60499" w:rsidRPr="00C60499" w:rsidRDefault="00C60499" w:rsidP="00C60499">
      <w:pPr>
        <w:tabs>
          <w:tab w:val="left" w:pos="4057"/>
        </w:tabs>
        <w:spacing w:after="0" w:line="240" w:lineRule="auto"/>
        <w:rPr>
          <w:rFonts w:ascii="Arial" w:eastAsia="Calibri" w:hAnsi="Arial" w:cs="Arial"/>
          <w:sz w:val="20"/>
          <w:szCs w:val="20"/>
        </w:rPr>
      </w:pPr>
    </w:p>
    <w:p w:rsidR="00C60499" w:rsidRPr="00C60499" w:rsidRDefault="00C60499" w:rsidP="00C60499">
      <w:pPr>
        <w:autoSpaceDE w:val="0"/>
        <w:autoSpaceDN w:val="0"/>
        <w:adjustRightInd w:val="0"/>
        <w:spacing w:after="240" w:line="240" w:lineRule="atLeast"/>
        <w:ind w:left="720" w:hanging="720"/>
        <w:rPr>
          <w:rFonts w:ascii="Arial" w:eastAsia="Calibri" w:hAnsi="Arial" w:cs="Arial"/>
          <w:noProof/>
        </w:rPr>
      </w:pPr>
      <w:r w:rsidRPr="00C60499">
        <w:rPr>
          <w:rFonts w:ascii="Arial" w:eastAsia="Calibri" w:hAnsi="Arial" w:cs="Arial"/>
          <w:noProof/>
        </w:rPr>
        <w:t xml:space="preserve">Christopher, M.  (2004), </w:t>
      </w:r>
      <w:r w:rsidRPr="00C60499">
        <w:rPr>
          <w:rFonts w:ascii="Arial" w:eastAsia="Calibri" w:hAnsi="Arial" w:cs="Arial"/>
          <w:i/>
          <w:iCs/>
          <w:noProof/>
        </w:rPr>
        <w:t>Logistics and Supply Chain Management</w:t>
      </w:r>
      <w:r w:rsidRPr="00C60499">
        <w:rPr>
          <w:rFonts w:ascii="Arial" w:eastAsia="Calibri" w:hAnsi="Arial" w:cs="Arial"/>
          <w:noProof/>
        </w:rPr>
        <w:t>, online:Pearson Education MUA.</w:t>
      </w:r>
    </w:p>
    <w:p w:rsidR="00C60499" w:rsidRPr="00C60499" w:rsidRDefault="00C60499" w:rsidP="00C60499">
      <w:pPr>
        <w:autoSpaceDE w:val="0"/>
        <w:autoSpaceDN w:val="0"/>
        <w:adjustRightInd w:val="0"/>
        <w:spacing w:after="240" w:line="240" w:lineRule="atLeast"/>
        <w:ind w:left="720" w:hanging="720"/>
        <w:rPr>
          <w:rFonts w:ascii="Arial" w:eastAsia="Calibri" w:hAnsi="Arial" w:cs="Arial"/>
          <w:noProof/>
        </w:rPr>
      </w:pPr>
      <w:r w:rsidRPr="00C60499">
        <w:rPr>
          <w:rFonts w:ascii="Arial" w:eastAsia="Calibri" w:hAnsi="Arial" w:cs="Arial"/>
          <w:noProof/>
        </w:rPr>
        <w:t xml:space="preserve">Dekker, R, Bloemhof, J &amp; Mallidis, I(2012), 'Operations Research for green logistics – An overview of aspects, issues, contributions and challenges', </w:t>
      </w:r>
      <w:r w:rsidRPr="00C60499">
        <w:rPr>
          <w:rFonts w:ascii="Arial" w:eastAsia="Calibri" w:hAnsi="Arial" w:cs="Arial"/>
          <w:i/>
          <w:iCs/>
          <w:noProof/>
        </w:rPr>
        <w:t>European Journal of Operational Research Feature Clusters</w:t>
      </w:r>
      <w:r w:rsidRPr="00C60499">
        <w:rPr>
          <w:rFonts w:ascii="Arial" w:eastAsia="Calibri" w:hAnsi="Arial" w:cs="Arial"/>
          <w:noProof/>
        </w:rPr>
        <w:t>, vol. 219, no. 3, pp. 671-679.</w:t>
      </w:r>
    </w:p>
    <w:p w:rsidR="00C60499" w:rsidRPr="00C60499" w:rsidRDefault="00C60499" w:rsidP="00C60499">
      <w:pPr>
        <w:autoSpaceDE w:val="0"/>
        <w:autoSpaceDN w:val="0"/>
        <w:adjustRightInd w:val="0"/>
        <w:spacing w:after="240" w:line="240" w:lineRule="atLeast"/>
        <w:ind w:left="720" w:hanging="720"/>
        <w:rPr>
          <w:rFonts w:ascii="Arial" w:eastAsia="Calibri" w:hAnsi="Arial" w:cs="Arial"/>
          <w:noProof/>
        </w:rPr>
      </w:pPr>
      <w:r w:rsidRPr="00C60499">
        <w:rPr>
          <w:rFonts w:ascii="Arial" w:eastAsia="Calibri" w:hAnsi="Arial" w:cs="Arial"/>
          <w:noProof/>
        </w:rPr>
        <w:t xml:space="preserve">Frazelle, E.  (2002), </w:t>
      </w:r>
      <w:r w:rsidRPr="00C60499">
        <w:rPr>
          <w:rFonts w:ascii="Arial" w:eastAsia="Calibri" w:hAnsi="Arial" w:cs="Arial"/>
          <w:i/>
          <w:iCs/>
          <w:noProof/>
        </w:rPr>
        <w:t>Supply Chain Strategy:  The Logistics of Supply Chain Management</w:t>
      </w:r>
      <w:r w:rsidRPr="00C60499">
        <w:rPr>
          <w:rFonts w:ascii="Arial" w:eastAsia="Calibri" w:hAnsi="Arial" w:cs="Arial"/>
          <w:noProof/>
        </w:rPr>
        <w:t>, online:McGraw-Hill.</w:t>
      </w:r>
    </w:p>
    <w:p w:rsidR="00C60499" w:rsidRPr="00C60499" w:rsidRDefault="00C60499" w:rsidP="00C60499">
      <w:pPr>
        <w:autoSpaceDE w:val="0"/>
        <w:autoSpaceDN w:val="0"/>
        <w:adjustRightInd w:val="0"/>
        <w:spacing w:after="240" w:line="240" w:lineRule="atLeast"/>
        <w:ind w:left="720" w:hanging="720"/>
        <w:rPr>
          <w:rFonts w:ascii="Arial" w:eastAsia="Calibri" w:hAnsi="Arial" w:cs="Arial"/>
          <w:noProof/>
        </w:rPr>
      </w:pPr>
      <w:r w:rsidRPr="00C60499">
        <w:rPr>
          <w:rFonts w:ascii="Arial" w:eastAsia="Calibri" w:hAnsi="Arial" w:cs="Arial"/>
          <w:noProof/>
        </w:rPr>
        <w:t xml:space="preserve">Fugate, BS, Mentzer, JT &amp; Flint, DJ(2008), 'THE ROLE OF LOGISTICS IN MARKET ORIENTATION', </w:t>
      </w:r>
      <w:r w:rsidRPr="00C60499">
        <w:rPr>
          <w:rFonts w:ascii="Arial" w:eastAsia="Calibri" w:hAnsi="Arial" w:cs="Arial"/>
          <w:i/>
          <w:iCs/>
          <w:noProof/>
        </w:rPr>
        <w:t>Journal of Business Logistics</w:t>
      </w:r>
      <w:r w:rsidRPr="00C60499">
        <w:rPr>
          <w:rFonts w:ascii="Arial" w:eastAsia="Calibri" w:hAnsi="Arial" w:cs="Arial"/>
          <w:noProof/>
        </w:rPr>
        <w:t>, vol. 29, no. 2, pp. 1-26.</w:t>
      </w:r>
    </w:p>
    <w:p w:rsidR="00C60499" w:rsidRPr="00C60499" w:rsidRDefault="00C60499" w:rsidP="00C60499">
      <w:pPr>
        <w:autoSpaceDE w:val="0"/>
        <w:autoSpaceDN w:val="0"/>
        <w:adjustRightInd w:val="0"/>
        <w:spacing w:after="240" w:line="240" w:lineRule="atLeast"/>
        <w:ind w:left="720" w:hanging="720"/>
        <w:rPr>
          <w:rFonts w:ascii="Arial" w:eastAsia="Calibri" w:hAnsi="Arial" w:cs="Arial"/>
          <w:noProof/>
        </w:rPr>
      </w:pPr>
      <w:r w:rsidRPr="00C60499">
        <w:rPr>
          <w:rFonts w:ascii="Arial" w:eastAsia="Calibri" w:hAnsi="Arial" w:cs="Arial"/>
          <w:noProof/>
        </w:rPr>
        <w:t xml:space="preserve">Lammgård, C and Andersson, D(2014), 'Environmental considerations and trade-offs in purchasing of transportation services', </w:t>
      </w:r>
      <w:r w:rsidRPr="00C60499">
        <w:rPr>
          <w:rFonts w:ascii="Arial" w:eastAsia="Calibri" w:hAnsi="Arial" w:cs="Arial"/>
          <w:i/>
          <w:iCs/>
          <w:noProof/>
        </w:rPr>
        <w:t>Research in Transportation Business &amp; Management The Marketing of Transportation Services</w:t>
      </w:r>
      <w:r w:rsidRPr="00C60499">
        <w:rPr>
          <w:rFonts w:ascii="Arial" w:eastAsia="Calibri" w:hAnsi="Arial" w:cs="Arial"/>
          <w:noProof/>
        </w:rPr>
        <w:t>, vol. 10, pp. 45-52.</w:t>
      </w:r>
    </w:p>
    <w:p w:rsidR="00C60499" w:rsidRPr="00C60499" w:rsidRDefault="00C60499" w:rsidP="00C60499">
      <w:pPr>
        <w:autoSpaceDE w:val="0"/>
        <w:autoSpaceDN w:val="0"/>
        <w:adjustRightInd w:val="0"/>
        <w:spacing w:after="240" w:line="240" w:lineRule="atLeast"/>
        <w:ind w:left="720" w:hanging="720"/>
        <w:rPr>
          <w:rFonts w:ascii="Arial" w:eastAsia="Calibri" w:hAnsi="Arial" w:cs="Arial"/>
          <w:noProof/>
        </w:rPr>
      </w:pPr>
      <w:r w:rsidRPr="00C60499">
        <w:rPr>
          <w:rFonts w:ascii="Arial" w:eastAsia="Calibri" w:hAnsi="Arial" w:cs="Arial"/>
          <w:noProof/>
        </w:rPr>
        <w:t xml:space="preserve">Murphy, PR andWood, DF.  (2013), </w:t>
      </w:r>
      <w:r w:rsidRPr="00C60499">
        <w:rPr>
          <w:rFonts w:ascii="Arial" w:eastAsia="Calibri" w:hAnsi="Arial" w:cs="Arial"/>
          <w:i/>
          <w:iCs/>
          <w:noProof/>
        </w:rPr>
        <w:t>Contemporary Logistics Pearson New International Edition</w:t>
      </w:r>
      <w:r w:rsidRPr="00C60499">
        <w:rPr>
          <w:rFonts w:ascii="Arial" w:eastAsia="Calibri" w:hAnsi="Arial" w:cs="Arial"/>
          <w:noProof/>
        </w:rPr>
        <w:t>, Harlow:Pearson Education MUA.</w:t>
      </w:r>
    </w:p>
    <w:p w:rsidR="00C60499" w:rsidRPr="00C60499" w:rsidRDefault="00C60499" w:rsidP="00C60499">
      <w:pPr>
        <w:autoSpaceDE w:val="0"/>
        <w:autoSpaceDN w:val="0"/>
        <w:adjustRightInd w:val="0"/>
        <w:spacing w:after="240" w:line="240" w:lineRule="atLeast"/>
        <w:ind w:left="720" w:hanging="720"/>
        <w:rPr>
          <w:rFonts w:ascii="Arial" w:eastAsia="Calibri" w:hAnsi="Arial" w:cs="Arial"/>
          <w:noProof/>
        </w:rPr>
      </w:pPr>
      <w:r w:rsidRPr="00C60499">
        <w:rPr>
          <w:rFonts w:ascii="Arial" w:eastAsia="Calibri" w:hAnsi="Arial" w:cs="Arial"/>
          <w:noProof/>
        </w:rPr>
        <w:t xml:space="preserve">Rushton, A, Croucher, P &amp; Baker, P.  (2014), </w:t>
      </w:r>
      <w:r w:rsidRPr="00C60499">
        <w:rPr>
          <w:rFonts w:ascii="Arial" w:eastAsia="Calibri" w:hAnsi="Arial" w:cs="Arial"/>
          <w:i/>
          <w:iCs/>
          <w:noProof/>
        </w:rPr>
        <w:t>The Handbook of Logistics and Distribution Management 5th Edition</w:t>
      </w:r>
      <w:r w:rsidRPr="00C60499">
        <w:rPr>
          <w:rFonts w:ascii="Arial" w:eastAsia="Calibri" w:hAnsi="Arial" w:cs="Arial"/>
          <w:noProof/>
        </w:rPr>
        <w:t>, London:Kogan Page.</w:t>
      </w:r>
    </w:p>
    <w:p w:rsidR="00C60499" w:rsidRPr="00C60499" w:rsidRDefault="00C60499" w:rsidP="00C60499">
      <w:pPr>
        <w:autoSpaceDE w:val="0"/>
        <w:autoSpaceDN w:val="0"/>
        <w:adjustRightInd w:val="0"/>
        <w:spacing w:after="240" w:line="240" w:lineRule="atLeast"/>
        <w:ind w:left="720" w:hanging="720"/>
        <w:rPr>
          <w:rFonts w:ascii="Arial" w:eastAsia="Calibri" w:hAnsi="Arial" w:cs="Arial"/>
          <w:noProof/>
        </w:rPr>
      </w:pPr>
      <w:r w:rsidRPr="00C60499">
        <w:rPr>
          <w:rFonts w:ascii="Arial" w:eastAsia="Calibri" w:hAnsi="Arial" w:cs="Arial"/>
          <w:noProof/>
        </w:rPr>
        <w:t xml:space="preserve">Wolf, C and Seuring, S(2010), 'Environmental impacts as buying criteria for third party logistical services', </w:t>
      </w:r>
      <w:r w:rsidRPr="00C60499">
        <w:rPr>
          <w:rFonts w:ascii="Arial" w:eastAsia="Calibri" w:hAnsi="Arial" w:cs="Arial"/>
          <w:i/>
          <w:iCs/>
          <w:noProof/>
        </w:rPr>
        <w:t>International Journal of Physical Distribution &amp; Logistics Management</w:t>
      </w:r>
      <w:r w:rsidRPr="00C60499">
        <w:rPr>
          <w:rFonts w:ascii="Arial" w:eastAsia="Calibri" w:hAnsi="Arial" w:cs="Arial"/>
          <w:noProof/>
        </w:rPr>
        <w:t>, vol. 40, no. 1/2, pp. 84-102.</w:t>
      </w:r>
    </w:p>
    <w:p w:rsidR="00C60499" w:rsidRPr="00C60499" w:rsidRDefault="00C60499" w:rsidP="00C60499">
      <w:pPr>
        <w:spacing w:after="0" w:line="240" w:lineRule="auto"/>
        <w:rPr>
          <w:rFonts w:ascii="Calibri" w:eastAsia="Times New Roman" w:hAnsi="Calibri" w:cs="Times New Roman"/>
          <w:color w:val="000000"/>
          <w:sz w:val="24"/>
          <w:szCs w:val="20"/>
          <w:lang w:eastAsia="en-GB"/>
        </w:rPr>
      </w:pPr>
    </w:p>
    <w:p w:rsidR="00C60499" w:rsidRPr="00C60499" w:rsidRDefault="00C60499" w:rsidP="00C60499">
      <w:pPr>
        <w:spacing w:after="0" w:line="240" w:lineRule="auto"/>
        <w:rPr>
          <w:rFonts w:ascii="Calibri" w:eastAsia="Times New Roman" w:hAnsi="Calibri" w:cs="Times New Roman"/>
          <w:color w:val="000000"/>
          <w:sz w:val="24"/>
          <w:szCs w:val="20"/>
          <w:lang w:eastAsia="en-GB"/>
        </w:rPr>
      </w:pPr>
    </w:p>
    <w:p w:rsidR="00B6239E" w:rsidRDefault="00B6239E"/>
    <w:sectPr w:rsidR="00B6239E" w:rsidSect="00F3341D">
      <w:headerReference w:type="default" r:id="rId7"/>
      <w:footerReference w:type="default" r:id="rId8"/>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415E1C">
      <w:pPr>
        <w:spacing w:after="0" w:line="240" w:lineRule="auto"/>
      </w:pPr>
      <w:r>
        <w:separator/>
      </w:r>
    </w:p>
  </w:endnote>
  <w:endnote w:type="continuationSeparator" w:id="0">
    <w:p w:rsidR="00000000" w:rsidRDefault="00415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32F" w:rsidRPr="00C60499" w:rsidRDefault="00271F0D" w:rsidP="00AD6395">
    <w:pPr>
      <w:pStyle w:val="Footer"/>
      <w:jc w:val="center"/>
      <w:rPr>
        <w:color w:val="000000"/>
      </w:rPr>
    </w:pPr>
    <w:r w:rsidRPr="00C60499">
      <w:rPr>
        <w:rFonts w:ascii="Calibri Light" w:eastAsia="Times New Roman" w:hAnsi="Calibri Light" w:cs="Times New Roman"/>
        <w:color w:val="000000"/>
        <w:sz w:val="20"/>
        <w:szCs w:val="20"/>
      </w:rPr>
      <w:t xml:space="preserve"> </w:t>
    </w:r>
    <w:r w:rsidRPr="00C60499">
      <w:rPr>
        <w:rFonts w:eastAsia="Times New Roman"/>
        <w:color w:val="000000"/>
        <w:sz w:val="20"/>
        <w:szCs w:val="20"/>
      </w:rPr>
      <w:fldChar w:fldCharType="begin"/>
    </w:r>
    <w:r w:rsidRPr="00C60499">
      <w:rPr>
        <w:color w:val="000000"/>
        <w:sz w:val="20"/>
        <w:szCs w:val="20"/>
      </w:rPr>
      <w:instrText xml:space="preserve"> PAGE    \* MERGEFORMAT </w:instrText>
    </w:r>
    <w:r w:rsidRPr="00C60499">
      <w:rPr>
        <w:rFonts w:eastAsia="Times New Roman"/>
        <w:color w:val="000000"/>
        <w:sz w:val="20"/>
        <w:szCs w:val="20"/>
      </w:rPr>
      <w:fldChar w:fldCharType="separate"/>
    </w:r>
    <w:r w:rsidRPr="00271F0D">
      <w:rPr>
        <w:rFonts w:ascii="Calibri Light" w:eastAsia="Times New Roman" w:hAnsi="Calibri Light" w:cs="Times New Roman"/>
        <w:noProof/>
        <w:color w:val="000000"/>
        <w:sz w:val="20"/>
        <w:szCs w:val="20"/>
      </w:rPr>
      <w:t>6</w:t>
    </w:r>
    <w:r w:rsidRPr="00C60499">
      <w:rPr>
        <w:rFonts w:ascii="Calibri Light" w:eastAsia="Times New Roman" w:hAnsi="Calibri Light" w:cs="Times New Roman"/>
        <w:noProof/>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415E1C">
      <w:pPr>
        <w:spacing w:after="0" w:line="240" w:lineRule="auto"/>
      </w:pPr>
      <w:r>
        <w:separator/>
      </w:r>
    </w:p>
  </w:footnote>
  <w:footnote w:type="continuationSeparator" w:id="0">
    <w:p w:rsidR="00000000" w:rsidRDefault="00415E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32F" w:rsidRPr="00B07ACF" w:rsidRDefault="00271F0D" w:rsidP="00B07ACF">
    <w:pPr>
      <w:tabs>
        <w:tab w:val="left" w:pos="4057"/>
      </w:tabs>
      <w:rPr>
        <w:rFonts w:ascii="Arial" w:hAnsi="Arial" w:cs="Arial"/>
        <w:sz w:val="20"/>
        <w:szCs w:val="20"/>
      </w:rPr>
    </w:pPr>
    <w:r>
      <w:rPr>
        <w:rFonts w:ascii="Arial" w:hAnsi="Arial" w:cs="Arial"/>
        <w:sz w:val="20"/>
        <w:szCs w:val="20"/>
      </w:rPr>
      <w:t>1712048 Millbank N – PD01 Task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1047C6"/>
    <w:multiLevelType w:val="multilevel"/>
    <w:tmpl w:val="B2C810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499"/>
    <w:rsid w:val="00271F0D"/>
    <w:rsid w:val="00415E1C"/>
    <w:rsid w:val="00904345"/>
    <w:rsid w:val="00B6239E"/>
    <w:rsid w:val="00C60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FA4941-6380-429E-89FC-BA4603C04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60499"/>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C604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2088</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Millbank, Nigel Cpl (RC-Sp-Mov-Edn-Cpl1)</dc:creator>
  <cp:keywords/>
  <dc:description/>
  <cp:lastModifiedBy>Nigel Millbank (1712048)</cp:lastModifiedBy>
  <cp:revision>2</cp:revision>
  <dcterms:created xsi:type="dcterms:W3CDTF">2018-07-17T10:38:00Z</dcterms:created>
  <dcterms:modified xsi:type="dcterms:W3CDTF">2018-07-17T10:38:00Z</dcterms:modified>
</cp:coreProperties>
</file>