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85226D" w14:textId="77777777" w:rsidR="00336FBD" w:rsidRDefault="00000000">
      <w:pPr>
        <w:jc w:val="left"/>
        <w:rPr>
          <w:b/>
          <w:sz w:val="40"/>
          <w:szCs w:val="40"/>
        </w:rPr>
      </w:pPr>
      <w:r>
        <w:rPr>
          <w:b/>
          <w:sz w:val="42"/>
          <w:szCs w:val="42"/>
        </w:rPr>
        <w:t xml:space="preserve">                           Case Study </w:t>
      </w:r>
      <w:r>
        <w:rPr>
          <w:b/>
          <w:sz w:val="40"/>
          <w:szCs w:val="40"/>
        </w:rPr>
        <w:t xml:space="preserve">Report on Hyatt </w:t>
      </w:r>
    </w:p>
    <w:p w14:paraId="27BAF23E" w14:textId="1FD080D6" w:rsidR="009F54DE" w:rsidRDefault="00336FBD">
      <w:pPr>
        <w:jc w:val="left"/>
        <w:rPr>
          <w:b/>
          <w:sz w:val="40"/>
          <w:szCs w:val="40"/>
        </w:rPr>
      </w:pPr>
      <w:r>
        <w:rPr>
          <w:b/>
          <w:sz w:val="40"/>
          <w:szCs w:val="40"/>
        </w:rPr>
        <w:t xml:space="preserve">                                   </w:t>
      </w:r>
      <w:r w:rsidR="00000000">
        <w:rPr>
          <w:b/>
          <w:sz w:val="40"/>
          <w:szCs w:val="40"/>
        </w:rPr>
        <w:t>Hotels Corporation</w:t>
      </w:r>
    </w:p>
    <w:p w14:paraId="49EBEC32" w14:textId="77777777" w:rsidR="009F54DE" w:rsidRDefault="009F54DE">
      <w:pPr>
        <w:jc w:val="center"/>
        <w:rPr>
          <w:b/>
        </w:rPr>
      </w:pPr>
    </w:p>
    <w:p w14:paraId="7AD1126D" w14:textId="77777777" w:rsidR="009F54DE" w:rsidRDefault="009F54DE">
      <w:pPr>
        <w:jc w:val="left"/>
        <w:rPr>
          <w:b/>
        </w:rPr>
      </w:pPr>
    </w:p>
    <w:p w14:paraId="41BCDEC0" w14:textId="77777777" w:rsidR="009F54DE" w:rsidRDefault="00000000">
      <w:pPr>
        <w:jc w:val="left"/>
        <w:rPr>
          <w:b/>
        </w:rPr>
      </w:pPr>
      <w:r>
        <w:rPr>
          <w:b/>
        </w:rPr>
        <w:t xml:space="preserve">Module: Management &amp; Organizational Behavior                 </w:t>
      </w:r>
    </w:p>
    <w:p w14:paraId="05BA4F09" w14:textId="77777777" w:rsidR="009F54DE" w:rsidRDefault="00000000">
      <w:pPr>
        <w:jc w:val="left"/>
        <w:rPr>
          <w:b/>
        </w:rPr>
      </w:pPr>
      <w:r>
        <w:rPr>
          <w:b/>
        </w:rPr>
        <w:t>Module code: BMIH5004</w:t>
      </w:r>
    </w:p>
    <w:p w14:paraId="5776B33B" w14:textId="768DA32F" w:rsidR="009F54DE" w:rsidRDefault="00000000">
      <w:pPr>
        <w:jc w:val="left"/>
        <w:rPr>
          <w:b/>
        </w:rPr>
      </w:pPr>
      <w:r>
        <w:rPr>
          <w:b/>
        </w:rPr>
        <w:t>Student Name:</w:t>
      </w:r>
      <w:r w:rsidR="000D2D42">
        <w:rPr>
          <w:b/>
        </w:rPr>
        <w:t xml:space="preserve"> </w:t>
      </w:r>
      <w:r>
        <w:rPr>
          <w:b/>
        </w:rPr>
        <w:t>Cristina Maria Silva Pita</w:t>
      </w:r>
    </w:p>
    <w:p w14:paraId="7FC6C9A7" w14:textId="77777777" w:rsidR="009F54DE" w:rsidRDefault="00000000">
      <w:pPr>
        <w:jc w:val="left"/>
        <w:rPr>
          <w:b/>
        </w:rPr>
      </w:pPr>
      <w:r>
        <w:rPr>
          <w:b/>
        </w:rPr>
        <w:t>Student Id: 2228861</w:t>
      </w:r>
    </w:p>
    <w:p w14:paraId="0833091A" w14:textId="77777777" w:rsidR="009F54DE" w:rsidRDefault="00000000">
      <w:pPr>
        <w:jc w:val="left"/>
        <w:rPr>
          <w:b/>
        </w:rPr>
      </w:pPr>
      <w:r>
        <w:rPr>
          <w:b/>
        </w:rPr>
        <w:t>Lecture name: James Scott</w:t>
      </w:r>
    </w:p>
    <w:p w14:paraId="28F0E09F" w14:textId="77777777" w:rsidR="009F54DE" w:rsidRDefault="00000000">
      <w:pPr>
        <w:spacing w:line="259" w:lineRule="auto"/>
        <w:jc w:val="left"/>
        <w:rPr>
          <w:b/>
        </w:rPr>
      </w:pPr>
      <w:r>
        <w:br w:type="page"/>
      </w:r>
    </w:p>
    <w:p w14:paraId="3BE5F3C0" w14:textId="77777777" w:rsidR="009F54DE" w:rsidRDefault="00000000">
      <w:pPr>
        <w:rPr>
          <w:b/>
        </w:rPr>
      </w:pPr>
      <w:r>
        <w:rPr>
          <w:b/>
        </w:rPr>
        <w:lastRenderedPageBreak/>
        <w:t xml:space="preserve">Executive summary </w:t>
      </w:r>
    </w:p>
    <w:p w14:paraId="7FC4EB3B" w14:textId="77777777" w:rsidR="009F54DE" w:rsidRDefault="00000000">
      <w:r>
        <w:t>This report aims to conduct a strategic analysis of Hyatt Hotels emphasizing the external and internal business environment in which the company operates and its competitive advantage. Moreover, this report discusses Hyatt's experience of managing the brand and leadership to enhance strategic development concerning Contingency Theory. Significantly, the market positioning of key competitors is determined, and Hyatt's competitive advantage and weaknesses are identified. Furthermore, specific strategies for using AI in the improvement of personal services to guests, to enter the budget and middle segments, as well as to populate the hybrid loyalty program, serve as recommendations to increase the company’s presence and popularity in the field of hospitality and hotels. They enhance long-term growth and brand exposure selectively worldwide as part of Hyatt’s strategic plan.</w:t>
      </w:r>
      <w:r>
        <w:br w:type="page"/>
      </w:r>
    </w:p>
    <w:p w14:paraId="40813882" w14:textId="77777777" w:rsidR="009F54DE" w:rsidRDefault="00000000">
      <w:pPr>
        <w:keepNext/>
        <w:keepLines/>
        <w:pBdr>
          <w:top w:val="nil"/>
          <w:left w:val="nil"/>
          <w:bottom w:val="nil"/>
          <w:right w:val="nil"/>
          <w:between w:val="nil"/>
        </w:pBdr>
        <w:spacing w:before="240" w:after="0" w:line="259" w:lineRule="auto"/>
        <w:ind w:left="432" w:hanging="432"/>
        <w:jc w:val="center"/>
        <w:rPr>
          <w:b/>
          <w:color w:val="000000"/>
        </w:rPr>
      </w:pPr>
      <w:r>
        <w:rPr>
          <w:b/>
          <w:color w:val="000000"/>
        </w:rPr>
        <w:lastRenderedPageBreak/>
        <w:t>Table of Contents</w:t>
      </w:r>
    </w:p>
    <w:sdt>
      <w:sdtPr>
        <w:id w:val="-1784421441"/>
        <w:docPartObj>
          <w:docPartGallery w:val="Table of Contents"/>
          <w:docPartUnique/>
        </w:docPartObj>
      </w:sdtPr>
      <w:sdtContent>
        <w:p w14:paraId="3861B9A8" w14:textId="77777777" w:rsidR="009F54DE" w:rsidRDefault="00000000">
          <w:pPr>
            <w:pBdr>
              <w:top w:val="nil"/>
              <w:left w:val="nil"/>
              <w:bottom w:val="nil"/>
              <w:right w:val="nil"/>
              <w:between w:val="nil"/>
            </w:pBdr>
            <w:tabs>
              <w:tab w:val="left" w:pos="440"/>
              <w:tab w:val="right" w:leader="dot" w:pos="9350"/>
            </w:tabs>
            <w:spacing w:after="100"/>
            <w:rPr>
              <w:color w:val="000000"/>
            </w:rPr>
          </w:pPr>
          <w:r>
            <w:fldChar w:fldCharType="begin"/>
          </w:r>
          <w:r>
            <w:instrText xml:space="preserve"> TOC \h \u \z \t "Heading 1,1,Heading 2,2,Heading 3,3,"</w:instrText>
          </w:r>
          <w:r>
            <w:fldChar w:fldCharType="separate"/>
          </w:r>
          <w:hyperlink w:anchor="_heading=h.gjdgxs">
            <w:r w:rsidR="009F54DE">
              <w:rPr>
                <w:color w:val="000000"/>
              </w:rPr>
              <w:t>1.</w:t>
            </w:r>
            <w:r w:rsidR="009F54DE">
              <w:rPr>
                <w:color w:val="000000"/>
              </w:rPr>
              <w:tab/>
              <w:t>Introduction</w:t>
            </w:r>
            <w:r w:rsidR="009F54DE">
              <w:rPr>
                <w:color w:val="000000"/>
              </w:rPr>
              <w:tab/>
              <w:t>3</w:t>
            </w:r>
          </w:hyperlink>
        </w:p>
        <w:p w14:paraId="181C2120" w14:textId="77777777" w:rsidR="009F54DE" w:rsidRDefault="009F54DE">
          <w:pPr>
            <w:pBdr>
              <w:top w:val="nil"/>
              <w:left w:val="nil"/>
              <w:bottom w:val="nil"/>
              <w:right w:val="nil"/>
              <w:between w:val="nil"/>
            </w:pBdr>
            <w:tabs>
              <w:tab w:val="left" w:pos="880"/>
              <w:tab w:val="right" w:leader="dot" w:pos="9350"/>
            </w:tabs>
            <w:spacing w:after="100"/>
            <w:ind w:left="240"/>
            <w:rPr>
              <w:color w:val="000000"/>
            </w:rPr>
          </w:pPr>
          <w:hyperlink w:anchor="_heading=h.30j0zll">
            <w:r>
              <w:rPr>
                <w:color w:val="000000"/>
              </w:rPr>
              <w:t>1.1</w:t>
            </w:r>
            <w:r>
              <w:rPr>
                <w:color w:val="000000"/>
              </w:rPr>
              <w:tab/>
              <w:t>Overview of the Hyatt Hotel</w:t>
            </w:r>
            <w:r>
              <w:rPr>
                <w:color w:val="000000"/>
              </w:rPr>
              <w:tab/>
              <w:t>3</w:t>
            </w:r>
          </w:hyperlink>
        </w:p>
        <w:p w14:paraId="0A2F79DB" w14:textId="77777777" w:rsidR="009F54DE" w:rsidRDefault="009F54DE">
          <w:pPr>
            <w:pBdr>
              <w:top w:val="nil"/>
              <w:left w:val="nil"/>
              <w:bottom w:val="nil"/>
              <w:right w:val="nil"/>
              <w:between w:val="nil"/>
            </w:pBdr>
            <w:tabs>
              <w:tab w:val="left" w:pos="440"/>
              <w:tab w:val="right" w:leader="dot" w:pos="9350"/>
            </w:tabs>
            <w:spacing w:after="100"/>
            <w:rPr>
              <w:color w:val="000000"/>
            </w:rPr>
          </w:pPr>
          <w:hyperlink w:anchor="_heading=h.1fob9te">
            <w:r>
              <w:rPr>
                <w:color w:val="000000"/>
              </w:rPr>
              <w:t>2</w:t>
            </w:r>
            <w:r>
              <w:rPr>
                <w:color w:val="000000"/>
              </w:rPr>
              <w:tab/>
              <w:t>Organizational structure, culture, and goals</w:t>
            </w:r>
            <w:r>
              <w:rPr>
                <w:color w:val="000000"/>
              </w:rPr>
              <w:tab/>
              <w:t>4</w:t>
            </w:r>
          </w:hyperlink>
        </w:p>
        <w:p w14:paraId="5A6286FF" w14:textId="77777777" w:rsidR="009F54DE" w:rsidRDefault="009F54DE">
          <w:pPr>
            <w:pBdr>
              <w:top w:val="nil"/>
              <w:left w:val="nil"/>
              <w:bottom w:val="nil"/>
              <w:right w:val="nil"/>
              <w:between w:val="nil"/>
            </w:pBdr>
            <w:tabs>
              <w:tab w:val="left" w:pos="440"/>
              <w:tab w:val="right" w:leader="dot" w:pos="9350"/>
            </w:tabs>
            <w:spacing w:after="100"/>
            <w:rPr>
              <w:color w:val="000000"/>
            </w:rPr>
          </w:pPr>
          <w:hyperlink w:anchor="_heading=h.2et92p0">
            <w:r>
              <w:rPr>
                <w:color w:val="000000"/>
              </w:rPr>
              <w:t>3</w:t>
            </w:r>
            <w:r>
              <w:rPr>
                <w:color w:val="000000"/>
              </w:rPr>
              <w:tab/>
              <w:t>Recent change initiatives</w:t>
            </w:r>
            <w:r>
              <w:rPr>
                <w:color w:val="000000"/>
              </w:rPr>
              <w:tab/>
              <w:t>8</w:t>
            </w:r>
          </w:hyperlink>
        </w:p>
        <w:p w14:paraId="10E1C692" w14:textId="77777777" w:rsidR="009F54DE" w:rsidRDefault="009F54DE">
          <w:pPr>
            <w:pBdr>
              <w:top w:val="nil"/>
              <w:left w:val="nil"/>
              <w:bottom w:val="nil"/>
              <w:right w:val="nil"/>
              <w:between w:val="nil"/>
            </w:pBdr>
            <w:tabs>
              <w:tab w:val="left" w:pos="880"/>
              <w:tab w:val="right" w:leader="dot" w:pos="9350"/>
            </w:tabs>
            <w:spacing w:after="100"/>
            <w:ind w:left="240"/>
            <w:rPr>
              <w:color w:val="000000"/>
            </w:rPr>
          </w:pPr>
          <w:hyperlink w:anchor="_heading=h.tyjcwt">
            <w:r>
              <w:rPr>
                <w:color w:val="000000"/>
              </w:rPr>
              <w:t>3.1</w:t>
            </w:r>
            <w:r>
              <w:rPr>
                <w:color w:val="000000"/>
              </w:rPr>
              <w:tab/>
              <w:t>Lewin’s Change Management Model</w:t>
            </w:r>
            <w:r>
              <w:rPr>
                <w:color w:val="000000"/>
              </w:rPr>
              <w:tab/>
              <w:t>9</w:t>
            </w:r>
          </w:hyperlink>
        </w:p>
        <w:p w14:paraId="408B9206" w14:textId="77777777" w:rsidR="009F54DE" w:rsidRDefault="009F54DE">
          <w:pPr>
            <w:pBdr>
              <w:top w:val="nil"/>
              <w:left w:val="nil"/>
              <w:bottom w:val="nil"/>
              <w:right w:val="nil"/>
              <w:between w:val="nil"/>
            </w:pBdr>
            <w:tabs>
              <w:tab w:val="left" w:pos="880"/>
              <w:tab w:val="right" w:leader="dot" w:pos="9350"/>
            </w:tabs>
            <w:spacing w:after="100"/>
            <w:ind w:left="240"/>
            <w:rPr>
              <w:color w:val="000000"/>
            </w:rPr>
          </w:pPr>
          <w:hyperlink w:anchor="_heading=h.3dy6vkm">
            <w:r>
              <w:rPr>
                <w:color w:val="000000"/>
              </w:rPr>
              <w:t>3.2</w:t>
            </w:r>
            <w:r>
              <w:rPr>
                <w:color w:val="000000"/>
              </w:rPr>
              <w:tab/>
              <w:t>Kotter’s 8-Step Change Model</w:t>
            </w:r>
            <w:r>
              <w:rPr>
                <w:color w:val="000000"/>
              </w:rPr>
              <w:tab/>
              <w:t>10</w:t>
            </w:r>
          </w:hyperlink>
        </w:p>
        <w:p w14:paraId="456DD8DB" w14:textId="77777777" w:rsidR="009F54DE" w:rsidRDefault="009F54DE">
          <w:pPr>
            <w:pBdr>
              <w:top w:val="nil"/>
              <w:left w:val="nil"/>
              <w:bottom w:val="nil"/>
              <w:right w:val="nil"/>
              <w:between w:val="nil"/>
            </w:pBdr>
            <w:tabs>
              <w:tab w:val="left" w:pos="440"/>
              <w:tab w:val="right" w:leader="dot" w:pos="9350"/>
            </w:tabs>
            <w:spacing w:after="100"/>
            <w:rPr>
              <w:color w:val="000000"/>
            </w:rPr>
          </w:pPr>
          <w:hyperlink w:anchor="_heading=h.1t3h5sf">
            <w:r>
              <w:rPr>
                <w:color w:val="000000"/>
              </w:rPr>
              <w:t>4</w:t>
            </w:r>
            <w:r>
              <w:rPr>
                <w:color w:val="000000"/>
              </w:rPr>
              <w:tab/>
              <w:t>Strategic Direction</w:t>
            </w:r>
            <w:r>
              <w:rPr>
                <w:color w:val="000000"/>
              </w:rPr>
              <w:tab/>
              <w:t>11</w:t>
            </w:r>
          </w:hyperlink>
        </w:p>
        <w:p w14:paraId="222519E2" w14:textId="77777777" w:rsidR="009F54DE" w:rsidRDefault="009F54DE">
          <w:pPr>
            <w:pBdr>
              <w:top w:val="nil"/>
              <w:left w:val="nil"/>
              <w:bottom w:val="nil"/>
              <w:right w:val="nil"/>
              <w:between w:val="nil"/>
            </w:pBdr>
            <w:tabs>
              <w:tab w:val="left" w:pos="440"/>
              <w:tab w:val="right" w:leader="dot" w:pos="9350"/>
            </w:tabs>
            <w:spacing w:after="100"/>
            <w:rPr>
              <w:color w:val="000000"/>
            </w:rPr>
          </w:pPr>
          <w:hyperlink w:anchor="_heading=h.4d34og8">
            <w:r>
              <w:rPr>
                <w:color w:val="000000"/>
              </w:rPr>
              <w:t>5</w:t>
            </w:r>
            <w:r>
              <w:rPr>
                <w:color w:val="000000"/>
              </w:rPr>
              <w:tab/>
              <w:t>Recommendation</w:t>
            </w:r>
            <w:r>
              <w:rPr>
                <w:color w:val="000000"/>
              </w:rPr>
              <w:tab/>
              <w:t>12</w:t>
            </w:r>
          </w:hyperlink>
        </w:p>
        <w:p w14:paraId="045EC228" w14:textId="77777777" w:rsidR="009F54DE" w:rsidRDefault="009F54DE">
          <w:pPr>
            <w:pBdr>
              <w:top w:val="nil"/>
              <w:left w:val="nil"/>
              <w:bottom w:val="nil"/>
              <w:right w:val="nil"/>
              <w:between w:val="nil"/>
            </w:pBdr>
            <w:tabs>
              <w:tab w:val="left" w:pos="440"/>
              <w:tab w:val="right" w:leader="dot" w:pos="9350"/>
            </w:tabs>
            <w:spacing w:after="100"/>
            <w:rPr>
              <w:color w:val="000000"/>
            </w:rPr>
          </w:pPr>
          <w:hyperlink w:anchor="_heading=h.2s8eyo1">
            <w:r>
              <w:rPr>
                <w:color w:val="000000"/>
              </w:rPr>
              <w:t>6</w:t>
            </w:r>
            <w:r>
              <w:rPr>
                <w:color w:val="000000"/>
              </w:rPr>
              <w:tab/>
              <w:t>Conclusion</w:t>
            </w:r>
            <w:r>
              <w:rPr>
                <w:color w:val="000000"/>
              </w:rPr>
              <w:tab/>
              <w:t>14</w:t>
            </w:r>
          </w:hyperlink>
        </w:p>
        <w:p w14:paraId="424B1DD9" w14:textId="77777777" w:rsidR="009F54DE" w:rsidRDefault="009F54DE">
          <w:pPr>
            <w:pBdr>
              <w:top w:val="nil"/>
              <w:left w:val="nil"/>
              <w:bottom w:val="nil"/>
              <w:right w:val="nil"/>
              <w:between w:val="nil"/>
            </w:pBdr>
            <w:tabs>
              <w:tab w:val="left" w:pos="440"/>
              <w:tab w:val="right" w:leader="dot" w:pos="9350"/>
            </w:tabs>
            <w:spacing w:after="100"/>
            <w:rPr>
              <w:color w:val="000000"/>
            </w:rPr>
          </w:pPr>
          <w:hyperlink w:anchor="_heading=h.17dp8vu">
            <w:r>
              <w:rPr>
                <w:color w:val="000000"/>
              </w:rPr>
              <w:t>7</w:t>
            </w:r>
            <w:r>
              <w:rPr>
                <w:color w:val="000000"/>
              </w:rPr>
              <w:tab/>
              <w:t>References</w:t>
            </w:r>
            <w:r>
              <w:rPr>
                <w:color w:val="000000"/>
              </w:rPr>
              <w:tab/>
              <w:t>15</w:t>
            </w:r>
          </w:hyperlink>
        </w:p>
        <w:p w14:paraId="56C4D2D7" w14:textId="77777777" w:rsidR="009F54DE" w:rsidRDefault="00000000">
          <w:r>
            <w:fldChar w:fldCharType="end"/>
          </w:r>
        </w:p>
      </w:sdtContent>
    </w:sdt>
    <w:p w14:paraId="57D9671C" w14:textId="77777777" w:rsidR="009F54DE" w:rsidRDefault="00000000">
      <w:pPr>
        <w:jc w:val="left"/>
        <w:rPr>
          <w:b/>
        </w:rPr>
      </w:pPr>
      <w:r>
        <w:br w:type="page"/>
      </w:r>
    </w:p>
    <w:p w14:paraId="4A557151" w14:textId="77777777" w:rsidR="009F54DE" w:rsidRDefault="00000000">
      <w:pPr>
        <w:pStyle w:val="Heading1"/>
        <w:numPr>
          <w:ilvl w:val="0"/>
          <w:numId w:val="1"/>
        </w:numPr>
        <w:spacing w:line="360" w:lineRule="auto"/>
      </w:pPr>
      <w:bookmarkStart w:id="0" w:name="_heading=h.gjdgxs" w:colFirst="0" w:colLast="0"/>
      <w:bookmarkEnd w:id="0"/>
      <w:r>
        <w:lastRenderedPageBreak/>
        <w:t xml:space="preserve">Introduction </w:t>
      </w:r>
    </w:p>
    <w:p w14:paraId="4AE90997" w14:textId="77777777" w:rsidR="009F54DE" w:rsidRDefault="00000000">
      <w:pPr>
        <w:ind w:firstLine="360"/>
      </w:pPr>
      <w:r>
        <w:t>This report aims to evaluate the key factors, trends, and organizational structure in the hospitality industry. This report highly emphasizes Hyatt Hotel Corporation, which provides significant insight into the context of the development and prosperity of the hotel industry (</w:t>
      </w:r>
      <w:r>
        <w:rPr>
          <w:highlight w:val="white"/>
        </w:rPr>
        <w:t>Morrison, 2022</w:t>
      </w:r>
      <w:r>
        <w:t>).  The purpose of this report is to evaluate the structure and culture of Hyatt, identification of strategic changes within the organization, and the identification of its recent and future strategies. Through understanding how Hyatt operates, changes over time, and aligns its business workings with its purpose, this report will analyze the success of Hyatt in delivering on company promises, motivating and retaining employees, and attainable and perpetual business growth.</w:t>
      </w:r>
    </w:p>
    <w:p w14:paraId="6921C589" w14:textId="77777777" w:rsidR="009F54DE" w:rsidRDefault="00000000">
      <w:pPr>
        <w:pStyle w:val="Heading2"/>
        <w:numPr>
          <w:ilvl w:val="1"/>
          <w:numId w:val="2"/>
        </w:numPr>
        <w:spacing w:line="360" w:lineRule="auto"/>
      </w:pPr>
      <w:bookmarkStart w:id="1" w:name="_heading=h.30j0zll" w:colFirst="0" w:colLast="0"/>
      <w:bookmarkEnd w:id="1"/>
      <w:r>
        <w:t xml:space="preserve">Overview of the Hyatt hotel </w:t>
      </w:r>
    </w:p>
    <w:p w14:paraId="4FA4173F" w14:textId="77777777" w:rsidR="009F54DE" w:rsidRDefault="00000000">
      <w:pPr>
        <w:ind w:firstLine="576"/>
      </w:pPr>
      <w:r>
        <w:t>Hyatt is a world-class hotel company, which specializes in offering the highest quality service with distinction and elegance inherent in each of the company's properties. Hyatt began in 1957 and is located in Chicago, Illinois, USA with over 780 locations in more than 60 nations, and innovatively exploring new approaches to accommodate current global travelers (Hyatt, 2023). Operating in a competitive environment, the company is to continue to offer exceptional customer experience, innovation, and more sustainable strategy focuses that are already familiar to Hyatt.</w:t>
      </w:r>
    </w:p>
    <w:p w14:paraId="651CBD1A" w14:textId="77777777" w:rsidR="009F54DE" w:rsidRDefault="00000000">
      <w:pPr>
        <w:keepNext/>
        <w:jc w:val="center"/>
      </w:pPr>
      <w:r>
        <w:rPr>
          <w:noProof/>
        </w:rPr>
        <w:drawing>
          <wp:inline distT="0" distB="0" distL="0" distR="0" wp14:anchorId="483BF490" wp14:editId="3F221440">
            <wp:extent cx="2880432" cy="2232150"/>
            <wp:effectExtent l="38100" t="38100" r="38100" b="381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6"/>
                    <a:srcRect/>
                    <a:stretch>
                      <a:fillRect/>
                    </a:stretch>
                  </pic:blipFill>
                  <pic:spPr>
                    <a:xfrm>
                      <a:off x="0" y="0"/>
                      <a:ext cx="2880432" cy="2232150"/>
                    </a:xfrm>
                    <a:prstGeom prst="rect">
                      <a:avLst/>
                    </a:prstGeom>
                    <a:ln w="38100">
                      <a:solidFill>
                        <a:srgbClr val="000000"/>
                      </a:solidFill>
                      <a:prstDash val="solid"/>
                    </a:ln>
                  </pic:spPr>
                </pic:pic>
              </a:graphicData>
            </a:graphic>
          </wp:inline>
        </w:drawing>
      </w:r>
    </w:p>
    <w:p w14:paraId="1A8F79E5" w14:textId="77777777" w:rsidR="009F54DE" w:rsidRDefault="00000000">
      <w:pPr>
        <w:pBdr>
          <w:top w:val="nil"/>
          <w:left w:val="nil"/>
          <w:bottom w:val="nil"/>
          <w:right w:val="nil"/>
          <w:between w:val="nil"/>
        </w:pBdr>
        <w:spacing w:after="200"/>
        <w:jc w:val="center"/>
        <w:rPr>
          <w:color w:val="000000"/>
        </w:rPr>
      </w:pPr>
      <w:r>
        <w:rPr>
          <w:color w:val="000000"/>
        </w:rPr>
        <w:t>Figure 1: Hyatt logo</w:t>
      </w:r>
    </w:p>
    <w:p w14:paraId="0D440BCE" w14:textId="77777777" w:rsidR="009F54DE" w:rsidRDefault="00000000">
      <w:pPr>
        <w:jc w:val="center"/>
      </w:pPr>
      <w:r>
        <w:t>Source: (Hyatt, 2023)</w:t>
      </w:r>
    </w:p>
    <w:p w14:paraId="06858780" w14:textId="77777777" w:rsidR="009F54DE" w:rsidRDefault="00000000">
      <w:pPr>
        <w:pStyle w:val="Heading1"/>
        <w:numPr>
          <w:ilvl w:val="0"/>
          <w:numId w:val="2"/>
        </w:numPr>
      </w:pPr>
      <w:bookmarkStart w:id="2" w:name="_heading=h.1fob9te" w:colFirst="0" w:colLast="0"/>
      <w:bookmarkEnd w:id="2"/>
      <w:r>
        <w:lastRenderedPageBreak/>
        <w:t xml:space="preserve">Organizational structure, culture, and goals </w:t>
      </w:r>
    </w:p>
    <w:p w14:paraId="4BABECAD" w14:textId="77777777" w:rsidR="009F54DE" w:rsidRDefault="00000000">
      <w:pPr>
        <w:ind w:firstLine="432"/>
      </w:pPr>
      <w:r>
        <w:t>Hyatt Hotels Corporation is the world's leading hospitality company that provides valuable hotel and resort accommodations. Moreover, Hyatt has many brands, such as Hyatt Regency, Grand Hyatt, Park Hyatt, Andaz, Hyatt House, etc. The company operates, franchises, and owns a variety of properties in the Americas, Europe, the Middle East, Africa, and Asia Pacific. This division-based organization is effective in delivering Hyatt's various hotel operations because it closely links regional requirements and global objectives (</w:t>
      </w:r>
      <w:proofErr w:type="spellStart"/>
      <w:r>
        <w:rPr>
          <w:highlight w:val="white"/>
        </w:rPr>
        <w:t>Bilovodska</w:t>
      </w:r>
      <w:proofErr w:type="spellEnd"/>
      <w:r>
        <w:rPr>
          <w:highlight w:val="white"/>
        </w:rPr>
        <w:t xml:space="preserve"> and Kravchuk, 2020)</w:t>
      </w:r>
      <w:r>
        <w:t>. Hyatt's organizational values include care, inclusion, and innovation, as a corporate culture (</w:t>
      </w:r>
      <w:r>
        <w:rPr>
          <w:highlight w:val="white"/>
        </w:rPr>
        <w:t>Davies, et al., 2022)</w:t>
      </w:r>
      <w:r>
        <w:t>. Moreover, these principles guide the organization's interactions with its clients, its workers, and its brands. Hyatt's organizational culture promotes care and empathy to guests which helps in enhancing guests' experience and creates a high level of employee motivation (</w:t>
      </w:r>
      <w:r>
        <w:rPr>
          <w:highlight w:val="white"/>
        </w:rPr>
        <w:t>Abed et al., 2024)</w:t>
      </w:r>
      <w:r>
        <w:t xml:space="preserve">. </w:t>
      </w:r>
    </w:p>
    <w:p w14:paraId="1DA38503" w14:textId="77777777" w:rsidR="009F54DE" w:rsidRDefault="00000000">
      <w:pPr>
        <w:keepNext/>
        <w:jc w:val="center"/>
      </w:pPr>
      <w:r>
        <w:rPr>
          <w:noProof/>
        </w:rPr>
        <w:drawing>
          <wp:inline distT="0" distB="0" distL="0" distR="0" wp14:anchorId="196FB039" wp14:editId="6CC82D6E">
            <wp:extent cx="5943600" cy="382778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827780"/>
                    </a:xfrm>
                    <a:prstGeom prst="rect">
                      <a:avLst/>
                    </a:prstGeom>
                    <a:ln/>
                  </pic:spPr>
                </pic:pic>
              </a:graphicData>
            </a:graphic>
          </wp:inline>
        </w:drawing>
      </w:r>
    </w:p>
    <w:p w14:paraId="2532879A" w14:textId="77777777" w:rsidR="009F54DE" w:rsidRDefault="00000000">
      <w:pPr>
        <w:pBdr>
          <w:top w:val="nil"/>
          <w:left w:val="nil"/>
          <w:bottom w:val="nil"/>
          <w:right w:val="nil"/>
          <w:between w:val="nil"/>
        </w:pBdr>
        <w:spacing w:after="200"/>
        <w:jc w:val="center"/>
        <w:rPr>
          <w:color w:val="000000"/>
        </w:rPr>
      </w:pPr>
      <w:r>
        <w:rPr>
          <w:color w:val="000000"/>
        </w:rPr>
        <w:t>Figure 2: Number of Hyatt Hotels Corporation hotels worldwide from 2015 to 2023</w:t>
      </w:r>
    </w:p>
    <w:p w14:paraId="1E88EBAD" w14:textId="77777777" w:rsidR="009F54DE" w:rsidRDefault="00000000">
      <w:pPr>
        <w:jc w:val="center"/>
      </w:pPr>
      <w:r>
        <w:t>Source: (Statista, 2023)</w:t>
      </w:r>
    </w:p>
    <w:p w14:paraId="05C5FF54" w14:textId="77777777" w:rsidR="009F54DE" w:rsidRDefault="00000000">
      <w:pPr>
        <w:ind w:firstLine="720"/>
      </w:pPr>
      <w:r>
        <w:lastRenderedPageBreak/>
        <w:t>Significantly, Hyatt's leadership comprises several top officers managing different functions within the company such as financial management, functional management, property management, and investment management. The geographical structure of the company is well-defined to maintain operational control over its widely spread segments and regions of operation. Furthermore, Hyatt maintains high corporate standards of ethics, diversity, and inclusion, enhancing their governance structures to reflect unity on the international, regional, and functional dimensions. Additionally, established a committee for environmental, social, and governance (ESG) initiatives to build it into the company's strategy at Hyatt (</w:t>
      </w:r>
      <w:r>
        <w:rPr>
          <w:highlight w:val="white"/>
        </w:rPr>
        <w:t>Luiten, 2020)</w:t>
      </w:r>
      <w:r>
        <w:t>.</w:t>
      </w:r>
    </w:p>
    <w:p w14:paraId="17E0E4D4" w14:textId="77777777" w:rsidR="009F54DE" w:rsidRDefault="00000000">
      <w:pPr>
        <w:keepNext/>
      </w:pPr>
      <w:r>
        <w:rPr>
          <w:noProof/>
        </w:rPr>
        <w:drawing>
          <wp:inline distT="0" distB="0" distL="0" distR="0" wp14:anchorId="5683D40A" wp14:editId="1A6A5FDF">
            <wp:extent cx="5943600" cy="3629025"/>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629025"/>
                    </a:xfrm>
                    <a:prstGeom prst="rect">
                      <a:avLst/>
                    </a:prstGeom>
                    <a:ln/>
                  </pic:spPr>
                </pic:pic>
              </a:graphicData>
            </a:graphic>
          </wp:inline>
        </w:drawing>
      </w:r>
    </w:p>
    <w:p w14:paraId="29B74C0B" w14:textId="77777777" w:rsidR="009F54DE" w:rsidRDefault="00000000">
      <w:pPr>
        <w:pBdr>
          <w:top w:val="nil"/>
          <w:left w:val="nil"/>
          <w:bottom w:val="nil"/>
          <w:right w:val="nil"/>
          <w:between w:val="nil"/>
        </w:pBdr>
        <w:spacing w:after="200"/>
        <w:jc w:val="center"/>
        <w:rPr>
          <w:color w:val="000000"/>
        </w:rPr>
      </w:pPr>
      <w:r>
        <w:rPr>
          <w:color w:val="000000"/>
        </w:rPr>
        <w:t>Figure 3: Stock Price Performance</w:t>
      </w:r>
    </w:p>
    <w:p w14:paraId="77ED1038" w14:textId="77777777" w:rsidR="009F54DE" w:rsidRDefault="00000000">
      <w:pPr>
        <w:pBdr>
          <w:top w:val="nil"/>
          <w:left w:val="nil"/>
          <w:bottom w:val="nil"/>
          <w:right w:val="nil"/>
          <w:between w:val="nil"/>
        </w:pBdr>
        <w:spacing w:after="200"/>
        <w:jc w:val="center"/>
        <w:rPr>
          <w:color w:val="000000"/>
        </w:rPr>
      </w:pPr>
      <w:r>
        <w:rPr>
          <w:color w:val="000000"/>
        </w:rPr>
        <w:t>Source: (Forbes, 2024)</w:t>
      </w:r>
    </w:p>
    <w:p w14:paraId="5C942675" w14:textId="77777777" w:rsidR="009F54DE" w:rsidRDefault="00000000">
      <w:pPr>
        <w:ind w:firstLine="720"/>
      </w:pPr>
      <w:bookmarkStart w:id="3" w:name="_heading=h.3znysh7" w:colFirst="0" w:colLast="0"/>
      <w:bookmarkEnd w:id="3"/>
      <w:r>
        <w:t xml:space="preserve">Hyatt's mission and strategic aims are all linked to the company's vision to achieve the status of a global hospitality </w:t>
      </w:r>
      <w:proofErr w:type="gramStart"/>
      <w:r>
        <w:t>leader,</w:t>
      </w:r>
      <w:proofErr w:type="gramEnd"/>
      <w:r>
        <w:t xml:space="preserve"> however, these objectives include quality, sustainability, and growth. The statically graph shows that the stock prices performance gradually increase by 2020 onwards. Moreover, strategic sites for development include the international expansion of more hotels and the practice of better sustainability measurements in terms of environmental impacts </w:t>
      </w:r>
      <w:r>
        <w:lastRenderedPageBreak/>
        <w:t>(</w:t>
      </w:r>
      <w:r>
        <w:rPr>
          <w:highlight w:val="white"/>
        </w:rPr>
        <w:t>Sakshi et al., 2020)</w:t>
      </w:r>
      <w:r>
        <w:t>. The hotel market size is highly estimated to be approximately $700 billion worldwide, and the company has deep penetration into markets in over 65 countries making Hyatt a market giant (Fortune Business Sights, 2024). The graph shows that the revenue of Hyatt Corporation gradually increased over the years.</w:t>
      </w:r>
    </w:p>
    <w:p w14:paraId="3A9448EC" w14:textId="77777777" w:rsidR="009F54DE" w:rsidRDefault="00000000">
      <w:pPr>
        <w:keepNext/>
      </w:pPr>
      <w:r>
        <w:rPr>
          <w:noProof/>
        </w:rPr>
        <w:drawing>
          <wp:inline distT="0" distB="0" distL="0" distR="0" wp14:anchorId="7DECB87D" wp14:editId="7D6E8260">
            <wp:extent cx="5943600" cy="3768725"/>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3768725"/>
                    </a:xfrm>
                    <a:prstGeom prst="rect">
                      <a:avLst/>
                    </a:prstGeom>
                    <a:ln/>
                  </pic:spPr>
                </pic:pic>
              </a:graphicData>
            </a:graphic>
          </wp:inline>
        </w:drawing>
      </w:r>
    </w:p>
    <w:p w14:paraId="65BE4738" w14:textId="77777777" w:rsidR="009F54DE" w:rsidRDefault="00000000">
      <w:pPr>
        <w:pBdr>
          <w:top w:val="nil"/>
          <w:left w:val="nil"/>
          <w:bottom w:val="nil"/>
          <w:right w:val="nil"/>
          <w:between w:val="nil"/>
        </w:pBdr>
        <w:spacing w:after="200"/>
        <w:jc w:val="center"/>
        <w:rPr>
          <w:color w:val="000000"/>
        </w:rPr>
      </w:pPr>
      <w:r>
        <w:rPr>
          <w:color w:val="000000"/>
        </w:rPr>
        <w:t>Figure 4: Revenue of Hyatt Hotels Corporation worldwide from 2008 to 2023</w:t>
      </w:r>
    </w:p>
    <w:p w14:paraId="4FBF261B" w14:textId="77777777" w:rsidR="009F54DE" w:rsidRDefault="00000000">
      <w:pPr>
        <w:jc w:val="center"/>
      </w:pPr>
      <w:r>
        <w:t>Source: (Statista, 2023)</w:t>
      </w:r>
    </w:p>
    <w:p w14:paraId="7325AFD3" w14:textId="77777777" w:rsidR="009F54DE" w:rsidRDefault="00000000">
      <w:pPr>
        <w:keepNext/>
      </w:pPr>
      <w:r>
        <w:rPr>
          <w:noProof/>
        </w:rPr>
        <w:lastRenderedPageBreak/>
        <w:drawing>
          <wp:inline distT="0" distB="0" distL="0" distR="0" wp14:anchorId="138C9D88" wp14:editId="1484193D">
            <wp:extent cx="6763473" cy="4201158"/>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6763473" cy="4201158"/>
                    </a:xfrm>
                    <a:prstGeom prst="rect">
                      <a:avLst/>
                    </a:prstGeom>
                    <a:ln/>
                  </pic:spPr>
                </pic:pic>
              </a:graphicData>
            </a:graphic>
          </wp:inline>
        </w:drawing>
      </w:r>
    </w:p>
    <w:p w14:paraId="07D71F93" w14:textId="77777777" w:rsidR="009F54DE" w:rsidRDefault="00000000">
      <w:pPr>
        <w:pBdr>
          <w:top w:val="nil"/>
          <w:left w:val="nil"/>
          <w:bottom w:val="nil"/>
          <w:right w:val="nil"/>
          <w:between w:val="nil"/>
        </w:pBdr>
        <w:spacing w:after="200"/>
        <w:jc w:val="center"/>
        <w:rPr>
          <w:color w:val="000000"/>
        </w:rPr>
      </w:pPr>
      <w:r>
        <w:rPr>
          <w:color w:val="000000"/>
        </w:rPr>
        <w:t>Figure 5: Organizational Structure</w:t>
      </w:r>
    </w:p>
    <w:p w14:paraId="62E30FDC" w14:textId="77777777" w:rsidR="009F54DE" w:rsidRDefault="00000000">
      <w:pPr>
        <w:jc w:val="center"/>
      </w:pPr>
      <w:r>
        <w:t>Source: (Hyatt, 2023)</w:t>
      </w:r>
    </w:p>
    <w:p w14:paraId="3BE4535F" w14:textId="77777777" w:rsidR="009F54DE" w:rsidRDefault="009F54DE"/>
    <w:p w14:paraId="415F454B" w14:textId="77777777" w:rsidR="009F54DE" w:rsidRDefault="00000000">
      <w:pPr>
        <w:keepNext/>
      </w:pPr>
      <w:r>
        <w:rPr>
          <w:noProof/>
        </w:rPr>
        <w:lastRenderedPageBreak/>
        <w:drawing>
          <wp:inline distT="0" distB="0" distL="0" distR="0" wp14:anchorId="2AC900CB" wp14:editId="7C303818">
            <wp:extent cx="5943600" cy="3882390"/>
            <wp:effectExtent l="0" t="0" r="0" b="0"/>
            <wp:docPr id="1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3882390"/>
                    </a:xfrm>
                    <a:prstGeom prst="rect">
                      <a:avLst/>
                    </a:prstGeom>
                    <a:ln/>
                  </pic:spPr>
                </pic:pic>
              </a:graphicData>
            </a:graphic>
          </wp:inline>
        </w:drawing>
      </w:r>
    </w:p>
    <w:p w14:paraId="7EF229A8" w14:textId="77777777" w:rsidR="009F54DE" w:rsidRDefault="00000000">
      <w:pPr>
        <w:pBdr>
          <w:top w:val="nil"/>
          <w:left w:val="nil"/>
          <w:bottom w:val="nil"/>
          <w:right w:val="nil"/>
          <w:between w:val="nil"/>
        </w:pBdr>
        <w:spacing w:after="200"/>
        <w:jc w:val="center"/>
        <w:rPr>
          <w:color w:val="000000"/>
        </w:rPr>
      </w:pPr>
      <w:r>
        <w:rPr>
          <w:color w:val="000000"/>
        </w:rPr>
        <w:t>Figure 6: Leading hotel and resort companies worldwide in 2023, by sales</w:t>
      </w:r>
    </w:p>
    <w:p w14:paraId="2B3502F3" w14:textId="77777777" w:rsidR="009F54DE" w:rsidRDefault="00000000">
      <w:pPr>
        <w:jc w:val="center"/>
      </w:pPr>
      <w:r>
        <w:t>Source: (Statista, 2023)</w:t>
      </w:r>
    </w:p>
    <w:p w14:paraId="2BBEF3ED" w14:textId="77777777" w:rsidR="009F54DE" w:rsidRDefault="00000000">
      <w:pPr>
        <w:ind w:firstLine="432"/>
      </w:pPr>
      <w:r>
        <w:t>The above graph shows that competitive analysis of the hotels in which Marriott Hotel is leading by 24%, however, Hyatt Hotel reaches 7.2% which provides a significant influence on the revenue and profit margin. Moreover, Marriott and Hilton compete head-to-head with Hyatt in the luxury and business segments with separate worldwide network and loyalty platforms. Additionally, IHG and Accor have well-rounded mid-tier and luxury portfolios but excel particularly in Europe and Asia. However, Four Seasons goes up against Hyatt's differentiated luxury brands due to its luxury selection, while Wyndham and Radisson dine at the Hyatt, budget-friendly mid-selection.</w:t>
      </w:r>
    </w:p>
    <w:p w14:paraId="57A0A828" w14:textId="77777777" w:rsidR="009F54DE" w:rsidRDefault="00000000">
      <w:pPr>
        <w:pStyle w:val="Heading1"/>
        <w:numPr>
          <w:ilvl w:val="0"/>
          <w:numId w:val="2"/>
        </w:numPr>
      </w:pPr>
      <w:bookmarkStart w:id="4" w:name="_heading=h.2et92p0" w:colFirst="0" w:colLast="0"/>
      <w:bookmarkEnd w:id="4"/>
      <w:r>
        <w:t>Recent change initiatives</w:t>
      </w:r>
    </w:p>
    <w:p w14:paraId="495FF74C" w14:textId="77777777" w:rsidR="009F54DE" w:rsidRDefault="00000000">
      <w:pPr>
        <w:ind w:firstLine="432"/>
      </w:pPr>
      <w:r>
        <w:t xml:space="preserve">Hyatt has been investing in numerous sustainability strategies and priorities, digital and health and wellness, as well as change across the organization in the past few years. Hyatt’s sustainability program is under the brand “World of Care” Below are some serious environmental goals Hyatt </w:t>
      </w:r>
      <w:r>
        <w:lastRenderedPageBreak/>
        <w:t>has taken Hyatt has set greenhouse gas emission reduction targets with science-based targets up to 2030. The company has also achieved a lot regarding the use of renewable energy in multiple assets including those located in New York and Chicago all of which are 100% renewable electricity. Responsible water management, waste minimization, and sustainable procurement as well as investment in the success of destinations through local social responsibility remain important at Hyatt in the future (</w:t>
      </w:r>
      <w:proofErr w:type="spellStart"/>
      <w:r>
        <w:t>Kairatkyzy</w:t>
      </w:r>
      <w:proofErr w:type="spellEnd"/>
      <w:r>
        <w:t xml:space="preserve"> and </w:t>
      </w:r>
      <w:proofErr w:type="spellStart"/>
      <w:r>
        <w:t>Kozhakova</w:t>
      </w:r>
      <w:proofErr w:type="spellEnd"/>
      <w:r>
        <w:t>, 2023). In terms of wellness, Hyatt has incorporated health and wellness into its services. Additionally, the resort category for instance Miraval offers the guests a wellness solution (</w:t>
      </w:r>
      <w:r>
        <w:rPr>
          <w:highlight w:val="white"/>
        </w:rPr>
        <w:t>Legrand, et al., 2020)</w:t>
      </w:r>
      <w:r>
        <w:t>. Moreover, new products offer, digital solutions for the guest experience as well as for the company's well-being and ecology initiatives. Moreover, the organization and the customers within this have been achieved through the "Change Starts Here" program that standards for accountability and actions.</w:t>
      </w:r>
    </w:p>
    <w:p w14:paraId="019F069D" w14:textId="77777777" w:rsidR="009F54DE" w:rsidRDefault="00000000">
      <w:pPr>
        <w:pStyle w:val="Heading2"/>
        <w:numPr>
          <w:ilvl w:val="1"/>
          <w:numId w:val="2"/>
        </w:numPr>
      </w:pPr>
      <w:bookmarkStart w:id="5" w:name="_heading=h.tyjcwt" w:colFirst="0" w:colLast="0"/>
      <w:bookmarkEnd w:id="5"/>
      <w:r>
        <w:t xml:space="preserve">Lewin’s Change Management Model </w:t>
      </w:r>
    </w:p>
    <w:p w14:paraId="4CCD6D02" w14:textId="77777777" w:rsidR="009F54DE" w:rsidRDefault="00000000">
      <w:pPr>
        <w:ind w:firstLine="576"/>
      </w:pPr>
      <w:r>
        <w:t>Lewin's Change Management Model focuses on a three-stage process of implementing organizational culture change in public organizations (</w:t>
      </w:r>
      <w:r>
        <w:rPr>
          <w:highlight w:val="white"/>
        </w:rPr>
        <w:t>Tang et al., 2019)</w:t>
      </w:r>
      <w:r>
        <w:t>. Therefore, takes the following three steps; these are the unfreezing process, the change process, and the refreezing process. The first phase is the process labeled unfreezing, which represents the preparation of the organizational change process and the target motivation of the participants of the change. In the second stage, modification or implementation of the new behaviors, processes, or practices starts. Moreover, in the refreezing stage, the changes become the new culture and practice in the organization (</w:t>
      </w:r>
      <w:r>
        <w:rPr>
          <w:highlight w:val="white"/>
        </w:rPr>
        <w:t>Burnes, 2020)</w:t>
      </w:r>
      <w:r>
        <w:t>. This model is especially useful in organizations such as Hyatt where changes like the use of digital keys need to be integrated into the existing fabric of the company systems gradually.</w:t>
      </w:r>
    </w:p>
    <w:p w14:paraId="7FDBB380" w14:textId="77777777" w:rsidR="009F54DE" w:rsidRDefault="00000000">
      <w:pPr>
        <w:keepNext/>
        <w:jc w:val="center"/>
      </w:pPr>
      <w:r>
        <w:rPr>
          <w:noProof/>
        </w:rPr>
        <w:lastRenderedPageBreak/>
        <w:drawing>
          <wp:inline distT="0" distB="0" distL="0" distR="0" wp14:anchorId="60E4F471" wp14:editId="4A82797A">
            <wp:extent cx="3085332" cy="2781629"/>
            <wp:effectExtent l="38100" t="38100" r="38100" b="3810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085332" cy="2781629"/>
                    </a:xfrm>
                    <a:prstGeom prst="rect">
                      <a:avLst/>
                    </a:prstGeom>
                    <a:ln w="38100">
                      <a:solidFill>
                        <a:srgbClr val="000000"/>
                      </a:solidFill>
                      <a:prstDash val="solid"/>
                    </a:ln>
                  </pic:spPr>
                </pic:pic>
              </a:graphicData>
            </a:graphic>
          </wp:inline>
        </w:drawing>
      </w:r>
    </w:p>
    <w:p w14:paraId="2A822FA2" w14:textId="77777777" w:rsidR="009F54DE" w:rsidRDefault="00000000">
      <w:pPr>
        <w:pBdr>
          <w:top w:val="nil"/>
          <w:left w:val="nil"/>
          <w:bottom w:val="nil"/>
          <w:right w:val="nil"/>
          <w:between w:val="nil"/>
        </w:pBdr>
        <w:spacing w:after="200"/>
        <w:jc w:val="center"/>
        <w:rPr>
          <w:color w:val="000000"/>
        </w:rPr>
      </w:pPr>
      <w:r>
        <w:rPr>
          <w:color w:val="000000"/>
        </w:rPr>
        <w:t>Figure 7: Lewis model</w:t>
      </w:r>
    </w:p>
    <w:p w14:paraId="5F6A36B0" w14:textId="77777777" w:rsidR="009F54DE" w:rsidRDefault="00000000">
      <w:pPr>
        <w:jc w:val="center"/>
      </w:pPr>
      <w:r>
        <w:t>Source: (</w:t>
      </w:r>
      <w:r>
        <w:rPr>
          <w:highlight w:val="white"/>
        </w:rPr>
        <w:t>Burnes, 2020)</w:t>
      </w:r>
    </w:p>
    <w:p w14:paraId="08C0D9CE" w14:textId="77777777" w:rsidR="009F54DE" w:rsidRDefault="00000000">
      <w:pPr>
        <w:pStyle w:val="Heading2"/>
        <w:numPr>
          <w:ilvl w:val="1"/>
          <w:numId w:val="2"/>
        </w:numPr>
      </w:pPr>
      <w:bookmarkStart w:id="6" w:name="_heading=h.3dy6vkm" w:colFirst="0" w:colLast="0"/>
      <w:bookmarkEnd w:id="6"/>
      <w:r>
        <w:t>Kotter’s 8-Step Change Model</w:t>
      </w:r>
    </w:p>
    <w:p w14:paraId="69705B79" w14:textId="77777777" w:rsidR="009F54DE" w:rsidRDefault="00000000">
      <w:pPr>
        <w:ind w:firstLine="576"/>
      </w:pPr>
      <w:r>
        <w:t>Kotter's change model is a fundamental approach that provides a significant impact on transformational initiatives (</w:t>
      </w:r>
      <w:r>
        <w:rPr>
          <w:highlight w:val="white"/>
        </w:rPr>
        <w:t xml:space="preserve">Laig and </w:t>
      </w:r>
      <w:proofErr w:type="spellStart"/>
      <w:r>
        <w:rPr>
          <w:highlight w:val="white"/>
        </w:rPr>
        <w:t>Abocejo</w:t>
      </w:r>
      <w:proofErr w:type="spellEnd"/>
      <w:r>
        <w:rPr>
          <w:highlight w:val="white"/>
        </w:rPr>
        <w:t>, 2021).</w:t>
      </w:r>
      <w:r>
        <w:t xml:space="preserve"> The eight steps include creating urgency, forming a guiding coalition, developing a vision, communicating the vision, empowering the action, creating quick wins, building on change, and anchoring new approaches. Moreover, Hyatt is aware of the necessity to solve climate change and management issues. They embrace sustainability issues as important and encourage businesses and their stakeholders, including sourcing renewable energy, to embrace green initiatives. Moreover, </w:t>
      </w:r>
      <w:proofErr w:type="gramStart"/>
      <w:r>
        <w:t>Promotes</w:t>
      </w:r>
      <w:proofErr w:type="gramEnd"/>
      <w:r>
        <w:t xml:space="preserve"> change, and manages and sustains innovations, such as the shift to digital check-ins and environmentally friendly systems (</w:t>
      </w:r>
      <w:proofErr w:type="spellStart"/>
      <w:r>
        <w:rPr>
          <w:highlight w:val="white"/>
        </w:rPr>
        <w:t>Darwazeh</w:t>
      </w:r>
      <w:proofErr w:type="spellEnd"/>
      <w:r>
        <w:rPr>
          <w:highlight w:val="white"/>
        </w:rPr>
        <w:t xml:space="preserve"> et al., 2024).</w:t>
      </w:r>
      <w:r>
        <w:t xml:space="preserve"> </w:t>
      </w:r>
    </w:p>
    <w:p w14:paraId="16720E2C" w14:textId="77777777" w:rsidR="009F54DE" w:rsidRDefault="00000000">
      <w:pPr>
        <w:ind w:firstLine="576"/>
      </w:pPr>
      <w:r>
        <w:t>Significantly, Hyatt has a long-term objective to be among the best players in sustainable accommodation organizations. This vision is evident in its stewardship on issues of environmental conservation, societal issues as well as corporate innovation throughout the chain of its hotels (</w:t>
      </w:r>
      <w:r>
        <w:rPr>
          <w:highlight w:val="white"/>
        </w:rPr>
        <w:t>Hu et al., 2022)</w:t>
      </w:r>
      <w:r>
        <w:t xml:space="preserve">. Furthermore, Hyatt communicates its vision to the various stakeholders using internal newsletters, sustainability reports, and the media so stakeholders can embrace the change.​ However, it allows employees at every organizational level to adopt new technologies such as digital key systems and energy-saving measures. Subsequently, Hyatt's ingratiate early milestones </w:t>
      </w:r>
      <w:r>
        <w:lastRenderedPageBreak/>
        <w:t>include its first carbon-neutral hotels, which helped sustain positive progress at the company. Hyatt also always follows up successful promises by creating branches of them such as increasing the company's sustainability measures in more countries and guaranteeing these measures as core values of the business. Hyatt strengthens loyalty globally, and integrates the goals and objectives of sustainable development with the company’s development priorities, becoming an inherent value of the brand (</w:t>
      </w:r>
      <w:r>
        <w:rPr>
          <w:highlight w:val="white"/>
        </w:rPr>
        <w:t>Bellos, 2024)</w:t>
      </w:r>
      <w:r>
        <w:t>.</w:t>
      </w:r>
    </w:p>
    <w:p w14:paraId="30965FF6" w14:textId="77777777" w:rsidR="009F54DE" w:rsidRDefault="00000000">
      <w:pPr>
        <w:keepNext/>
        <w:jc w:val="center"/>
      </w:pPr>
      <w:r>
        <w:rPr>
          <w:noProof/>
        </w:rPr>
        <w:drawing>
          <wp:inline distT="0" distB="0" distL="0" distR="0" wp14:anchorId="0A7B22C7" wp14:editId="30F1DD86">
            <wp:extent cx="3352800" cy="2457450"/>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3352800" cy="2457450"/>
                    </a:xfrm>
                    <a:prstGeom prst="rect">
                      <a:avLst/>
                    </a:prstGeom>
                    <a:ln/>
                  </pic:spPr>
                </pic:pic>
              </a:graphicData>
            </a:graphic>
          </wp:inline>
        </w:drawing>
      </w:r>
    </w:p>
    <w:p w14:paraId="13EC4021" w14:textId="77777777" w:rsidR="009F54DE" w:rsidRDefault="00000000">
      <w:pPr>
        <w:pBdr>
          <w:top w:val="nil"/>
          <w:left w:val="nil"/>
          <w:bottom w:val="nil"/>
          <w:right w:val="nil"/>
          <w:between w:val="nil"/>
        </w:pBdr>
        <w:spacing w:after="200" w:line="240" w:lineRule="auto"/>
        <w:jc w:val="center"/>
        <w:rPr>
          <w:color w:val="000000"/>
        </w:rPr>
      </w:pPr>
      <w:r>
        <w:rPr>
          <w:color w:val="000000"/>
        </w:rPr>
        <w:t xml:space="preserve">Figure 8: </w:t>
      </w:r>
      <w:proofErr w:type="spellStart"/>
      <w:r>
        <w:rPr>
          <w:color w:val="000000"/>
        </w:rPr>
        <w:t>Kotters</w:t>
      </w:r>
      <w:proofErr w:type="spellEnd"/>
      <w:r>
        <w:rPr>
          <w:color w:val="000000"/>
        </w:rPr>
        <w:t xml:space="preserve"> 8-step change model</w:t>
      </w:r>
    </w:p>
    <w:p w14:paraId="6964EAB5" w14:textId="77777777" w:rsidR="009F54DE" w:rsidRDefault="00000000">
      <w:pPr>
        <w:jc w:val="center"/>
      </w:pPr>
      <w:r>
        <w:t>Source: (</w:t>
      </w:r>
      <w:r>
        <w:rPr>
          <w:highlight w:val="white"/>
        </w:rPr>
        <w:t xml:space="preserve">Laig and </w:t>
      </w:r>
      <w:proofErr w:type="spellStart"/>
      <w:r>
        <w:rPr>
          <w:highlight w:val="white"/>
        </w:rPr>
        <w:t>Abocejo</w:t>
      </w:r>
      <w:proofErr w:type="spellEnd"/>
      <w:r>
        <w:rPr>
          <w:highlight w:val="white"/>
        </w:rPr>
        <w:t>, 2021)</w:t>
      </w:r>
    </w:p>
    <w:p w14:paraId="5F8D0ED9" w14:textId="77777777" w:rsidR="009F54DE" w:rsidRDefault="00000000">
      <w:pPr>
        <w:pStyle w:val="Heading1"/>
        <w:numPr>
          <w:ilvl w:val="0"/>
          <w:numId w:val="2"/>
        </w:numPr>
      </w:pPr>
      <w:bookmarkStart w:id="7" w:name="_heading=h.1t3h5sf" w:colFirst="0" w:colLast="0"/>
      <w:bookmarkEnd w:id="7"/>
      <w:r>
        <w:t xml:space="preserve">Strategic Direction </w:t>
      </w:r>
    </w:p>
    <w:p w14:paraId="417F86A7" w14:textId="77777777" w:rsidR="009F54DE" w:rsidRDefault="00000000">
      <w:pPr>
        <w:ind w:firstLine="432"/>
      </w:pPr>
      <w:r>
        <w:t>Hyatt's vision for the future consists of a dramatic expansion, especially in growth-related markets and the high-end sector. The company has plans for further growth in popular areas such as Asia-Pacific and Latin America as tourism is growing and people's income rises. Hyatt also aims to improve of position in the segment of luxury collaborating with the acquirement of properties and services that provide a competitive advantage in the worldwide hospitality industry. Market development is being undertaken by Hyatt through opening new properties in the existing and new growing markets.  Hyatt has specifically ventured into Asia-Pacific, the Middle East, and Latin America by establishing new properties in thriving economic cities with coming-up tourism (</w:t>
      </w:r>
      <w:proofErr w:type="spellStart"/>
      <w:r>
        <w:t>Duffhues</w:t>
      </w:r>
      <w:proofErr w:type="spellEnd"/>
      <w:r>
        <w:t xml:space="preserve"> and Ensign, 2024). Asia has strengthened Hyatt's presence in the crucial markets comprising China and India and has pushed the company's advancement in the Middle East with some hotels situated in places like Dubai and Riyadh.  Hyatt can customize its services to suit </w:t>
      </w:r>
      <w:r>
        <w:lastRenderedPageBreak/>
        <w:t>clients' demands and at the same time keep to the prestige of the brand in these regions, thus appeal to new markets will be achieved. Moreover, mergers and acquisitions the purchase of Two Roads Hospitality led to the enhancement of luxury segmentation by providing newer luxury properties in its pool (</w:t>
      </w:r>
      <w:r>
        <w:rPr>
          <w:highlight w:val="white"/>
        </w:rPr>
        <w:t>Bohne, 2021)</w:t>
      </w:r>
      <w:r>
        <w:t>.</w:t>
      </w:r>
    </w:p>
    <w:p w14:paraId="545D9D1E" w14:textId="77777777" w:rsidR="009F54DE" w:rsidRDefault="00000000">
      <w:pPr>
        <w:ind w:firstLine="432"/>
      </w:pPr>
      <w:r>
        <w:t xml:space="preserve"> Hyatt also expands its services through mergers and partnerships with different industries, world vacation contracts with airlines, and technology solutions for customer services. Regarding digital communication, Hyatt uses populated advertisements, digital statistics, and social networks to attract the target audience and consolidate the worldwide presence of the company's brands (</w:t>
      </w:r>
      <w:r>
        <w:rPr>
          <w:highlight w:val="white"/>
        </w:rPr>
        <w:t>Papageorgiou et al., 2020)</w:t>
      </w:r>
      <w:r>
        <w:t>. The specific outcomes of these strategic initiatives are closely evaluated by using benchmark variables such as occupancy ratios, membership base of the loyalty schemes, and regional market share. Customer satisfaction questionnaires and other forms of organizational feedback are important in responding to strategies in real-time (</w:t>
      </w:r>
      <w:r>
        <w:rPr>
          <w:highlight w:val="white"/>
        </w:rPr>
        <w:t xml:space="preserve">Schuckert et al., 2019). </w:t>
      </w:r>
    </w:p>
    <w:p w14:paraId="266169AF" w14:textId="77777777" w:rsidR="009F54DE" w:rsidRDefault="00000000">
      <w:pPr>
        <w:pStyle w:val="Heading1"/>
        <w:numPr>
          <w:ilvl w:val="0"/>
          <w:numId w:val="2"/>
        </w:numPr>
      </w:pPr>
      <w:bookmarkStart w:id="8" w:name="_heading=h.4d34og8" w:colFirst="0" w:colLast="0"/>
      <w:bookmarkEnd w:id="8"/>
      <w:r>
        <w:t xml:space="preserve">Recommendation </w:t>
      </w:r>
    </w:p>
    <w:p w14:paraId="022013A1" w14:textId="77777777" w:rsidR="009F54DE" w:rsidRDefault="00000000">
      <w:pPr>
        <w:numPr>
          <w:ilvl w:val="0"/>
          <w:numId w:val="3"/>
        </w:numPr>
        <w:pBdr>
          <w:top w:val="nil"/>
          <w:left w:val="nil"/>
          <w:bottom w:val="nil"/>
          <w:right w:val="nil"/>
          <w:between w:val="nil"/>
        </w:pBdr>
        <w:rPr>
          <w:b/>
          <w:color w:val="000000"/>
        </w:rPr>
      </w:pPr>
      <w:r>
        <w:rPr>
          <w:b/>
          <w:color w:val="000000"/>
        </w:rPr>
        <w:t xml:space="preserve">Leveraging AI for personalized guest experience </w:t>
      </w:r>
    </w:p>
    <w:p w14:paraId="239DABAE" w14:textId="77777777" w:rsidR="009F54DE" w:rsidRDefault="00000000">
      <w:pPr>
        <w:rPr>
          <w:b/>
        </w:rPr>
      </w:pPr>
      <w:r>
        <w:t>This approach also shows that AI integration can improve guest satisfaction by providing unique services catering to clients’ preferences (</w:t>
      </w:r>
      <w:r>
        <w:rPr>
          <w:highlight w:val="white"/>
        </w:rPr>
        <w:t>Saxena et al., 2024)</w:t>
      </w:r>
      <w:r>
        <w:t xml:space="preserve">. Hyatt is able to forecast the specific needs of its guests, suggest services, and adjust settings of the guest room according to previous actions and patterns that result in a better value for the clients and, therefore, achieve higher customer loyalty. </w:t>
      </w:r>
    </w:p>
    <w:p w14:paraId="72D001C9" w14:textId="77777777" w:rsidR="009F54DE" w:rsidRDefault="00000000">
      <w:pPr>
        <w:numPr>
          <w:ilvl w:val="0"/>
          <w:numId w:val="3"/>
        </w:numPr>
        <w:pBdr>
          <w:top w:val="nil"/>
          <w:left w:val="nil"/>
          <w:bottom w:val="nil"/>
          <w:right w:val="nil"/>
          <w:between w:val="nil"/>
        </w:pBdr>
        <w:rPr>
          <w:b/>
          <w:color w:val="000000"/>
        </w:rPr>
      </w:pPr>
      <w:r>
        <w:rPr>
          <w:b/>
          <w:color w:val="000000"/>
        </w:rPr>
        <w:t xml:space="preserve">Strengthen Hyatt's position in budget and mid-tier segments. </w:t>
      </w:r>
    </w:p>
    <w:p w14:paraId="30E1691E" w14:textId="77777777" w:rsidR="009F54DE" w:rsidRDefault="00000000">
      <w:r>
        <w:t>Extending this, the opportunity to penetrate other segments by participating in the upper economy and mid-price range will provide a wider client base, and thus, further the reputation of Hyatt. Moreover, the value proposition Hyatt can attract a broad market share and more stable revenues, particularly in high entropy markets where the price consciousness of customers is an essential factor (</w:t>
      </w:r>
      <w:r>
        <w:rPr>
          <w:highlight w:val="white"/>
        </w:rPr>
        <w:t>Vinod, 2022)</w:t>
      </w:r>
      <w:r>
        <w:t>.</w:t>
      </w:r>
    </w:p>
    <w:p w14:paraId="528A695B" w14:textId="77777777" w:rsidR="009F54DE" w:rsidRDefault="00000000">
      <w:pPr>
        <w:numPr>
          <w:ilvl w:val="0"/>
          <w:numId w:val="3"/>
        </w:numPr>
        <w:pBdr>
          <w:top w:val="nil"/>
          <w:left w:val="nil"/>
          <w:bottom w:val="nil"/>
          <w:right w:val="nil"/>
          <w:between w:val="nil"/>
        </w:pBdr>
        <w:rPr>
          <w:b/>
          <w:color w:val="000000"/>
        </w:rPr>
      </w:pPr>
      <w:r>
        <w:rPr>
          <w:b/>
          <w:color w:val="000000"/>
        </w:rPr>
        <w:t xml:space="preserve">Developing loyalty programs for business and leisure </w:t>
      </w:r>
    </w:p>
    <w:p w14:paraId="22F8B083" w14:textId="77777777" w:rsidR="009F54DE" w:rsidRDefault="00000000">
      <w:r>
        <w:lastRenderedPageBreak/>
        <w:t>In the context of improving the customer retention rate, by targeting career-oriented people by offering them incentives for business-related travel and at the same time self-employed people who want to book for the holidays and get benefits (</w:t>
      </w:r>
      <w:r>
        <w:rPr>
          <w:highlight w:val="white"/>
        </w:rPr>
        <w:t>Koo et al., 2020).</w:t>
      </w:r>
    </w:p>
    <w:tbl>
      <w:tblPr>
        <w:tblStyle w:val="a"/>
        <w:tblW w:w="11610" w:type="dxa"/>
        <w:tblInd w:w="-1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70"/>
        <w:gridCol w:w="1337"/>
        <w:gridCol w:w="1363"/>
        <w:gridCol w:w="1260"/>
        <w:gridCol w:w="1980"/>
        <w:gridCol w:w="1890"/>
        <w:gridCol w:w="1710"/>
      </w:tblGrid>
      <w:tr w:rsidR="009F54DE" w14:paraId="70C6C959" w14:textId="77777777">
        <w:tc>
          <w:tcPr>
            <w:tcW w:w="2070" w:type="dxa"/>
            <w:shd w:val="clear" w:color="auto" w:fill="FFC000"/>
          </w:tcPr>
          <w:p w14:paraId="39984D02" w14:textId="77777777" w:rsidR="009F54DE" w:rsidRDefault="00000000">
            <w:pPr>
              <w:rPr>
                <w:b/>
              </w:rPr>
            </w:pPr>
            <w:r>
              <w:rPr>
                <w:b/>
              </w:rPr>
              <w:t>Recommendation</w:t>
            </w:r>
          </w:p>
        </w:tc>
        <w:tc>
          <w:tcPr>
            <w:tcW w:w="1337" w:type="dxa"/>
            <w:shd w:val="clear" w:color="auto" w:fill="FFC000"/>
          </w:tcPr>
          <w:p w14:paraId="22CF2124" w14:textId="77777777" w:rsidR="009F54DE" w:rsidRDefault="00000000">
            <w:pPr>
              <w:rPr>
                <w:b/>
              </w:rPr>
            </w:pPr>
            <w:r>
              <w:rPr>
                <w:b/>
              </w:rPr>
              <w:t>Who</w:t>
            </w:r>
          </w:p>
        </w:tc>
        <w:tc>
          <w:tcPr>
            <w:tcW w:w="1363" w:type="dxa"/>
            <w:shd w:val="clear" w:color="auto" w:fill="FFC000"/>
          </w:tcPr>
          <w:p w14:paraId="7F372CA1" w14:textId="77777777" w:rsidR="009F54DE" w:rsidRDefault="00000000">
            <w:pPr>
              <w:rPr>
                <w:b/>
              </w:rPr>
            </w:pPr>
            <w:r>
              <w:rPr>
                <w:b/>
              </w:rPr>
              <w:t>When</w:t>
            </w:r>
          </w:p>
        </w:tc>
        <w:tc>
          <w:tcPr>
            <w:tcW w:w="1260" w:type="dxa"/>
            <w:shd w:val="clear" w:color="auto" w:fill="FFC000"/>
          </w:tcPr>
          <w:p w14:paraId="02B8126E" w14:textId="77777777" w:rsidR="009F54DE" w:rsidRDefault="00000000">
            <w:pPr>
              <w:rPr>
                <w:b/>
              </w:rPr>
            </w:pPr>
            <w:r>
              <w:rPr>
                <w:b/>
              </w:rPr>
              <w:t>Where</w:t>
            </w:r>
          </w:p>
        </w:tc>
        <w:tc>
          <w:tcPr>
            <w:tcW w:w="1980" w:type="dxa"/>
            <w:shd w:val="clear" w:color="auto" w:fill="FFC000"/>
          </w:tcPr>
          <w:p w14:paraId="6AA7B5D6" w14:textId="77777777" w:rsidR="009F54DE" w:rsidRDefault="00000000">
            <w:pPr>
              <w:rPr>
                <w:b/>
              </w:rPr>
            </w:pPr>
            <w:r>
              <w:rPr>
                <w:b/>
              </w:rPr>
              <w:t>Why</w:t>
            </w:r>
          </w:p>
        </w:tc>
        <w:tc>
          <w:tcPr>
            <w:tcW w:w="1890" w:type="dxa"/>
            <w:shd w:val="clear" w:color="auto" w:fill="FFC000"/>
          </w:tcPr>
          <w:p w14:paraId="3EF7D592" w14:textId="77777777" w:rsidR="009F54DE" w:rsidRDefault="00000000">
            <w:pPr>
              <w:rPr>
                <w:b/>
              </w:rPr>
            </w:pPr>
            <w:r>
              <w:rPr>
                <w:b/>
              </w:rPr>
              <w:t>How</w:t>
            </w:r>
          </w:p>
        </w:tc>
        <w:tc>
          <w:tcPr>
            <w:tcW w:w="1710" w:type="dxa"/>
            <w:shd w:val="clear" w:color="auto" w:fill="FFC000"/>
          </w:tcPr>
          <w:p w14:paraId="44C91210" w14:textId="77777777" w:rsidR="009F54DE" w:rsidRDefault="00000000">
            <w:pPr>
              <w:rPr>
                <w:b/>
              </w:rPr>
            </w:pPr>
            <w:r>
              <w:rPr>
                <w:b/>
              </w:rPr>
              <w:t>Examples of Best Practice</w:t>
            </w:r>
          </w:p>
        </w:tc>
      </w:tr>
      <w:tr w:rsidR="009F54DE" w14:paraId="7DF96791" w14:textId="77777777">
        <w:tc>
          <w:tcPr>
            <w:tcW w:w="2070" w:type="dxa"/>
            <w:shd w:val="clear" w:color="auto" w:fill="FFF2CC"/>
          </w:tcPr>
          <w:p w14:paraId="15275DDC" w14:textId="77777777" w:rsidR="009F54DE" w:rsidRDefault="00000000">
            <w:r>
              <w:t>Leverage AI for Personalized Guest Experiences</w:t>
            </w:r>
          </w:p>
        </w:tc>
        <w:tc>
          <w:tcPr>
            <w:tcW w:w="1337" w:type="dxa"/>
            <w:shd w:val="clear" w:color="auto" w:fill="FFF2CC"/>
          </w:tcPr>
          <w:p w14:paraId="22488496" w14:textId="77777777" w:rsidR="009F54DE" w:rsidRDefault="00000000">
            <w:r>
              <w:t>IT, Data Analytics Team</w:t>
            </w:r>
          </w:p>
        </w:tc>
        <w:tc>
          <w:tcPr>
            <w:tcW w:w="1363" w:type="dxa"/>
            <w:shd w:val="clear" w:color="auto" w:fill="FFF2CC"/>
          </w:tcPr>
          <w:p w14:paraId="531322CB" w14:textId="77777777" w:rsidR="009F54DE" w:rsidRDefault="00000000">
            <w:r>
              <w:t>Next 12-18 months</w:t>
            </w:r>
          </w:p>
        </w:tc>
        <w:tc>
          <w:tcPr>
            <w:tcW w:w="1260" w:type="dxa"/>
            <w:shd w:val="clear" w:color="auto" w:fill="FFF2CC"/>
          </w:tcPr>
          <w:p w14:paraId="202A9758" w14:textId="77777777" w:rsidR="009F54DE" w:rsidRDefault="00000000">
            <w:r>
              <w:t>Global Hyatt Properties</w:t>
            </w:r>
          </w:p>
        </w:tc>
        <w:tc>
          <w:tcPr>
            <w:tcW w:w="1980" w:type="dxa"/>
            <w:shd w:val="clear" w:color="auto" w:fill="FFF2CC"/>
          </w:tcPr>
          <w:p w14:paraId="1CFCDD64" w14:textId="77777777" w:rsidR="009F54DE" w:rsidRDefault="00000000">
            <w:r>
              <w:t>Improve guest personalization, and increase satisfaction and loyalty.</w:t>
            </w:r>
          </w:p>
        </w:tc>
        <w:tc>
          <w:tcPr>
            <w:tcW w:w="1890" w:type="dxa"/>
            <w:shd w:val="clear" w:color="auto" w:fill="FFF2CC"/>
          </w:tcPr>
          <w:p w14:paraId="2BC617AD" w14:textId="77777777" w:rsidR="009F54DE" w:rsidRDefault="00000000">
            <w:r>
              <w:t>Implement AI-driven systems for booking, service requests, and personalized room settings. Invest in data analytics tools to gather guest data.</w:t>
            </w:r>
          </w:p>
        </w:tc>
        <w:tc>
          <w:tcPr>
            <w:tcW w:w="1710" w:type="dxa"/>
            <w:shd w:val="clear" w:color="auto" w:fill="FFF2CC"/>
          </w:tcPr>
          <w:p w14:paraId="69871339" w14:textId="77777777" w:rsidR="009F54DE" w:rsidRDefault="00000000">
            <w:r>
              <w:t>Hilton’s use of AI for personalized guest messaging and room customization offers a similar model.</w:t>
            </w:r>
          </w:p>
        </w:tc>
      </w:tr>
      <w:tr w:rsidR="009F54DE" w14:paraId="5C36CE99" w14:textId="77777777">
        <w:tc>
          <w:tcPr>
            <w:tcW w:w="2070" w:type="dxa"/>
            <w:shd w:val="clear" w:color="auto" w:fill="FFF2CC"/>
          </w:tcPr>
          <w:p w14:paraId="64071B29" w14:textId="77777777" w:rsidR="009F54DE" w:rsidRDefault="00000000">
            <w:r>
              <w:t>Strengthen Hyatt’s Position in Budget and Mid-Tier Segment</w:t>
            </w:r>
          </w:p>
        </w:tc>
        <w:tc>
          <w:tcPr>
            <w:tcW w:w="1337" w:type="dxa"/>
            <w:shd w:val="clear" w:color="auto" w:fill="FFF2CC"/>
          </w:tcPr>
          <w:p w14:paraId="7FA9ECE6" w14:textId="77777777" w:rsidR="009F54DE" w:rsidRDefault="00000000">
            <w:r>
              <w:t>Marketing, Sales Teams</w:t>
            </w:r>
          </w:p>
        </w:tc>
        <w:tc>
          <w:tcPr>
            <w:tcW w:w="1363" w:type="dxa"/>
            <w:shd w:val="clear" w:color="auto" w:fill="FFF2CC"/>
          </w:tcPr>
          <w:p w14:paraId="34F2412C" w14:textId="77777777" w:rsidR="009F54DE" w:rsidRDefault="00000000">
            <w:r>
              <w:t>Next 12-24 months</w:t>
            </w:r>
          </w:p>
        </w:tc>
        <w:tc>
          <w:tcPr>
            <w:tcW w:w="1260" w:type="dxa"/>
            <w:shd w:val="clear" w:color="auto" w:fill="FFF2CC"/>
          </w:tcPr>
          <w:p w14:paraId="4CBAF426" w14:textId="77777777" w:rsidR="009F54DE" w:rsidRDefault="00000000">
            <w:r>
              <w:t>Emerging Markets, Secondary Cities</w:t>
            </w:r>
          </w:p>
        </w:tc>
        <w:tc>
          <w:tcPr>
            <w:tcW w:w="1980" w:type="dxa"/>
            <w:shd w:val="clear" w:color="auto" w:fill="FFF2CC"/>
          </w:tcPr>
          <w:p w14:paraId="3B35345D" w14:textId="77777777" w:rsidR="009F54DE" w:rsidRDefault="00000000">
            <w:r>
              <w:t>Broaden market reach, appeal to price-sensitive travelers</w:t>
            </w:r>
          </w:p>
        </w:tc>
        <w:tc>
          <w:tcPr>
            <w:tcW w:w="1890" w:type="dxa"/>
            <w:shd w:val="clear" w:color="auto" w:fill="FFF2CC"/>
          </w:tcPr>
          <w:p w14:paraId="0326B678" w14:textId="77777777" w:rsidR="009F54DE" w:rsidRDefault="00000000">
            <w:r>
              <w:t>Launch value-driven products under the Hyatt Place and Hyatt House brands. Create marketing campaigns highlighting affordability and quality.</w:t>
            </w:r>
          </w:p>
        </w:tc>
        <w:tc>
          <w:tcPr>
            <w:tcW w:w="1710" w:type="dxa"/>
            <w:shd w:val="clear" w:color="auto" w:fill="FFF2CC"/>
          </w:tcPr>
          <w:p w14:paraId="7F32D588" w14:textId="77777777" w:rsidR="009F54DE" w:rsidRDefault="00000000">
            <w:r>
              <w:t>Marriott’s Courtyard and Holiday Inn Express have successfully tapped into the budget and mid-tier market.</w:t>
            </w:r>
          </w:p>
        </w:tc>
      </w:tr>
      <w:tr w:rsidR="009F54DE" w14:paraId="715F67FB" w14:textId="77777777">
        <w:tc>
          <w:tcPr>
            <w:tcW w:w="2070" w:type="dxa"/>
            <w:shd w:val="clear" w:color="auto" w:fill="FFF2CC"/>
          </w:tcPr>
          <w:p w14:paraId="3DA0AEA8" w14:textId="77777777" w:rsidR="009F54DE" w:rsidRDefault="00000000">
            <w:r>
              <w:t>Develop a Hybrid Loyalty Program for Business and Leisure Travelers</w:t>
            </w:r>
          </w:p>
        </w:tc>
        <w:tc>
          <w:tcPr>
            <w:tcW w:w="1337" w:type="dxa"/>
            <w:shd w:val="clear" w:color="auto" w:fill="FFF2CC"/>
          </w:tcPr>
          <w:p w14:paraId="58592C29" w14:textId="77777777" w:rsidR="009F54DE" w:rsidRDefault="00000000">
            <w:r>
              <w:t>Marketing, Loyalty Program Teams</w:t>
            </w:r>
          </w:p>
        </w:tc>
        <w:tc>
          <w:tcPr>
            <w:tcW w:w="1363" w:type="dxa"/>
            <w:shd w:val="clear" w:color="auto" w:fill="FFF2CC"/>
          </w:tcPr>
          <w:p w14:paraId="70000585" w14:textId="77777777" w:rsidR="009F54DE" w:rsidRDefault="00000000">
            <w:r>
              <w:t>Next 6-12 months</w:t>
            </w:r>
          </w:p>
        </w:tc>
        <w:tc>
          <w:tcPr>
            <w:tcW w:w="1260" w:type="dxa"/>
            <w:shd w:val="clear" w:color="auto" w:fill="FFF2CC"/>
          </w:tcPr>
          <w:p w14:paraId="4BE0BD58" w14:textId="77777777" w:rsidR="009F54DE" w:rsidRDefault="00000000">
            <w:r>
              <w:t>All Hyatt Properties</w:t>
            </w:r>
          </w:p>
        </w:tc>
        <w:tc>
          <w:tcPr>
            <w:tcW w:w="1980" w:type="dxa"/>
            <w:shd w:val="clear" w:color="auto" w:fill="FFF2CC"/>
          </w:tcPr>
          <w:p w14:paraId="07CCC6E4" w14:textId="77777777" w:rsidR="009F54DE" w:rsidRDefault="00000000">
            <w:r>
              <w:t>Strengthen customer loyalty and appeal to both business and leisure travelers.</w:t>
            </w:r>
          </w:p>
        </w:tc>
        <w:tc>
          <w:tcPr>
            <w:tcW w:w="1890" w:type="dxa"/>
            <w:shd w:val="clear" w:color="auto" w:fill="FFF2CC"/>
          </w:tcPr>
          <w:p w14:paraId="55F6DE36" w14:textId="77777777" w:rsidR="009F54DE" w:rsidRDefault="00000000">
            <w:r>
              <w:t>Create a tiered membership offering specific benefits for both travel segments. Use customer data to create tailored perks.</w:t>
            </w:r>
          </w:p>
        </w:tc>
        <w:tc>
          <w:tcPr>
            <w:tcW w:w="1710" w:type="dxa"/>
            <w:shd w:val="clear" w:color="auto" w:fill="FFF2CC"/>
          </w:tcPr>
          <w:p w14:paraId="7AB79F18" w14:textId="77777777" w:rsidR="009F54DE" w:rsidRDefault="00000000">
            <w:r>
              <w:t>Marriott’s Bonvoy program serves as an example of a hybrid program catering to both business and leisure guests.</w:t>
            </w:r>
          </w:p>
        </w:tc>
      </w:tr>
    </w:tbl>
    <w:p w14:paraId="74250995" w14:textId="77777777" w:rsidR="009F54DE" w:rsidRDefault="009F54DE">
      <w:pPr>
        <w:rPr>
          <w:b/>
        </w:rPr>
      </w:pPr>
    </w:p>
    <w:p w14:paraId="4BED8DA4" w14:textId="77777777" w:rsidR="009F54DE" w:rsidRDefault="00000000">
      <w:pPr>
        <w:pStyle w:val="Heading1"/>
        <w:numPr>
          <w:ilvl w:val="0"/>
          <w:numId w:val="2"/>
        </w:numPr>
      </w:pPr>
      <w:bookmarkStart w:id="9" w:name="_heading=h.2s8eyo1" w:colFirst="0" w:colLast="0"/>
      <w:bookmarkEnd w:id="9"/>
      <w:r>
        <w:t xml:space="preserve">Conclusion </w:t>
      </w:r>
    </w:p>
    <w:p w14:paraId="735FB7CC" w14:textId="77777777" w:rsidR="009F54DE" w:rsidRDefault="00000000">
      <w:pPr>
        <w:ind w:firstLine="720"/>
      </w:pPr>
      <w:r>
        <w:t xml:space="preserve">Conclusively, this report was based on the Hyatt Hotels organization, its culture, and objectives as well as changes that have occurred in the organization recently. This report also analyzes the factors which include market development and personalization of the client experiences as elements of the thesis where the author sought to analyze how they support Hyatt’s goals. Moreover, Hyatt, the report portrays the organization's successful strategic management </w:t>
      </w:r>
      <w:r>
        <w:lastRenderedPageBreak/>
        <w:t>execution of the Ansoff Matrix and Kotler’s 8-Step Process significantly. Moreover, this report highly provides the recommendations and strategic goals and alignment within the business.</w:t>
      </w:r>
    </w:p>
    <w:p w14:paraId="3A1B0A8A" w14:textId="77777777" w:rsidR="009F54DE" w:rsidRDefault="00000000">
      <w:pPr>
        <w:jc w:val="left"/>
      </w:pPr>
      <w:r>
        <w:br w:type="page"/>
      </w:r>
    </w:p>
    <w:p w14:paraId="3A702CAB" w14:textId="77777777" w:rsidR="009F54DE" w:rsidRDefault="00000000">
      <w:pPr>
        <w:pStyle w:val="Heading1"/>
        <w:numPr>
          <w:ilvl w:val="0"/>
          <w:numId w:val="2"/>
        </w:numPr>
      </w:pPr>
      <w:bookmarkStart w:id="10" w:name="_heading=h.17dp8vu" w:colFirst="0" w:colLast="0"/>
      <w:bookmarkEnd w:id="10"/>
      <w:r>
        <w:lastRenderedPageBreak/>
        <w:t>References</w:t>
      </w:r>
    </w:p>
    <w:p w14:paraId="7C6E8278" w14:textId="77777777" w:rsidR="009F54DE" w:rsidRDefault="009F54DE">
      <w:pPr>
        <w:ind w:left="432"/>
      </w:pPr>
    </w:p>
    <w:p w14:paraId="36903A71" w14:textId="77777777" w:rsidR="009F54DE" w:rsidRDefault="00000000">
      <w:pPr>
        <w:ind w:left="720" w:hanging="720"/>
      </w:pPr>
      <w:r>
        <w:rPr>
          <w:color w:val="222222"/>
          <w:highlight w:val="white"/>
        </w:rPr>
        <w:t xml:space="preserve"> Abed, M.A.A., Salim, A.A., Fayyad, S. and El-Sayed, S.F., 2024. Employment Stability, Guest Satisfaction, and Guest Loyalty in Tourism and Hospitality Establishments: </w:t>
      </w:r>
      <w:proofErr w:type="gramStart"/>
      <w:r>
        <w:rPr>
          <w:color w:val="222222"/>
          <w:highlight w:val="white"/>
        </w:rPr>
        <w:t>the</w:t>
      </w:r>
      <w:proofErr w:type="gramEnd"/>
      <w:r>
        <w:rPr>
          <w:color w:val="222222"/>
          <w:highlight w:val="white"/>
        </w:rPr>
        <w:t xml:space="preserve"> Role of the Customer-Oriented Boundary Spanning Behaviors and Deep-Acting. </w:t>
      </w:r>
      <w:r>
        <w:rPr>
          <w:i/>
          <w:color w:val="222222"/>
          <w:highlight w:val="white"/>
        </w:rPr>
        <w:t>The International Journal of Tourism and Hospitality Studies</w:t>
      </w:r>
      <w:r>
        <w:rPr>
          <w:color w:val="222222"/>
          <w:highlight w:val="white"/>
        </w:rPr>
        <w:t>, </w:t>
      </w:r>
      <w:r>
        <w:rPr>
          <w:i/>
          <w:color w:val="222222"/>
          <w:highlight w:val="white"/>
        </w:rPr>
        <w:t>7</w:t>
      </w:r>
      <w:r>
        <w:rPr>
          <w:color w:val="222222"/>
          <w:highlight w:val="white"/>
        </w:rPr>
        <w:t>(2), pp.110-135.</w:t>
      </w:r>
    </w:p>
    <w:p w14:paraId="561EDCD6" w14:textId="77777777" w:rsidR="009F54DE" w:rsidRDefault="00000000">
      <w:pPr>
        <w:ind w:left="720" w:hanging="720"/>
      </w:pPr>
      <w:r>
        <w:rPr>
          <w:color w:val="222222"/>
          <w:highlight w:val="white"/>
        </w:rPr>
        <w:t xml:space="preserve"> Bellos, K., 2024. The implementation and use of new technologies in the hospitality industry towards a sustainable future.</w:t>
      </w:r>
    </w:p>
    <w:p w14:paraId="790AEB22" w14:textId="77777777" w:rsidR="009F54DE" w:rsidRDefault="00000000">
      <w:pPr>
        <w:ind w:left="720" w:hanging="720"/>
      </w:pPr>
      <w:proofErr w:type="spellStart"/>
      <w:r>
        <w:rPr>
          <w:color w:val="222222"/>
          <w:highlight w:val="white"/>
        </w:rPr>
        <w:t>Bilovodska</w:t>
      </w:r>
      <w:proofErr w:type="spellEnd"/>
      <w:r>
        <w:rPr>
          <w:color w:val="222222"/>
          <w:highlight w:val="white"/>
        </w:rPr>
        <w:t xml:space="preserve">, O. and Kravchuk, M., 2020. Evaluating the brands of the hospitality industry in the conditions of economy and image development in Ukraine as a tourist country. </w:t>
      </w:r>
      <w:r>
        <w:rPr>
          <w:i/>
          <w:color w:val="222222"/>
          <w:highlight w:val="white"/>
        </w:rPr>
        <w:t>The Journal of VN Karazin Kharkiv National University. Series: International Relations. Economics. Country Studies. Tourism</w:t>
      </w:r>
      <w:r>
        <w:rPr>
          <w:color w:val="222222"/>
          <w:highlight w:val="white"/>
        </w:rPr>
        <w:t>, (11), pp.95-103.</w:t>
      </w:r>
    </w:p>
    <w:p w14:paraId="32EB7F0C" w14:textId="77777777" w:rsidR="009F54DE" w:rsidRDefault="00000000">
      <w:pPr>
        <w:ind w:left="720" w:hanging="720"/>
        <w:rPr>
          <w:color w:val="222222"/>
          <w:highlight w:val="white"/>
        </w:rPr>
      </w:pPr>
      <w:r>
        <w:rPr>
          <w:color w:val="222222"/>
          <w:highlight w:val="white"/>
        </w:rPr>
        <w:t>Bohne, H., 2021. Recruiting for luxury: Case studies of luxury hotel brands and their co-operative activities for recruiting. </w:t>
      </w:r>
      <w:r>
        <w:rPr>
          <w:i/>
          <w:color w:val="222222"/>
          <w:highlight w:val="white"/>
        </w:rPr>
        <w:t>Research in Hospitality Management</w:t>
      </w:r>
      <w:r>
        <w:rPr>
          <w:color w:val="222222"/>
          <w:highlight w:val="white"/>
        </w:rPr>
        <w:t>, </w:t>
      </w:r>
      <w:r>
        <w:rPr>
          <w:i/>
          <w:color w:val="222222"/>
          <w:highlight w:val="white"/>
        </w:rPr>
        <w:t>11</w:t>
      </w:r>
      <w:r>
        <w:rPr>
          <w:color w:val="222222"/>
          <w:highlight w:val="white"/>
        </w:rPr>
        <w:t>(1), pp.45-52.</w:t>
      </w:r>
    </w:p>
    <w:p w14:paraId="0F75C767" w14:textId="77777777" w:rsidR="009F54DE" w:rsidRDefault="00000000">
      <w:pPr>
        <w:ind w:left="720" w:hanging="720"/>
      </w:pPr>
      <w:r>
        <w:rPr>
          <w:color w:val="222222"/>
          <w:highlight w:val="white"/>
        </w:rPr>
        <w:t xml:space="preserve"> Burnes, B., 2020. The origins of Lewin’s three-step model of change. </w:t>
      </w:r>
      <w:r>
        <w:rPr>
          <w:i/>
          <w:color w:val="222222"/>
          <w:highlight w:val="white"/>
        </w:rPr>
        <w:t>The Journal of Applied Behavioral Science</w:t>
      </w:r>
      <w:r>
        <w:rPr>
          <w:color w:val="222222"/>
          <w:highlight w:val="white"/>
        </w:rPr>
        <w:t>, </w:t>
      </w:r>
      <w:r>
        <w:rPr>
          <w:i/>
          <w:color w:val="222222"/>
          <w:highlight w:val="white"/>
        </w:rPr>
        <w:t>56</w:t>
      </w:r>
      <w:r>
        <w:rPr>
          <w:color w:val="222222"/>
          <w:highlight w:val="white"/>
        </w:rPr>
        <w:t>(1), pp.32-59.</w:t>
      </w:r>
    </w:p>
    <w:p w14:paraId="346F7E4E" w14:textId="77777777" w:rsidR="009F54DE" w:rsidRDefault="00000000">
      <w:pPr>
        <w:ind w:left="720" w:hanging="720"/>
      </w:pPr>
      <w:r>
        <w:rPr>
          <w:color w:val="222222"/>
          <w:highlight w:val="white"/>
        </w:rPr>
        <w:t xml:space="preserve"> </w:t>
      </w:r>
      <w:proofErr w:type="spellStart"/>
      <w:r>
        <w:rPr>
          <w:color w:val="222222"/>
          <w:highlight w:val="white"/>
        </w:rPr>
        <w:t>Darwazeh</w:t>
      </w:r>
      <w:proofErr w:type="spellEnd"/>
      <w:r>
        <w:rPr>
          <w:color w:val="222222"/>
          <w:highlight w:val="white"/>
        </w:rPr>
        <w:t>, R.N., Al-</w:t>
      </w:r>
      <w:proofErr w:type="spellStart"/>
      <w:r>
        <w:rPr>
          <w:color w:val="222222"/>
          <w:highlight w:val="white"/>
        </w:rPr>
        <w:t>Qaruty</w:t>
      </w:r>
      <w:proofErr w:type="spellEnd"/>
      <w:r>
        <w:rPr>
          <w:color w:val="222222"/>
          <w:highlight w:val="white"/>
        </w:rPr>
        <w:t xml:space="preserve">, T.M.R. and </w:t>
      </w:r>
      <w:proofErr w:type="spellStart"/>
      <w:r>
        <w:rPr>
          <w:color w:val="222222"/>
          <w:highlight w:val="white"/>
        </w:rPr>
        <w:t>Areiqat</w:t>
      </w:r>
      <w:proofErr w:type="spellEnd"/>
      <w:r>
        <w:rPr>
          <w:color w:val="222222"/>
          <w:highlight w:val="white"/>
        </w:rPr>
        <w:t>, A.Y., 2024. Digital Innovation: A Key Driver for Sustainable Progress. </w:t>
      </w:r>
      <w:r>
        <w:rPr>
          <w:i/>
          <w:color w:val="222222"/>
          <w:highlight w:val="white"/>
        </w:rPr>
        <w:t>Kurdish Studies</w:t>
      </w:r>
      <w:r>
        <w:rPr>
          <w:color w:val="222222"/>
          <w:highlight w:val="white"/>
        </w:rPr>
        <w:t>, </w:t>
      </w:r>
      <w:r>
        <w:rPr>
          <w:i/>
          <w:color w:val="222222"/>
          <w:highlight w:val="white"/>
        </w:rPr>
        <w:t>12</w:t>
      </w:r>
      <w:r>
        <w:rPr>
          <w:color w:val="222222"/>
          <w:highlight w:val="white"/>
        </w:rPr>
        <w:t>(2), pp.505-518.</w:t>
      </w:r>
    </w:p>
    <w:p w14:paraId="344D3F8B" w14:textId="77777777" w:rsidR="009F54DE" w:rsidRDefault="00000000">
      <w:pPr>
        <w:ind w:left="720" w:hanging="720"/>
      </w:pPr>
      <w:r>
        <w:t xml:space="preserve"> Davies, S.J. and Egas, J.L., 2022. Do social corporate responsibility initiatives help to promote circular economic activity and quality of work life for employees? </w:t>
      </w:r>
      <w:r>
        <w:rPr>
          <w:i/>
        </w:rPr>
        <w:t>Worldwide Hospitality and Tourism Themes,</w:t>
      </w:r>
      <w:r>
        <w:t xml:space="preserve"> 14(3), pp.221-235.</w:t>
      </w:r>
    </w:p>
    <w:p w14:paraId="128B7CBC" w14:textId="77777777" w:rsidR="009F54DE" w:rsidRDefault="00000000">
      <w:pPr>
        <w:ind w:left="720" w:hanging="720"/>
      </w:pPr>
      <w:proofErr w:type="spellStart"/>
      <w:r>
        <w:t>Duffhues</w:t>
      </w:r>
      <w:proofErr w:type="spellEnd"/>
      <w:r>
        <w:t xml:space="preserve">, D. and Ensign, P.C., 2024. Future of Hyatt Regency Maui’s African Penguin Colony: </w:t>
      </w:r>
      <w:r>
        <w:rPr>
          <w:i/>
        </w:rPr>
        <w:t>An Analysis of Stakeholders. Journal of Hospitality &amp; Tourism Cases</w:t>
      </w:r>
      <w:r>
        <w:t>, p.21649987241290983.</w:t>
      </w:r>
    </w:p>
    <w:p w14:paraId="0C3CE57B" w14:textId="77777777" w:rsidR="009F54DE" w:rsidRDefault="00000000">
      <w:r>
        <w:t xml:space="preserve"> Forbes, 2024. Online available at </w:t>
      </w:r>
      <w:hyperlink r:id="rId14">
        <w:r w:rsidR="009F54DE">
          <w:rPr>
            <w:color w:val="0563C1"/>
            <w:u w:val="single"/>
          </w:rPr>
          <w:t>https://www.forbes.com/companies/hyatt-hotels/</w:t>
        </w:r>
      </w:hyperlink>
      <w:r>
        <w:t xml:space="preserve"> Accessible on 7</w:t>
      </w:r>
      <w:r>
        <w:rPr>
          <w:vertAlign w:val="superscript"/>
        </w:rPr>
        <w:t>th</w:t>
      </w:r>
      <w:r>
        <w:t xml:space="preserve"> November 2024. </w:t>
      </w:r>
    </w:p>
    <w:p w14:paraId="173C6778" w14:textId="77777777" w:rsidR="009F54DE" w:rsidRDefault="00000000">
      <w:pPr>
        <w:ind w:left="720" w:hanging="720"/>
      </w:pPr>
      <w:r>
        <w:lastRenderedPageBreak/>
        <w:t xml:space="preserve">Fortune Business Sights, 2024. Online available at </w:t>
      </w:r>
      <w:hyperlink r:id="rId15">
        <w:r w:rsidR="009F54DE">
          <w:rPr>
            <w:color w:val="0563C1"/>
            <w:u w:val="single"/>
          </w:rPr>
          <w:t>https://www.fortunebusinessinsights.com/hotel-market-104983</w:t>
        </w:r>
      </w:hyperlink>
      <w:r>
        <w:t xml:space="preserve"> Accessible on 7</w:t>
      </w:r>
      <w:r>
        <w:rPr>
          <w:vertAlign w:val="superscript"/>
        </w:rPr>
        <w:t>th</w:t>
      </w:r>
      <w:r>
        <w:t xml:space="preserve"> November 2024. </w:t>
      </w:r>
    </w:p>
    <w:p w14:paraId="035A1A86" w14:textId="77777777" w:rsidR="009F54DE" w:rsidRDefault="00000000">
      <w:pPr>
        <w:ind w:left="720" w:hanging="720"/>
      </w:pPr>
      <w:r>
        <w:rPr>
          <w:color w:val="222222"/>
          <w:highlight w:val="white"/>
        </w:rPr>
        <w:t xml:space="preserve"> Hu, F., Wang, Y., Cao, R., Hu, C., Feng, B., Li, J., Ding, X., Ma, J., Li, H., Wang, P. and Xu, Y., 2022. Kotter's 8-step change model to improve hand hygiene compliance in Intensive Care Unit: a 41-month prospective longitudinal quality improvement study.</w:t>
      </w:r>
    </w:p>
    <w:p w14:paraId="32B83570" w14:textId="77777777" w:rsidR="009F54DE" w:rsidRDefault="00000000">
      <w:pPr>
        <w:ind w:left="720" w:hanging="720"/>
      </w:pPr>
      <w:r>
        <w:t xml:space="preserve">Hyatt, 2021. Online available at </w:t>
      </w:r>
      <w:hyperlink r:id="rId16">
        <w:r w:rsidR="009F54DE">
          <w:rPr>
            <w:color w:val="0563C1"/>
            <w:u w:val="single"/>
          </w:rPr>
          <w:t>https://about.hyatt.com/content/dam/hyatt/woc/Hyatt2021GRIIndex.pdf</w:t>
        </w:r>
      </w:hyperlink>
      <w:r>
        <w:t xml:space="preserve"> Accessible on 7</w:t>
      </w:r>
      <w:r>
        <w:rPr>
          <w:vertAlign w:val="superscript"/>
        </w:rPr>
        <w:t>th</w:t>
      </w:r>
      <w:r>
        <w:t xml:space="preserve"> November 2024. </w:t>
      </w:r>
    </w:p>
    <w:p w14:paraId="5FE6CA59" w14:textId="77777777" w:rsidR="009F54DE" w:rsidRDefault="00000000">
      <w:pPr>
        <w:ind w:left="720" w:hanging="720"/>
      </w:pPr>
      <w:r>
        <w:t xml:space="preserve">Hyatt, 2023. Online available at </w:t>
      </w:r>
      <w:hyperlink r:id="rId17">
        <w:r w:rsidR="009F54DE">
          <w:rPr>
            <w:color w:val="0563C1"/>
            <w:u w:val="single"/>
          </w:rPr>
          <w:t>https://www.hyatt.com/brands/hyatt</w:t>
        </w:r>
      </w:hyperlink>
      <w:r>
        <w:t>. Accessible on 7</w:t>
      </w:r>
      <w:r>
        <w:rPr>
          <w:vertAlign w:val="superscript"/>
        </w:rPr>
        <w:t>th</w:t>
      </w:r>
      <w:r>
        <w:t xml:space="preserve"> November 2024. </w:t>
      </w:r>
    </w:p>
    <w:p w14:paraId="33EDAF2B" w14:textId="77777777" w:rsidR="009F54DE" w:rsidRDefault="00000000">
      <w:pPr>
        <w:ind w:left="720" w:hanging="720"/>
      </w:pPr>
      <w:proofErr w:type="spellStart"/>
      <w:r>
        <w:t>Kairatkyzy</w:t>
      </w:r>
      <w:proofErr w:type="spellEnd"/>
      <w:r>
        <w:t xml:space="preserve">, N. and </w:t>
      </w:r>
      <w:proofErr w:type="spellStart"/>
      <w:r>
        <w:t>Kozhakova</w:t>
      </w:r>
      <w:proofErr w:type="spellEnd"/>
      <w:r>
        <w:t xml:space="preserve">, D., 2023. Waste management in the hospitality industry in Astana. </w:t>
      </w:r>
      <w:r>
        <w:rPr>
          <w:i/>
        </w:rPr>
        <w:t>A comparison of three companies and recommendations to maintain ecologically responsible business.</w:t>
      </w:r>
    </w:p>
    <w:p w14:paraId="4065E19B" w14:textId="77777777" w:rsidR="009F54DE" w:rsidRDefault="00000000">
      <w:pPr>
        <w:ind w:left="720" w:hanging="720"/>
        <w:rPr>
          <w:color w:val="222222"/>
          <w:highlight w:val="white"/>
        </w:rPr>
      </w:pPr>
      <w:r>
        <w:rPr>
          <w:color w:val="222222"/>
          <w:highlight w:val="white"/>
        </w:rPr>
        <w:t>Koo, B., Yu, J. and Han, H., 2020. The role of loyalty programs in boosting hotel guest loyalty: Impact of switching barriers. </w:t>
      </w:r>
      <w:r>
        <w:rPr>
          <w:i/>
          <w:color w:val="222222"/>
          <w:highlight w:val="white"/>
        </w:rPr>
        <w:t>International Journal of Hospitality Management</w:t>
      </w:r>
      <w:r>
        <w:rPr>
          <w:color w:val="222222"/>
          <w:highlight w:val="white"/>
        </w:rPr>
        <w:t>, </w:t>
      </w:r>
      <w:r>
        <w:rPr>
          <w:i/>
          <w:color w:val="222222"/>
          <w:highlight w:val="white"/>
        </w:rPr>
        <w:t>84</w:t>
      </w:r>
      <w:r>
        <w:rPr>
          <w:color w:val="222222"/>
          <w:highlight w:val="white"/>
        </w:rPr>
        <w:t>, p.102328.</w:t>
      </w:r>
    </w:p>
    <w:p w14:paraId="1F8CE11C" w14:textId="77777777" w:rsidR="009F54DE" w:rsidRDefault="00000000">
      <w:pPr>
        <w:ind w:left="720" w:hanging="720"/>
      </w:pPr>
      <w:r>
        <w:rPr>
          <w:color w:val="222222"/>
          <w:highlight w:val="white"/>
        </w:rPr>
        <w:t xml:space="preserve">Laig, R.B.D. and </w:t>
      </w:r>
      <w:proofErr w:type="spellStart"/>
      <w:r>
        <w:rPr>
          <w:color w:val="222222"/>
          <w:highlight w:val="white"/>
        </w:rPr>
        <w:t>Abocejo</w:t>
      </w:r>
      <w:proofErr w:type="spellEnd"/>
      <w:r>
        <w:rPr>
          <w:color w:val="222222"/>
          <w:highlight w:val="white"/>
        </w:rPr>
        <w:t>, F.T., 2021. Change management process in a mining company: Kotter’s 8-step change model. </w:t>
      </w:r>
      <w:r>
        <w:rPr>
          <w:i/>
          <w:color w:val="222222"/>
          <w:highlight w:val="white"/>
        </w:rPr>
        <w:t>Journal of Management, Economics, and Industrial Organization</w:t>
      </w:r>
      <w:r>
        <w:rPr>
          <w:color w:val="222222"/>
          <w:highlight w:val="white"/>
        </w:rPr>
        <w:t>, </w:t>
      </w:r>
      <w:r>
        <w:rPr>
          <w:i/>
          <w:color w:val="222222"/>
          <w:highlight w:val="white"/>
        </w:rPr>
        <w:t>5</w:t>
      </w:r>
      <w:r>
        <w:rPr>
          <w:color w:val="222222"/>
          <w:highlight w:val="white"/>
        </w:rPr>
        <w:t>(3), pp.31-50.</w:t>
      </w:r>
    </w:p>
    <w:p w14:paraId="7AA4B4ED" w14:textId="77777777" w:rsidR="009F54DE" w:rsidRDefault="00000000">
      <w:pPr>
        <w:ind w:left="720" w:hanging="720"/>
      </w:pPr>
      <w:r>
        <w:rPr>
          <w:color w:val="222222"/>
          <w:highlight w:val="white"/>
        </w:rPr>
        <w:t xml:space="preserve">Legrand, W., Chen, J.S. and </w:t>
      </w:r>
      <w:proofErr w:type="spellStart"/>
      <w:r>
        <w:rPr>
          <w:color w:val="222222"/>
          <w:highlight w:val="white"/>
        </w:rPr>
        <w:t>Laeis</w:t>
      </w:r>
      <w:proofErr w:type="spellEnd"/>
      <w:r>
        <w:rPr>
          <w:color w:val="222222"/>
          <w:highlight w:val="white"/>
        </w:rPr>
        <w:t>, G.C., 2022. </w:t>
      </w:r>
      <w:r>
        <w:rPr>
          <w:i/>
          <w:color w:val="222222"/>
          <w:highlight w:val="white"/>
        </w:rPr>
        <w:t>Sustainability in the hospitality industry: Principles of sustainable operations</w:t>
      </w:r>
      <w:r>
        <w:rPr>
          <w:color w:val="222222"/>
          <w:highlight w:val="white"/>
        </w:rPr>
        <w:t>. Routledge.</w:t>
      </w:r>
    </w:p>
    <w:p w14:paraId="1BBDEC6C" w14:textId="77777777" w:rsidR="009F54DE" w:rsidRDefault="00000000">
      <w:pPr>
        <w:ind w:left="720" w:hanging="720"/>
      </w:pPr>
      <w:r>
        <w:rPr>
          <w:color w:val="222222"/>
          <w:highlight w:val="white"/>
        </w:rPr>
        <w:t>Luiten, S.C., 2020. Corporate social responsibility and consumerism: case examples from Hyatt, Scandic and Walt Disney. </w:t>
      </w:r>
      <w:r>
        <w:rPr>
          <w:i/>
          <w:color w:val="222222"/>
          <w:highlight w:val="white"/>
        </w:rPr>
        <w:t>Worldwide Hospitality and Tourism Themes</w:t>
      </w:r>
      <w:r>
        <w:rPr>
          <w:color w:val="222222"/>
          <w:highlight w:val="white"/>
        </w:rPr>
        <w:t>, </w:t>
      </w:r>
      <w:r>
        <w:rPr>
          <w:i/>
          <w:color w:val="222222"/>
          <w:highlight w:val="white"/>
        </w:rPr>
        <w:t>12</w:t>
      </w:r>
      <w:r>
        <w:rPr>
          <w:color w:val="222222"/>
          <w:highlight w:val="white"/>
        </w:rPr>
        <w:t>(5), pp.547-562.</w:t>
      </w:r>
    </w:p>
    <w:p w14:paraId="6023BCAE" w14:textId="77777777" w:rsidR="009F54DE" w:rsidRDefault="00000000">
      <w:pPr>
        <w:ind w:left="720" w:hanging="720"/>
      </w:pPr>
      <w:r>
        <w:rPr>
          <w:color w:val="222222"/>
          <w:highlight w:val="white"/>
        </w:rPr>
        <w:t>Morrison, A.M., 2022. </w:t>
      </w:r>
      <w:r>
        <w:rPr>
          <w:i/>
          <w:color w:val="222222"/>
          <w:highlight w:val="white"/>
        </w:rPr>
        <w:t>Hospitality and travel marketing</w:t>
      </w:r>
      <w:r>
        <w:rPr>
          <w:color w:val="222222"/>
          <w:highlight w:val="white"/>
        </w:rPr>
        <w:t>. Routledge.</w:t>
      </w:r>
    </w:p>
    <w:p w14:paraId="560A4A0F" w14:textId="77777777" w:rsidR="009F54DE" w:rsidRDefault="00000000">
      <w:pPr>
        <w:ind w:left="720" w:hanging="720"/>
      </w:pPr>
      <w:r>
        <w:rPr>
          <w:color w:val="222222"/>
          <w:highlight w:val="white"/>
        </w:rPr>
        <w:lastRenderedPageBreak/>
        <w:t xml:space="preserve">Papageorgiou, G., </w:t>
      </w:r>
      <w:proofErr w:type="spellStart"/>
      <w:r>
        <w:rPr>
          <w:color w:val="222222"/>
          <w:highlight w:val="white"/>
        </w:rPr>
        <w:t>Marneros</w:t>
      </w:r>
      <w:proofErr w:type="spellEnd"/>
      <w:r>
        <w:rPr>
          <w:color w:val="222222"/>
          <w:highlight w:val="white"/>
        </w:rPr>
        <w:t xml:space="preserve">, S. and </w:t>
      </w:r>
      <w:proofErr w:type="spellStart"/>
      <w:r>
        <w:rPr>
          <w:color w:val="222222"/>
          <w:highlight w:val="white"/>
        </w:rPr>
        <w:t>Efstathiades</w:t>
      </w:r>
      <w:proofErr w:type="spellEnd"/>
      <w:r>
        <w:rPr>
          <w:color w:val="222222"/>
          <w:highlight w:val="white"/>
        </w:rPr>
        <w:t>, A., 2020, April. Social media as a digital communications strategy; the case of hotel enterprises in Cyprus. In </w:t>
      </w:r>
      <w:r>
        <w:rPr>
          <w:i/>
          <w:color w:val="222222"/>
          <w:highlight w:val="white"/>
        </w:rPr>
        <w:t>2020 IEEE Communication Strategies in Digital Society Seminar (</w:t>
      </w:r>
      <w:proofErr w:type="spellStart"/>
      <w:r>
        <w:rPr>
          <w:i/>
          <w:color w:val="222222"/>
          <w:highlight w:val="white"/>
        </w:rPr>
        <w:t>ComSDS</w:t>
      </w:r>
      <w:proofErr w:type="spellEnd"/>
      <w:r>
        <w:rPr>
          <w:i/>
          <w:color w:val="222222"/>
          <w:highlight w:val="white"/>
        </w:rPr>
        <w:t>)</w:t>
      </w:r>
      <w:r>
        <w:rPr>
          <w:color w:val="222222"/>
          <w:highlight w:val="white"/>
        </w:rPr>
        <w:t xml:space="preserve"> (pp. 118-121). IEEE. </w:t>
      </w:r>
    </w:p>
    <w:p w14:paraId="63C7FC09" w14:textId="77777777" w:rsidR="009F54DE" w:rsidRDefault="00000000">
      <w:pPr>
        <w:ind w:left="720" w:hanging="720"/>
      </w:pPr>
      <w:r>
        <w:rPr>
          <w:color w:val="222222"/>
          <w:highlight w:val="white"/>
        </w:rPr>
        <w:t xml:space="preserve">Sakshi, Shashi, </w:t>
      </w:r>
      <w:proofErr w:type="spellStart"/>
      <w:r>
        <w:rPr>
          <w:color w:val="222222"/>
          <w:highlight w:val="white"/>
        </w:rPr>
        <w:t>Cerchione</w:t>
      </w:r>
      <w:proofErr w:type="spellEnd"/>
      <w:r>
        <w:rPr>
          <w:color w:val="222222"/>
          <w:highlight w:val="white"/>
        </w:rPr>
        <w:t>, R. and Bansal, H., 2020. Measuring the impact of sustainability policy and practices in tourism and hospitality industry. </w:t>
      </w:r>
      <w:r>
        <w:rPr>
          <w:i/>
          <w:color w:val="222222"/>
          <w:highlight w:val="white"/>
        </w:rPr>
        <w:t>Business Strategy and the Environment</w:t>
      </w:r>
      <w:r>
        <w:rPr>
          <w:color w:val="222222"/>
          <w:highlight w:val="white"/>
        </w:rPr>
        <w:t>, </w:t>
      </w:r>
      <w:r>
        <w:rPr>
          <w:i/>
          <w:color w:val="222222"/>
          <w:highlight w:val="white"/>
        </w:rPr>
        <w:t>29</w:t>
      </w:r>
      <w:r>
        <w:rPr>
          <w:color w:val="222222"/>
          <w:highlight w:val="white"/>
        </w:rPr>
        <w:t>(3), pp.1109-1126.</w:t>
      </w:r>
    </w:p>
    <w:p w14:paraId="0A1CD644" w14:textId="77777777" w:rsidR="009F54DE" w:rsidRDefault="00000000">
      <w:pPr>
        <w:ind w:left="720" w:hanging="720"/>
        <w:rPr>
          <w:color w:val="222222"/>
          <w:highlight w:val="white"/>
        </w:rPr>
      </w:pPr>
      <w:r>
        <w:rPr>
          <w:color w:val="222222"/>
          <w:highlight w:val="white"/>
        </w:rPr>
        <w:t>Saxena, S.K., Gupta, V. and Kumar, S., 2024. Enhancing Guest Loyalty in the Hotel Industry Through Artificial Intelligence-Drive Personalization. In </w:t>
      </w:r>
      <w:r>
        <w:rPr>
          <w:i/>
          <w:color w:val="222222"/>
          <w:highlight w:val="white"/>
        </w:rPr>
        <w:t>New Technologies in Virtual and Hybrid Events</w:t>
      </w:r>
      <w:r>
        <w:rPr>
          <w:color w:val="222222"/>
          <w:highlight w:val="white"/>
        </w:rPr>
        <w:t> (pp. 335-350). IGI Global.</w:t>
      </w:r>
    </w:p>
    <w:p w14:paraId="0F549EE3" w14:textId="77777777" w:rsidR="009F54DE" w:rsidRDefault="00000000">
      <w:pPr>
        <w:ind w:left="720" w:hanging="720"/>
      </w:pPr>
      <w:r>
        <w:t xml:space="preserve">Statista, 2023. Online available at </w:t>
      </w:r>
      <w:hyperlink r:id="rId18">
        <w:r w:rsidR="009F54DE">
          <w:rPr>
            <w:color w:val="0563C1"/>
            <w:u w:val="single"/>
          </w:rPr>
          <w:t>https://www.statista.com/statistics/824612/number-of-hyatt-hotels-worldwide/</w:t>
        </w:r>
      </w:hyperlink>
      <w:r>
        <w:t xml:space="preserve"> Accessible on 7</w:t>
      </w:r>
      <w:r>
        <w:rPr>
          <w:vertAlign w:val="superscript"/>
        </w:rPr>
        <w:t>th</w:t>
      </w:r>
      <w:r>
        <w:t xml:space="preserve"> November 2024.</w:t>
      </w:r>
    </w:p>
    <w:p w14:paraId="3C601613" w14:textId="77777777" w:rsidR="009F54DE" w:rsidRDefault="00000000">
      <w:pPr>
        <w:ind w:left="720" w:hanging="720"/>
      </w:pPr>
      <w:r>
        <w:t xml:space="preserve">Statista, 2024. Online available at </w:t>
      </w:r>
      <w:hyperlink r:id="rId19">
        <w:r w:rsidR="009F54DE">
          <w:rPr>
            <w:color w:val="0563C1"/>
            <w:u w:val="single"/>
          </w:rPr>
          <w:t>https://www.statista.com/statistics/257362/revenue-of-the-hyatt-hotels-corporation/</w:t>
        </w:r>
      </w:hyperlink>
      <w:r>
        <w:t xml:space="preserve"> Accessible on 7</w:t>
      </w:r>
      <w:r>
        <w:rPr>
          <w:vertAlign w:val="superscript"/>
        </w:rPr>
        <w:t>th</w:t>
      </w:r>
      <w:r>
        <w:t xml:space="preserve"> November 2024.</w:t>
      </w:r>
    </w:p>
    <w:p w14:paraId="4D3BA5CD" w14:textId="77777777" w:rsidR="009F54DE" w:rsidRDefault="00000000">
      <w:pPr>
        <w:ind w:left="720" w:hanging="720"/>
      </w:pPr>
      <w:r>
        <w:t xml:space="preserve">Statista, 2024. Online available at </w:t>
      </w:r>
      <w:hyperlink r:id="rId20">
        <w:r w:rsidR="009F54DE">
          <w:rPr>
            <w:color w:val="0563C1"/>
            <w:u w:val="single"/>
          </w:rPr>
          <w:t>https://www.statista.com/statistics/273064/revenue-of-the-largest-hotel-groups-worldwide/</w:t>
        </w:r>
      </w:hyperlink>
      <w:r>
        <w:t xml:space="preserve"> Accessible on 7</w:t>
      </w:r>
      <w:r>
        <w:rPr>
          <w:vertAlign w:val="superscript"/>
        </w:rPr>
        <w:t>th</w:t>
      </w:r>
      <w:r>
        <w:t xml:space="preserve"> November 2024.</w:t>
      </w:r>
    </w:p>
    <w:p w14:paraId="04548D95" w14:textId="77777777" w:rsidR="009F54DE" w:rsidRDefault="00000000">
      <w:pPr>
        <w:ind w:left="720" w:hanging="720"/>
      </w:pPr>
      <w:r>
        <w:rPr>
          <w:color w:val="222222"/>
          <w:highlight w:val="white"/>
        </w:rPr>
        <w:t>Tang, K.N. and Tang, K.N., 2019. Change management. </w:t>
      </w:r>
      <w:r>
        <w:rPr>
          <w:i/>
          <w:color w:val="222222"/>
          <w:highlight w:val="white"/>
        </w:rPr>
        <w:t>Leadership and change management</w:t>
      </w:r>
      <w:r>
        <w:rPr>
          <w:color w:val="222222"/>
          <w:highlight w:val="white"/>
        </w:rPr>
        <w:t>, pp.47-55.</w:t>
      </w:r>
    </w:p>
    <w:p w14:paraId="3AC83404" w14:textId="77777777" w:rsidR="009F54DE" w:rsidRDefault="00000000">
      <w:pPr>
        <w:ind w:left="720" w:hanging="720"/>
        <w:rPr>
          <w:color w:val="222222"/>
          <w:highlight w:val="white"/>
        </w:rPr>
      </w:pPr>
      <w:r>
        <w:rPr>
          <w:color w:val="222222"/>
          <w:highlight w:val="white"/>
        </w:rPr>
        <w:t>Vinod, B., 2022. Revenue Management in the Lodging Industry. </w:t>
      </w:r>
      <w:r>
        <w:rPr>
          <w:i/>
          <w:color w:val="222222"/>
          <w:highlight w:val="white"/>
        </w:rPr>
        <w:t>Management for Professionals</w:t>
      </w:r>
      <w:r>
        <w:rPr>
          <w:color w:val="222222"/>
          <w:highlight w:val="white"/>
        </w:rPr>
        <w:t>.</w:t>
      </w:r>
    </w:p>
    <w:p w14:paraId="2D8061B5" w14:textId="77777777" w:rsidR="009F54DE" w:rsidRDefault="00000000">
      <w:pPr>
        <w:ind w:left="720" w:hanging="720"/>
      </w:pPr>
      <w:r>
        <w:rPr>
          <w:color w:val="222222"/>
          <w:highlight w:val="white"/>
        </w:rPr>
        <w:t xml:space="preserve">Vlasceanu, C., Tenie, I. and </w:t>
      </w:r>
      <w:proofErr w:type="spellStart"/>
      <w:r>
        <w:rPr>
          <w:color w:val="222222"/>
          <w:highlight w:val="white"/>
        </w:rPr>
        <w:t>Crismariu</w:t>
      </w:r>
      <w:proofErr w:type="spellEnd"/>
      <w:r>
        <w:rPr>
          <w:color w:val="222222"/>
          <w:highlight w:val="white"/>
        </w:rPr>
        <w:t>, O., 2020. Global sustainability and responsibility in hotels and cruising industry. In </w:t>
      </w:r>
      <w:r>
        <w:rPr>
          <w:i/>
          <w:color w:val="222222"/>
          <w:highlight w:val="white"/>
        </w:rPr>
        <w:t>Proceedings of the International Conference on Business Excellence</w:t>
      </w:r>
      <w:r>
        <w:rPr>
          <w:color w:val="222222"/>
          <w:highlight w:val="white"/>
        </w:rPr>
        <w:t> (Vol. 14, No. 1, pp. 306-315).</w:t>
      </w:r>
    </w:p>
    <w:p w14:paraId="313137F1" w14:textId="77777777" w:rsidR="009F54DE" w:rsidRDefault="009F54DE">
      <w:pPr>
        <w:jc w:val="left"/>
      </w:pPr>
    </w:p>
    <w:sectPr w:rsidR="009F54D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CB38F6"/>
    <w:multiLevelType w:val="multilevel"/>
    <w:tmpl w:val="019AE24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1153B5B"/>
    <w:multiLevelType w:val="multilevel"/>
    <w:tmpl w:val="9698C38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E724A9C"/>
    <w:multiLevelType w:val="multilevel"/>
    <w:tmpl w:val="1A50E04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E1B02F4"/>
    <w:multiLevelType w:val="multilevel"/>
    <w:tmpl w:val="0632054C"/>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pStyle w:val="Heading5"/>
      <w:lvlText w:val="%5."/>
      <w:lvlJc w:val="left"/>
      <w:pPr>
        <w:tabs>
          <w:tab w:val="num" w:pos="3600"/>
        </w:tabs>
        <w:ind w:left="3600" w:hanging="720"/>
      </w:pPr>
    </w:lvl>
    <w:lvl w:ilvl="5">
      <w:start w:val="1"/>
      <w:numFmt w:val="decimal"/>
      <w:pStyle w:val="Heading6"/>
      <w:lvlText w:val="%6."/>
      <w:lvlJc w:val="left"/>
      <w:pPr>
        <w:tabs>
          <w:tab w:val="num" w:pos="4320"/>
        </w:tabs>
        <w:ind w:left="4320" w:hanging="720"/>
      </w:pPr>
    </w:lvl>
    <w:lvl w:ilvl="6">
      <w:start w:val="1"/>
      <w:numFmt w:val="decimal"/>
      <w:pStyle w:val="Heading7"/>
      <w:lvlText w:val="%7."/>
      <w:lvlJc w:val="left"/>
      <w:pPr>
        <w:tabs>
          <w:tab w:val="num" w:pos="5040"/>
        </w:tabs>
        <w:ind w:left="5040" w:hanging="720"/>
      </w:pPr>
    </w:lvl>
    <w:lvl w:ilvl="7">
      <w:start w:val="1"/>
      <w:numFmt w:val="decimal"/>
      <w:pStyle w:val="Heading8"/>
      <w:lvlText w:val="%8."/>
      <w:lvlJc w:val="left"/>
      <w:pPr>
        <w:tabs>
          <w:tab w:val="num" w:pos="5760"/>
        </w:tabs>
        <w:ind w:left="5760" w:hanging="720"/>
      </w:pPr>
    </w:lvl>
    <w:lvl w:ilvl="8">
      <w:start w:val="1"/>
      <w:numFmt w:val="decimal"/>
      <w:pStyle w:val="Heading9"/>
      <w:lvlText w:val="%9."/>
      <w:lvlJc w:val="left"/>
      <w:pPr>
        <w:tabs>
          <w:tab w:val="num" w:pos="6480"/>
        </w:tabs>
        <w:ind w:left="6480" w:hanging="720"/>
      </w:pPr>
    </w:lvl>
  </w:abstractNum>
  <w:num w:numId="1" w16cid:durableId="407385736">
    <w:abstractNumId w:val="0"/>
  </w:num>
  <w:num w:numId="2" w16cid:durableId="675349908">
    <w:abstractNumId w:val="1"/>
  </w:num>
  <w:num w:numId="3" w16cid:durableId="1603030791">
    <w:abstractNumId w:val="2"/>
  </w:num>
  <w:num w:numId="4" w16cid:durableId="14788401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54DE"/>
    <w:rsid w:val="000D2D42"/>
    <w:rsid w:val="00336FBD"/>
    <w:rsid w:val="00633658"/>
    <w:rsid w:val="007550BC"/>
    <w:rsid w:val="009E683E"/>
    <w:rsid w:val="009F54DE"/>
    <w:rsid w:val="00E27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61C5E"/>
  <w15:docId w15:val="{6C8596A8-1960-41B1-8033-777DE252F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8E4"/>
  </w:style>
  <w:style w:type="paragraph" w:styleId="Heading1">
    <w:name w:val="heading 1"/>
    <w:basedOn w:val="Normal"/>
    <w:next w:val="Normal"/>
    <w:link w:val="Heading1Char"/>
    <w:uiPriority w:val="9"/>
    <w:qFormat/>
    <w:rsid w:val="00852D2C"/>
    <w:pPr>
      <w:keepNext/>
      <w:keepLines/>
      <w:numPr>
        <w:numId w:val="4"/>
      </w:numPr>
      <w:spacing w:before="240" w:after="0" w:line="259" w:lineRule="auto"/>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B6CD5"/>
    <w:pPr>
      <w:keepNext/>
      <w:keepLines/>
      <w:numPr>
        <w:ilvl w:val="1"/>
        <w:numId w:val="4"/>
      </w:numPr>
      <w:spacing w:before="40" w:after="0" w:line="259" w:lineRule="auto"/>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3A40DC"/>
    <w:pPr>
      <w:keepNext/>
      <w:keepLines/>
      <w:numPr>
        <w:ilvl w:val="2"/>
        <w:numId w:val="4"/>
      </w:numPr>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091B2A"/>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91B2A"/>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91B2A"/>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91B2A"/>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91B2A"/>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91B2A"/>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3Char">
    <w:name w:val="Heading 3 Char"/>
    <w:basedOn w:val="DefaultParagraphFont"/>
    <w:link w:val="Heading3"/>
    <w:uiPriority w:val="9"/>
    <w:rsid w:val="003A40DC"/>
    <w:rPr>
      <w:rFonts w:eastAsiaTheme="majorEastAsia" w:cstheme="majorBidi"/>
      <w:b/>
      <w:bCs/>
      <w:i/>
    </w:rPr>
  </w:style>
  <w:style w:type="character" w:customStyle="1" w:styleId="Heading1Char">
    <w:name w:val="Heading 1 Char"/>
    <w:basedOn w:val="DefaultParagraphFont"/>
    <w:link w:val="Heading1"/>
    <w:uiPriority w:val="9"/>
    <w:rsid w:val="00852D2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B6CD5"/>
    <w:rPr>
      <w:rFonts w:ascii="Times New Roman" w:eastAsiaTheme="majorEastAsia" w:hAnsi="Times New Roman" w:cstheme="majorBidi"/>
      <w:b/>
      <w:sz w:val="24"/>
      <w:szCs w:val="26"/>
    </w:rPr>
  </w:style>
  <w:style w:type="paragraph" w:styleId="Caption">
    <w:name w:val="caption"/>
    <w:basedOn w:val="Normal"/>
    <w:next w:val="Normal"/>
    <w:uiPriority w:val="35"/>
    <w:unhideWhenUsed/>
    <w:qFormat/>
    <w:rsid w:val="00091B2A"/>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091B2A"/>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091B2A"/>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091B2A"/>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091B2A"/>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091B2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91B2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F501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7AA6"/>
    <w:pPr>
      <w:ind w:left="720"/>
      <w:contextualSpacing/>
    </w:pPr>
  </w:style>
  <w:style w:type="paragraph" w:styleId="Header">
    <w:name w:val="header"/>
    <w:basedOn w:val="Normal"/>
    <w:link w:val="HeaderChar"/>
    <w:uiPriority w:val="99"/>
    <w:unhideWhenUsed/>
    <w:rsid w:val="00B26A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6AC5"/>
    <w:rPr>
      <w:rFonts w:ascii="Times New Roman" w:hAnsi="Times New Roman"/>
      <w:sz w:val="24"/>
    </w:rPr>
  </w:style>
  <w:style w:type="paragraph" w:styleId="Footer">
    <w:name w:val="footer"/>
    <w:basedOn w:val="Normal"/>
    <w:link w:val="FooterChar"/>
    <w:uiPriority w:val="99"/>
    <w:unhideWhenUsed/>
    <w:rsid w:val="00B26A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6AC5"/>
    <w:rPr>
      <w:rFonts w:ascii="Times New Roman" w:hAnsi="Times New Roman"/>
      <w:sz w:val="24"/>
    </w:rPr>
  </w:style>
  <w:style w:type="character" w:styleId="Hyperlink">
    <w:name w:val="Hyperlink"/>
    <w:basedOn w:val="DefaultParagraphFont"/>
    <w:uiPriority w:val="99"/>
    <w:unhideWhenUsed/>
    <w:rsid w:val="00B26AC5"/>
    <w:rPr>
      <w:color w:val="0563C1" w:themeColor="hyperlink"/>
      <w:u w:val="single"/>
    </w:rPr>
  </w:style>
  <w:style w:type="paragraph" w:styleId="TOCHeading">
    <w:name w:val="TOC Heading"/>
    <w:basedOn w:val="Heading1"/>
    <w:next w:val="Normal"/>
    <w:uiPriority w:val="39"/>
    <w:unhideWhenUsed/>
    <w:qFormat/>
    <w:rsid w:val="00FD7F9D"/>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D7F9D"/>
    <w:pPr>
      <w:spacing w:after="100"/>
    </w:pPr>
  </w:style>
  <w:style w:type="paragraph" w:styleId="TOC2">
    <w:name w:val="toc 2"/>
    <w:basedOn w:val="Normal"/>
    <w:next w:val="Normal"/>
    <w:autoRedefine/>
    <w:uiPriority w:val="39"/>
    <w:unhideWhenUsed/>
    <w:rsid w:val="00FD7F9D"/>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statista.com/statistics/824612/number-of-hyatt-hotels-worldwid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hyatt.com/brands/hyatt" TargetMode="External"/><Relationship Id="rId2" Type="http://schemas.openxmlformats.org/officeDocument/2006/relationships/numbering" Target="numbering.xml"/><Relationship Id="rId16" Type="http://schemas.openxmlformats.org/officeDocument/2006/relationships/hyperlink" Target="https://about.hyatt.com/content/dam/hyatt/woc/Hyatt2021GRIIndex.pdf" TargetMode="External"/><Relationship Id="rId20" Type="http://schemas.openxmlformats.org/officeDocument/2006/relationships/hyperlink" Target="https://www.statista.com/statistics/273064/revenue-of-the-largest-hotel-groups-worldwid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fortunebusinessinsights.com/hotel-market-104983" TargetMode="External"/><Relationship Id="rId10" Type="http://schemas.openxmlformats.org/officeDocument/2006/relationships/image" Target="media/image5.png"/><Relationship Id="rId19" Type="http://schemas.openxmlformats.org/officeDocument/2006/relationships/hyperlink" Target="https://www.statista.com/statistics/257362/revenue-of-the-hyatt-hotels-corporatio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forbes.com/companies/hyatt-hote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Sjcpc8Z2cMJTIa8b+FvfjB4v3g==">CgMxLjAyCGguZ2pkZ3hzMgloLjMwajB6bGwyCWguMWZvYjl0ZTIJaC4zem55c2g3MgloLjJldDkycDAyCGgudHlqY3d0MgloLjNkeTZ2a20yCWguMXQzaDVzZjIJaC40ZDM0b2c4MgloLjJzOGV5bzEyCWguMTdkcDh2dTgAciExdTZGUVdnaGhVSEtYUFh6M3I5Y2F6YUpEcTJ0R1d1elU=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3343</Words>
  <Characters>19056</Characters>
  <Application>Microsoft Office Word</Application>
  <DocSecurity>0</DocSecurity>
  <Lines>158</Lines>
  <Paragraphs>44</Paragraphs>
  <ScaleCrop>false</ScaleCrop>
  <Company/>
  <LinksUpToDate>false</LinksUpToDate>
  <CharactersWithSpaces>22355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ricardo pita</cp:lastModifiedBy>
  <cp:revision>2</cp:revision>
  <dcterms:created xsi:type="dcterms:W3CDTF">2024-11-08T09:37:00Z</dcterms:created>
  <dcterms:modified xsi:type="dcterms:W3CDTF">2024-11-08T09:37:00Z</dcterms:modified>
</cp:coreProperties>
</file>