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7B6C23D" w14:textId="77777777" w:rsidR="00B41AE2" w:rsidRDefault="00000000">
      <w:pPr>
        <w:pStyle w:val="Title"/>
        <w:spacing w:before="200" w:line="240" w:lineRule="auto"/>
        <w:jc w:val="center"/>
        <w:rPr>
          <w:rFonts w:ascii="Times New Roman" w:eastAsia="Times New Roman" w:hAnsi="Times New Roman" w:cs="Times New Roman"/>
          <w:b/>
          <w:sz w:val="50"/>
          <w:szCs w:val="50"/>
        </w:rPr>
      </w:pPr>
      <w:bookmarkStart w:id="0" w:name="_h9ohrpjdgb5o" w:colFirst="0" w:colLast="0"/>
      <w:bookmarkEnd w:id="0"/>
      <w:r>
        <w:rPr>
          <w:rFonts w:ascii="Times New Roman" w:eastAsia="Times New Roman" w:hAnsi="Times New Roman" w:cs="Times New Roman"/>
          <w:b/>
          <w:sz w:val="50"/>
          <w:szCs w:val="50"/>
        </w:rPr>
        <w:t xml:space="preserve">Aspire Retailers Cloud Management with Azure </w:t>
      </w:r>
    </w:p>
    <w:p w14:paraId="4946705B" w14:textId="77777777" w:rsidR="00B41AE2" w:rsidRDefault="00000000">
      <w:pPr>
        <w:pStyle w:val="Title"/>
        <w:spacing w:before="200" w:line="240" w:lineRule="auto"/>
        <w:jc w:val="center"/>
        <w:sectPr w:rsidR="00B41AE2" w:rsidSect="00E76092">
          <w:headerReference w:type="even" r:id="rId7"/>
          <w:headerReference w:type="default" r:id="rId8"/>
          <w:headerReference w:type="first" r:id="rId9"/>
          <w:pgSz w:w="11906" w:h="16838"/>
          <w:pgMar w:top="1133" w:right="1133" w:bottom="1133" w:left="1133" w:header="720" w:footer="720" w:gutter="0"/>
          <w:pgNumType w:start="1"/>
          <w:cols w:space="720"/>
        </w:sectPr>
      </w:pPr>
      <w:bookmarkStart w:id="1" w:name="_eayls835rzfc" w:colFirst="0" w:colLast="0"/>
      <w:bookmarkEnd w:id="1"/>
      <w:r>
        <w:rPr>
          <w:rFonts w:ascii="Times New Roman" w:eastAsia="Times New Roman" w:hAnsi="Times New Roman" w:cs="Times New Roman"/>
          <w:b/>
          <w:sz w:val="50"/>
          <w:szCs w:val="50"/>
        </w:rPr>
        <w:t>Cloud Computing Administration</w:t>
      </w:r>
    </w:p>
    <w:p w14:paraId="2E5136DD" w14:textId="77777777" w:rsidR="00B41AE2" w:rsidRDefault="00B41AE2">
      <w:pPr>
        <w:spacing w:before="200" w:after="200" w:line="240" w:lineRule="auto"/>
        <w:jc w:val="both"/>
        <w:rPr>
          <w:rFonts w:ascii="Times New Roman" w:eastAsia="Times New Roman" w:hAnsi="Times New Roman" w:cs="Times New Roman"/>
          <w:sz w:val="24"/>
          <w:szCs w:val="24"/>
        </w:rPr>
      </w:pPr>
    </w:p>
    <w:sdt>
      <w:sdtPr>
        <w:id w:val="1505473890"/>
        <w:docPartObj>
          <w:docPartGallery w:val="Table of Contents"/>
          <w:docPartUnique/>
        </w:docPartObj>
      </w:sdtPr>
      <w:sdtContent>
        <w:p w14:paraId="7CB29406" w14:textId="77777777" w:rsidR="00B41AE2"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ugct4dpdyl1y">
            <w:r>
              <w:rPr>
                <w:b/>
                <w:color w:val="000000"/>
              </w:rPr>
              <w:t>Abstract</w:t>
            </w:r>
            <w:r>
              <w:rPr>
                <w:b/>
                <w:color w:val="000000"/>
              </w:rPr>
              <w:tab/>
              <w:t>3</w:t>
            </w:r>
          </w:hyperlink>
        </w:p>
        <w:p w14:paraId="69E59EEA" w14:textId="77777777" w:rsidR="00B41AE2" w:rsidRDefault="00000000">
          <w:pPr>
            <w:widowControl w:val="0"/>
            <w:tabs>
              <w:tab w:val="right" w:leader="dot" w:pos="12000"/>
            </w:tabs>
            <w:spacing w:before="60" w:line="240" w:lineRule="auto"/>
            <w:rPr>
              <w:b/>
              <w:color w:val="000000"/>
            </w:rPr>
          </w:pPr>
          <w:hyperlink w:anchor="_5cicrxavr3og">
            <w:r>
              <w:rPr>
                <w:b/>
                <w:color w:val="000000"/>
              </w:rPr>
              <w:t>I. Introduction</w:t>
            </w:r>
            <w:r>
              <w:rPr>
                <w:b/>
                <w:color w:val="000000"/>
              </w:rPr>
              <w:tab/>
              <w:t>3</w:t>
            </w:r>
          </w:hyperlink>
        </w:p>
        <w:p w14:paraId="290E7710" w14:textId="77777777" w:rsidR="00B41AE2" w:rsidRDefault="00000000">
          <w:pPr>
            <w:widowControl w:val="0"/>
            <w:tabs>
              <w:tab w:val="right" w:leader="dot" w:pos="12000"/>
            </w:tabs>
            <w:spacing w:before="60" w:line="240" w:lineRule="auto"/>
            <w:rPr>
              <w:b/>
              <w:color w:val="000000"/>
            </w:rPr>
          </w:pPr>
          <w:hyperlink w:anchor="_25z5v45rzhjs">
            <w:r>
              <w:rPr>
                <w:b/>
                <w:color w:val="000000"/>
              </w:rPr>
              <w:t>II. Cloud Solution for Aspire Retailers</w:t>
            </w:r>
            <w:r>
              <w:rPr>
                <w:b/>
                <w:color w:val="000000"/>
              </w:rPr>
              <w:tab/>
              <w:t>4</w:t>
            </w:r>
          </w:hyperlink>
        </w:p>
        <w:p w14:paraId="2AFA648D" w14:textId="77777777" w:rsidR="00B41AE2" w:rsidRDefault="00000000">
          <w:pPr>
            <w:widowControl w:val="0"/>
            <w:tabs>
              <w:tab w:val="right" w:leader="dot" w:pos="12000"/>
            </w:tabs>
            <w:spacing w:before="60" w:line="240" w:lineRule="auto"/>
            <w:rPr>
              <w:b/>
              <w:color w:val="000000"/>
            </w:rPr>
          </w:pPr>
          <w:hyperlink w:anchor="_ue82gjkgxmjr">
            <w:r>
              <w:rPr>
                <w:b/>
                <w:color w:val="000000"/>
              </w:rPr>
              <w:t>III. Comparative Analysis of Cloud Providers</w:t>
            </w:r>
            <w:r>
              <w:rPr>
                <w:b/>
                <w:color w:val="000000"/>
              </w:rPr>
              <w:tab/>
              <w:t>5</w:t>
            </w:r>
          </w:hyperlink>
        </w:p>
        <w:p w14:paraId="62F0307D" w14:textId="77777777" w:rsidR="00B41AE2" w:rsidRDefault="00000000">
          <w:pPr>
            <w:widowControl w:val="0"/>
            <w:tabs>
              <w:tab w:val="right" w:leader="dot" w:pos="12000"/>
            </w:tabs>
            <w:spacing w:before="60" w:line="240" w:lineRule="auto"/>
            <w:rPr>
              <w:b/>
              <w:color w:val="000000"/>
            </w:rPr>
          </w:pPr>
          <w:hyperlink w:anchor="_ix0qui3vg700">
            <w:r>
              <w:rPr>
                <w:b/>
                <w:color w:val="000000"/>
              </w:rPr>
              <w:t>IV. Cost Analysis and Management in Azure</w:t>
            </w:r>
            <w:r>
              <w:rPr>
                <w:b/>
                <w:color w:val="000000"/>
              </w:rPr>
              <w:tab/>
              <w:t>6</w:t>
            </w:r>
          </w:hyperlink>
        </w:p>
        <w:p w14:paraId="33811F40" w14:textId="77777777" w:rsidR="00B41AE2" w:rsidRDefault="00000000">
          <w:pPr>
            <w:widowControl w:val="0"/>
            <w:tabs>
              <w:tab w:val="right" w:leader="dot" w:pos="12000"/>
            </w:tabs>
            <w:spacing w:before="60" w:line="240" w:lineRule="auto"/>
            <w:rPr>
              <w:b/>
              <w:color w:val="000000"/>
            </w:rPr>
          </w:pPr>
          <w:hyperlink w:anchor="_s89qbyw8o1mf">
            <w:r>
              <w:rPr>
                <w:b/>
                <w:color w:val="000000"/>
              </w:rPr>
              <w:t>V. Azure Active Directory Implementation</w:t>
            </w:r>
            <w:r>
              <w:rPr>
                <w:b/>
                <w:color w:val="000000"/>
              </w:rPr>
              <w:tab/>
              <w:t>6</w:t>
            </w:r>
          </w:hyperlink>
        </w:p>
        <w:p w14:paraId="7B98AD0B" w14:textId="77777777" w:rsidR="00B41AE2" w:rsidRDefault="00000000">
          <w:pPr>
            <w:widowControl w:val="0"/>
            <w:tabs>
              <w:tab w:val="right" w:leader="dot" w:pos="12000"/>
            </w:tabs>
            <w:spacing w:before="60" w:line="240" w:lineRule="auto"/>
            <w:rPr>
              <w:b/>
              <w:color w:val="000000"/>
            </w:rPr>
          </w:pPr>
          <w:hyperlink w:anchor="_4qcl598wmz1j">
            <w:r>
              <w:rPr>
                <w:b/>
                <w:color w:val="000000"/>
              </w:rPr>
              <w:t>VI. Cloud Governance and Security in Azure</w:t>
            </w:r>
            <w:r>
              <w:rPr>
                <w:b/>
                <w:color w:val="000000"/>
              </w:rPr>
              <w:tab/>
              <w:t>13</w:t>
            </w:r>
          </w:hyperlink>
        </w:p>
        <w:p w14:paraId="2B33742F" w14:textId="77777777" w:rsidR="00B41AE2" w:rsidRDefault="00000000">
          <w:pPr>
            <w:widowControl w:val="0"/>
            <w:tabs>
              <w:tab w:val="right" w:leader="dot" w:pos="12000"/>
            </w:tabs>
            <w:spacing w:before="60" w:line="240" w:lineRule="auto"/>
            <w:rPr>
              <w:b/>
              <w:color w:val="000000"/>
            </w:rPr>
          </w:pPr>
          <w:hyperlink w:anchor="_17ho6wfb6gyv">
            <w:r>
              <w:rPr>
                <w:b/>
                <w:color w:val="000000"/>
              </w:rPr>
              <w:t>VII. Disaster Recovery Planning in Azure</w:t>
            </w:r>
            <w:r>
              <w:rPr>
                <w:b/>
                <w:color w:val="000000"/>
              </w:rPr>
              <w:tab/>
              <w:t>13</w:t>
            </w:r>
          </w:hyperlink>
        </w:p>
        <w:p w14:paraId="6FFD0C35" w14:textId="77777777" w:rsidR="00B41AE2" w:rsidRDefault="00000000">
          <w:pPr>
            <w:widowControl w:val="0"/>
            <w:tabs>
              <w:tab w:val="right" w:leader="dot" w:pos="12000"/>
            </w:tabs>
            <w:spacing w:before="60" w:line="240" w:lineRule="auto"/>
            <w:rPr>
              <w:b/>
              <w:color w:val="000000"/>
            </w:rPr>
          </w:pPr>
          <w:hyperlink w:anchor="_qmgtjdlkopsr">
            <w:r>
              <w:rPr>
                <w:b/>
                <w:color w:val="000000"/>
              </w:rPr>
              <w:t>VIII. Conclusion</w:t>
            </w:r>
            <w:r>
              <w:rPr>
                <w:b/>
                <w:color w:val="000000"/>
              </w:rPr>
              <w:tab/>
              <w:t>14</w:t>
            </w:r>
          </w:hyperlink>
        </w:p>
        <w:p w14:paraId="59CA44FD" w14:textId="77777777" w:rsidR="00B41AE2" w:rsidRDefault="00000000">
          <w:pPr>
            <w:widowControl w:val="0"/>
            <w:tabs>
              <w:tab w:val="right" w:leader="dot" w:pos="12000"/>
            </w:tabs>
            <w:spacing w:before="60" w:line="240" w:lineRule="auto"/>
            <w:rPr>
              <w:b/>
              <w:color w:val="000000"/>
            </w:rPr>
          </w:pPr>
          <w:hyperlink w:anchor="_sjf1sfqv20d">
            <w:r>
              <w:rPr>
                <w:b/>
                <w:color w:val="000000"/>
              </w:rPr>
              <w:t>IX. References</w:t>
            </w:r>
            <w:r>
              <w:rPr>
                <w:b/>
                <w:color w:val="000000"/>
              </w:rPr>
              <w:tab/>
              <w:t>16</w:t>
            </w:r>
          </w:hyperlink>
        </w:p>
        <w:p w14:paraId="3FC581CA" w14:textId="77777777" w:rsidR="00B41AE2" w:rsidRDefault="00000000">
          <w:pPr>
            <w:widowControl w:val="0"/>
            <w:tabs>
              <w:tab w:val="right" w:leader="dot" w:pos="12000"/>
            </w:tabs>
            <w:spacing w:before="60" w:line="240" w:lineRule="auto"/>
            <w:rPr>
              <w:b/>
              <w:color w:val="000000"/>
            </w:rPr>
          </w:pPr>
          <w:hyperlink w:anchor="_2kvk8hn3tcb4">
            <w:r>
              <w:rPr>
                <w:b/>
                <w:color w:val="000000"/>
              </w:rPr>
              <w:t>X. Appendices</w:t>
            </w:r>
            <w:r>
              <w:rPr>
                <w:b/>
                <w:color w:val="000000"/>
              </w:rPr>
              <w:tab/>
              <w:t>18</w:t>
            </w:r>
          </w:hyperlink>
          <w:r>
            <w:fldChar w:fldCharType="end"/>
          </w:r>
        </w:p>
      </w:sdtContent>
    </w:sdt>
    <w:p w14:paraId="17110118" w14:textId="77777777" w:rsidR="00B41AE2" w:rsidRDefault="00B41AE2">
      <w:pPr>
        <w:spacing w:before="200" w:after="200" w:line="240" w:lineRule="auto"/>
        <w:jc w:val="both"/>
        <w:rPr>
          <w:rFonts w:ascii="Times New Roman" w:eastAsia="Times New Roman" w:hAnsi="Times New Roman" w:cs="Times New Roman"/>
          <w:sz w:val="24"/>
          <w:szCs w:val="24"/>
        </w:rPr>
        <w:sectPr w:rsidR="00B41AE2" w:rsidSect="00E76092">
          <w:pgSz w:w="11906" w:h="16838"/>
          <w:pgMar w:top="1133" w:right="1133" w:bottom="1133" w:left="1133" w:header="720" w:footer="720" w:gutter="0"/>
          <w:cols w:space="720"/>
        </w:sectPr>
      </w:pPr>
    </w:p>
    <w:p w14:paraId="0263BFFA" w14:textId="77777777" w:rsidR="00B41AE2" w:rsidRDefault="00000000">
      <w:pPr>
        <w:pStyle w:val="Title"/>
        <w:spacing w:before="200" w:after="200" w:line="240" w:lineRule="auto"/>
        <w:jc w:val="center"/>
        <w:rPr>
          <w:rFonts w:ascii="Times New Roman" w:eastAsia="Times New Roman" w:hAnsi="Times New Roman" w:cs="Times New Roman"/>
        </w:rPr>
      </w:pPr>
      <w:bookmarkStart w:id="2" w:name="_bd9qoit69ral" w:colFirst="0" w:colLast="0"/>
      <w:bookmarkEnd w:id="2"/>
      <w:r>
        <w:rPr>
          <w:rFonts w:ascii="Times New Roman" w:eastAsia="Times New Roman" w:hAnsi="Times New Roman" w:cs="Times New Roman"/>
        </w:rPr>
        <w:lastRenderedPageBreak/>
        <w:t>Aspire Retailers Cloud Management with Microsoft Azure</w:t>
      </w:r>
    </w:p>
    <w:p w14:paraId="47C88D85"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3" w:name="_ugct4dpdyl1y" w:colFirst="0" w:colLast="0"/>
      <w:bookmarkEnd w:id="3"/>
      <w:r>
        <w:rPr>
          <w:rFonts w:ascii="Times New Roman" w:eastAsia="Times New Roman" w:hAnsi="Times New Roman" w:cs="Times New Roman"/>
          <w:b/>
          <w:sz w:val="24"/>
          <w:szCs w:val="24"/>
        </w:rPr>
        <w:t>Abstract</w:t>
      </w:r>
    </w:p>
    <w:p w14:paraId="73EA0DE5" w14:textId="23856C2B"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aims to comprehensively assess Aspire Retailers' strategic adoption of cloud computing, focusing specifically on their migration to Microsoft Azure. Our primary objective is to </w:t>
      </w:r>
      <w:r w:rsidR="00F56CB6">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how this migration aligns with the company's overarching goals. We'll explore Aspire Retailers’ technological needs, the integration of Microsoft Azure, and the expected outcomes of this migration.</w:t>
      </w:r>
    </w:p>
    <w:p w14:paraId="7523EE38"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4" w:name="_5cicrxavr3og" w:colFirst="0" w:colLast="0"/>
      <w:bookmarkEnd w:id="4"/>
      <w:r>
        <w:rPr>
          <w:rFonts w:ascii="Times New Roman" w:eastAsia="Times New Roman" w:hAnsi="Times New Roman" w:cs="Times New Roman"/>
          <w:b/>
          <w:sz w:val="24"/>
          <w:szCs w:val="24"/>
        </w:rPr>
        <w:t>I. Introduction</w:t>
      </w:r>
    </w:p>
    <w:p w14:paraId="7E76C710" w14:textId="45B53791"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landscape of modern IT infrastructure has undergone a profound transformation, marked by the ascendancy of cloud computing. Aspire Retailers, a prominent home improvement retailer, faces the challenge of transitioning from a traditional on-premises </w:t>
      </w:r>
      <w:r w:rsidR="00F56CB6">
        <w:rPr>
          <w:rFonts w:ascii="Times New Roman" w:eastAsia="Times New Roman" w:hAnsi="Times New Roman" w:cs="Times New Roman"/>
          <w:sz w:val="24"/>
          <w:szCs w:val="24"/>
        </w:rPr>
        <w:t>datacentre</w:t>
      </w:r>
      <w:r>
        <w:rPr>
          <w:rFonts w:ascii="Times New Roman" w:eastAsia="Times New Roman" w:hAnsi="Times New Roman" w:cs="Times New Roman"/>
          <w:sz w:val="24"/>
          <w:szCs w:val="24"/>
        </w:rPr>
        <w:t xml:space="preserve"> model to a more dynamic cloud-based infrastructure. This shift is pivotal for the company as it seeks to streamline operations, scale efficiently, and meet evolving market demands.</w:t>
      </w:r>
    </w:p>
    <w:p w14:paraId="2DBFA03B" w14:textId="266BEE0D"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we aim to review the process of Aspire Retailers' strategic embrace of cloud computing, specifically focusing on their adoption of Microsoft Azure as the primary cloud service provider. Our primary objective is to </w:t>
      </w:r>
      <w:r w:rsidR="00F56CB6">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how this migration aligns with the company's overarching goals. We will delve into immediate computing service provisioning, cost estimation and management, user management leveraging Azure Active Directory, governance strategies ensuring security, and formulating a robust disaster recovery plan.</w:t>
      </w:r>
    </w:p>
    <w:p w14:paraId="2B72D52C"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a comprehensive understanding of cloud services, our report will navigate through various critical aspects. Starting with a clear discussion on immediate provisioning of computing services, we will evaluate load balancing features across multiple cloud service providers. This comparative analysis aims to aid Aspire Retailers in their decision-making process. Additionally, we will provide insights into estimating costs for different computing configurations on Azure, presenting ongoing monthly cost structures and Total Cost of Ownership (TCO) for varying scenarios.</w:t>
      </w:r>
    </w:p>
    <w:p w14:paraId="6F68B560"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the report will delve into the complexities of user management through Azure Active Directory. We will detail the configuration of user accounts, delineate the roles of Global users and normal users, and address the implementation of 'Bring Your Own Device' (BYOD) policies. Our exploration extends to cloud governance strategies, emphasising Microsoft Azure's role in ensuring secure access to cloud resources while proposing effective policies for seamless operations.</w:t>
      </w:r>
    </w:p>
    <w:p w14:paraId="1F030D27"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integrating theoretical insights with practical applications using Azure tools, this report aims to offer comprehensive guidance to Aspire Retailers. Our goal is to provide pragmatic recommendations and strategies that align with the company's aspirations for enhanced agility, scalability, security, and resilience in the dynamic sphere of cloud computing.</w:t>
      </w:r>
    </w:p>
    <w:p w14:paraId="531C4C96" w14:textId="77777777" w:rsidR="00B41AE2" w:rsidRDefault="00B41AE2">
      <w:pPr>
        <w:spacing w:before="200" w:after="200" w:line="240" w:lineRule="auto"/>
        <w:jc w:val="both"/>
        <w:rPr>
          <w:rFonts w:ascii="Times New Roman" w:eastAsia="Times New Roman" w:hAnsi="Times New Roman" w:cs="Times New Roman"/>
          <w:sz w:val="24"/>
          <w:szCs w:val="24"/>
        </w:rPr>
        <w:sectPr w:rsidR="00B41AE2" w:rsidSect="00E76092">
          <w:headerReference w:type="default" r:id="rId10"/>
          <w:pgSz w:w="11906" w:h="16838"/>
          <w:pgMar w:top="425" w:right="317" w:bottom="958" w:left="317" w:header="720" w:footer="720" w:gutter="0"/>
          <w:cols w:space="720"/>
        </w:sectPr>
      </w:pPr>
    </w:p>
    <w:p w14:paraId="7FB2F1E7"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5" w:name="_25z5v45rzhjs" w:colFirst="0" w:colLast="0"/>
      <w:bookmarkEnd w:id="5"/>
      <w:r>
        <w:rPr>
          <w:rFonts w:ascii="Times New Roman" w:eastAsia="Times New Roman" w:hAnsi="Times New Roman" w:cs="Times New Roman"/>
          <w:b/>
          <w:sz w:val="24"/>
          <w:szCs w:val="24"/>
        </w:rPr>
        <w:lastRenderedPageBreak/>
        <w:t xml:space="preserve">II. Cloud Solution for Aspire Retailers </w:t>
      </w:r>
    </w:p>
    <w:p w14:paraId="0EF71BD7"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competitive landscape of modern retail, Aspire Retailers grapples with the pressing need for swift computing services to bolster operations [1]. Embracing the dynamic nature of today's digital era, immediate access to and processing of data are pivotal factors for sustaining a competitive edge. The adoption of cloud solutions has emerged as a transformative game changer, empowering Aspire Retailers to fulfil their immediate computing needs effortlessly [1]. This exploration focuses on the integral role and pivotal features of load balancing within cloud solutions and how it specifically caters to the computing requirements of Aspire Retailers.</w:t>
      </w:r>
    </w:p>
    <w:p w14:paraId="38F3B064"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Retail entities, akin to various businesses, confront the challenge of managing colossal volumes of data, analysing customer behaviours, and ensuring seamless online-offline integration [1]. Immediate computing services, epitomised by cloud computing, offer the capability to store and process extensive datasets swiftly, enabling agile decision-making and elevated customer experiences. The flexibility of these services allows retailers to scale operations in tandem with market demand, ensuring operational fluidity and curtailing downtime. By embracing immediate computing services, Aspire Retailers gain a definitive competitive edge, heighten operational efficiency, and respond to escalating customer demand [1].</w:t>
      </w:r>
    </w:p>
    <w:p w14:paraId="77C2C963"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surge in cloud adoption across diverse industries indicates its benefits. For Aspire Retailers, the shift to a cloud solution represents multifaceted advantages [2]. Notably, it encompasses substantial cost savings by negating hefty investments in hardware and software, and the trimming down of IT staffing and maintenance expenses. Furthermore, the scalability and flexibility inherent in cloud services empower Aspire Retailers to seamlessly adjust computing resources, assuring peak performance during demand spikes. Real-time collaboration and streamlined data sharing across departments and locations fosters enhanced communication and decision-making processes. Additionally, cloud storage ensures data backup and fortified disaster recovery protocols, minimising the perils of data loss. These collective advantages underscore the transformative potential of cloud solutions for asphalt retailers [2].</w:t>
      </w:r>
    </w:p>
    <w:p w14:paraId="06B4CBBC"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pivotal function of load balancing is at the core of addressing Aspire Retailers' computing needs [3]. This technique proficiently allocates incoming network traffic across multiple servers, thereby optimising the overall performance, reliability, and scalability. Load balancing orchestrates workload distribution among servers, mitigating the risk of server overload and ensuring optimal resource utilisation. Its encompassing features, including session persistence, fault tolerance, and scalable adaptability, effectively address computing demands [3].</w:t>
      </w:r>
    </w:p>
    <w:p w14:paraId="60F8AD02" w14:textId="77777777" w:rsidR="00B41AE2" w:rsidRDefault="00000000">
      <w:pPr>
        <w:spacing w:before="200" w:after="200" w:line="240" w:lineRule="auto"/>
        <w:ind w:firstLine="720"/>
        <w:jc w:val="both"/>
        <w:rPr>
          <w:rFonts w:ascii="Times New Roman" w:eastAsia="Times New Roman" w:hAnsi="Times New Roman" w:cs="Times New Roman"/>
          <w:sz w:val="24"/>
          <w:szCs w:val="24"/>
        </w:rPr>
        <w:sectPr w:rsidR="00B41AE2" w:rsidSect="00E76092">
          <w:pgSz w:w="11906" w:h="16838"/>
          <w:pgMar w:top="425" w:right="317" w:bottom="958" w:left="317" w:header="720" w:footer="720" w:gutter="0"/>
          <w:cols w:space="720"/>
        </w:sectPr>
      </w:pPr>
      <w:r>
        <w:rPr>
          <w:rFonts w:ascii="Times New Roman" w:eastAsia="Times New Roman" w:hAnsi="Times New Roman" w:cs="Times New Roman"/>
          <w:sz w:val="24"/>
          <w:szCs w:val="24"/>
        </w:rPr>
        <w:t>Essentially, the adoption of cloud solutions coupled with load balancing redefines the computing paradigms of Aspire Retailers’ [3]. Empowering them with agility, cost efficiency, fortified customer experiences, and unwavering business continuity, these technologies allow retailers to embrace the digital revolution and surpass evolving customer expectations.</w:t>
      </w:r>
    </w:p>
    <w:p w14:paraId="3F120B08" w14:textId="77777777" w:rsidR="00B41AE2" w:rsidRDefault="00000000">
      <w:pPr>
        <w:pStyle w:val="Heading1"/>
        <w:spacing w:before="200" w:after="200" w:line="240" w:lineRule="auto"/>
        <w:jc w:val="both"/>
        <w:rPr>
          <w:rFonts w:ascii="Times New Roman" w:eastAsia="Times New Roman" w:hAnsi="Times New Roman" w:cs="Times New Roman"/>
          <w:sz w:val="24"/>
          <w:szCs w:val="24"/>
        </w:rPr>
      </w:pPr>
      <w:bookmarkStart w:id="6" w:name="_ue82gjkgxmjr" w:colFirst="0" w:colLast="0"/>
      <w:bookmarkEnd w:id="6"/>
      <w:r>
        <w:rPr>
          <w:rFonts w:ascii="Times New Roman" w:eastAsia="Times New Roman" w:hAnsi="Times New Roman" w:cs="Times New Roman"/>
          <w:b/>
          <w:sz w:val="24"/>
          <w:szCs w:val="24"/>
        </w:rPr>
        <w:lastRenderedPageBreak/>
        <w:t>III. Comparative Analysis of Cloud Providers</w:t>
      </w:r>
    </w:p>
    <w:p w14:paraId="323DFB90"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has become pivotal in modern business operations, offering inherent scalability and flexibility that revolutionise organisational processes. This analysis meticulously examines three prominent cloud service providers – Amazon Web Services (AWS), Microsoft Azure, and Google Cloud Platform – delving into their services, features, and pricing structures. Our goal is to equip Aspire Retailers with comprehensive insights for making informed decisions regarding their cloud computing needs, emphasising each provider's strengths, weaknesses, and alignment with specific business requirements.</w:t>
      </w:r>
    </w:p>
    <w:p w14:paraId="0EE88BFF"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described by </w:t>
      </w:r>
      <w:proofErr w:type="spellStart"/>
      <w:r>
        <w:rPr>
          <w:rFonts w:ascii="Times New Roman" w:eastAsia="Times New Roman" w:hAnsi="Times New Roman" w:cs="Times New Roman"/>
          <w:sz w:val="24"/>
          <w:szCs w:val="24"/>
        </w:rPr>
        <w:t>Stanoevska-Slabeva</w:t>
      </w:r>
      <w:proofErr w:type="spellEnd"/>
      <w:r>
        <w:rPr>
          <w:rFonts w:ascii="Times New Roman" w:eastAsia="Times New Roman" w:hAnsi="Times New Roman" w:cs="Times New Roman"/>
          <w:sz w:val="24"/>
          <w:szCs w:val="24"/>
        </w:rPr>
        <w:t xml:space="preserve"> and Wozniak [4], cloud computing encompasses accessing computing resources over the Internet, enabling a shared pool of configurable resources like networks, servers, storage, and applications. Its advantages, including cost savings, scalability, flexibility, and increased efficiency, empower organizations to transition from capital-intensive hardware investments to pay-as-you-go services. This adaptability allows dynamic resource adjustments for varying workloads, fostering remote work and collaboration.</w:t>
      </w:r>
    </w:p>
    <w:tbl>
      <w:tblPr>
        <w:tblStyle w:val="a"/>
        <w:tblW w:w="9637" w:type="dxa"/>
        <w:tblBorders>
          <w:top w:val="nil"/>
          <w:left w:val="nil"/>
          <w:bottom w:val="nil"/>
          <w:right w:val="nil"/>
          <w:insideH w:val="nil"/>
          <w:insideV w:val="nil"/>
        </w:tblBorders>
        <w:tblLayout w:type="fixed"/>
        <w:tblLook w:val="0600" w:firstRow="0" w:lastRow="0" w:firstColumn="0" w:lastColumn="0" w:noHBand="1" w:noVBand="1"/>
      </w:tblPr>
      <w:tblGrid>
        <w:gridCol w:w="1328"/>
        <w:gridCol w:w="1823"/>
        <w:gridCol w:w="1635"/>
        <w:gridCol w:w="1581"/>
        <w:gridCol w:w="1675"/>
        <w:gridCol w:w="1595"/>
      </w:tblGrid>
      <w:tr w:rsidR="00B41AE2" w14:paraId="08FE6B38" w14:textId="77777777">
        <w:trPr>
          <w:trHeight w:val="1070"/>
        </w:trPr>
        <w:tc>
          <w:tcPr>
            <w:tcW w:w="1327" w:type="dxa"/>
            <w:tcBorders>
              <w:top w:val="single" w:sz="5" w:space="0" w:color="D9D9E3"/>
              <w:left w:val="single" w:sz="5" w:space="0" w:color="D9D9E3"/>
              <w:bottom w:val="single" w:sz="5" w:space="0" w:color="D9D9E3"/>
              <w:right w:val="nil"/>
            </w:tcBorders>
            <w:shd w:val="clear" w:color="auto" w:fill="434343"/>
            <w:tcMar>
              <w:top w:w="100" w:type="dxa"/>
              <w:left w:w="100" w:type="dxa"/>
              <w:bottom w:w="100" w:type="dxa"/>
              <w:right w:w="100" w:type="dxa"/>
            </w:tcMar>
            <w:vAlign w:val="bottom"/>
          </w:tcPr>
          <w:p w14:paraId="0A4F7076" w14:textId="77777777" w:rsidR="00B41AE2" w:rsidRDefault="00000000">
            <w:pPr>
              <w:spacing w:before="200" w:after="200" w:line="411" w:lineRule="auto"/>
              <w:jc w:val="center"/>
              <w:rPr>
                <w:rFonts w:ascii="Roboto" w:eastAsia="Roboto" w:hAnsi="Roboto" w:cs="Roboto"/>
                <w:color w:val="FFFFFF"/>
                <w:sz w:val="19"/>
                <w:szCs w:val="19"/>
              </w:rPr>
            </w:pPr>
            <w:r>
              <w:rPr>
                <w:rFonts w:ascii="Roboto" w:eastAsia="Roboto" w:hAnsi="Roboto" w:cs="Roboto"/>
                <w:b/>
                <w:color w:val="FFFFFF"/>
                <w:sz w:val="19"/>
                <w:szCs w:val="19"/>
              </w:rPr>
              <w:t>Provider</w:t>
            </w:r>
          </w:p>
        </w:tc>
        <w:tc>
          <w:tcPr>
            <w:tcW w:w="1822" w:type="dxa"/>
            <w:tcBorders>
              <w:top w:val="single" w:sz="5" w:space="0" w:color="D9D9E3"/>
              <w:left w:val="single" w:sz="5" w:space="0" w:color="D9D9E3"/>
              <w:bottom w:val="single" w:sz="5" w:space="0" w:color="D9D9E3"/>
              <w:right w:val="nil"/>
            </w:tcBorders>
            <w:shd w:val="clear" w:color="auto" w:fill="434343"/>
            <w:tcMar>
              <w:top w:w="100" w:type="dxa"/>
              <w:left w:w="100" w:type="dxa"/>
              <w:bottom w:w="100" w:type="dxa"/>
              <w:right w:w="100" w:type="dxa"/>
            </w:tcMar>
            <w:vAlign w:val="bottom"/>
          </w:tcPr>
          <w:p w14:paraId="249A0289" w14:textId="77777777" w:rsidR="00B41AE2" w:rsidRDefault="00000000">
            <w:pPr>
              <w:spacing w:before="200" w:after="200" w:line="411" w:lineRule="auto"/>
              <w:jc w:val="center"/>
              <w:rPr>
                <w:rFonts w:ascii="Roboto" w:eastAsia="Roboto" w:hAnsi="Roboto" w:cs="Roboto"/>
                <w:color w:val="FFFFFF"/>
                <w:sz w:val="19"/>
                <w:szCs w:val="19"/>
              </w:rPr>
            </w:pPr>
            <w:r>
              <w:rPr>
                <w:rFonts w:ascii="Roboto" w:eastAsia="Roboto" w:hAnsi="Roboto" w:cs="Roboto"/>
                <w:b/>
                <w:color w:val="FFFFFF"/>
                <w:sz w:val="19"/>
                <w:szCs w:val="19"/>
              </w:rPr>
              <w:t>Key Services</w:t>
            </w:r>
          </w:p>
        </w:tc>
        <w:tc>
          <w:tcPr>
            <w:tcW w:w="1635" w:type="dxa"/>
            <w:tcBorders>
              <w:top w:val="single" w:sz="5" w:space="0" w:color="D9D9E3"/>
              <w:left w:val="single" w:sz="5" w:space="0" w:color="D9D9E3"/>
              <w:bottom w:val="single" w:sz="5" w:space="0" w:color="D9D9E3"/>
              <w:right w:val="nil"/>
            </w:tcBorders>
            <w:shd w:val="clear" w:color="auto" w:fill="434343"/>
            <w:tcMar>
              <w:top w:w="100" w:type="dxa"/>
              <w:left w:w="100" w:type="dxa"/>
              <w:bottom w:w="100" w:type="dxa"/>
              <w:right w:w="100" w:type="dxa"/>
            </w:tcMar>
            <w:vAlign w:val="bottom"/>
          </w:tcPr>
          <w:p w14:paraId="436006EE" w14:textId="77777777" w:rsidR="00B41AE2" w:rsidRDefault="00000000">
            <w:pPr>
              <w:spacing w:before="200" w:after="200" w:line="411" w:lineRule="auto"/>
              <w:jc w:val="center"/>
              <w:rPr>
                <w:rFonts w:ascii="Roboto" w:eastAsia="Roboto" w:hAnsi="Roboto" w:cs="Roboto"/>
                <w:color w:val="FFFFFF"/>
                <w:sz w:val="19"/>
                <w:szCs w:val="19"/>
              </w:rPr>
            </w:pPr>
            <w:r>
              <w:rPr>
                <w:rFonts w:ascii="Roboto" w:eastAsia="Roboto" w:hAnsi="Roboto" w:cs="Roboto"/>
                <w:b/>
                <w:color w:val="FFFFFF"/>
                <w:sz w:val="19"/>
                <w:szCs w:val="19"/>
              </w:rPr>
              <w:t>Standout Features</w:t>
            </w:r>
          </w:p>
        </w:tc>
        <w:tc>
          <w:tcPr>
            <w:tcW w:w="1581" w:type="dxa"/>
            <w:tcBorders>
              <w:top w:val="single" w:sz="5" w:space="0" w:color="D9D9E3"/>
              <w:left w:val="single" w:sz="5" w:space="0" w:color="D9D9E3"/>
              <w:bottom w:val="single" w:sz="5" w:space="0" w:color="D9D9E3"/>
              <w:right w:val="nil"/>
            </w:tcBorders>
            <w:shd w:val="clear" w:color="auto" w:fill="434343"/>
            <w:tcMar>
              <w:top w:w="100" w:type="dxa"/>
              <w:left w:w="100" w:type="dxa"/>
              <w:bottom w:w="100" w:type="dxa"/>
              <w:right w:w="100" w:type="dxa"/>
            </w:tcMar>
            <w:vAlign w:val="bottom"/>
          </w:tcPr>
          <w:p w14:paraId="55F6A509" w14:textId="77777777" w:rsidR="00B41AE2" w:rsidRDefault="00000000">
            <w:pPr>
              <w:spacing w:before="200" w:after="200" w:line="411" w:lineRule="auto"/>
              <w:jc w:val="center"/>
              <w:rPr>
                <w:rFonts w:ascii="Roboto" w:eastAsia="Roboto" w:hAnsi="Roboto" w:cs="Roboto"/>
                <w:color w:val="FFFFFF"/>
                <w:sz w:val="19"/>
                <w:szCs w:val="19"/>
              </w:rPr>
            </w:pPr>
            <w:r>
              <w:rPr>
                <w:rFonts w:ascii="Roboto" w:eastAsia="Roboto" w:hAnsi="Roboto" w:cs="Roboto"/>
                <w:b/>
                <w:color w:val="FFFFFF"/>
                <w:sz w:val="19"/>
                <w:szCs w:val="19"/>
              </w:rPr>
              <w:t>Pricing Model</w:t>
            </w:r>
          </w:p>
        </w:tc>
        <w:tc>
          <w:tcPr>
            <w:tcW w:w="1675" w:type="dxa"/>
            <w:tcBorders>
              <w:top w:val="single" w:sz="5" w:space="0" w:color="D9D9E3"/>
              <w:left w:val="single" w:sz="5" w:space="0" w:color="D9D9E3"/>
              <w:bottom w:val="single" w:sz="5" w:space="0" w:color="D9D9E3"/>
              <w:right w:val="nil"/>
            </w:tcBorders>
            <w:shd w:val="clear" w:color="auto" w:fill="434343"/>
            <w:tcMar>
              <w:top w:w="100" w:type="dxa"/>
              <w:left w:w="100" w:type="dxa"/>
              <w:bottom w:w="100" w:type="dxa"/>
              <w:right w:w="100" w:type="dxa"/>
            </w:tcMar>
            <w:vAlign w:val="bottom"/>
          </w:tcPr>
          <w:p w14:paraId="72263C88" w14:textId="77777777" w:rsidR="00B41AE2" w:rsidRDefault="00000000">
            <w:pPr>
              <w:spacing w:before="200" w:after="200" w:line="411" w:lineRule="auto"/>
              <w:jc w:val="center"/>
              <w:rPr>
                <w:rFonts w:ascii="Roboto" w:eastAsia="Roboto" w:hAnsi="Roboto" w:cs="Roboto"/>
                <w:color w:val="FFFFFF"/>
                <w:sz w:val="19"/>
                <w:szCs w:val="19"/>
              </w:rPr>
            </w:pPr>
            <w:r>
              <w:rPr>
                <w:rFonts w:ascii="Roboto" w:eastAsia="Roboto" w:hAnsi="Roboto" w:cs="Roboto"/>
                <w:b/>
                <w:color w:val="FFFFFF"/>
                <w:sz w:val="19"/>
                <w:szCs w:val="19"/>
              </w:rPr>
              <w:t>Strengths</w:t>
            </w:r>
          </w:p>
        </w:tc>
        <w:tc>
          <w:tcPr>
            <w:tcW w:w="1595" w:type="dxa"/>
            <w:tcBorders>
              <w:top w:val="single" w:sz="5" w:space="0" w:color="D9D9E3"/>
              <w:left w:val="single" w:sz="5" w:space="0" w:color="D9D9E3"/>
              <w:bottom w:val="single" w:sz="5" w:space="0" w:color="D9D9E3"/>
              <w:right w:val="single" w:sz="5" w:space="0" w:color="D9D9E3"/>
            </w:tcBorders>
            <w:shd w:val="clear" w:color="auto" w:fill="434343"/>
            <w:tcMar>
              <w:top w:w="100" w:type="dxa"/>
              <w:left w:w="100" w:type="dxa"/>
              <w:bottom w:w="100" w:type="dxa"/>
              <w:right w:w="100" w:type="dxa"/>
            </w:tcMar>
            <w:vAlign w:val="bottom"/>
          </w:tcPr>
          <w:p w14:paraId="3FED2DAF" w14:textId="77777777" w:rsidR="00B41AE2" w:rsidRDefault="00000000">
            <w:pPr>
              <w:spacing w:before="200" w:after="200" w:line="411" w:lineRule="auto"/>
              <w:jc w:val="center"/>
              <w:rPr>
                <w:rFonts w:ascii="Roboto" w:eastAsia="Roboto" w:hAnsi="Roboto" w:cs="Roboto"/>
                <w:color w:val="FFFFFF"/>
                <w:sz w:val="19"/>
                <w:szCs w:val="19"/>
              </w:rPr>
            </w:pPr>
            <w:r>
              <w:rPr>
                <w:rFonts w:ascii="Roboto" w:eastAsia="Roboto" w:hAnsi="Roboto" w:cs="Roboto"/>
                <w:b/>
                <w:color w:val="FFFFFF"/>
                <w:sz w:val="19"/>
                <w:szCs w:val="19"/>
              </w:rPr>
              <w:t>Weaknesses</w:t>
            </w:r>
          </w:p>
        </w:tc>
      </w:tr>
      <w:tr w:rsidR="00B41AE2" w14:paraId="1848F956" w14:textId="77777777">
        <w:trPr>
          <w:trHeight w:val="2495"/>
        </w:trPr>
        <w:tc>
          <w:tcPr>
            <w:tcW w:w="1327"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2363F240" w14:textId="77777777" w:rsidR="00B41AE2" w:rsidRDefault="00000000">
            <w:pPr>
              <w:spacing w:before="200" w:after="200" w:line="411" w:lineRule="auto"/>
              <w:jc w:val="center"/>
              <w:rPr>
                <w:rFonts w:ascii="Roboto" w:eastAsia="Roboto" w:hAnsi="Roboto" w:cs="Roboto"/>
                <w:b/>
                <w:color w:val="FFFFFF"/>
                <w:sz w:val="19"/>
                <w:szCs w:val="19"/>
              </w:rPr>
            </w:pPr>
            <w:r>
              <w:rPr>
                <w:rFonts w:ascii="Roboto" w:eastAsia="Roboto" w:hAnsi="Roboto" w:cs="Roboto"/>
                <w:b/>
                <w:color w:val="FFFFFF"/>
                <w:sz w:val="19"/>
                <w:szCs w:val="19"/>
              </w:rPr>
              <w:t>AWS</w:t>
            </w:r>
          </w:p>
        </w:tc>
        <w:tc>
          <w:tcPr>
            <w:tcW w:w="1822"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4C514FD9"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Computing, storage, databases, machine learning, and AI capabilities.</w:t>
            </w:r>
          </w:p>
        </w:tc>
        <w:tc>
          <w:tcPr>
            <w:tcW w:w="1635"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6671266D"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Extensive global infrastructure enabling easy scalability.</w:t>
            </w:r>
          </w:p>
        </w:tc>
        <w:tc>
          <w:tcPr>
            <w:tcW w:w="158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1DDC0156"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Pay-as-you-go, based on resource usage.</w:t>
            </w:r>
          </w:p>
        </w:tc>
        <w:tc>
          <w:tcPr>
            <w:tcW w:w="1675"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1C2BFCA3"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Diverse service portfolio, global infrastructure.</w:t>
            </w:r>
          </w:p>
        </w:tc>
        <w:tc>
          <w:tcPr>
            <w:tcW w:w="15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5E87BC20"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Potential complex pricing structure.</w:t>
            </w:r>
          </w:p>
        </w:tc>
      </w:tr>
      <w:tr w:rsidR="00B41AE2" w14:paraId="71A9F25E" w14:textId="77777777">
        <w:trPr>
          <w:trHeight w:val="2855"/>
        </w:trPr>
        <w:tc>
          <w:tcPr>
            <w:tcW w:w="1327"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42920653" w14:textId="77777777" w:rsidR="00B41AE2" w:rsidRDefault="00000000">
            <w:pPr>
              <w:spacing w:before="200" w:after="200" w:line="411" w:lineRule="auto"/>
              <w:jc w:val="center"/>
              <w:rPr>
                <w:rFonts w:ascii="Roboto" w:eastAsia="Roboto" w:hAnsi="Roboto" w:cs="Roboto"/>
                <w:b/>
                <w:color w:val="FFFFFF"/>
                <w:sz w:val="19"/>
                <w:szCs w:val="19"/>
              </w:rPr>
            </w:pPr>
            <w:r>
              <w:rPr>
                <w:rFonts w:ascii="Roboto" w:eastAsia="Roboto" w:hAnsi="Roboto" w:cs="Roboto"/>
                <w:b/>
                <w:color w:val="FFFFFF"/>
                <w:sz w:val="19"/>
                <w:szCs w:val="19"/>
              </w:rPr>
              <w:t>Microsoft Azure</w:t>
            </w:r>
          </w:p>
        </w:tc>
        <w:tc>
          <w:tcPr>
            <w:tcW w:w="1822"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77096CD3"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Similar services with a focus on integrating seamlessly with Microsoft products.</w:t>
            </w:r>
          </w:p>
        </w:tc>
        <w:tc>
          <w:tcPr>
            <w:tcW w:w="1635"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FA0D037"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Seamless hybrid cloud integration, particularly with Microsoft products.</w:t>
            </w:r>
          </w:p>
        </w:tc>
        <w:tc>
          <w:tcPr>
            <w:tcW w:w="158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1760A7AC"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Flexible pricing with long-term commitment discounts.</w:t>
            </w:r>
          </w:p>
        </w:tc>
        <w:tc>
          <w:tcPr>
            <w:tcW w:w="1675"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720D3538"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Seamless integration, focus on Microsoft ecosystem.</w:t>
            </w:r>
          </w:p>
        </w:tc>
        <w:tc>
          <w:tcPr>
            <w:tcW w:w="15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7FBF86F9"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Integration complexities beyond Microsoft ecosystem.</w:t>
            </w:r>
          </w:p>
        </w:tc>
      </w:tr>
      <w:tr w:rsidR="00B41AE2" w14:paraId="378FD122" w14:textId="77777777">
        <w:trPr>
          <w:trHeight w:val="2855"/>
        </w:trPr>
        <w:tc>
          <w:tcPr>
            <w:tcW w:w="1327"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1FC4005A" w14:textId="77777777" w:rsidR="00B41AE2" w:rsidRDefault="00000000">
            <w:pPr>
              <w:spacing w:before="200" w:after="200" w:line="411" w:lineRule="auto"/>
              <w:jc w:val="center"/>
              <w:rPr>
                <w:rFonts w:ascii="Roboto" w:eastAsia="Roboto" w:hAnsi="Roboto" w:cs="Roboto"/>
                <w:b/>
                <w:color w:val="FFFFFF"/>
                <w:sz w:val="19"/>
                <w:szCs w:val="19"/>
              </w:rPr>
            </w:pPr>
            <w:r>
              <w:rPr>
                <w:rFonts w:ascii="Roboto" w:eastAsia="Roboto" w:hAnsi="Roboto" w:cs="Roboto"/>
                <w:b/>
                <w:color w:val="FFFFFF"/>
                <w:sz w:val="19"/>
                <w:szCs w:val="19"/>
              </w:rPr>
              <w:t>Google Cloud Platform (GCP)</w:t>
            </w:r>
          </w:p>
        </w:tc>
        <w:tc>
          <w:tcPr>
            <w:tcW w:w="1822"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D4E4E71"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Comprehensive services, emphasising data analytics and processing.</w:t>
            </w:r>
          </w:p>
        </w:tc>
        <w:tc>
          <w:tcPr>
            <w:tcW w:w="1635"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0024256A"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Advanced data analytics leveraging big data technologies.</w:t>
            </w:r>
          </w:p>
        </w:tc>
        <w:tc>
          <w:tcPr>
            <w:tcW w:w="158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05BBF741"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Sustained usage discounts with competitive computing prices.</w:t>
            </w:r>
          </w:p>
        </w:tc>
        <w:tc>
          <w:tcPr>
            <w:tcW w:w="1675"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17091E62"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Advanced data analytics, strong processing capabilities.</w:t>
            </w:r>
          </w:p>
        </w:tc>
        <w:tc>
          <w:tcPr>
            <w:tcW w:w="15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53DF4611" w14:textId="77777777" w:rsidR="00B41AE2" w:rsidRDefault="00000000">
            <w:pPr>
              <w:spacing w:before="200" w:after="200" w:line="411" w:lineRule="auto"/>
              <w:jc w:val="center"/>
              <w:rPr>
                <w:rFonts w:ascii="Roboto" w:eastAsia="Roboto" w:hAnsi="Roboto" w:cs="Roboto"/>
                <w:i/>
                <w:color w:val="FFFFFF"/>
                <w:sz w:val="19"/>
                <w:szCs w:val="19"/>
              </w:rPr>
            </w:pPr>
            <w:r>
              <w:rPr>
                <w:rFonts w:ascii="Roboto" w:eastAsia="Roboto" w:hAnsi="Roboto" w:cs="Roboto"/>
                <w:i/>
                <w:color w:val="FFFFFF"/>
                <w:sz w:val="19"/>
                <w:szCs w:val="19"/>
              </w:rPr>
              <w:t>Limited focus on non-data analytics-related services.</w:t>
            </w:r>
          </w:p>
        </w:tc>
      </w:tr>
    </w:tbl>
    <w:p w14:paraId="2356C425"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Understanding strengths and weaknesses is crucial in aligning providers with specific business needs. Security, scalability, and cost-effectiveness, as highlighted in the NIST Cloud Computing Synopsis and Recommendations [6], play pivotal roles. While one provider might excel in security, another might offer superior scalability. However, weaknesses also need consideration. For instance, robust security measures might come with limited storage capacity.</w:t>
      </w:r>
    </w:p>
    <w:p w14:paraId="52AF7B29"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Aspire Retailers, deeply ingrained in the Microsoft ecosystem, Microsoft Azure presents a comprehensive suite of tools and seamless integration. AWS, with its extensive service catalogue and robust infrastructure, caters to enterprises across scales. On the other hand, Google Cloud Platform boasts advanced data analytics, leveraging its expertise in big data technologies.</w:t>
      </w:r>
    </w:p>
    <w:p w14:paraId="3114A4D1"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Choosing the ideal provider mandates a meticulous evaluation of factors such as cost, scalability, security, and service reliability, aligning closely with specific business requirements. As cloud computing evolves, staying updated with provider offerings and advancements becomes imperative for businesses to maximise their potential in this dynamic digital era.</w:t>
      </w:r>
    </w:p>
    <w:p w14:paraId="0003C65D"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7" w:name="_ix0qui3vg700" w:colFirst="0" w:colLast="0"/>
      <w:bookmarkEnd w:id="7"/>
      <w:r>
        <w:rPr>
          <w:rFonts w:ascii="Times New Roman" w:eastAsia="Times New Roman" w:hAnsi="Times New Roman" w:cs="Times New Roman"/>
          <w:b/>
          <w:sz w:val="24"/>
          <w:szCs w:val="24"/>
        </w:rPr>
        <w:t>IV. Cost Analysis and Management in Azure</w:t>
      </w:r>
    </w:p>
    <w:p w14:paraId="2BDD887F" w14:textId="77777777" w:rsidR="00B41AE2"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Overview of the cost implications of moving to the cloud.</w:t>
      </w:r>
    </w:p>
    <w:p w14:paraId="6CCA3824" w14:textId="77777777" w:rsidR="00B41AE2"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Explanation of Azure Total Cost of Ownership (TCO) and Pay-as-you-go vs. Reserved models.</w:t>
      </w:r>
    </w:p>
    <w:p w14:paraId="24D8BA19" w14:textId="77777777" w:rsidR="00B41AE2" w:rsidRDefault="00000000">
      <w:pPr>
        <w:numPr>
          <w:ilvl w:val="0"/>
          <w:numId w:val="1"/>
        </w:num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Calculation of ongoing monthly cost structures for different computing configurations (approximately 700 words).</w:t>
      </w:r>
    </w:p>
    <w:p w14:paraId="29681A4A"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8" w:name="_s89qbyw8o1mf" w:colFirst="0" w:colLast="0"/>
      <w:bookmarkEnd w:id="8"/>
      <w:r>
        <w:rPr>
          <w:rFonts w:ascii="Times New Roman" w:eastAsia="Times New Roman" w:hAnsi="Times New Roman" w:cs="Times New Roman"/>
          <w:b/>
          <w:sz w:val="24"/>
          <w:szCs w:val="24"/>
        </w:rPr>
        <w:t>V. Azure Active Directory Implementation</w:t>
      </w:r>
    </w:p>
    <w:p w14:paraId="19C54E1F"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Azure Active Directory (AD), a cloud-based identity and access management service offered by Microsoft Corporation, offers comprehensive solutions for securely controlling digital identities within organisational environments. This technology streamlines user account management while securing data and resources against unauthorised access or breaches. It provides robust single sign-on functionalities enabling users to effortlessly log into various applications without having to remember numerous usernames and passwords (Microsoft Corporation, n.d.). In today's hyper connected corporate world, it has become imperative to manage user accounts and group accounts efficiently. Traditional manual methods are time-consuming, prone to errors, and lack transparency. Conversely, utilizing Azure AD can automate these processes, ensuring greater control over sensitive information and providing an exceptionally secure environment for employees to work in [7]. Managing user accounts effectively safeguards an organization’s assets, prevents potential cyber threats, improves operational efficiency, enhances employee productivity, and simplifies compliance with industry regulations such as GDPR (General Data Protection Regulation).</w:t>
      </w:r>
    </w:p>
    <w:p w14:paraId="4152A872"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significant advantage of adopting Azure AD lies in its centralized management capability. With this system, administrators gain complete visibility and control over all user accounts irrespective of their location—a critical feature given the increasing trend towards remote working arrangements. By consolidating user profiles onto one platform, IT departments can easily monitor and update individual account details, streamlining operations considerably compared to traditional disparate systems where each application requires separate login credentials [8]. Moreover, Azure AD facilitates seamless integration of new hires or termination of existing ones, reducing administrative burden significantly. Administrators merely need to make changes once at the master level, which then cascade down through the entire hierarchy, updating every connected application automatically.</w:t>
      </w:r>
    </w:p>
    <w:p w14:paraId="1B14E533"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noteworthy benefit pertains to heightened security measures implemented via Azure AD. Multi Factor Authentication (MFA) serves as a protective layer preventing unauthorised access even if someone gains knowledge about username/password combinations. MFA prompts users to verify their identity through additional factors, such as SMS codes sent to mobile phones or biometric scans [9]. Furthermore, Azure AD offers granular controls allowing administrators to define strict policies regarding password complexity, expiration dates, and more. These controls ensure stringent security standards are met consistently throughout the enterprise. Additionally, Azure AD supports two-way synchronisation with Active Directory Domain Services (ADDS), thereby offering a hybrid approach combining best practices from both on-premises and cloud-based infrastructures [10]. This flexibility allows companies to retain legacy systems while leveraging modern cloud-centric technologies.</w:t>
      </w:r>
    </w:p>
    <w:p w14:paraId="0BA98975" w14:textId="77777777"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begin implementing Azure AD, certain steps need to be followed. </w:t>
      </w:r>
    </w:p>
    <w:p w14:paraId="020AFC43"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BE1D369" wp14:editId="31784ED1">
            <wp:extent cx="4508500" cy="1168400"/>
            <wp:effectExtent l="0" t="0" r="0" b="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4508500" cy="1168400"/>
                    </a:xfrm>
                    <a:prstGeom prst="rect">
                      <a:avLst/>
                    </a:prstGeom>
                    <a:ln/>
                  </pic:spPr>
                </pic:pic>
              </a:graphicData>
            </a:graphic>
          </wp:inline>
        </w:drawing>
      </w:r>
    </w:p>
    <w:p w14:paraId="7A7C5700" w14:textId="5925E23C"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Steps to create the Management Group</w:t>
      </w:r>
    </w:p>
    <w:p w14:paraId="0F2291D8" w14:textId="77777777"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748270" wp14:editId="63BCECB6">
            <wp:extent cx="6654800" cy="1168400"/>
            <wp:effectExtent l="0" t="0" r="0" b="0"/>
            <wp:docPr id="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2"/>
                    <a:srcRect/>
                    <a:stretch>
                      <a:fillRect/>
                    </a:stretch>
                  </pic:blipFill>
                  <pic:spPr>
                    <a:xfrm>
                      <a:off x="0" y="0"/>
                      <a:ext cx="6654800" cy="1168400"/>
                    </a:xfrm>
                    <a:prstGeom prst="rect">
                      <a:avLst/>
                    </a:prstGeom>
                    <a:ln/>
                  </pic:spPr>
                </pic:pic>
              </a:graphicData>
            </a:graphic>
          </wp:inline>
        </w:drawing>
      </w:r>
    </w:p>
    <w:p w14:paraId="3C41B2A8" w14:textId="56F1FEE6"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Assigning the Customer Support Request Role</w:t>
      </w:r>
    </w:p>
    <w:p w14:paraId="3F6FB0CC" w14:textId="77777777"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1D1DCDB" wp14:editId="4B129620">
            <wp:extent cx="4038600" cy="12192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038600" cy="1219200"/>
                    </a:xfrm>
                    <a:prstGeom prst="rect">
                      <a:avLst/>
                    </a:prstGeom>
                    <a:ln/>
                  </pic:spPr>
                </pic:pic>
              </a:graphicData>
            </a:graphic>
          </wp:inline>
        </w:drawing>
      </w:r>
    </w:p>
    <w:p w14:paraId="3ADE4CD0" w14:textId="66DA329A"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Accessing the .</w:t>
      </w:r>
      <w:proofErr w:type="spellStart"/>
      <w:r>
        <w:rPr>
          <w:rFonts w:ascii="Times New Roman" w:eastAsia="Times New Roman" w:hAnsi="Times New Roman" w:cs="Times New Roman"/>
          <w:sz w:val="24"/>
          <w:szCs w:val="24"/>
        </w:rPr>
        <w:t>json</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file</w:t>
      </w:r>
      <w:proofErr w:type="gramEnd"/>
    </w:p>
    <w:p w14:paraId="7D35A512" w14:textId="77777777"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1617ED" wp14:editId="21A0B1D2">
            <wp:extent cx="6654800" cy="2324100"/>
            <wp:effectExtent l="0" t="0" r="0" b="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6654800" cy="2324100"/>
                    </a:xfrm>
                    <a:prstGeom prst="rect">
                      <a:avLst/>
                    </a:prstGeom>
                    <a:ln/>
                  </pic:spPr>
                </pic:pic>
              </a:graphicData>
            </a:graphic>
          </wp:inline>
        </w:drawing>
      </w:r>
    </w:p>
    <w:p w14:paraId="0E0A97C2" w14:textId="47681138"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4</w:t>
      </w:r>
      <w:r>
        <w:rPr>
          <w:rFonts w:ascii="Times New Roman" w:eastAsia="Times New Roman" w:hAnsi="Times New Roman" w:cs="Times New Roman"/>
          <w:sz w:val="24"/>
          <w:szCs w:val="24"/>
        </w:rPr>
        <w:t xml:space="preserve"> Inside the file </w:t>
      </w:r>
      <w:proofErr w:type="gramStart"/>
      <w:r>
        <w:rPr>
          <w:rFonts w:ascii="Times New Roman" w:eastAsia="Times New Roman" w:hAnsi="Times New Roman" w:cs="Times New Roman"/>
          <w:sz w:val="24"/>
          <w:szCs w:val="24"/>
        </w:rPr>
        <w:t>mentioned</w:t>
      </w:r>
      <w:proofErr w:type="gramEnd"/>
      <w:r>
        <w:rPr>
          <w:rFonts w:ascii="Times New Roman" w:eastAsia="Times New Roman" w:hAnsi="Times New Roman" w:cs="Times New Roman"/>
          <w:sz w:val="24"/>
          <w:szCs w:val="24"/>
        </w:rPr>
        <w:t xml:space="preserve"> </w:t>
      </w:r>
    </w:p>
    <w:p w14:paraId="476C9676" w14:textId="77777777"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CD28D26" wp14:editId="247DA5B3">
            <wp:extent cx="6654800" cy="199390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6654800" cy="1993900"/>
                    </a:xfrm>
                    <a:prstGeom prst="rect">
                      <a:avLst/>
                    </a:prstGeom>
                    <a:ln/>
                  </pic:spPr>
                </pic:pic>
              </a:graphicData>
            </a:graphic>
          </wp:inline>
        </w:drawing>
      </w:r>
    </w:p>
    <w:p w14:paraId="2BD5146B" w14:textId="1835523B"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Creating the Storage Account</w:t>
      </w:r>
    </w:p>
    <w:p w14:paraId="287D27C3" w14:textId="77777777"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34A9507" wp14:editId="5F43EE94">
            <wp:extent cx="4559300" cy="10160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559300" cy="1016000"/>
                    </a:xfrm>
                    <a:prstGeom prst="rect">
                      <a:avLst/>
                    </a:prstGeom>
                    <a:ln/>
                  </pic:spPr>
                </pic:pic>
              </a:graphicData>
            </a:graphic>
          </wp:inline>
        </w:drawing>
      </w:r>
    </w:p>
    <w:p w14:paraId="646B23FA" w14:textId="22219CC8"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Uploading the </w:t>
      </w:r>
      <w:proofErr w:type="gramStart"/>
      <w:r>
        <w:rPr>
          <w:rFonts w:ascii="Times New Roman" w:eastAsia="Times New Roman" w:hAnsi="Times New Roman" w:cs="Times New Roman"/>
          <w:sz w:val="24"/>
          <w:szCs w:val="24"/>
        </w:rPr>
        <w:t>file</w:t>
      </w:r>
      <w:proofErr w:type="gramEnd"/>
    </w:p>
    <w:p w14:paraId="7D501A3D" w14:textId="77777777" w:rsidR="00B41AE2" w:rsidRDefault="00000000">
      <w:pPr>
        <w:spacing w:before="200" w:after="200" w:line="24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Note: We are required to transfer the file onto the cloud-based storage system established explicitly for the purpose of facilitating file sharing.</w:t>
      </w:r>
    </w:p>
    <w:p w14:paraId="050B8FFF" w14:textId="77777777" w:rsidR="00B41AE2" w:rsidRDefault="00000000">
      <w:pPr>
        <w:spacing w:before="200" w:after="200" w:line="24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C249715" wp14:editId="32C4E004">
            <wp:extent cx="5727700" cy="86360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27700" cy="863600"/>
                    </a:xfrm>
                    <a:prstGeom prst="rect">
                      <a:avLst/>
                    </a:prstGeom>
                    <a:ln/>
                  </pic:spPr>
                </pic:pic>
              </a:graphicData>
            </a:graphic>
          </wp:inline>
        </w:drawing>
      </w:r>
    </w:p>
    <w:p w14:paraId="279FEA74" w14:textId="41D06F3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Inserting the .</w:t>
      </w:r>
      <w:proofErr w:type="spellStart"/>
      <w:r>
        <w:rPr>
          <w:rFonts w:ascii="Times New Roman" w:eastAsia="Times New Roman" w:hAnsi="Times New Roman" w:cs="Times New Roman"/>
          <w:sz w:val="24"/>
          <w:szCs w:val="24"/>
        </w:rPr>
        <w:t>json</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file</w:t>
      </w:r>
      <w:proofErr w:type="gramEnd"/>
    </w:p>
    <w:p w14:paraId="3CF21C30" w14:textId="77777777" w:rsidR="00B41AE2" w:rsidRDefault="00000000">
      <w:pPr>
        <w:spacing w:before="200" w:after="200" w:line="24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Note: Prior to initiating the cloud upload process, it is imperative to conduct a thorough verification to ensure coherence between the Subscription ID, customised settings, and the nomenclature of the management group, aligning them precisely with the intended target for sharing.</w:t>
      </w:r>
    </w:p>
    <w:p w14:paraId="2F30322F" w14:textId="77777777" w:rsidR="00B41AE2" w:rsidRDefault="00000000">
      <w:pPr>
        <w:spacing w:before="200" w:after="200" w:line="24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5D2B5B2" wp14:editId="3F914901">
            <wp:extent cx="2844800" cy="1701800"/>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2844800" cy="1701800"/>
                    </a:xfrm>
                    <a:prstGeom prst="rect">
                      <a:avLst/>
                    </a:prstGeom>
                    <a:ln/>
                  </pic:spPr>
                </pic:pic>
              </a:graphicData>
            </a:graphic>
          </wp:inline>
        </w:drawing>
      </w:r>
    </w:p>
    <w:p w14:paraId="6701F942" w14:textId="26A0601F"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Uploading </w:t>
      </w:r>
      <w:proofErr w:type="gramStart"/>
      <w:r>
        <w:rPr>
          <w:rFonts w:ascii="Times New Roman" w:eastAsia="Times New Roman" w:hAnsi="Times New Roman" w:cs="Times New Roman"/>
          <w:sz w:val="24"/>
          <w:szCs w:val="24"/>
        </w:rPr>
        <w:t>destination</w:t>
      </w:r>
      <w:proofErr w:type="gramEnd"/>
    </w:p>
    <w:p w14:paraId="51C43E0E" w14:textId="77777777" w:rsidR="00B41AE2" w:rsidRDefault="00000000">
      <w:pPr>
        <w:spacing w:before="200" w:after="200" w:line="24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Note: Upon completion of the upload process, a corresponding confirmation message will be generated, indicating the successful installation of the file within the designated storage location.</w:t>
      </w:r>
    </w:p>
    <w:p w14:paraId="708D7A32" w14:textId="77777777" w:rsidR="00B41AE2" w:rsidRDefault="00000000">
      <w:pPr>
        <w:spacing w:before="200" w:after="200" w:line="24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3AA6EF3" wp14:editId="7C6F33F8">
            <wp:extent cx="6654800" cy="160020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6654800" cy="1600200"/>
                    </a:xfrm>
                    <a:prstGeom prst="rect">
                      <a:avLst/>
                    </a:prstGeom>
                    <a:ln/>
                  </pic:spPr>
                </pic:pic>
              </a:graphicData>
            </a:graphic>
          </wp:inline>
        </w:drawing>
      </w:r>
    </w:p>
    <w:p w14:paraId="7E95CB91" w14:textId="533C54A3"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Shell message upon completion</w:t>
      </w:r>
    </w:p>
    <w:p w14:paraId="53AF802C" w14:textId="77777777" w:rsidR="00B41AE2" w:rsidRDefault="00000000">
      <w:pPr>
        <w:spacing w:before="200" w:after="200" w:line="24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Note: The subsequent command in the Shell interface will extract the custom role from the file, subsequently facilitating the automatic creation of a corresponding role.</w:t>
      </w:r>
    </w:p>
    <w:p w14:paraId="0ED4F3A0" w14:textId="77777777" w:rsidR="00B41AE2" w:rsidRDefault="00000000">
      <w:pPr>
        <w:spacing w:before="200" w:after="200" w:line="24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129AD2D" wp14:editId="46E56965">
            <wp:extent cx="6654800" cy="1079500"/>
            <wp:effectExtent l="0" t="0" r="0" b="0"/>
            <wp:docPr id="1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6654800" cy="1079500"/>
                    </a:xfrm>
                    <a:prstGeom prst="rect">
                      <a:avLst/>
                    </a:prstGeom>
                    <a:ln/>
                  </pic:spPr>
                </pic:pic>
              </a:graphicData>
            </a:graphic>
          </wp:inline>
        </w:drawing>
      </w:r>
    </w:p>
    <w:p w14:paraId="1A92FA39" w14:textId="2A494052"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w:t>
      </w:r>
      <w:r w:rsidR="00F56CB6">
        <w:rPr>
          <w:rFonts w:ascii="Times New Roman" w:eastAsia="Times New Roman" w:hAnsi="Times New Roman" w:cs="Times New Roman"/>
          <w:sz w:val="24"/>
          <w:szCs w:val="24"/>
        </w:rPr>
        <w:t xml:space="preserve"> 10</w:t>
      </w:r>
      <w:r>
        <w:rPr>
          <w:rFonts w:ascii="Times New Roman" w:eastAsia="Times New Roman" w:hAnsi="Times New Roman" w:cs="Times New Roman"/>
          <w:sz w:val="24"/>
          <w:szCs w:val="24"/>
        </w:rPr>
        <w:t xml:space="preserve"> Custom role bar</w:t>
      </w:r>
    </w:p>
    <w:p w14:paraId="13961FEC"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091D8F" wp14:editId="7ABFD6EE">
            <wp:extent cx="1739900" cy="1181100"/>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1"/>
                    <a:srcRect/>
                    <a:stretch>
                      <a:fillRect/>
                    </a:stretch>
                  </pic:blipFill>
                  <pic:spPr>
                    <a:xfrm>
                      <a:off x="0" y="0"/>
                      <a:ext cx="1739900" cy="1181100"/>
                    </a:xfrm>
                    <a:prstGeom prst="rect">
                      <a:avLst/>
                    </a:prstGeom>
                    <a:ln/>
                  </pic:spPr>
                </pic:pic>
              </a:graphicData>
            </a:graphic>
          </wp:inline>
        </w:drawing>
      </w:r>
    </w:p>
    <w:p w14:paraId="01535197" w14:textId="1EFDF5FE"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11</w:t>
      </w:r>
      <w:r>
        <w:rPr>
          <w:rFonts w:ascii="Times New Roman" w:eastAsia="Times New Roman" w:hAnsi="Times New Roman" w:cs="Times New Roman"/>
          <w:sz w:val="24"/>
          <w:szCs w:val="24"/>
        </w:rPr>
        <w:t xml:space="preserve"> Adding the new </w:t>
      </w:r>
      <w:proofErr w:type="gramStart"/>
      <w:r>
        <w:rPr>
          <w:rFonts w:ascii="Times New Roman" w:eastAsia="Times New Roman" w:hAnsi="Times New Roman" w:cs="Times New Roman"/>
          <w:sz w:val="24"/>
          <w:szCs w:val="24"/>
        </w:rPr>
        <w:t>user</w:t>
      </w:r>
      <w:proofErr w:type="gramEnd"/>
    </w:p>
    <w:p w14:paraId="746DD1D0" w14:textId="7DF2246C" w:rsidR="00B41AE2" w:rsidRDefault="00000000">
      <w:pPr>
        <w:spacing w:before="200" w:after="200" w:line="24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Note: In this </w:t>
      </w:r>
      <w:r w:rsidR="00F56CB6">
        <w:rPr>
          <w:rFonts w:ascii="Times New Roman" w:eastAsia="Times New Roman" w:hAnsi="Times New Roman" w:cs="Times New Roman"/>
          <w:b/>
          <w:sz w:val="24"/>
          <w:szCs w:val="24"/>
        </w:rPr>
        <w:t>instance</w:t>
      </w:r>
      <w:r>
        <w:rPr>
          <w:rFonts w:ascii="Times New Roman" w:eastAsia="Times New Roman" w:hAnsi="Times New Roman" w:cs="Times New Roman"/>
          <w:b/>
          <w:sz w:val="24"/>
          <w:szCs w:val="24"/>
        </w:rPr>
        <w:t>, the role has been appended to the user specified as follows.</w:t>
      </w:r>
    </w:p>
    <w:p w14:paraId="34170F1A"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CA55C74" wp14:editId="5ED88882">
            <wp:extent cx="3771900" cy="2311400"/>
            <wp:effectExtent l="0" t="0" r="0" b="0"/>
            <wp:docPr id="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3771900" cy="2311400"/>
                    </a:xfrm>
                    <a:prstGeom prst="rect">
                      <a:avLst/>
                    </a:prstGeom>
                    <a:ln/>
                  </pic:spPr>
                </pic:pic>
              </a:graphicData>
            </a:graphic>
          </wp:inline>
        </w:drawing>
      </w:r>
    </w:p>
    <w:p w14:paraId="73AB2518" w14:textId="3F2E78BB"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12</w:t>
      </w:r>
      <w:r>
        <w:rPr>
          <w:rFonts w:ascii="Times New Roman" w:eastAsia="Times New Roman" w:hAnsi="Times New Roman" w:cs="Times New Roman"/>
          <w:sz w:val="24"/>
          <w:szCs w:val="24"/>
        </w:rPr>
        <w:t xml:space="preserve"> Granting access to resource</w:t>
      </w:r>
    </w:p>
    <w:p w14:paraId="07BB02F5"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3F9D02C" wp14:editId="11B405DF">
            <wp:extent cx="5892800" cy="4140200"/>
            <wp:effectExtent l="0" t="0" r="0" b="0"/>
            <wp:docPr id="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3"/>
                    <a:srcRect/>
                    <a:stretch>
                      <a:fillRect/>
                    </a:stretch>
                  </pic:blipFill>
                  <pic:spPr>
                    <a:xfrm>
                      <a:off x="0" y="0"/>
                      <a:ext cx="5892800" cy="4140200"/>
                    </a:xfrm>
                    <a:prstGeom prst="rect">
                      <a:avLst/>
                    </a:prstGeom>
                    <a:ln/>
                  </pic:spPr>
                </pic:pic>
              </a:graphicData>
            </a:graphic>
          </wp:inline>
        </w:drawing>
      </w:r>
    </w:p>
    <w:p w14:paraId="2C6D206F" w14:textId="1C4902E2"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13</w:t>
      </w:r>
      <w:r>
        <w:rPr>
          <w:rFonts w:ascii="Times New Roman" w:eastAsia="Times New Roman" w:hAnsi="Times New Roman" w:cs="Times New Roman"/>
          <w:sz w:val="24"/>
          <w:szCs w:val="24"/>
        </w:rPr>
        <w:t xml:space="preserve"> Role assignment tab</w:t>
      </w:r>
    </w:p>
    <w:p w14:paraId="71821B56"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2520657" wp14:editId="5FCA18A3">
            <wp:extent cx="2543646" cy="34966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2543646" cy="3496675"/>
                    </a:xfrm>
                    <a:prstGeom prst="rect">
                      <a:avLst/>
                    </a:prstGeom>
                    <a:ln/>
                  </pic:spPr>
                </pic:pic>
              </a:graphicData>
            </a:graphic>
          </wp:inline>
        </w:drawing>
      </w:r>
    </w:p>
    <w:p w14:paraId="275FAA5B" w14:textId="4D85C821"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14</w:t>
      </w:r>
      <w:r>
        <w:rPr>
          <w:rFonts w:ascii="Times New Roman" w:eastAsia="Times New Roman" w:hAnsi="Times New Roman" w:cs="Times New Roman"/>
          <w:sz w:val="24"/>
          <w:szCs w:val="24"/>
        </w:rPr>
        <w:t xml:space="preserve"> Selecting the </w:t>
      </w:r>
      <w:proofErr w:type="gramStart"/>
      <w:r>
        <w:rPr>
          <w:rFonts w:ascii="Times New Roman" w:eastAsia="Times New Roman" w:hAnsi="Times New Roman" w:cs="Times New Roman"/>
          <w:sz w:val="24"/>
          <w:szCs w:val="24"/>
        </w:rPr>
        <w:t>members</w:t>
      </w:r>
      <w:proofErr w:type="gramEnd"/>
    </w:p>
    <w:p w14:paraId="1C171F21"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72007AB" wp14:editId="52D31EE2">
            <wp:extent cx="6654800" cy="39497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6654800" cy="3949700"/>
                    </a:xfrm>
                    <a:prstGeom prst="rect">
                      <a:avLst/>
                    </a:prstGeom>
                    <a:ln/>
                  </pic:spPr>
                </pic:pic>
              </a:graphicData>
            </a:graphic>
          </wp:inline>
        </w:drawing>
      </w:r>
    </w:p>
    <w:p w14:paraId="3E120610" w14:textId="1C6D6CDB"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15</w:t>
      </w:r>
      <w:r>
        <w:rPr>
          <w:rFonts w:ascii="Times New Roman" w:eastAsia="Times New Roman" w:hAnsi="Times New Roman" w:cs="Times New Roman"/>
          <w:sz w:val="24"/>
          <w:szCs w:val="24"/>
        </w:rPr>
        <w:t xml:space="preserve"> Role assignment page</w:t>
      </w:r>
    </w:p>
    <w:p w14:paraId="547F5BD1"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854B64C" wp14:editId="34E22E31">
            <wp:extent cx="6654800" cy="2501900"/>
            <wp:effectExtent l="0" t="0" r="0" b="0"/>
            <wp:docPr id="1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6"/>
                    <a:srcRect/>
                    <a:stretch>
                      <a:fillRect/>
                    </a:stretch>
                  </pic:blipFill>
                  <pic:spPr>
                    <a:xfrm>
                      <a:off x="0" y="0"/>
                      <a:ext cx="6654800" cy="2501900"/>
                    </a:xfrm>
                    <a:prstGeom prst="rect">
                      <a:avLst/>
                    </a:prstGeom>
                    <a:ln/>
                  </pic:spPr>
                </pic:pic>
              </a:graphicData>
            </a:graphic>
          </wp:inline>
        </w:drawing>
      </w:r>
    </w:p>
    <w:p w14:paraId="34F2501F" w14:textId="2F245DF0"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16</w:t>
      </w:r>
      <w:r>
        <w:rPr>
          <w:rFonts w:ascii="Times New Roman" w:eastAsia="Times New Roman" w:hAnsi="Times New Roman" w:cs="Times New Roman"/>
          <w:sz w:val="24"/>
          <w:szCs w:val="24"/>
        </w:rPr>
        <w:t xml:space="preserve"> Resource groups page</w:t>
      </w:r>
    </w:p>
    <w:p w14:paraId="4EF87E04" w14:textId="7AB80831" w:rsidR="00B41AE2" w:rsidRDefault="00000000">
      <w:pPr>
        <w:spacing w:before="200" w:after="200" w:line="24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Note: Presently observable is the successful acquisition of access within the management group by another account </w:t>
      </w:r>
      <w:r w:rsidR="00F56CB6">
        <w:rPr>
          <w:rFonts w:ascii="Times New Roman" w:eastAsia="Times New Roman" w:hAnsi="Times New Roman" w:cs="Times New Roman"/>
          <w:b/>
          <w:sz w:val="24"/>
          <w:szCs w:val="24"/>
        </w:rPr>
        <w:t>after</w:t>
      </w:r>
      <w:r>
        <w:rPr>
          <w:rFonts w:ascii="Times New Roman" w:eastAsia="Times New Roman" w:hAnsi="Times New Roman" w:cs="Times New Roman"/>
          <w:b/>
          <w:sz w:val="24"/>
          <w:szCs w:val="24"/>
        </w:rPr>
        <w:t xml:space="preserve"> the authorization granted, enabling the assignment of a specific role pertaining to the Management Group.</w:t>
      </w:r>
    </w:p>
    <w:p w14:paraId="2E07479B" w14:textId="77777777" w:rsidR="00B41AE2" w:rsidRDefault="00000000">
      <w:pPr>
        <w:spacing w:before="200" w:after="200" w:line="24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412EA8F" wp14:editId="42212BE7">
            <wp:extent cx="6654800" cy="2674620"/>
            <wp:effectExtent l="0" t="0" r="0" b="5080"/>
            <wp:docPr id="2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7"/>
                    <a:srcRect/>
                    <a:stretch>
                      <a:fillRect/>
                    </a:stretch>
                  </pic:blipFill>
                  <pic:spPr>
                    <a:xfrm>
                      <a:off x="0" y="0"/>
                      <a:ext cx="6654800" cy="2674620"/>
                    </a:xfrm>
                    <a:prstGeom prst="rect">
                      <a:avLst/>
                    </a:prstGeom>
                    <a:ln/>
                  </pic:spPr>
                </pic:pic>
              </a:graphicData>
            </a:graphic>
          </wp:inline>
        </w:drawing>
      </w:r>
    </w:p>
    <w:p w14:paraId="6852CB37" w14:textId="14CAD8D2"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17</w:t>
      </w:r>
      <w:r>
        <w:rPr>
          <w:rFonts w:ascii="Times New Roman" w:eastAsia="Times New Roman" w:hAnsi="Times New Roman" w:cs="Times New Roman"/>
          <w:sz w:val="24"/>
          <w:szCs w:val="24"/>
        </w:rPr>
        <w:t xml:space="preserve"> Role assignment condition tab</w:t>
      </w:r>
    </w:p>
    <w:p w14:paraId="4B4AE8E0"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1C6A260" wp14:editId="2C5019B6">
            <wp:extent cx="6654800" cy="24892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8"/>
                    <a:srcRect/>
                    <a:stretch>
                      <a:fillRect/>
                    </a:stretch>
                  </pic:blipFill>
                  <pic:spPr>
                    <a:xfrm>
                      <a:off x="0" y="0"/>
                      <a:ext cx="6654800" cy="2489200"/>
                    </a:xfrm>
                    <a:prstGeom prst="rect">
                      <a:avLst/>
                    </a:prstGeom>
                    <a:ln/>
                  </pic:spPr>
                </pic:pic>
              </a:graphicData>
            </a:graphic>
          </wp:inline>
        </w:drawing>
      </w:r>
    </w:p>
    <w:p w14:paraId="13D4C8CC" w14:textId="0B85591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18</w:t>
      </w:r>
      <w:r>
        <w:rPr>
          <w:rFonts w:ascii="Times New Roman" w:eastAsia="Times New Roman" w:hAnsi="Times New Roman" w:cs="Times New Roman"/>
          <w:sz w:val="24"/>
          <w:szCs w:val="24"/>
        </w:rPr>
        <w:t xml:space="preserve"> Azure Resource Groups</w:t>
      </w:r>
    </w:p>
    <w:p w14:paraId="6527F168" w14:textId="77777777"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F736FB" wp14:editId="02050930">
            <wp:extent cx="6654800" cy="13335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6654800" cy="1333500"/>
                    </a:xfrm>
                    <a:prstGeom prst="rect">
                      <a:avLst/>
                    </a:prstGeom>
                    <a:ln/>
                  </pic:spPr>
                </pic:pic>
              </a:graphicData>
            </a:graphic>
          </wp:inline>
        </w:drawing>
      </w:r>
    </w:p>
    <w:p w14:paraId="4864FE91" w14:textId="5E4B31A8" w:rsidR="00B41AE2" w:rsidRDefault="00000000">
      <w:pPr>
        <w:spacing w:before="200" w:after="200" w:line="24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19</w:t>
      </w:r>
      <w:r>
        <w:rPr>
          <w:rFonts w:ascii="Times New Roman" w:eastAsia="Times New Roman" w:hAnsi="Times New Roman" w:cs="Times New Roman"/>
          <w:sz w:val="24"/>
          <w:szCs w:val="24"/>
        </w:rPr>
        <w:t xml:space="preserve"> Command to remove assigned </w:t>
      </w:r>
      <w:proofErr w:type="gramStart"/>
      <w:r>
        <w:rPr>
          <w:rFonts w:ascii="Times New Roman" w:eastAsia="Times New Roman" w:hAnsi="Times New Roman" w:cs="Times New Roman"/>
          <w:sz w:val="24"/>
          <w:szCs w:val="24"/>
        </w:rPr>
        <w:t>role</w:t>
      </w:r>
      <w:proofErr w:type="gramEnd"/>
    </w:p>
    <w:p w14:paraId="6586EE12" w14:textId="3A71A8A8" w:rsidR="00B41AE2" w:rsidRDefault="00000000">
      <w:pPr>
        <w:spacing w:before="200" w:after="20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Note: The </w:t>
      </w:r>
      <w:r w:rsidR="00F56CB6">
        <w:rPr>
          <w:rFonts w:ascii="Times New Roman" w:eastAsia="Times New Roman" w:hAnsi="Times New Roman" w:cs="Times New Roman"/>
          <w:b/>
          <w:sz w:val="24"/>
          <w:szCs w:val="24"/>
        </w:rPr>
        <w:t>command</w:t>
      </w:r>
      <w:r>
        <w:rPr>
          <w:rFonts w:ascii="Times New Roman" w:eastAsia="Times New Roman" w:hAnsi="Times New Roman" w:cs="Times New Roman"/>
          <w:b/>
          <w:sz w:val="24"/>
          <w:szCs w:val="24"/>
        </w:rPr>
        <w:t xml:space="preserve"> enables the capability to revoke the assigned role.</w:t>
      </w:r>
    </w:p>
    <w:p w14:paraId="046809E0" w14:textId="77777777" w:rsidR="00B41AE2" w:rsidRDefault="00000000">
      <w:pPr>
        <w:spacing w:before="200" w:after="20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63E2D4A" wp14:editId="6A5C21DC">
            <wp:extent cx="6654800" cy="4699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6654800" cy="469900"/>
                    </a:xfrm>
                    <a:prstGeom prst="rect">
                      <a:avLst/>
                    </a:prstGeom>
                    <a:ln/>
                  </pic:spPr>
                </pic:pic>
              </a:graphicData>
            </a:graphic>
          </wp:inline>
        </w:drawing>
      </w:r>
    </w:p>
    <w:p w14:paraId="264F87FB" w14:textId="6A34C94D" w:rsidR="00B41AE2"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F56CB6">
        <w:rPr>
          <w:rFonts w:ascii="Times New Roman" w:eastAsia="Times New Roman" w:hAnsi="Times New Roman" w:cs="Times New Roman"/>
          <w:sz w:val="24"/>
          <w:szCs w:val="24"/>
        </w:rPr>
        <w:t>20</w:t>
      </w:r>
      <w:r>
        <w:rPr>
          <w:rFonts w:ascii="Times New Roman" w:eastAsia="Times New Roman" w:hAnsi="Times New Roman" w:cs="Times New Roman"/>
          <w:sz w:val="24"/>
          <w:szCs w:val="24"/>
        </w:rPr>
        <w:t xml:space="preserve"> Assigned role removal command</w:t>
      </w:r>
    </w:p>
    <w:p w14:paraId="54206519" w14:textId="7678733D" w:rsidR="00B41AE2" w:rsidRDefault="00000000">
      <w:pPr>
        <w:spacing w:before="200" w:after="200" w:line="24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Note: Furthermore, </w:t>
      </w:r>
      <w:r w:rsidR="00F56CB6">
        <w:rPr>
          <w:rFonts w:ascii="Times New Roman" w:eastAsia="Times New Roman" w:hAnsi="Times New Roman" w:cs="Times New Roman"/>
          <w:b/>
          <w:sz w:val="24"/>
          <w:szCs w:val="24"/>
        </w:rPr>
        <w:t>to</w:t>
      </w:r>
      <w:r>
        <w:rPr>
          <w:rFonts w:ascii="Times New Roman" w:eastAsia="Times New Roman" w:hAnsi="Times New Roman" w:cs="Times New Roman"/>
          <w:b/>
          <w:sz w:val="24"/>
          <w:szCs w:val="24"/>
        </w:rPr>
        <w:t xml:space="preserve"> eliminate the role from the roster of Assigned Roles, it is necessary to utilise the </w:t>
      </w:r>
      <w:r w:rsidR="00F56CB6">
        <w:rPr>
          <w:rFonts w:ascii="Times New Roman" w:eastAsia="Times New Roman" w:hAnsi="Times New Roman" w:cs="Times New Roman"/>
          <w:b/>
          <w:sz w:val="24"/>
          <w:szCs w:val="24"/>
        </w:rPr>
        <w:t>command</w:t>
      </w:r>
      <w:r>
        <w:rPr>
          <w:rFonts w:ascii="Times New Roman" w:eastAsia="Times New Roman" w:hAnsi="Times New Roman" w:cs="Times New Roman"/>
          <w:b/>
          <w:sz w:val="24"/>
          <w:szCs w:val="24"/>
        </w:rPr>
        <w:t>.</w:t>
      </w:r>
    </w:p>
    <w:p w14:paraId="538534A9" w14:textId="77777777" w:rsidR="00F56CB6" w:rsidRDefault="00F56CB6" w:rsidP="00F56CB6">
      <w:pPr>
        <w:keepNext/>
        <w:spacing w:before="200" w:after="200" w:line="240" w:lineRule="auto"/>
        <w:ind w:firstLine="720"/>
        <w:jc w:val="center"/>
      </w:pPr>
      <w:r>
        <w:rPr>
          <w:rFonts w:ascii="Times New Roman" w:eastAsia="Times New Roman" w:hAnsi="Times New Roman" w:cs="Times New Roman"/>
          <w:noProof/>
          <w:sz w:val="24"/>
          <w:szCs w:val="24"/>
        </w:rPr>
        <w:lastRenderedPageBreak/>
        <w:drawing>
          <wp:inline distT="0" distB="0" distL="0" distR="0" wp14:anchorId="6F0CF229" wp14:editId="3AD2AC22">
            <wp:extent cx="3028950" cy="2686050"/>
            <wp:effectExtent l="0" t="0" r="6350" b="6350"/>
            <wp:docPr id="860354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354333" name="Picture 1" descr="A screenshot of a computer&#10;&#10;Description automatically generated"/>
                    <pic:cNvPicPr/>
                  </pic:nvPicPr>
                  <pic:blipFill rotWithShape="1">
                    <a:blip r:embed="rId31">
                      <a:extLst>
                        <a:ext uri="{28A0092B-C50C-407E-A947-70E740481C1C}">
                          <a14:useLocalDpi xmlns:a14="http://schemas.microsoft.com/office/drawing/2010/main" val="0"/>
                        </a:ext>
                      </a:extLst>
                    </a:blip>
                    <a:srcRect r="45423" b="28788"/>
                    <a:stretch/>
                  </pic:blipFill>
                  <pic:spPr bwMode="auto">
                    <a:xfrm>
                      <a:off x="0" y="0"/>
                      <a:ext cx="3028950" cy="2686050"/>
                    </a:xfrm>
                    <a:prstGeom prst="rect">
                      <a:avLst/>
                    </a:prstGeom>
                    <a:ln>
                      <a:noFill/>
                    </a:ln>
                    <a:extLst>
                      <a:ext uri="{53640926-AAD7-44D8-BBD7-CCE9431645EC}">
                        <a14:shadowObscured xmlns:a14="http://schemas.microsoft.com/office/drawing/2010/main"/>
                      </a:ext>
                    </a:extLst>
                  </pic:spPr>
                </pic:pic>
              </a:graphicData>
            </a:graphic>
          </wp:inline>
        </w:drawing>
      </w:r>
    </w:p>
    <w:p w14:paraId="76A446CF" w14:textId="4AF39561" w:rsidR="00F56CB6" w:rsidRDefault="00F56CB6" w:rsidP="00F56CB6">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xml:space="preserve"> Creating the Users for the Active Directory Groups</w:t>
      </w:r>
    </w:p>
    <w:p w14:paraId="1E735315" w14:textId="77777777" w:rsidR="00F56CB6" w:rsidRDefault="00F56CB6" w:rsidP="00F56CB6"/>
    <w:p w14:paraId="45F5654C" w14:textId="77777777" w:rsidR="00F56CB6" w:rsidRPr="00F56CB6" w:rsidRDefault="00F56CB6" w:rsidP="00F56CB6"/>
    <w:p w14:paraId="6F39F85C" w14:textId="77777777" w:rsidR="00F56CB6" w:rsidRDefault="00F56CB6" w:rsidP="00F56CB6">
      <w:pPr>
        <w:keepNext/>
        <w:jc w:val="center"/>
      </w:pPr>
      <w:r>
        <w:rPr>
          <w:noProof/>
        </w:rPr>
        <w:drawing>
          <wp:inline distT="0" distB="0" distL="0" distR="0" wp14:anchorId="6C546F34" wp14:editId="13314855">
            <wp:extent cx="3086100" cy="3840480"/>
            <wp:effectExtent l="0" t="0" r="0" b="0"/>
            <wp:docPr id="187664270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642708" name="Picture 2" descr="A screenshot of a computer&#10;&#10;Description automatically generated"/>
                    <pic:cNvPicPr/>
                  </pic:nvPicPr>
                  <pic:blipFill rotWithShape="1">
                    <a:blip r:embed="rId32">
                      <a:extLst>
                        <a:ext uri="{28A0092B-C50C-407E-A947-70E740481C1C}">
                          <a14:useLocalDpi xmlns:a14="http://schemas.microsoft.com/office/drawing/2010/main" val="0"/>
                        </a:ext>
                      </a:extLst>
                    </a:blip>
                    <a:srcRect r="36883" b="9190"/>
                    <a:stretch/>
                  </pic:blipFill>
                  <pic:spPr bwMode="auto">
                    <a:xfrm>
                      <a:off x="0" y="0"/>
                      <a:ext cx="3086100" cy="3840480"/>
                    </a:xfrm>
                    <a:prstGeom prst="rect">
                      <a:avLst/>
                    </a:prstGeom>
                    <a:ln>
                      <a:noFill/>
                    </a:ln>
                    <a:extLst>
                      <a:ext uri="{53640926-AAD7-44D8-BBD7-CCE9431645EC}">
                        <a14:shadowObscured xmlns:a14="http://schemas.microsoft.com/office/drawing/2010/main"/>
                      </a:ext>
                    </a:extLst>
                  </pic:spPr>
                </pic:pic>
              </a:graphicData>
            </a:graphic>
          </wp:inline>
        </w:drawing>
      </w:r>
    </w:p>
    <w:p w14:paraId="79E86E90" w14:textId="4557489E" w:rsidR="00F56CB6" w:rsidRDefault="00F56CB6" w:rsidP="00F56CB6">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t xml:space="preserve"> Assigning the Roles</w:t>
      </w:r>
    </w:p>
    <w:p w14:paraId="2A317B29" w14:textId="77777777" w:rsidR="00F56CB6" w:rsidRDefault="00F56CB6" w:rsidP="00F56CB6"/>
    <w:p w14:paraId="2E9A2BEC" w14:textId="3F352696" w:rsidR="00F56CB6" w:rsidRDefault="00F56CB6" w:rsidP="00F56CB6">
      <w:pPr>
        <w:jc w:val="center"/>
      </w:pPr>
      <w:r>
        <w:rPr>
          <w:noProof/>
        </w:rPr>
        <w:drawing>
          <wp:inline distT="0" distB="0" distL="0" distR="0" wp14:anchorId="75161B49" wp14:editId="25ED7CF3">
            <wp:extent cx="4069080" cy="1232535"/>
            <wp:effectExtent l="0" t="0" r="0" b="0"/>
            <wp:docPr id="4793941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9418" name="Picture 3"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r="43151"/>
                    <a:stretch/>
                  </pic:blipFill>
                  <pic:spPr bwMode="auto">
                    <a:xfrm>
                      <a:off x="0" y="0"/>
                      <a:ext cx="4069080" cy="1232535"/>
                    </a:xfrm>
                    <a:prstGeom prst="rect">
                      <a:avLst/>
                    </a:prstGeom>
                    <a:ln>
                      <a:noFill/>
                    </a:ln>
                    <a:extLst>
                      <a:ext uri="{53640926-AAD7-44D8-BBD7-CCE9431645EC}">
                        <a14:shadowObscured xmlns:a14="http://schemas.microsoft.com/office/drawing/2010/main"/>
                      </a:ext>
                    </a:extLst>
                  </pic:spPr>
                </pic:pic>
              </a:graphicData>
            </a:graphic>
          </wp:inline>
        </w:drawing>
      </w:r>
    </w:p>
    <w:p w14:paraId="75191B83" w14:textId="77777777" w:rsidR="00F56CB6" w:rsidRDefault="00F56CB6" w:rsidP="00F56CB6">
      <w:pPr>
        <w:jc w:val="center"/>
      </w:pPr>
    </w:p>
    <w:p w14:paraId="6D7CA2E3" w14:textId="77777777" w:rsidR="00F56CB6" w:rsidRDefault="00F56CB6" w:rsidP="00F56CB6">
      <w:pPr>
        <w:jc w:val="center"/>
      </w:pPr>
    </w:p>
    <w:p w14:paraId="7DBF7188" w14:textId="77777777" w:rsidR="00F56CB6" w:rsidRDefault="00F56CB6" w:rsidP="00F56CB6">
      <w:pPr>
        <w:keepNext/>
        <w:jc w:val="center"/>
      </w:pPr>
      <w:r>
        <w:rPr>
          <w:noProof/>
        </w:rPr>
        <w:lastRenderedPageBreak/>
        <w:drawing>
          <wp:inline distT="0" distB="0" distL="0" distR="0" wp14:anchorId="3D974695" wp14:editId="3EF140FC">
            <wp:extent cx="6633210" cy="3063240"/>
            <wp:effectExtent l="0" t="0" r="0" b="0"/>
            <wp:docPr id="172101990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019900" name="Picture 4"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l="2191" b="29474"/>
                    <a:stretch/>
                  </pic:blipFill>
                  <pic:spPr bwMode="auto">
                    <a:xfrm>
                      <a:off x="0" y="0"/>
                      <a:ext cx="6633210" cy="3063240"/>
                    </a:xfrm>
                    <a:prstGeom prst="rect">
                      <a:avLst/>
                    </a:prstGeom>
                    <a:ln>
                      <a:noFill/>
                    </a:ln>
                    <a:extLst>
                      <a:ext uri="{53640926-AAD7-44D8-BBD7-CCE9431645EC}">
                        <a14:shadowObscured xmlns:a14="http://schemas.microsoft.com/office/drawing/2010/main"/>
                      </a:ext>
                    </a:extLst>
                  </pic:spPr>
                </pic:pic>
              </a:graphicData>
            </a:graphic>
          </wp:inline>
        </w:drawing>
      </w:r>
    </w:p>
    <w:p w14:paraId="4A9C2215" w14:textId="72603792" w:rsidR="00F56CB6" w:rsidRDefault="00F56CB6" w:rsidP="00F56CB6">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3</w:t>
      </w:r>
      <w:r w:rsidR="00000000">
        <w:rPr>
          <w:noProof/>
        </w:rPr>
        <w:fldChar w:fldCharType="end"/>
      </w:r>
      <w:r>
        <w:t xml:space="preserve"> Starting a Free Product License for the Active Directory</w:t>
      </w:r>
    </w:p>
    <w:p w14:paraId="637CFC15" w14:textId="77777777" w:rsidR="00F56CB6" w:rsidRPr="00F56CB6" w:rsidRDefault="00F56CB6" w:rsidP="00F56CB6"/>
    <w:p w14:paraId="0822BAA4" w14:textId="77777777" w:rsidR="00F56CB6" w:rsidRPr="00F56CB6" w:rsidRDefault="00F56CB6" w:rsidP="00F56CB6">
      <w:pPr>
        <w:jc w:val="center"/>
      </w:pPr>
    </w:p>
    <w:p w14:paraId="08CBDBD4" w14:textId="77777777" w:rsidR="00F56CB6" w:rsidRDefault="00F56CB6" w:rsidP="00F56CB6">
      <w:pPr>
        <w:keepNext/>
        <w:spacing w:before="200" w:after="200" w:line="240" w:lineRule="auto"/>
        <w:ind w:firstLine="720"/>
        <w:jc w:val="center"/>
      </w:pPr>
      <w:r>
        <w:rPr>
          <w:rFonts w:ascii="Times New Roman" w:eastAsia="Times New Roman" w:hAnsi="Times New Roman" w:cs="Times New Roman"/>
          <w:noProof/>
          <w:sz w:val="24"/>
          <w:szCs w:val="24"/>
        </w:rPr>
        <w:drawing>
          <wp:inline distT="0" distB="0" distL="0" distR="0" wp14:anchorId="660F31EE" wp14:editId="5A159F6C">
            <wp:extent cx="4461510" cy="3726180"/>
            <wp:effectExtent l="0" t="0" r="0" b="0"/>
            <wp:docPr id="194292556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25566" name="Picture 5" descr="A screenshot of a computer&#10;&#10;Description automatically generated"/>
                    <pic:cNvPicPr/>
                  </pic:nvPicPr>
                  <pic:blipFill rotWithShape="1">
                    <a:blip r:embed="rId35">
                      <a:extLst>
                        <a:ext uri="{28A0092B-C50C-407E-A947-70E740481C1C}">
                          <a14:useLocalDpi xmlns:a14="http://schemas.microsoft.com/office/drawing/2010/main" val="0"/>
                        </a:ext>
                      </a:extLst>
                    </a:blip>
                    <a:srcRect l="6614" t="50088" r="1181" b="-1927"/>
                    <a:stretch/>
                  </pic:blipFill>
                  <pic:spPr bwMode="auto">
                    <a:xfrm>
                      <a:off x="0" y="0"/>
                      <a:ext cx="4461510" cy="3726180"/>
                    </a:xfrm>
                    <a:prstGeom prst="rect">
                      <a:avLst/>
                    </a:prstGeom>
                    <a:ln>
                      <a:noFill/>
                    </a:ln>
                    <a:extLst>
                      <a:ext uri="{53640926-AAD7-44D8-BBD7-CCE9431645EC}">
                        <a14:shadowObscured xmlns:a14="http://schemas.microsoft.com/office/drawing/2010/main"/>
                      </a:ext>
                    </a:extLst>
                  </pic:spPr>
                </pic:pic>
              </a:graphicData>
            </a:graphic>
          </wp:inline>
        </w:drawing>
      </w:r>
    </w:p>
    <w:p w14:paraId="2B502A4A" w14:textId="22597CE6" w:rsidR="00F56CB6" w:rsidRDefault="00F56CB6" w:rsidP="00F56CB6">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4</w:t>
      </w:r>
      <w:r w:rsidR="00000000">
        <w:rPr>
          <w:noProof/>
        </w:rPr>
        <w:fldChar w:fldCharType="end"/>
      </w:r>
      <w:r>
        <w:t xml:space="preserve"> Adding Users to the Group</w:t>
      </w:r>
    </w:p>
    <w:p w14:paraId="03A8271D" w14:textId="77777777" w:rsidR="00F56CB6" w:rsidRDefault="00F56CB6" w:rsidP="00F56CB6"/>
    <w:p w14:paraId="57C575B4" w14:textId="77777777" w:rsidR="00F56CB6" w:rsidRDefault="00F56CB6" w:rsidP="00F56CB6">
      <w:pPr>
        <w:keepNext/>
        <w:jc w:val="center"/>
      </w:pPr>
      <w:r>
        <w:rPr>
          <w:noProof/>
        </w:rPr>
        <w:lastRenderedPageBreak/>
        <w:drawing>
          <wp:inline distT="0" distB="0" distL="0" distR="0" wp14:anchorId="24F03D87" wp14:editId="3AE5F18C">
            <wp:extent cx="4508500" cy="6959600"/>
            <wp:effectExtent l="0" t="0" r="0" b="0"/>
            <wp:docPr id="11452427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4274" name="Picture 6"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508500" cy="6959600"/>
                    </a:xfrm>
                    <a:prstGeom prst="rect">
                      <a:avLst/>
                    </a:prstGeom>
                  </pic:spPr>
                </pic:pic>
              </a:graphicData>
            </a:graphic>
          </wp:inline>
        </w:drawing>
      </w:r>
    </w:p>
    <w:p w14:paraId="11F58100" w14:textId="0D44DD61" w:rsidR="00F56CB6" w:rsidRPr="00F56CB6" w:rsidRDefault="00F56CB6" w:rsidP="00F56CB6">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5</w:t>
      </w:r>
      <w:r w:rsidR="00000000">
        <w:rPr>
          <w:noProof/>
        </w:rPr>
        <w:fldChar w:fldCharType="end"/>
      </w:r>
      <w:r>
        <w:t xml:space="preserve"> Creating new </w:t>
      </w:r>
      <w:proofErr w:type="gramStart"/>
      <w:r>
        <w:t>Group</w:t>
      </w:r>
      <w:proofErr w:type="gramEnd"/>
    </w:p>
    <w:p w14:paraId="79D363C5" w14:textId="173D7221"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Configuring tenant and directory information forms the initial step after signing up for an Azure account. The tenant refers to the entity responsible for managing user accounts; it could represent a company, school, government department, etc. There may exist multiple tenants under the same Azure subscription depending upon organisational needs [11]. Once the tenant is established, configure the directory structure - whether to use an existing </w:t>
      </w:r>
      <w:r w:rsidR="00F56CB6">
        <w:rPr>
          <w:rFonts w:ascii="Times New Roman" w:eastAsia="Times New Roman" w:hAnsi="Times New Roman" w:cs="Times New Roman"/>
          <w:sz w:val="24"/>
          <w:szCs w:val="24"/>
        </w:rPr>
        <w:t>Active Directory Forest</w:t>
      </w:r>
      <w:r>
        <w:rPr>
          <w:rFonts w:ascii="Times New Roman" w:eastAsia="Times New Roman" w:hAnsi="Times New Roman" w:cs="Times New Roman"/>
          <w:sz w:val="24"/>
          <w:szCs w:val="24"/>
        </w:rPr>
        <w:t xml:space="preserve"> or establish a new one.</w:t>
      </w:r>
    </w:p>
    <w:p w14:paraId="3DA767CA"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9" w:name="_4qcl598wmz1j" w:colFirst="0" w:colLast="0"/>
      <w:bookmarkEnd w:id="9"/>
      <w:r>
        <w:rPr>
          <w:rFonts w:ascii="Times New Roman" w:eastAsia="Times New Roman" w:hAnsi="Times New Roman" w:cs="Times New Roman"/>
          <w:b/>
          <w:sz w:val="24"/>
          <w:szCs w:val="24"/>
        </w:rPr>
        <w:t>VI. Cloud Governance and Security in Azure</w:t>
      </w:r>
    </w:p>
    <w:p w14:paraId="5A458786"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cloud governance and ensuring security are pivotal components of effective cloud resource utilisation in Microsoft Azure. In this part of the report, we aim to systematically explore strategies for proficient management and security within Azure, specifically tailoring our insights to how Azure can fortify access controls for cloud resources. Our focus will extend to proposing practical policies, with a particular emphasis on Aspire Retailers, to bolster security in their Azure cloud environment. Throughout this discussion, we endeavour to provide a clearer, </w:t>
      </w:r>
      <w:r>
        <w:rPr>
          <w:rFonts w:ascii="Times New Roman" w:eastAsia="Times New Roman" w:hAnsi="Times New Roman" w:cs="Times New Roman"/>
          <w:sz w:val="24"/>
          <w:szCs w:val="24"/>
        </w:rPr>
        <w:lastRenderedPageBreak/>
        <w:t>more organised understanding of cloud governance and security while substantiating our insights with tangible examples through lab activity screenshots.</w:t>
      </w:r>
    </w:p>
    <w:p w14:paraId="386D0309"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cloud governance is imperative for organizations aiming to securely operate in Azure. As Mulder [12] advocates, strategic frameworks are key for effective governance in the cloud, covering facets like compliance, security, and cost management. Defining roles, establishing clear policies, and incorporating automation tools are highlighted as proactive measures. Such an approach not only fortifies security but also facilitates resource allocation efficiency and cost optimization, essential for organizations like Aspire Retailers.</w:t>
      </w:r>
    </w:p>
    <w:p w14:paraId="491A4490"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Azure's security features play a pivotal role in enhancing access control and safeguarding cloud resources. Azure offers mechanisms like Role-Based Access Control (RBAC) and Multi-Factor Authentication (MFA). RBAC ensures the principle of least privilege, allowing organizations to assign roles and permissions based on user responsibilities. MFA adds an additional layer of security, mitigating the risk of unauthorised access. Azure Security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further provides advanced threat protection, continuously monitoring for potential vulnerabilities and offering recommendations to enhance security configurations. Leveraging these features enables organizations, including Aspire Retailers, to strengthen access control, authentication, and protection against external threats.</w:t>
      </w:r>
    </w:p>
    <w:p w14:paraId="0FC52F6B"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Faizi and Rahman [13] propose a policy framework for cloud governance in Azure, specifically addressing the needs of organizations like Aspire Retailers. The framework emphasises the establishment of clear policies and procedures for access control, data encryption, and network security. Adopting a risk-based approach prioritises security measures based on the level of risk associated with different data types and applications. This systematic framework provides a comprehensive approach to enhancing cloud security, aligning with the unique needs of Aspire Retailers.</w:t>
      </w:r>
    </w:p>
    <w:p w14:paraId="1AB8CCF4" w14:textId="159BA6F3"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cloud governance and security are integral for maintaining the integrity, confidentiality, and availability of cloud resources. This part of the report has provided a systematic overview of cloud governance strategies, emphasising Azure's role in securing access to cloud resources. Aspire Retailers</w:t>
      </w:r>
      <w:r w:rsidR="00F56CB6">
        <w:rPr>
          <w:rFonts w:ascii="Times New Roman" w:eastAsia="Times New Roman" w:hAnsi="Times New Roman" w:cs="Times New Roman"/>
          <w:sz w:val="24"/>
          <w:szCs w:val="24"/>
        </w:rPr>
        <w:t xml:space="preserve"> can</w:t>
      </w:r>
      <w:r>
        <w:rPr>
          <w:rFonts w:ascii="Times New Roman" w:eastAsia="Times New Roman" w:hAnsi="Times New Roman" w:cs="Times New Roman"/>
          <w:sz w:val="24"/>
          <w:szCs w:val="24"/>
        </w:rPr>
        <w:t xml:space="preserve"> establish a robust foundation for their cloud security posture by leveraging Azure's security features. One policy recommendation, such as implementing Multi-Factor Authentication (MFA), adds an extra layer of protection for all Azure users. Lab activity screenshots have been strategically incorporated to illustrate practical implementations of cloud governance and security in Azure. By adopting these strategies and policies, organizations, including Aspire Retailers, can confidently embrace the benefits of cloud computing while minimising potential security risks.</w:t>
      </w:r>
    </w:p>
    <w:p w14:paraId="3E9B5F25"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10" w:name="_17ho6wfb6gyv" w:colFirst="0" w:colLast="0"/>
      <w:bookmarkEnd w:id="10"/>
      <w:r>
        <w:rPr>
          <w:rFonts w:ascii="Times New Roman" w:eastAsia="Times New Roman" w:hAnsi="Times New Roman" w:cs="Times New Roman"/>
          <w:b/>
          <w:sz w:val="24"/>
          <w:szCs w:val="24"/>
        </w:rPr>
        <w:t>VII. Disaster Recovery Planning in Azure</w:t>
      </w:r>
    </w:p>
    <w:p w14:paraId="699DD240"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Disaster recovery planning is a critical component of any business's IT strategy, particularly when it comes to safeguarding data and applications hosted on Azure. Aspire Retailers, a thriving company, must ensure seamless operations in the face of a disaster. This part of the report aims to provide a comprehensive understanding of disaster recovery planning in Azure for Aspire Retailers, offering tailored suggestions and explanations for an effective plan.</w:t>
      </w:r>
    </w:p>
    <w:p w14:paraId="6697C9D9" w14:textId="77777777" w:rsidR="00B41AE2"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Concepts and Considerations in Azure Disaster Recovery Planning:</w:t>
      </w:r>
    </w:p>
    <w:p w14:paraId="6827798C"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disaster recovery planning in Azure hinges on key concepts, such as the Recovery Time Objective (RTO) and the Recovery Point Objective (RPO), highlighted by [14]. RTO signifies the maximum acceptable time for system recovery, while RPO defines the acceptable data loss. These concepts guide investment decisions and set realistic expectations for recovery timeframes. Moreover, considerations like data replication, backup frequency, and geographical resource distribution are vital for a robust plan. Data replication minimises data loss risk, backup frequency aligns with RPO, and geographical distribution mitigates regional disaster impacts.</w:t>
      </w:r>
    </w:p>
    <w:p w14:paraId="4D6EE964" w14:textId="77777777" w:rsidR="00B41AE2"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Designing a Tailored Disaster Recovery Plan for Aspire Retailers' Azure Environment:</w:t>
      </w:r>
    </w:p>
    <w:p w14:paraId="32FC92FF"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Sakr et al. [15] stress the importance of a disaster recovery plan tailored to Aspire Retailers' Azure environment. Key considerations include data backup and restoration, system failover, redundancy, and testing and maintenance procedures. Regular data backups ensure availability, while system failover and redundancy duplicate critical systems, distributing the workload. Testing and maintenance procedures validate the plan's effectiveness, with regular adjustments for continuous improvement.</w:t>
      </w:r>
    </w:p>
    <w:p w14:paraId="1EA0092B" w14:textId="77777777" w:rsidR="00B41AE2"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Implementing and Testing for Effective Disaster Response:</w:t>
      </w:r>
    </w:p>
    <w:p w14:paraId="7C8C89DD"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Berke et al. [14] emphasise best practices for a well-structured disaster recovery plan. This includes a clear chain of command, defined roles, a communication plan, regular training, and collaborative testing involving all stakeholders. Continuous evaluation and plan revision adapt to evolving challenges, ensuring effective response and recovery.</w:t>
      </w:r>
    </w:p>
    <w:p w14:paraId="3691DBEC" w14:textId="77777777" w:rsidR="00B41AE2" w:rsidRDefault="00000000">
      <w:pPr>
        <w:spacing w:before="200" w:after="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 Safeguarding Aspire Retailers' Azure Environment:</w:t>
      </w:r>
    </w:p>
    <w:p w14:paraId="14AEB126" w14:textId="0E8DA04F"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Aspire Retailers can ensure the safety and availability of their Azure data and applications by considering factors like RTO, RPO, backup and restore strategies, and high availability options. Leveraging Azure tools such as Azure Site Recovery, Azure Backup, and Azure Traffic Manager enhances the implementation of an effective disaster recovery plan. This not only mitigates risks but also maintains business continuity, safeguarding </w:t>
      </w:r>
      <w:r w:rsidR="00F56CB6">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and stakeholder trust.</w:t>
      </w:r>
    </w:p>
    <w:p w14:paraId="0CCEAC11" w14:textId="77777777" w:rsidR="00B41AE2" w:rsidRDefault="00000000">
      <w:pPr>
        <w:pStyle w:val="Heading1"/>
        <w:spacing w:before="200" w:after="200" w:line="240" w:lineRule="auto"/>
        <w:jc w:val="both"/>
        <w:rPr>
          <w:rFonts w:ascii="Times New Roman" w:eastAsia="Times New Roman" w:hAnsi="Times New Roman" w:cs="Times New Roman"/>
          <w:b/>
          <w:sz w:val="24"/>
          <w:szCs w:val="24"/>
        </w:rPr>
      </w:pPr>
      <w:bookmarkStart w:id="11" w:name="_qmgtjdlkopsr" w:colFirst="0" w:colLast="0"/>
      <w:bookmarkEnd w:id="11"/>
      <w:r>
        <w:rPr>
          <w:rFonts w:ascii="Times New Roman" w:eastAsia="Times New Roman" w:hAnsi="Times New Roman" w:cs="Times New Roman"/>
          <w:b/>
          <w:sz w:val="24"/>
          <w:szCs w:val="24"/>
        </w:rPr>
        <w:t>VIII. Conclusion</w:t>
      </w:r>
    </w:p>
    <w:p w14:paraId="6FABB08F" w14:textId="02DE8819"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migration of Aspire Retailers' IT infrastructure to Microsoft Azure stands as a pivotal solution to the challenges previously faced within their on-premises </w:t>
      </w:r>
      <w:r w:rsidR="00F56CB6">
        <w:rPr>
          <w:rFonts w:ascii="Times New Roman" w:eastAsia="Times New Roman" w:hAnsi="Times New Roman" w:cs="Times New Roman"/>
          <w:sz w:val="24"/>
          <w:szCs w:val="24"/>
        </w:rPr>
        <w:t>datacentre</w:t>
      </w:r>
      <w:r>
        <w:rPr>
          <w:rFonts w:ascii="Times New Roman" w:eastAsia="Times New Roman" w:hAnsi="Times New Roman" w:cs="Times New Roman"/>
          <w:sz w:val="24"/>
          <w:szCs w:val="24"/>
        </w:rPr>
        <w:t>. A thorough exploration of Azure's features has uncovered a plethora of benefits in line with Aspire Retailers' goals for immediate computing services, cost efficiency, and scalable operations.</w:t>
      </w:r>
    </w:p>
    <w:p w14:paraId="28A15A7B"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deployment of load balancing features in Azure equips Aspire Retailers with the agility to efficiently manage and optimise application workloads. This ensures not only improved performance but also aligns with the dynamic needs of their expanding business operations.</w:t>
      </w:r>
    </w:p>
    <w:p w14:paraId="5118F62D"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meticulous comparative analysis of various cloud service providers reaffirms the comprehensive and versatile offerings of Microsoft Azure. The decision to opt for Azure is grounded in its robust services, reliability, and strategic advantages, propelling Aspire Retailers toward future success.</w:t>
      </w:r>
    </w:p>
    <w:p w14:paraId="45A8FFDA"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Addressing the critical aspect of cost management during migration, an in-depth analysis of Azure's Total </w:t>
      </w:r>
      <w:r>
        <w:rPr>
          <w:rFonts w:ascii="Times New Roman" w:eastAsia="Times New Roman" w:hAnsi="Times New Roman" w:cs="Times New Roman"/>
          <w:sz w:val="24"/>
          <w:szCs w:val="24"/>
          <w:highlight w:val="yellow"/>
        </w:rPr>
        <w:t>Cost of Ownership (TCO)</w:t>
      </w:r>
      <w:r>
        <w:rPr>
          <w:rFonts w:ascii="Times New Roman" w:eastAsia="Times New Roman" w:hAnsi="Times New Roman" w:cs="Times New Roman"/>
          <w:sz w:val="24"/>
          <w:szCs w:val="24"/>
        </w:rPr>
        <w:t xml:space="preserve"> models sheds light on potential costs associated with the move. This evaluation empowers Aspire Retailers to make informed decisions aligned with their financial objectives.</w:t>
      </w:r>
    </w:p>
    <w:p w14:paraId="7F6C306C"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Post-migration, Azure Active Directory emerges as a pivotal component, seamlessly managing user and group accounts. The integration of 'Bring Your Own Device' (BYOD) capabilities aligns with modern workplace trends, ensuring accessibility and efficiency in various business processes.</w:t>
      </w:r>
    </w:p>
    <w:p w14:paraId="748AA474" w14:textId="77777777" w:rsidR="00B41AE2" w:rsidRDefault="00B41AE2">
      <w:pPr>
        <w:spacing w:before="200" w:after="200" w:line="240" w:lineRule="auto"/>
        <w:jc w:val="both"/>
        <w:rPr>
          <w:rFonts w:ascii="Times New Roman" w:eastAsia="Times New Roman" w:hAnsi="Times New Roman" w:cs="Times New Roman"/>
          <w:sz w:val="24"/>
          <w:szCs w:val="24"/>
        </w:rPr>
      </w:pPr>
    </w:p>
    <w:p w14:paraId="05D3F4B3"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discussion on cloud governance and security strategies in Azure underscores the importance of identity management in a rapidly evolving digital landscape. Aspire Retailers can leverage Azure's capabilities to enforce policies, ensuring secure access to cloud resources and bolstering overall data protection.</w:t>
      </w:r>
    </w:p>
    <w:p w14:paraId="2F5F2290"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disaster recovery plan ensures the resilience and continuity of Aspire Retailers' data and applications on Azure. This strategic approach prepares the company for unforeseen events, minimising potential disruptions and data loss.</w:t>
      </w:r>
    </w:p>
    <w:p w14:paraId="6FBDB63E" w14:textId="77777777" w:rsidR="00B41AE2" w:rsidRDefault="00000000">
      <w:pPr>
        <w:spacing w:before="200" w:after="20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the in-depth analysis and recommendations presented in this report provide a roadmap for Aspire Retailers to successfully navigate the complexities of cloud migration. The adoption of Microsoft Azure not only addresses immediate operational challenges but also positions the company for sustained growth and innovation in the dynamic landscape of cloud computing. Aspire Retailers is poised to benefit from Azure's features, cost-effectiveness, and advanced security measures, ensuring a seamless transition into the cloud era.</w:t>
      </w:r>
    </w:p>
    <w:p w14:paraId="5C0550BF" w14:textId="77777777" w:rsidR="00B41AE2" w:rsidRDefault="00000000">
      <w:pPr>
        <w:spacing w:before="200" w:after="200" w:line="240" w:lineRule="auto"/>
        <w:ind w:firstLine="720"/>
        <w:jc w:val="both"/>
        <w:rPr>
          <w:rFonts w:ascii="Times New Roman" w:eastAsia="Times New Roman" w:hAnsi="Times New Roman" w:cs="Times New Roman"/>
          <w:sz w:val="24"/>
          <w:szCs w:val="24"/>
        </w:rPr>
        <w:sectPr w:rsidR="00B41AE2" w:rsidSect="00E76092">
          <w:pgSz w:w="11906" w:h="16838"/>
          <w:pgMar w:top="425" w:right="317" w:bottom="958" w:left="317" w:header="720" w:footer="720" w:gutter="0"/>
          <w:cols w:space="720"/>
        </w:sectPr>
      </w:pPr>
      <w:r>
        <w:rPr>
          <w:rFonts w:ascii="Times New Roman" w:eastAsia="Times New Roman" w:hAnsi="Times New Roman" w:cs="Times New Roman"/>
          <w:sz w:val="24"/>
          <w:szCs w:val="24"/>
        </w:rPr>
        <w:t>This concluding overview highlights the transformative potential of Microsoft Azure, offering Aspire Retailers a competitive edge and a foundation for future success in the realm of cloud computing.</w:t>
      </w:r>
    </w:p>
    <w:p w14:paraId="52F7A2B3" w14:textId="77777777" w:rsidR="00B41AE2" w:rsidRDefault="00000000">
      <w:pPr>
        <w:pStyle w:val="Heading1"/>
        <w:spacing w:before="200" w:after="200" w:line="240" w:lineRule="auto"/>
        <w:jc w:val="center"/>
        <w:rPr>
          <w:sz w:val="48"/>
          <w:szCs w:val="48"/>
        </w:rPr>
      </w:pPr>
      <w:bookmarkStart w:id="12" w:name="_sjf1sfqv20d" w:colFirst="0" w:colLast="0"/>
      <w:bookmarkEnd w:id="12"/>
      <w:r>
        <w:rPr>
          <w:rFonts w:ascii="Times New Roman" w:eastAsia="Times New Roman" w:hAnsi="Times New Roman" w:cs="Times New Roman"/>
          <w:b/>
          <w:sz w:val="48"/>
          <w:szCs w:val="48"/>
        </w:rPr>
        <w:lastRenderedPageBreak/>
        <w:t>IX. References</w:t>
      </w:r>
    </w:p>
    <w:tbl>
      <w:tblPr>
        <w:tblStyle w:val="a0"/>
        <w:tblW w:w="9280" w:type="dxa"/>
        <w:tblBorders>
          <w:top w:val="nil"/>
          <w:left w:val="nil"/>
          <w:bottom w:val="nil"/>
          <w:right w:val="nil"/>
          <w:insideH w:val="nil"/>
          <w:insideV w:val="nil"/>
        </w:tblBorders>
        <w:tblLayout w:type="fixed"/>
        <w:tblLook w:val="0600" w:firstRow="0" w:lastRow="0" w:firstColumn="0" w:lastColumn="0" w:noHBand="1" w:noVBand="1"/>
      </w:tblPr>
      <w:tblGrid>
        <w:gridCol w:w="770"/>
        <w:gridCol w:w="8510"/>
      </w:tblGrid>
      <w:tr w:rsidR="00B41AE2" w14:paraId="0C60BEAE" w14:textId="77777777">
        <w:trPr>
          <w:trHeight w:val="1055"/>
        </w:trPr>
        <w:tc>
          <w:tcPr>
            <w:tcW w:w="770" w:type="dxa"/>
            <w:tcBorders>
              <w:top w:val="nil"/>
              <w:left w:val="nil"/>
              <w:bottom w:val="nil"/>
              <w:right w:val="nil"/>
            </w:tcBorders>
            <w:tcMar>
              <w:top w:w="100" w:type="dxa"/>
              <w:left w:w="100" w:type="dxa"/>
              <w:bottom w:w="100" w:type="dxa"/>
              <w:right w:w="100" w:type="dxa"/>
            </w:tcMar>
          </w:tcPr>
          <w:p w14:paraId="01299BC7" w14:textId="77777777" w:rsidR="00B41AE2" w:rsidRDefault="00000000">
            <w:pPr>
              <w:shd w:val="clear" w:color="auto" w:fill="FFFFFF"/>
              <w:spacing w:before="200" w:after="120" w:line="240" w:lineRule="auto"/>
              <w:rPr>
                <w:sz w:val="24"/>
                <w:szCs w:val="24"/>
              </w:rPr>
            </w:pPr>
            <w:r>
              <w:rPr>
                <w:sz w:val="24"/>
                <w:szCs w:val="24"/>
              </w:rPr>
              <w:t>[1]</w:t>
            </w:r>
          </w:p>
        </w:tc>
        <w:tc>
          <w:tcPr>
            <w:tcW w:w="8510" w:type="dxa"/>
            <w:tcBorders>
              <w:top w:val="nil"/>
              <w:left w:val="nil"/>
              <w:bottom w:val="nil"/>
              <w:right w:val="nil"/>
            </w:tcBorders>
            <w:tcMar>
              <w:top w:w="100" w:type="dxa"/>
              <w:left w:w="100" w:type="dxa"/>
              <w:bottom w:w="100" w:type="dxa"/>
              <w:right w:w="100" w:type="dxa"/>
            </w:tcMar>
          </w:tcPr>
          <w:p w14:paraId="3449C03D" w14:textId="77777777" w:rsidR="00B41AE2" w:rsidRDefault="00000000">
            <w:pPr>
              <w:shd w:val="clear" w:color="auto" w:fill="FFFFFF"/>
              <w:spacing w:before="200" w:after="120" w:line="240" w:lineRule="auto"/>
              <w:rPr>
                <w:sz w:val="24"/>
                <w:szCs w:val="24"/>
              </w:rPr>
            </w:pPr>
            <w:r>
              <w:rPr>
                <w:sz w:val="24"/>
                <w:szCs w:val="24"/>
              </w:rPr>
              <w:t xml:space="preserve">L. Van Scheers and J. Botha, “Analysing relationship between employee job satisfaction and motivation,” </w:t>
            </w:r>
            <w:r>
              <w:rPr>
                <w:i/>
                <w:sz w:val="24"/>
                <w:szCs w:val="24"/>
              </w:rPr>
              <w:t>Jbrmr.com</w:t>
            </w:r>
            <w:r>
              <w:rPr>
                <w:sz w:val="24"/>
                <w:szCs w:val="24"/>
              </w:rPr>
              <w:t>. [Online]. Available: https://jbrmr.com/cdn/article_file/i-20_c-186.pdf. [Accessed: 07-Jan-2024].</w:t>
            </w:r>
          </w:p>
        </w:tc>
      </w:tr>
      <w:tr w:rsidR="00B41AE2" w14:paraId="7F6841AD" w14:textId="77777777">
        <w:trPr>
          <w:trHeight w:val="1055"/>
        </w:trPr>
        <w:tc>
          <w:tcPr>
            <w:tcW w:w="770" w:type="dxa"/>
            <w:tcBorders>
              <w:top w:val="nil"/>
              <w:left w:val="nil"/>
              <w:bottom w:val="nil"/>
              <w:right w:val="nil"/>
            </w:tcBorders>
            <w:tcMar>
              <w:top w:w="100" w:type="dxa"/>
              <w:left w:w="100" w:type="dxa"/>
              <w:bottom w:w="100" w:type="dxa"/>
              <w:right w:w="100" w:type="dxa"/>
            </w:tcMar>
          </w:tcPr>
          <w:p w14:paraId="767FC202" w14:textId="77777777" w:rsidR="00B41AE2" w:rsidRDefault="00000000">
            <w:pPr>
              <w:shd w:val="clear" w:color="auto" w:fill="FFFFFF"/>
              <w:spacing w:before="200" w:after="120" w:line="240" w:lineRule="auto"/>
              <w:rPr>
                <w:sz w:val="24"/>
                <w:szCs w:val="24"/>
              </w:rPr>
            </w:pPr>
            <w:r>
              <w:rPr>
                <w:sz w:val="24"/>
                <w:szCs w:val="24"/>
              </w:rPr>
              <w:t>[2]</w:t>
            </w:r>
          </w:p>
        </w:tc>
        <w:tc>
          <w:tcPr>
            <w:tcW w:w="8510" w:type="dxa"/>
            <w:tcBorders>
              <w:top w:val="nil"/>
              <w:left w:val="nil"/>
              <w:bottom w:val="nil"/>
              <w:right w:val="nil"/>
            </w:tcBorders>
            <w:tcMar>
              <w:top w:w="100" w:type="dxa"/>
              <w:left w:w="100" w:type="dxa"/>
              <w:bottom w:w="100" w:type="dxa"/>
              <w:right w:w="100" w:type="dxa"/>
            </w:tcMar>
          </w:tcPr>
          <w:p w14:paraId="1E42B00A" w14:textId="77777777" w:rsidR="00B41AE2" w:rsidRDefault="00000000">
            <w:pPr>
              <w:shd w:val="clear" w:color="auto" w:fill="FFFFFF"/>
              <w:spacing w:before="200" w:after="120" w:line="240" w:lineRule="auto"/>
              <w:rPr>
                <w:sz w:val="24"/>
                <w:szCs w:val="24"/>
              </w:rPr>
            </w:pPr>
            <w:r>
              <w:rPr>
                <w:sz w:val="24"/>
                <w:szCs w:val="24"/>
              </w:rPr>
              <w:t xml:space="preserve">N. Sultan, “Making use of cloud computing for healthcare provision: Opportunities and challenges,” </w:t>
            </w:r>
            <w:r>
              <w:rPr>
                <w:i/>
                <w:sz w:val="24"/>
                <w:szCs w:val="24"/>
              </w:rPr>
              <w:t>Int. J. Inf. Manage.</w:t>
            </w:r>
            <w:r>
              <w:rPr>
                <w:sz w:val="24"/>
                <w:szCs w:val="24"/>
              </w:rPr>
              <w:t>, vol. 34, no. 2, pp. 177–184, 2014.</w:t>
            </w:r>
          </w:p>
        </w:tc>
      </w:tr>
      <w:tr w:rsidR="00B41AE2" w14:paraId="30579DE1" w14:textId="77777777">
        <w:trPr>
          <w:trHeight w:val="1340"/>
        </w:trPr>
        <w:tc>
          <w:tcPr>
            <w:tcW w:w="770" w:type="dxa"/>
            <w:tcBorders>
              <w:top w:val="nil"/>
              <w:left w:val="nil"/>
              <w:bottom w:val="nil"/>
              <w:right w:val="nil"/>
            </w:tcBorders>
            <w:tcMar>
              <w:top w:w="100" w:type="dxa"/>
              <w:left w:w="100" w:type="dxa"/>
              <w:bottom w:w="100" w:type="dxa"/>
              <w:right w:w="100" w:type="dxa"/>
            </w:tcMar>
          </w:tcPr>
          <w:p w14:paraId="5DAC8614" w14:textId="77777777" w:rsidR="00B41AE2" w:rsidRDefault="00000000">
            <w:pPr>
              <w:shd w:val="clear" w:color="auto" w:fill="FFFFFF"/>
              <w:spacing w:before="200" w:after="120" w:line="240" w:lineRule="auto"/>
              <w:rPr>
                <w:sz w:val="24"/>
                <w:szCs w:val="24"/>
              </w:rPr>
            </w:pPr>
            <w:r>
              <w:rPr>
                <w:sz w:val="24"/>
                <w:szCs w:val="24"/>
              </w:rPr>
              <w:t>[3]</w:t>
            </w:r>
          </w:p>
        </w:tc>
        <w:tc>
          <w:tcPr>
            <w:tcW w:w="8510" w:type="dxa"/>
            <w:tcBorders>
              <w:top w:val="nil"/>
              <w:left w:val="nil"/>
              <w:bottom w:val="nil"/>
              <w:right w:val="nil"/>
            </w:tcBorders>
            <w:tcMar>
              <w:top w:w="100" w:type="dxa"/>
              <w:left w:w="100" w:type="dxa"/>
              <w:bottom w:w="100" w:type="dxa"/>
              <w:right w:w="100" w:type="dxa"/>
            </w:tcMar>
          </w:tcPr>
          <w:p w14:paraId="3EA08D40" w14:textId="77777777" w:rsidR="00B41AE2" w:rsidRDefault="00000000">
            <w:pPr>
              <w:shd w:val="clear" w:color="auto" w:fill="FFFFFF"/>
              <w:spacing w:before="200" w:after="120" w:line="240" w:lineRule="auto"/>
              <w:rPr>
                <w:sz w:val="24"/>
                <w:szCs w:val="24"/>
              </w:rPr>
            </w:pPr>
            <w:r>
              <w:rPr>
                <w:sz w:val="24"/>
                <w:szCs w:val="24"/>
              </w:rPr>
              <w:t xml:space="preserve">A. Akbar </w:t>
            </w:r>
            <w:proofErr w:type="spellStart"/>
            <w:r>
              <w:rPr>
                <w:sz w:val="24"/>
                <w:szCs w:val="24"/>
              </w:rPr>
              <w:t>Neghabi</w:t>
            </w:r>
            <w:proofErr w:type="spellEnd"/>
            <w:r>
              <w:rPr>
                <w:sz w:val="24"/>
                <w:szCs w:val="24"/>
              </w:rPr>
              <w:t xml:space="preserve">, N. Jafari </w:t>
            </w:r>
            <w:proofErr w:type="spellStart"/>
            <w:r>
              <w:rPr>
                <w:sz w:val="24"/>
                <w:szCs w:val="24"/>
              </w:rPr>
              <w:t>Navimipour</w:t>
            </w:r>
            <w:proofErr w:type="spellEnd"/>
            <w:r>
              <w:rPr>
                <w:sz w:val="24"/>
                <w:szCs w:val="24"/>
              </w:rPr>
              <w:t xml:space="preserve">, M. Hosseinzadeh, and A. Rezaee, “Nature‐inspired meta‐heuristic algorithms for solving the load balancing problem in the software‐defined network,” </w:t>
            </w:r>
            <w:r>
              <w:rPr>
                <w:i/>
                <w:sz w:val="24"/>
                <w:szCs w:val="24"/>
              </w:rPr>
              <w:t xml:space="preserve">Int. J. </w:t>
            </w:r>
            <w:proofErr w:type="spellStart"/>
            <w:r>
              <w:rPr>
                <w:i/>
                <w:sz w:val="24"/>
                <w:szCs w:val="24"/>
              </w:rPr>
              <w:t>Commun</w:t>
            </w:r>
            <w:proofErr w:type="spellEnd"/>
            <w:r>
              <w:rPr>
                <w:i/>
                <w:sz w:val="24"/>
                <w:szCs w:val="24"/>
              </w:rPr>
              <w:t>. Syst.</w:t>
            </w:r>
            <w:r>
              <w:rPr>
                <w:sz w:val="24"/>
                <w:szCs w:val="24"/>
              </w:rPr>
              <w:t>, vol. 32, no. 4, 2019.</w:t>
            </w:r>
          </w:p>
        </w:tc>
      </w:tr>
      <w:tr w:rsidR="00B41AE2" w14:paraId="702374FF" w14:textId="77777777">
        <w:trPr>
          <w:trHeight w:val="1055"/>
        </w:trPr>
        <w:tc>
          <w:tcPr>
            <w:tcW w:w="770" w:type="dxa"/>
            <w:tcBorders>
              <w:top w:val="nil"/>
              <w:left w:val="nil"/>
              <w:bottom w:val="nil"/>
              <w:right w:val="nil"/>
            </w:tcBorders>
            <w:tcMar>
              <w:top w:w="100" w:type="dxa"/>
              <w:left w:w="100" w:type="dxa"/>
              <w:bottom w:w="100" w:type="dxa"/>
              <w:right w:w="100" w:type="dxa"/>
            </w:tcMar>
          </w:tcPr>
          <w:p w14:paraId="2C507B1C" w14:textId="77777777" w:rsidR="00B41AE2" w:rsidRDefault="00000000">
            <w:pPr>
              <w:shd w:val="clear" w:color="auto" w:fill="FFFFFF"/>
              <w:spacing w:before="200" w:after="120" w:line="240" w:lineRule="auto"/>
              <w:rPr>
                <w:sz w:val="24"/>
                <w:szCs w:val="24"/>
              </w:rPr>
            </w:pPr>
            <w:r>
              <w:rPr>
                <w:sz w:val="24"/>
                <w:szCs w:val="24"/>
              </w:rPr>
              <w:t>[4]</w:t>
            </w:r>
          </w:p>
        </w:tc>
        <w:tc>
          <w:tcPr>
            <w:tcW w:w="8510" w:type="dxa"/>
            <w:tcBorders>
              <w:top w:val="nil"/>
              <w:left w:val="nil"/>
              <w:bottom w:val="nil"/>
              <w:right w:val="nil"/>
            </w:tcBorders>
            <w:tcMar>
              <w:top w:w="100" w:type="dxa"/>
              <w:left w:w="100" w:type="dxa"/>
              <w:bottom w:w="100" w:type="dxa"/>
              <w:right w:w="100" w:type="dxa"/>
            </w:tcMar>
          </w:tcPr>
          <w:p w14:paraId="268FA7C2" w14:textId="77777777" w:rsidR="00B41AE2" w:rsidRDefault="00000000">
            <w:pPr>
              <w:shd w:val="clear" w:color="auto" w:fill="FFFFFF"/>
              <w:spacing w:before="200" w:after="120" w:line="240" w:lineRule="auto"/>
              <w:rPr>
                <w:sz w:val="24"/>
                <w:szCs w:val="24"/>
              </w:rPr>
            </w:pPr>
            <w:r>
              <w:rPr>
                <w:sz w:val="24"/>
                <w:szCs w:val="24"/>
              </w:rPr>
              <w:t xml:space="preserve">K. </w:t>
            </w:r>
            <w:proofErr w:type="spellStart"/>
            <w:r>
              <w:rPr>
                <w:sz w:val="24"/>
                <w:szCs w:val="24"/>
              </w:rPr>
              <w:t>Stanoevska-Slabeva</w:t>
            </w:r>
            <w:proofErr w:type="spellEnd"/>
            <w:r>
              <w:rPr>
                <w:sz w:val="24"/>
                <w:szCs w:val="24"/>
              </w:rPr>
              <w:t xml:space="preserve"> and T. Wozniak, “Cloud basics – an introduction to cloud computing,” in </w:t>
            </w:r>
            <w:r>
              <w:rPr>
                <w:i/>
                <w:sz w:val="24"/>
                <w:szCs w:val="24"/>
              </w:rPr>
              <w:t>Grid and Cloud Computing</w:t>
            </w:r>
            <w:r>
              <w:rPr>
                <w:sz w:val="24"/>
                <w:szCs w:val="24"/>
              </w:rPr>
              <w:t>, Berlin, Heidelberg: Springer Berlin Heidelberg, 2010, pp. 47–61.</w:t>
            </w:r>
          </w:p>
        </w:tc>
      </w:tr>
      <w:tr w:rsidR="00B41AE2" w14:paraId="7251FB50" w14:textId="77777777">
        <w:trPr>
          <w:trHeight w:val="1055"/>
        </w:trPr>
        <w:tc>
          <w:tcPr>
            <w:tcW w:w="770" w:type="dxa"/>
            <w:tcBorders>
              <w:top w:val="nil"/>
              <w:left w:val="nil"/>
              <w:bottom w:val="nil"/>
              <w:right w:val="nil"/>
            </w:tcBorders>
            <w:tcMar>
              <w:top w:w="100" w:type="dxa"/>
              <w:left w:w="100" w:type="dxa"/>
              <w:bottom w:w="100" w:type="dxa"/>
              <w:right w:w="100" w:type="dxa"/>
            </w:tcMar>
          </w:tcPr>
          <w:p w14:paraId="1B4C4B55" w14:textId="77777777" w:rsidR="00B41AE2" w:rsidRDefault="00000000">
            <w:pPr>
              <w:shd w:val="clear" w:color="auto" w:fill="FFFFFF"/>
              <w:spacing w:before="200" w:after="120" w:line="240" w:lineRule="auto"/>
              <w:rPr>
                <w:sz w:val="24"/>
                <w:szCs w:val="24"/>
              </w:rPr>
            </w:pPr>
            <w:r>
              <w:rPr>
                <w:sz w:val="24"/>
                <w:szCs w:val="24"/>
              </w:rPr>
              <w:t>[5]</w:t>
            </w:r>
          </w:p>
        </w:tc>
        <w:tc>
          <w:tcPr>
            <w:tcW w:w="8510" w:type="dxa"/>
            <w:tcBorders>
              <w:top w:val="nil"/>
              <w:left w:val="nil"/>
              <w:bottom w:val="nil"/>
              <w:right w:val="nil"/>
            </w:tcBorders>
            <w:tcMar>
              <w:top w:w="100" w:type="dxa"/>
              <w:left w:w="100" w:type="dxa"/>
              <w:bottom w:w="100" w:type="dxa"/>
              <w:right w:w="100" w:type="dxa"/>
            </w:tcMar>
          </w:tcPr>
          <w:p w14:paraId="58F2B68C" w14:textId="77777777" w:rsidR="00B41AE2" w:rsidRDefault="00000000">
            <w:pPr>
              <w:shd w:val="clear" w:color="auto" w:fill="FFFFFF"/>
              <w:spacing w:before="200" w:after="120" w:line="240" w:lineRule="auto"/>
              <w:rPr>
                <w:sz w:val="24"/>
                <w:szCs w:val="24"/>
              </w:rPr>
            </w:pPr>
            <w:r>
              <w:rPr>
                <w:i/>
                <w:sz w:val="24"/>
                <w:szCs w:val="24"/>
              </w:rPr>
              <w:t>Ieee.org</w:t>
            </w:r>
            <w:r>
              <w:rPr>
                <w:sz w:val="24"/>
                <w:szCs w:val="24"/>
              </w:rPr>
              <w:t>. [Online]. Available: https://ieeexplore.ieee.org/abstract/document/9116254/. [Accessed: 07-Jan-2024].</w:t>
            </w:r>
          </w:p>
        </w:tc>
      </w:tr>
      <w:tr w:rsidR="00B41AE2" w14:paraId="0036B84A" w14:textId="77777777">
        <w:trPr>
          <w:trHeight w:val="1055"/>
        </w:trPr>
        <w:tc>
          <w:tcPr>
            <w:tcW w:w="770" w:type="dxa"/>
            <w:tcBorders>
              <w:top w:val="nil"/>
              <w:left w:val="nil"/>
              <w:bottom w:val="nil"/>
              <w:right w:val="nil"/>
            </w:tcBorders>
            <w:tcMar>
              <w:top w:w="100" w:type="dxa"/>
              <w:left w:w="100" w:type="dxa"/>
              <w:bottom w:w="100" w:type="dxa"/>
              <w:right w:w="100" w:type="dxa"/>
            </w:tcMar>
          </w:tcPr>
          <w:p w14:paraId="4E231FD4" w14:textId="77777777" w:rsidR="00B41AE2" w:rsidRDefault="00000000">
            <w:pPr>
              <w:shd w:val="clear" w:color="auto" w:fill="FFFFFF"/>
              <w:spacing w:before="200" w:after="120" w:line="240" w:lineRule="auto"/>
              <w:rPr>
                <w:sz w:val="24"/>
                <w:szCs w:val="24"/>
              </w:rPr>
            </w:pPr>
            <w:r>
              <w:rPr>
                <w:sz w:val="24"/>
                <w:szCs w:val="24"/>
              </w:rPr>
              <w:t>[6]</w:t>
            </w:r>
          </w:p>
        </w:tc>
        <w:tc>
          <w:tcPr>
            <w:tcW w:w="8510" w:type="dxa"/>
            <w:tcBorders>
              <w:top w:val="nil"/>
              <w:left w:val="nil"/>
              <w:bottom w:val="nil"/>
              <w:right w:val="nil"/>
            </w:tcBorders>
            <w:tcMar>
              <w:top w:w="100" w:type="dxa"/>
              <w:left w:w="100" w:type="dxa"/>
              <w:bottom w:w="100" w:type="dxa"/>
              <w:right w:w="100" w:type="dxa"/>
            </w:tcMar>
          </w:tcPr>
          <w:p w14:paraId="3488D3EB" w14:textId="77777777" w:rsidR="00B41AE2" w:rsidRDefault="00000000">
            <w:pPr>
              <w:shd w:val="clear" w:color="auto" w:fill="FFFFFF"/>
              <w:spacing w:before="200" w:after="120" w:line="240" w:lineRule="auto"/>
              <w:rPr>
                <w:sz w:val="24"/>
                <w:szCs w:val="24"/>
              </w:rPr>
            </w:pPr>
            <w:r>
              <w:rPr>
                <w:sz w:val="24"/>
                <w:szCs w:val="24"/>
              </w:rPr>
              <w:t xml:space="preserve">M. L. Badger, T. Grance, R. Patt-Corner, and J. </w:t>
            </w:r>
            <w:proofErr w:type="spellStart"/>
            <w:r>
              <w:rPr>
                <w:sz w:val="24"/>
                <w:szCs w:val="24"/>
              </w:rPr>
              <w:t>Voas</w:t>
            </w:r>
            <w:proofErr w:type="spellEnd"/>
            <w:r>
              <w:rPr>
                <w:sz w:val="24"/>
                <w:szCs w:val="24"/>
              </w:rPr>
              <w:t>, “Cloud computing synopsis and recommendations,” National Institute of Standards and Technology, Gaithersburg, MD, 2012.</w:t>
            </w:r>
          </w:p>
        </w:tc>
      </w:tr>
      <w:tr w:rsidR="00B41AE2" w14:paraId="76F7633E" w14:textId="77777777">
        <w:trPr>
          <w:trHeight w:val="1340"/>
        </w:trPr>
        <w:tc>
          <w:tcPr>
            <w:tcW w:w="770" w:type="dxa"/>
            <w:tcBorders>
              <w:top w:val="nil"/>
              <w:left w:val="nil"/>
              <w:bottom w:val="nil"/>
              <w:right w:val="nil"/>
            </w:tcBorders>
            <w:tcMar>
              <w:top w:w="100" w:type="dxa"/>
              <w:left w:w="100" w:type="dxa"/>
              <w:bottom w:w="100" w:type="dxa"/>
              <w:right w:w="100" w:type="dxa"/>
            </w:tcMar>
          </w:tcPr>
          <w:p w14:paraId="4E48A129" w14:textId="77777777" w:rsidR="00B41AE2" w:rsidRDefault="00000000">
            <w:pPr>
              <w:shd w:val="clear" w:color="auto" w:fill="FFFFFF"/>
              <w:spacing w:before="200" w:after="120" w:line="240" w:lineRule="auto"/>
              <w:rPr>
                <w:sz w:val="24"/>
                <w:szCs w:val="24"/>
              </w:rPr>
            </w:pPr>
            <w:r>
              <w:rPr>
                <w:sz w:val="24"/>
                <w:szCs w:val="24"/>
              </w:rPr>
              <w:t>[7]</w:t>
            </w:r>
          </w:p>
        </w:tc>
        <w:tc>
          <w:tcPr>
            <w:tcW w:w="8510" w:type="dxa"/>
            <w:tcBorders>
              <w:top w:val="nil"/>
              <w:left w:val="nil"/>
              <w:bottom w:val="nil"/>
              <w:right w:val="nil"/>
            </w:tcBorders>
            <w:tcMar>
              <w:top w:w="100" w:type="dxa"/>
              <w:left w:w="100" w:type="dxa"/>
              <w:bottom w:w="100" w:type="dxa"/>
              <w:right w:w="100" w:type="dxa"/>
            </w:tcMar>
          </w:tcPr>
          <w:p w14:paraId="535B772A" w14:textId="77777777" w:rsidR="00B41AE2" w:rsidRDefault="00000000">
            <w:pPr>
              <w:shd w:val="clear" w:color="auto" w:fill="FFFFFF"/>
              <w:spacing w:before="200" w:after="120" w:line="240" w:lineRule="auto"/>
              <w:rPr>
                <w:sz w:val="24"/>
                <w:szCs w:val="24"/>
              </w:rPr>
            </w:pPr>
            <w:r>
              <w:rPr>
                <w:sz w:val="24"/>
                <w:szCs w:val="24"/>
              </w:rPr>
              <w:t xml:space="preserve">S. Deochake and V. </w:t>
            </w:r>
            <w:proofErr w:type="spellStart"/>
            <w:r>
              <w:rPr>
                <w:sz w:val="24"/>
                <w:szCs w:val="24"/>
              </w:rPr>
              <w:t>Channapattan</w:t>
            </w:r>
            <w:proofErr w:type="spellEnd"/>
            <w:r>
              <w:rPr>
                <w:sz w:val="24"/>
                <w:szCs w:val="24"/>
              </w:rPr>
              <w:t xml:space="preserve">, “Identity and access management framework for multi-tenant resources in hybrid cloud computing,” in </w:t>
            </w:r>
            <w:r>
              <w:rPr>
                <w:i/>
                <w:sz w:val="24"/>
                <w:szCs w:val="24"/>
              </w:rPr>
              <w:t>Proceedings of the 17th International Conference on Availability, Reliability and Security</w:t>
            </w:r>
            <w:r>
              <w:rPr>
                <w:sz w:val="24"/>
                <w:szCs w:val="24"/>
              </w:rPr>
              <w:t>, 2022.</w:t>
            </w:r>
          </w:p>
        </w:tc>
      </w:tr>
      <w:tr w:rsidR="00B41AE2" w14:paraId="5735CC9B" w14:textId="77777777">
        <w:trPr>
          <w:trHeight w:val="1055"/>
        </w:trPr>
        <w:tc>
          <w:tcPr>
            <w:tcW w:w="770" w:type="dxa"/>
            <w:tcBorders>
              <w:top w:val="nil"/>
              <w:left w:val="nil"/>
              <w:bottom w:val="nil"/>
              <w:right w:val="nil"/>
            </w:tcBorders>
            <w:tcMar>
              <w:top w:w="100" w:type="dxa"/>
              <w:left w:w="100" w:type="dxa"/>
              <w:bottom w:w="100" w:type="dxa"/>
              <w:right w:w="100" w:type="dxa"/>
            </w:tcMar>
          </w:tcPr>
          <w:p w14:paraId="0BA72B53" w14:textId="77777777" w:rsidR="00B41AE2" w:rsidRDefault="00000000">
            <w:pPr>
              <w:shd w:val="clear" w:color="auto" w:fill="FFFFFF"/>
              <w:spacing w:before="200" w:after="120" w:line="240" w:lineRule="auto"/>
              <w:rPr>
                <w:sz w:val="24"/>
                <w:szCs w:val="24"/>
              </w:rPr>
            </w:pPr>
            <w:r>
              <w:rPr>
                <w:sz w:val="24"/>
                <w:szCs w:val="24"/>
              </w:rPr>
              <w:t>[8]</w:t>
            </w:r>
          </w:p>
        </w:tc>
        <w:tc>
          <w:tcPr>
            <w:tcW w:w="8510" w:type="dxa"/>
            <w:tcBorders>
              <w:top w:val="nil"/>
              <w:left w:val="nil"/>
              <w:bottom w:val="nil"/>
              <w:right w:val="nil"/>
            </w:tcBorders>
            <w:tcMar>
              <w:top w:w="100" w:type="dxa"/>
              <w:left w:w="100" w:type="dxa"/>
              <w:bottom w:w="100" w:type="dxa"/>
              <w:right w:w="100" w:type="dxa"/>
            </w:tcMar>
          </w:tcPr>
          <w:p w14:paraId="2735D4EA" w14:textId="77777777" w:rsidR="00B41AE2" w:rsidRDefault="00000000">
            <w:pPr>
              <w:shd w:val="clear" w:color="auto" w:fill="FFFFFF"/>
              <w:spacing w:before="200" w:after="120" w:line="240" w:lineRule="auto"/>
              <w:rPr>
                <w:sz w:val="24"/>
                <w:szCs w:val="24"/>
              </w:rPr>
            </w:pPr>
            <w:r>
              <w:rPr>
                <w:sz w:val="24"/>
                <w:szCs w:val="24"/>
              </w:rPr>
              <w:t xml:space="preserve">“Survey of Key Findings </w:t>
            </w:r>
            <w:proofErr w:type="gramStart"/>
            <w:r>
              <w:rPr>
                <w:sz w:val="24"/>
                <w:szCs w:val="24"/>
              </w:rPr>
              <w:t>From</w:t>
            </w:r>
            <w:proofErr w:type="gramEnd"/>
            <w:r>
              <w:rPr>
                <w:sz w:val="24"/>
                <w:szCs w:val="24"/>
              </w:rPr>
              <w:t xml:space="preserve"> Two Years of Large Scale Usage of a Service Learning Platform,” </w:t>
            </w:r>
            <w:r>
              <w:rPr>
                <w:i/>
                <w:sz w:val="24"/>
                <w:szCs w:val="24"/>
              </w:rPr>
              <w:t>International Journal of Distributed and Parallel Programming</w:t>
            </w:r>
            <w:r>
              <w:rPr>
                <w:sz w:val="24"/>
                <w:szCs w:val="24"/>
              </w:rPr>
              <w:t>.</w:t>
            </w:r>
          </w:p>
        </w:tc>
      </w:tr>
      <w:tr w:rsidR="00B41AE2" w14:paraId="5274412C" w14:textId="77777777">
        <w:trPr>
          <w:trHeight w:val="1055"/>
        </w:trPr>
        <w:tc>
          <w:tcPr>
            <w:tcW w:w="770" w:type="dxa"/>
            <w:tcBorders>
              <w:top w:val="nil"/>
              <w:left w:val="nil"/>
              <w:bottom w:val="nil"/>
              <w:right w:val="nil"/>
            </w:tcBorders>
            <w:tcMar>
              <w:top w:w="100" w:type="dxa"/>
              <w:left w:w="100" w:type="dxa"/>
              <w:bottom w:w="100" w:type="dxa"/>
              <w:right w:w="100" w:type="dxa"/>
            </w:tcMar>
          </w:tcPr>
          <w:p w14:paraId="45F7279B" w14:textId="77777777" w:rsidR="00B41AE2" w:rsidRDefault="00000000">
            <w:pPr>
              <w:shd w:val="clear" w:color="auto" w:fill="FFFFFF"/>
              <w:spacing w:before="200" w:after="120" w:line="240" w:lineRule="auto"/>
              <w:rPr>
                <w:sz w:val="24"/>
                <w:szCs w:val="24"/>
              </w:rPr>
            </w:pPr>
            <w:r>
              <w:rPr>
                <w:sz w:val="24"/>
                <w:szCs w:val="24"/>
              </w:rPr>
              <w:t>[9]</w:t>
            </w:r>
          </w:p>
        </w:tc>
        <w:tc>
          <w:tcPr>
            <w:tcW w:w="8510" w:type="dxa"/>
            <w:tcBorders>
              <w:top w:val="nil"/>
              <w:left w:val="nil"/>
              <w:bottom w:val="nil"/>
              <w:right w:val="nil"/>
            </w:tcBorders>
            <w:tcMar>
              <w:top w:w="100" w:type="dxa"/>
              <w:left w:w="100" w:type="dxa"/>
              <w:bottom w:w="100" w:type="dxa"/>
              <w:right w:w="100" w:type="dxa"/>
            </w:tcMar>
          </w:tcPr>
          <w:p w14:paraId="35B74238" w14:textId="77777777" w:rsidR="00B41AE2" w:rsidRDefault="00000000">
            <w:pPr>
              <w:shd w:val="clear" w:color="auto" w:fill="FFFFFF"/>
              <w:spacing w:before="200" w:after="120" w:line="240" w:lineRule="auto"/>
              <w:rPr>
                <w:sz w:val="24"/>
                <w:szCs w:val="24"/>
              </w:rPr>
            </w:pPr>
            <w:r>
              <w:rPr>
                <w:i/>
                <w:sz w:val="24"/>
                <w:szCs w:val="24"/>
              </w:rPr>
              <w:t>Mcgraw-hill.com</w:t>
            </w:r>
            <w:r>
              <w:rPr>
                <w:sz w:val="24"/>
                <w:szCs w:val="24"/>
              </w:rPr>
              <w:t>. [Online]. Available: https://www.mcgraw-hill.com/education/what-is-multi-factor-authentication/. [Accessed: 10-Jan-2024].</w:t>
            </w:r>
          </w:p>
        </w:tc>
      </w:tr>
      <w:tr w:rsidR="00B41AE2" w14:paraId="4CD9A4DA" w14:textId="77777777">
        <w:trPr>
          <w:trHeight w:val="1055"/>
        </w:trPr>
        <w:tc>
          <w:tcPr>
            <w:tcW w:w="770" w:type="dxa"/>
            <w:tcBorders>
              <w:top w:val="nil"/>
              <w:left w:val="nil"/>
              <w:bottom w:val="nil"/>
              <w:right w:val="nil"/>
            </w:tcBorders>
            <w:tcMar>
              <w:top w:w="100" w:type="dxa"/>
              <w:left w:w="100" w:type="dxa"/>
              <w:bottom w:w="100" w:type="dxa"/>
              <w:right w:w="100" w:type="dxa"/>
            </w:tcMar>
          </w:tcPr>
          <w:p w14:paraId="50F5253A" w14:textId="77777777" w:rsidR="00B41AE2" w:rsidRDefault="00000000">
            <w:pPr>
              <w:shd w:val="clear" w:color="auto" w:fill="FFFFFF"/>
              <w:spacing w:before="200" w:after="120" w:line="240" w:lineRule="auto"/>
              <w:rPr>
                <w:sz w:val="24"/>
                <w:szCs w:val="24"/>
              </w:rPr>
            </w:pPr>
            <w:r>
              <w:rPr>
                <w:sz w:val="24"/>
                <w:szCs w:val="24"/>
              </w:rPr>
              <w:t>[10]</w:t>
            </w:r>
          </w:p>
        </w:tc>
        <w:tc>
          <w:tcPr>
            <w:tcW w:w="8510" w:type="dxa"/>
            <w:tcBorders>
              <w:top w:val="nil"/>
              <w:left w:val="nil"/>
              <w:bottom w:val="nil"/>
              <w:right w:val="nil"/>
            </w:tcBorders>
            <w:tcMar>
              <w:top w:w="100" w:type="dxa"/>
              <w:left w:w="100" w:type="dxa"/>
              <w:bottom w:w="100" w:type="dxa"/>
              <w:right w:w="100" w:type="dxa"/>
            </w:tcMar>
          </w:tcPr>
          <w:p w14:paraId="67A1FFA7" w14:textId="77777777" w:rsidR="00B41AE2" w:rsidRDefault="00000000">
            <w:pPr>
              <w:shd w:val="clear" w:color="auto" w:fill="FFFFFF"/>
              <w:spacing w:before="200" w:after="120" w:line="240" w:lineRule="auto"/>
              <w:rPr>
                <w:sz w:val="24"/>
                <w:szCs w:val="24"/>
              </w:rPr>
            </w:pPr>
            <w:r>
              <w:rPr>
                <w:sz w:val="24"/>
                <w:szCs w:val="24"/>
              </w:rPr>
              <w:t xml:space="preserve">A. Sajjad, M. Rajarajan, A. Zisman, and T. </w:t>
            </w:r>
            <w:proofErr w:type="spellStart"/>
            <w:r>
              <w:rPr>
                <w:sz w:val="24"/>
                <w:szCs w:val="24"/>
              </w:rPr>
              <w:t>Dimitrakos</w:t>
            </w:r>
            <w:proofErr w:type="spellEnd"/>
            <w:r>
              <w:rPr>
                <w:sz w:val="24"/>
                <w:szCs w:val="24"/>
              </w:rPr>
              <w:t xml:space="preserve">, “A scalable and dynamic application-level secure communication framework for inter-cloud services,” </w:t>
            </w:r>
            <w:r>
              <w:rPr>
                <w:i/>
                <w:sz w:val="24"/>
                <w:szCs w:val="24"/>
              </w:rPr>
              <w:t xml:space="preserve">Future Gener. </w:t>
            </w:r>
            <w:proofErr w:type="spellStart"/>
            <w:r>
              <w:rPr>
                <w:i/>
                <w:sz w:val="24"/>
                <w:szCs w:val="24"/>
              </w:rPr>
              <w:t>Comput</w:t>
            </w:r>
            <w:proofErr w:type="spellEnd"/>
            <w:r>
              <w:rPr>
                <w:i/>
                <w:sz w:val="24"/>
                <w:szCs w:val="24"/>
              </w:rPr>
              <w:t>. Syst.</w:t>
            </w:r>
            <w:r>
              <w:rPr>
                <w:sz w:val="24"/>
                <w:szCs w:val="24"/>
              </w:rPr>
              <w:t>, vol. 48, pp. 19–27, 2015.</w:t>
            </w:r>
          </w:p>
        </w:tc>
      </w:tr>
      <w:tr w:rsidR="00B41AE2" w14:paraId="7CF7C75E" w14:textId="77777777">
        <w:trPr>
          <w:trHeight w:val="785"/>
        </w:trPr>
        <w:tc>
          <w:tcPr>
            <w:tcW w:w="770" w:type="dxa"/>
            <w:tcBorders>
              <w:top w:val="nil"/>
              <w:left w:val="nil"/>
              <w:bottom w:val="nil"/>
              <w:right w:val="nil"/>
            </w:tcBorders>
            <w:tcMar>
              <w:top w:w="100" w:type="dxa"/>
              <w:left w:w="100" w:type="dxa"/>
              <w:bottom w:w="100" w:type="dxa"/>
              <w:right w:w="100" w:type="dxa"/>
            </w:tcMar>
          </w:tcPr>
          <w:p w14:paraId="54960A59" w14:textId="77777777" w:rsidR="00B41AE2" w:rsidRDefault="00000000">
            <w:pPr>
              <w:shd w:val="clear" w:color="auto" w:fill="FFFFFF"/>
              <w:spacing w:before="200" w:after="120" w:line="240" w:lineRule="auto"/>
              <w:rPr>
                <w:sz w:val="24"/>
                <w:szCs w:val="24"/>
              </w:rPr>
            </w:pPr>
            <w:r>
              <w:rPr>
                <w:sz w:val="24"/>
                <w:szCs w:val="24"/>
              </w:rPr>
              <w:lastRenderedPageBreak/>
              <w:t>[11]</w:t>
            </w:r>
          </w:p>
        </w:tc>
        <w:tc>
          <w:tcPr>
            <w:tcW w:w="8510" w:type="dxa"/>
            <w:tcBorders>
              <w:top w:val="nil"/>
              <w:left w:val="nil"/>
              <w:bottom w:val="nil"/>
              <w:right w:val="nil"/>
            </w:tcBorders>
            <w:tcMar>
              <w:top w:w="100" w:type="dxa"/>
              <w:left w:w="100" w:type="dxa"/>
              <w:bottom w:w="100" w:type="dxa"/>
              <w:right w:w="100" w:type="dxa"/>
            </w:tcMar>
          </w:tcPr>
          <w:p w14:paraId="1B17D94B" w14:textId="77777777" w:rsidR="00B41AE2" w:rsidRDefault="00000000">
            <w:pPr>
              <w:shd w:val="clear" w:color="auto" w:fill="FFFFFF"/>
              <w:spacing w:before="200" w:after="120" w:line="240" w:lineRule="auto"/>
              <w:rPr>
                <w:sz w:val="24"/>
                <w:szCs w:val="24"/>
              </w:rPr>
            </w:pPr>
            <w:r>
              <w:rPr>
                <w:i/>
                <w:sz w:val="24"/>
                <w:szCs w:val="24"/>
              </w:rPr>
              <w:t>Microsoft.com</w:t>
            </w:r>
            <w:r>
              <w:rPr>
                <w:sz w:val="24"/>
                <w:szCs w:val="24"/>
              </w:rPr>
              <w:t>. [Online]. Available: https://docs.microsoft.com/en-us/azure/active-directory/fundamentals/overview. [Accessed: 10-Jan-2024].</w:t>
            </w:r>
          </w:p>
        </w:tc>
      </w:tr>
      <w:tr w:rsidR="00B41AE2" w14:paraId="458684AD" w14:textId="77777777">
        <w:trPr>
          <w:trHeight w:val="1055"/>
        </w:trPr>
        <w:tc>
          <w:tcPr>
            <w:tcW w:w="770" w:type="dxa"/>
            <w:tcBorders>
              <w:top w:val="nil"/>
              <w:left w:val="nil"/>
              <w:bottom w:val="nil"/>
              <w:right w:val="nil"/>
            </w:tcBorders>
            <w:tcMar>
              <w:top w:w="100" w:type="dxa"/>
              <w:left w:w="100" w:type="dxa"/>
              <w:bottom w:w="100" w:type="dxa"/>
              <w:right w:w="100" w:type="dxa"/>
            </w:tcMar>
          </w:tcPr>
          <w:p w14:paraId="48A85909" w14:textId="77777777" w:rsidR="00B41AE2" w:rsidRDefault="00000000">
            <w:pPr>
              <w:shd w:val="clear" w:color="auto" w:fill="FFFFFF"/>
              <w:spacing w:before="200" w:after="120" w:line="240" w:lineRule="auto"/>
              <w:rPr>
                <w:sz w:val="24"/>
                <w:szCs w:val="24"/>
              </w:rPr>
            </w:pPr>
            <w:r>
              <w:rPr>
                <w:sz w:val="24"/>
                <w:szCs w:val="24"/>
              </w:rPr>
              <w:t>[12]</w:t>
            </w:r>
          </w:p>
        </w:tc>
        <w:tc>
          <w:tcPr>
            <w:tcW w:w="8510" w:type="dxa"/>
            <w:tcBorders>
              <w:top w:val="nil"/>
              <w:left w:val="nil"/>
              <w:bottom w:val="nil"/>
              <w:right w:val="nil"/>
            </w:tcBorders>
            <w:tcMar>
              <w:top w:w="100" w:type="dxa"/>
              <w:left w:w="100" w:type="dxa"/>
              <w:bottom w:w="100" w:type="dxa"/>
              <w:right w:w="100" w:type="dxa"/>
            </w:tcMar>
          </w:tcPr>
          <w:p w14:paraId="7D6C79B8" w14:textId="77777777" w:rsidR="00B41AE2" w:rsidRDefault="00000000">
            <w:pPr>
              <w:shd w:val="clear" w:color="auto" w:fill="FFFFFF"/>
              <w:spacing w:before="200" w:after="120" w:line="240" w:lineRule="auto"/>
              <w:rPr>
                <w:sz w:val="24"/>
                <w:szCs w:val="24"/>
              </w:rPr>
            </w:pPr>
            <w:r>
              <w:rPr>
                <w:sz w:val="24"/>
                <w:szCs w:val="24"/>
              </w:rPr>
              <w:t xml:space="preserve">J. Mulder, </w:t>
            </w:r>
            <w:r>
              <w:rPr>
                <w:i/>
                <w:sz w:val="24"/>
                <w:szCs w:val="24"/>
              </w:rPr>
              <w:t>Multi-Cloud Architecture and Governance: Leverage Azure, AWS, GCP, and VMware vSphere to build effective multi-cloud solutions</w:t>
            </w:r>
            <w:r>
              <w:rPr>
                <w:sz w:val="24"/>
                <w:szCs w:val="24"/>
              </w:rPr>
              <w:t xml:space="preserve">. Birmingham, England: </w:t>
            </w:r>
            <w:proofErr w:type="spellStart"/>
            <w:r>
              <w:rPr>
                <w:sz w:val="24"/>
                <w:szCs w:val="24"/>
              </w:rPr>
              <w:t>Packt</w:t>
            </w:r>
            <w:proofErr w:type="spellEnd"/>
            <w:r>
              <w:rPr>
                <w:sz w:val="24"/>
                <w:szCs w:val="24"/>
              </w:rPr>
              <w:t xml:space="preserve"> Publishing, 2020.</w:t>
            </w:r>
          </w:p>
        </w:tc>
      </w:tr>
      <w:tr w:rsidR="00B41AE2" w14:paraId="69912AB5" w14:textId="77777777">
        <w:trPr>
          <w:trHeight w:val="785"/>
        </w:trPr>
        <w:tc>
          <w:tcPr>
            <w:tcW w:w="770" w:type="dxa"/>
            <w:tcBorders>
              <w:top w:val="nil"/>
              <w:left w:val="nil"/>
              <w:bottom w:val="nil"/>
              <w:right w:val="nil"/>
            </w:tcBorders>
            <w:tcMar>
              <w:top w:w="100" w:type="dxa"/>
              <w:left w:w="100" w:type="dxa"/>
              <w:bottom w:w="100" w:type="dxa"/>
              <w:right w:w="100" w:type="dxa"/>
            </w:tcMar>
          </w:tcPr>
          <w:p w14:paraId="549CABDA" w14:textId="77777777" w:rsidR="00B41AE2" w:rsidRDefault="00000000">
            <w:pPr>
              <w:shd w:val="clear" w:color="auto" w:fill="FFFFFF"/>
              <w:spacing w:before="200" w:after="120" w:line="240" w:lineRule="auto"/>
              <w:rPr>
                <w:sz w:val="24"/>
                <w:szCs w:val="24"/>
              </w:rPr>
            </w:pPr>
            <w:r>
              <w:rPr>
                <w:sz w:val="24"/>
                <w:szCs w:val="24"/>
              </w:rPr>
              <w:t>[13]</w:t>
            </w:r>
          </w:p>
        </w:tc>
        <w:tc>
          <w:tcPr>
            <w:tcW w:w="8510" w:type="dxa"/>
            <w:tcBorders>
              <w:top w:val="nil"/>
              <w:left w:val="nil"/>
              <w:bottom w:val="nil"/>
              <w:right w:val="nil"/>
            </w:tcBorders>
            <w:tcMar>
              <w:top w:w="100" w:type="dxa"/>
              <w:left w:w="100" w:type="dxa"/>
              <w:bottom w:w="100" w:type="dxa"/>
              <w:right w:w="100" w:type="dxa"/>
            </w:tcMar>
          </w:tcPr>
          <w:p w14:paraId="19799D38" w14:textId="77777777" w:rsidR="00B41AE2" w:rsidRDefault="00000000">
            <w:pPr>
              <w:shd w:val="clear" w:color="auto" w:fill="FFFFFF"/>
              <w:spacing w:before="200" w:after="120" w:line="240" w:lineRule="auto"/>
              <w:rPr>
                <w:sz w:val="24"/>
                <w:szCs w:val="24"/>
              </w:rPr>
            </w:pPr>
            <w:r>
              <w:rPr>
                <w:i/>
                <w:sz w:val="24"/>
                <w:szCs w:val="24"/>
              </w:rPr>
              <w:t>Ssrn.com</w:t>
            </w:r>
            <w:r>
              <w:rPr>
                <w:sz w:val="24"/>
                <w:szCs w:val="24"/>
              </w:rPr>
              <w:t>. [Online]. Available: https://papers.ssrn.com/sol3/papers.cfm?abstract_id=3360869. [Accessed: 10-Jan-2024].</w:t>
            </w:r>
          </w:p>
        </w:tc>
      </w:tr>
      <w:tr w:rsidR="00B41AE2" w14:paraId="60164A77" w14:textId="77777777">
        <w:trPr>
          <w:trHeight w:val="1055"/>
        </w:trPr>
        <w:tc>
          <w:tcPr>
            <w:tcW w:w="770" w:type="dxa"/>
            <w:tcBorders>
              <w:top w:val="nil"/>
              <w:left w:val="nil"/>
              <w:bottom w:val="nil"/>
              <w:right w:val="nil"/>
            </w:tcBorders>
            <w:tcMar>
              <w:top w:w="100" w:type="dxa"/>
              <w:left w:w="100" w:type="dxa"/>
              <w:bottom w:w="100" w:type="dxa"/>
              <w:right w:w="100" w:type="dxa"/>
            </w:tcMar>
          </w:tcPr>
          <w:p w14:paraId="012058E5" w14:textId="77777777" w:rsidR="00B41AE2" w:rsidRDefault="00000000">
            <w:pPr>
              <w:shd w:val="clear" w:color="auto" w:fill="FFFFFF"/>
              <w:spacing w:before="200" w:after="120" w:line="240" w:lineRule="auto"/>
              <w:rPr>
                <w:sz w:val="24"/>
                <w:szCs w:val="24"/>
              </w:rPr>
            </w:pPr>
            <w:r>
              <w:rPr>
                <w:sz w:val="24"/>
                <w:szCs w:val="24"/>
              </w:rPr>
              <w:t>[14]</w:t>
            </w:r>
          </w:p>
        </w:tc>
        <w:tc>
          <w:tcPr>
            <w:tcW w:w="8510" w:type="dxa"/>
            <w:tcBorders>
              <w:top w:val="nil"/>
              <w:left w:val="nil"/>
              <w:bottom w:val="nil"/>
              <w:right w:val="nil"/>
            </w:tcBorders>
            <w:tcMar>
              <w:top w:w="100" w:type="dxa"/>
              <w:left w:w="100" w:type="dxa"/>
              <w:bottom w:w="100" w:type="dxa"/>
              <w:right w:w="100" w:type="dxa"/>
            </w:tcMar>
          </w:tcPr>
          <w:p w14:paraId="50FEF553" w14:textId="77777777" w:rsidR="00B41AE2" w:rsidRDefault="00000000">
            <w:pPr>
              <w:shd w:val="clear" w:color="auto" w:fill="FFFFFF"/>
              <w:spacing w:before="200" w:after="120" w:line="240" w:lineRule="auto"/>
              <w:rPr>
                <w:sz w:val="24"/>
                <w:szCs w:val="24"/>
              </w:rPr>
            </w:pPr>
            <w:r>
              <w:rPr>
                <w:sz w:val="24"/>
                <w:szCs w:val="24"/>
              </w:rPr>
              <w:t xml:space="preserve">P. Berke, J. Cooper, M. </w:t>
            </w:r>
            <w:proofErr w:type="spellStart"/>
            <w:r>
              <w:rPr>
                <w:sz w:val="24"/>
                <w:szCs w:val="24"/>
              </w:rPr>
              <w:t>Aminto</w:t>
            </w:r>
            <w:proofErr w:type="spellEnd"/>
            <w:r>
              <w:rPr>
                <w:sz w:val="24"/>
                <w:szCs w:val="24"/>
              </w:rPr>
              <w:t xml:space="preserve">, S. </w:t>
            </w:r>
            <w:proofErr w:type="spellStart"/>
            <w:r>
              <w:rPr>
                <w:sz w:val="24"/>
                <w:szCs w:val="24"/>
              </w:rPr>
              <w:t>Grabich</w:t>
            </w:r>
            <w:proofErr w:type="spellEnd"/>
            <w:r>
              <w:rPr>
                <w:sz w:val="24"/>
                <w:szCs w:val="24"/>
              </w:rPr>
              <w:t xml:space="preserve">, and J. Horney, “Adaptive planning for disaster recovery and resiliency: An evaluation of 87 local recovery plans in eight states,” </w:t>
            </w:r>
            <w:r>
              <w:rPr>
                <w:i/>
                <w:sz w:val="24"/>
                <w:szCs w:val="24"/>
              </w:rPr>
              <w:t xml:space="preserve">J. Am. </w:t>
            </w:r>
            <w:proofErr w:type="spellStart"/>
            <w:r>
              <w:rPr>
                <w:i/>
                <w:sz w:val="24"/>
                <w:szCs w:val="24"/>
              </w:rPr>
              <w:t>Plann</w:t>
            </w:r>
            <w:proofErr w:type="spellEnd"/>
            <w:r>
              <w:rPr>
                <w:i/>
                <w:sz w:val="24"/>
                <w:szCs w:val="24"/>
              </w:rPr>
              <w:t>. Assoc.</w:t>
            </w:r>
            <w:r>
              <w:rPr>
                <w:sz w:val="24"/>
                <w:szCs w:val="24"/>
              </w:rPr>
              <w:t>, vol. 80, no. 4, pp. 310–323, 2014.</w:t>
            </w:r>
          </w:p>
        </w:tc>
      </w:tr>
      <w:tr w:rsidR="00B41AE2" w14:paraId="298C3A6A" w14:textId="77777777">
        <w:trPr>
          <w:trHeight w:val="1055"/>
        </w:trPr>
        <w:tc>
          <w:tcPr>
            <w:tcW w:w="770" w:type="dxa"/>
            <w:tcBorders>
              <w:top w:val="nil"/>
              <w:left w:val="nil"/>
              <w:bottom w:val="nil"/>
              <w:right w:val="nil"/>
            </w:tcBorders>
            <w:tcMar>
              <w:top w:w="100" w:type="dxa"/>
              <w:left w:w="100" w:type="dxa"/>
              <w:bottom w:w="100" w:type="dxa"/>
              <w:right w:w="100" w:type="dxa"/>
            </w:tcMar>
          </w:tcPr>
          <w:p w14:paraId="5233B050" w14:textId="77777777" w:rsidR="00B41AE2" w:rsidRDefault="00000000">
            <w:pPr>
              <w:shd w:val="clear" w:color="auto" w:fill="FFFFFF"/>
              <w:spacing w:before="200" w:after="120" w:line="240" w:lineRule="auto"/>
              <w:rPr>
                <w:sz w:val="24"/>
                <w:szCs w:val="24"/>
              </w:rPr>
            </w:pPr>
            <w:r>
              <w:rPr>
                <w:sz w:val="24"/>
                <w:szCs w:val="24"/>
              </w:rPr>
              <w:t>[15]</w:t>
            </w:r>
          </w:p>
        </w:tc>
        <w:tc>
          <w:tcPr>
            <w:tcW w:w="8510" w:type="dxa"/>
            <w:tcBorders>
              <w:top w:val="nil"/>
              <w:left w:val="nil"/>
              <w:bottom w:val="nil"/>
              <w:right w:val="nil"/>
            </w:tcBorders>
            <w:tcMar>
              <w:top w:w="100" w:type="dxa"/>
              <w:left w:w="100" w:type="dxa"/>
              <w:bottom w:w="100" w:type="dxa"/>
              <w:right w:w="100" w:type="dxa"/>
            </w:tcMar>
          </w:tcPr>
          <w:p w14:paraId="23FFDB49" w14:textId="77777777" w:rsidR="00B41AE2" w:rsidRDefault="00000000">
            <w:pPr>
              <w:shd w:val="clear" w:color="auto" w:fill="FFFFFF"/>
              <w:spacing w:before="200" w:after="120" w:line="240" w:lineRule="auto"/>
              <w:rPr>
                <w:sz w:val="24"/>
                <w:szCs w:val="24"/>
              </w:rPr>
            </w:pPr>
            <w:r>
              <w:rPr>
                <w:i/>
                <w:sz w:val="24"/>
                <w:szCs w:val="24"/>
              </w:rPr>
              <w:t>Ieee.org</w:t>
            </w:r>
            <w:r>
              <w:rPr>
                <w:sz w:val="24"/>
                <w:szCs w:val="24"/>
              </w:rPr>
              <w:t>. [Online]. Available: https://ieeexplore.ieee.org/abstract/document/5742778. [Accessed: 10-Jan-2024].</w:t>
            </w:r>
          </w:p>
        </w:tc>
      </w:tr>
    </w:tbl>
    <w:p w14:paraId="03A9C582" w14:textId="77777777" w:rsidR="00B41AE2" w:rsidRDefault="00B41AE2">
      <w:pPr>
        <w:shd w:val="clear" w:color="auto" w:fill="FFFFFF"/>
        <w:spacing w:before="200" w:after="120" w:line="240" w:lineRule="auto"/>
        <w:rPr>
          <w:rFonts w:ascii="Calibri" w:eastAsia="Calibri" w:hAnsi="Calibri" w:cs="Calibri"/>
          <w:sz w:val="24"/>
          <w:szCs w:val="24"/>
        </w:rPr>
        <w:sectPr w:rsidR="00B41AE2" w:rsidSect="00E76092">
          <w:pgSz w:w="11906" w:h="16838"/>
          <w:pgMar w:top="425" w:right="317" w:bottom="958" w:left="317" w:header="720" w:footer="720" w:gutter="0"/>
          <w:cols w:space="720"/>
        </w:sectPr>
      </w:pPr>
    </w:p>
    <w:p w14:paraId="230ACD44" w14:textId="77777777" w:rsidR="00B41AE2" w:rsidRDefault="00000000">
      <w:pPr>
        <w:pStyle w:val="Heading1"/>
        <w:spacing w:before="200" w:after="200" w:line="240" w:lineRule="auto"/>
        <w:jc w:val="center"/>
        <w:rPr>
          <w:rFonts w:ascii="Times New Roman" w:eastAsia="Times New Roman" w:hAnsi="Times New Roman" w:cs="Times New Roman"/>
          <w:b/>
          <w:sz w:val="48"/>
          <w:szCs w:val="48"/>
        </w:rPr>
      </w:pPr>
      <w:bookmarkStart w:id="13" w:name="_2kvk8hn3tcb4" w:colFirst="0" w:colLast="0"/>
      <w:bookmarkEnd w:id="13"/>
      <w:r>
        <w:rPr>
          <w:rFonts w:ascii="Times New Roman" w:eastAsia="Times New Roman" w:hAnsi="Times New Roman" w:cs="Times New Roman"/>
          <w:b/>
          <w:sz w:val="48"/>
          <w:szCs w:val="48"/>
        </w:rPr>
        <w:lastRenderedPageBreak/>
        <w:t>X. Appendices</w:t>
      </w:r>
    </w:p>
    <w:p w14:paraId="707176A7" w14:textId="77777777" w:rsidR="00B41AE2" w:rsidRDefault="00000000">
      <w:pPr>
        <w:spacing w:before="200" w:after="200" w:line="240" w:lineRule="auto"/>
        <w:ind w:firstLine="720"/>
        <w:jc w:val="both"/>
      </w:pPr>
      <w:r>
        <w:rPr>
          <w:rFonts w:ascii="Times New Roman" w:eastAsia="Times New Roman" w:hAnsi="Times New Roman" w:cs="Times New Roman"/>
          <w:b/>
          <w:sz w:val="24"/>
          <w:szCs w:val="24"/>
          <w:highlight w:val="yellow"/>
        </w:rPr>
        <w:t>“Attach any additional supporting documents, such as Azure TCO reports or lab activity screenshots, referred to in the paper.”</w:t>
      </w:r>
    </w:p>
    <w:sectPr w:rsidR="00B41AE2">
      <w:pgSz w:w="11906" w:h="16838"/>
      <w:pgMar w:top="425" w:right="317" w:bottom="958" w:left="3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8DE37" w14:textId="77777777" w:rsidR="00E76092" w:rsidRDefault="00E76092">
      <w:pPr>
        <w:spacing w:line="240" w:lineRule="auto"/>
      </w:pPr>
      <w:r>
        <w:separator/>
      </w:r>
    </w:p>
  </w:endnote>
  <w:endnote w:type="continuationSeparator" w:id="0">
    <w:p w14:paraId="1F6AB9E4" w14:textId="77777777" w:rsidR="00E76092" w:rsidRDefault="00E760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9583B" w14:textId="77777777" w:rsidR="00E76092" w:rsidRDefault="00E76092">
      <w:pPr>
        <w:spacing w:line="240" w:lineRule="auto"/>
      </w:pPr>
      <w:r>
        <w:separator/>
      </w:r>
    </w:p>
  </w:footnote>
  <w:footnote w:type="continuationSeparator" w:id="0">
    <w:p w14:paraId="6E2216D2" w14:textId="77777777" w:rsidR="00E76092" w:rsidRDefault="00E760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6218E" w14:textId="77777777" w:rsidR="00B41AE2" w:rsidRDefault="00B41AE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400CC" w14:textId="77777777" w:rsidR="00B41AE2" w:rsidRDefault="00000000">
    <w:pPr>
      <w:spacing w:line="240" w:lineRule="auto"/>
      <w:jc w:val="right"/>
      <w:rPr>
        <w:rFonts w:ascii="Calibri" w:eastAsia="Calibri" w:hAnsi="Calibri" w:cs="Calibri"/>
        <w:b/>
        <w:sz w:val="36"/>
        <w:szCs w:val="36"/>
      </w:rPr>
    </w:pPr>
    <w:r>
      <w:rPr>
        <w:rFonts w:ascii="Calibri" w:eastAsia="Calibri" w:hAnsi="Calibri" w:cs="Calibri"/>
        <w:b/>
        <w:sz w:val="36"/>
        <w:szCs w:val="36"/>
      </w:rPr>
      <w:t>B.Sc. (Hons) Cloud Computing</w:t>
    </w:r>
    <w:r>
      <w:rPr>
        <w:noProof/>
      </w:rPr>
      <w:drawing>
        <wp:anchor distT="0" distB="0" distL="0" distR="0" simplePos="0" relativeHeight="251658240" behindDoc="1" locked="0" layoutInCell="1" hidden="0" allowOverlap="1" wp14:anchorId="145C6EAA" wp14:editId="390E2BC7">
          <wp:simplePos x="0" y="0"/>
          <wp:positionH relativeFrom="column">
            <wp:posOffset>0</wp:posOffset>
          </wp:positionH>
          <wp:positionV relativeFrom="paragraph">
            <wp:posOffset>0</wp:posOffset>
          </wp:positionV>
          <wp:extent cx="1952665" cy="852339"/>
          <wp:effectExtent l="0" t="0" r="0" b="0"/>
          <wp:wrapNone/>
          <wp:docPr id="18" name="image14.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4.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6FB237B9" wp14:editId="2310AA85">
          <wp:simplePos x="0" y="0"/>
          <wp:positionH relativeFrom="column">
            <wp:posOffset>-22484</wp:posOffset>
          </wp:positionH>
          <wp:positionV relativeFrom="paragraph">
            <wp:posOffset>-14989</wp:posOffset>
          </wp:positionV>
          <wp:extent cx="1952665" cy="852339"/>
          <wp:effectExtent l="0" t="0" r="0" b="0"/>
          <wp:wrapNone/>
          <wp:docPr id="4" name="image14.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4.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7A3F73F6" w14:textId="77777777" w:rsidR="00B41AE2"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ACCB6025</w:t>
    </w:r>
  </w:p>
  <w:p w14:paraId="6F50AD1C" w14:textId="77777777" w:rsidR="00B41AE2" w:rsidRDefault="00000000">
    <w:pPr>
      <w:spacing w:line="240" w:lineRule="auto"/>
      <w:jc w:val="right"/>
      <w:rPr>
        <w:rFonts w:ascii="Calibri" w:eastAsia="Calibri" w:hAnsi="Calibri" w:cs="Calibri"/>
        <w:b/>
        <w:sz w:val="24"/>
        <w:szCs w:val="24"/>
        <w:highlight w:val="yellow"/>
      </w:rPr>
    </w:pPr>
    <w:r>
      <w:rPr>
        <w:rFonts w:ascii="Calibri" w:eastAsia="Calibri" w:hAnsi="Calibri" w:cs="Calibri"/>
        <w:b/>
        <w:sz w:val="24"/>
        <w:szCs w:val="24"/>
      </w:rPr>
      <w:t>Assignment – 1,</w:t>
    </w:r>
    <w:r>
      <w:rPr>
        <w:rFonts w:ascii="Calibri" w:eastAsia="Calibri" w:hAnsi="Calibri" w:cs="Calibri"/>
        <w:b/>
        <w:sz w:val="24"/>
        <w:szCs w:val="24"/>
        <w:highlight w:val="yellow"/>
      </w:rPr>
      <w:t xml:space="preserve"> Cloud Computing Administration</w:t>
    </w:r>
  </w:p>
  <w:p w14:paraId="050DF80C" w14:textId="77777777" w:rsidR="00B41AE2"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14:paraId="03F194FE" w14:textId="3A187EE0" w:rsidR="00B41AE2"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Name: </w:t>
    </w:r>
    <w:r w:rsidR="00F56CB6">
      <w:rPr>
        <w:rFonts w:ascii="Calibri" w:eastAsia="Calibri" w:hAnsi="Calibri" w:cs="Calibri"/>
        <w:b/>
        <w:sz w:val="24"/>
        <w:szCs w:val="24"/>
      </w:rPr>
      <w:t>Mirela Stratulat</w:t>
    </w:r>
  </w:p>
  <w:p w14:paraId="65ED8354" w14:textId="4BCDBEC6" w:rsidR="00B41AE2" w:rsidRDefault="00000000">
    <w:pPr>
      <w:spacing w:line="240" w:lineRule="auto"/>
      <w:jc w:val="right"/>
    </w:pPr>
    <w:r>
      <w:rPr>
        <w:rFonts w:ascii="Calibri" w:eastAsia="Calibri" w:hAnsi="Calibri" w:cs="Calibri"/>
        <w:b/>
        <w:sz w:val="24"/>
        <w:szCs w:val="24"/>
      </w:rPr>
      <w:t xml:space="preserve">Student ID: </w:t>
    </w:r>
    <w:r w:rsidR="00F56CB6">
      <w:rPr>
        <w:rFonts w:ascii="Calibri" w:eastAsia="Calibri" w:hAnsi="Calibri" w:cs="Calibri"/>
        <w:b/>
        <w:sz w:val="24"/>
        <w:szCs w:val="24"/>
      </w:rPr>
      <w:t>2112181</w:t>
    </w:r>
  </w:p>
  <w:p w14:paraId="63D40A0D" w14:textId="77777777" w:rsidR="00B41AE2" w:rsidRDefault="00B41AE2"/>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3B5B1" w14:textId="77777777" w:rsidR="00B41AE2" w:rsidRDefault="00B41AE2"/>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63461" w14:textId="77777777" w:rsidR="00B41AE2" w:rsidRDefault="00B41AE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20A29"/>
    <w:multiLevelType w:val="multilevel"/>
    <w:tmpl w:val="D5687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5004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1AE2"/>
    <w:rsid w:val="00053467"/>
    <w:rsid w:val="009517D9"/>
    <w:rsid w:val="00B41AE2"/>
    <w:rsid w:val="00E76092"/>
    <w:rsid w:val="00F56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36EC7"/>
  <w15:docId w15:val="{C736E4F6-E95E-A64A-95F9-D490AD621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343541"/>
    </w:tc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F56CB6"/>
    <w:pPr>
      <w:tabs>
        <w:tab w:val="center" w:pos="4513"/>
        <w:tab w:val="right" w:pos="9026"/>
      </w:tabs>
      <w:spacing w:line="240" w:lineRule="auto"/>
    </w:pPr>
  </w:style>
  <w:style w:type="character" w:customStyle="1" w:styleId="FooterChar">
    <w:name w:val="Footer Char"/>
    <w:basedOn w:val="DefaultParagraphFont"/>
    <w:link w:val="Footer"/>
    <w:uiPriority w:val="99"/>
    <w:rsid w:val="00F56CB6"/>
  </w:style>
  <w:style w:type="paragraph" w:styleId="Caption">
    <w:name w:val="caption"/>
    <w:basedOn w:val="Normal"/>
    <w:next w:val="Normal"/>
    <w:uiPriority w:val="35"/>
    <w:unhideWhenUsed/>
    <w:qFormat/>
    <w:rsid w:val="00F56CB6"/>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header" Target="header4.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webSettings" Target="webSettings.xml"/><Relationship Id="rId9" Type="http://schemas.openxmlformats.org/officeDocument/2006/relationships/header" Target="header3.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header" Target="header2.xml"/><Relationship Id="rId3" Type="http://schemas.openxmlformats.org/officeDocument/2006/relationships/settings" Target="settings.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4303</Words>
  <Characters>24529</Characters>
  <Application>Microsoft Office Word</Application>
  <DocSecurity>0</DocSecurity>
  <Lines>204</Lines>
  <Paragraphs>57</Paragraphs>
  <ScaleCrop>false</ScaleCrop>
  <Company/>
  <LinksUpToDate>false</LinksUpToDate>
  <CharactersWithSpaces>28775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Marin-Silviu Buse</dc:creator>
  <cp:lastModifiedBy>Mirela Stratulat (2112181)</cp:lastModifiedBy>
  <cp:revision>2</cp:revision>
  <dcterms:created xsi:type="dcterms:W3CDTF">2024-03-25T12:48:00Z</dcterms:created>
  <dcterms:modified xsi:type="dcterms:W3CDTF">2024-03-25T12:48:00Z</dcterms:modified>
</cp:coreProperties>
</file>