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000000" w:themeColor="text1"/>
          <w14:textFill>
            <w14:solidFill>
              <w14:schemeClr w14:val="tx1"/>
            </w14:solidFill>
          </w14:textFill>
        </w:rPr>
      </w:pPr>
    </w:p>
    <w:p>
      <w:pPr>
        <w:ind w:firstLine="1440" w:firstLineChars="600"/>
        <w:rPr>
          <w:rFonts w:hint="default"/>
          <w:color w:val="000000" w:themeColor="text1"/>
          <w:lang w:val="en-US"/>
          <w14:textFill>
            <w14:solidFill>
              <w14:schemeClr w14:val="tx1"/>
            </w14:solidFill>
          </w14:textFill>
        </w:rPr>
      </w:pPr>
      <w:r>
        <w:rPr>
          <w:rFonts w:hint="default"/>
          <w:color w:val="000000" w:themeColor="text1"/>
          <w:lang w:val="en-US"/>
          <w14:textFill>
            <w14:solidFill>
              <w14:schemeClr w14:val="tx1"/>
            </w14:solidFill>
          </w14:textFill>
        </w:rPr>
        <w:t xml:space="preserve"> MBA - Master of  Internal Business Administration Level 7</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ind w:firstLine="240" w:firstLineChars="100"/>
        <w:rPr>
          <w:rFonts w:hint="default"/>
          <w:color w:val="000000" w:themeColor="text1"/>
          <w:lang w:val="en-US"/>
          <w14:textFill>
            <w14:solidFill>
              <w14:schemeClr w14:val="tx1"/>
            </w14:solidFill>
          </w14:textFill>
        </w:rPr>
      </w:pPr>
      <w:r>
        <w:rPr>
          <w:rFonts w:hint="default"/>
          <w:color w:val="000000" w:themeColor="text1"/>
          <w:lang w:val="en-US"/>
          <w14:textFill>
            <w14:solidFill>
              <w14:schemeClr w14:val="tx1"/>
            </w14:solidFill>
          </w14:textFill>
        </w:rPr>
        <w:t xml:space="preserve"> Module Name : Financial Management </w:t>
      </w:r>
    </w:p>
    <w:p>
      <w:pPr>
        <w:ind w:firstLine="360" w:firstLineChars="150"/>
        <w:rPr>
          <w:rFonts w:hint="default"/>
          <w:color w:val="000000" w:themeColor="text1"/>
          <w:lang w:val="en-US"/>
          <w14:textFill>
            <w14:solidFill>
              <w14:schemeClr w14:val="tx1"/>
            </w14:solidFill>
          </w14:textFill>
        </w:rPr>
      </w:pPr>
      <w:r>
        <w:rPr>
          <w:rFonts w:hint="default"/>
          <w:color w:val="000000" w:themeColor="text1"/>
          <w:lang w:val="en-US"/>
          <w14:textFill>
            <w14:solidFill>
              <w14:schemeClr w14:val="tx1"/>
            </w14:solidFill>
          </w14:textFill>
        </w:rPr>
        <w:t>Module  code : LCMB7002</w:t>
      </w:r>
    </w:p>
    <w:p>
      <w:pPr>
        <w:ind w:firstLine="360" w:firstLineChars="150"/>
        <w:rPr>
          <w:rFonts w:hint="default"/>
          <w:color w:val="000000" w:themeColor="text1"/>
          <w:lang w:val="en-US"/>
          <w14:textFill>
            <w14:solidFill>
              <w14:schemeClr w14:val="tx1"/>
            </w14:solidFill>
          </w14:textFill>
        </w:rPr>
      </w:pPr>
      <w:r>
        <w:rPr>
          <w:rFonts w:hint="default"/>
          <w:color w:val="000000" w:themeColor="text1"/>
          <w:lang w:val="en-US"/>
          <w14:textFill>
            <w14:solidFill>
              <w14:schemeClr w14:val="tx1"/>
            </w14:solidFill>
          </w14:textFill>
        </w:rPr>
        <w:t xml:space="preserve">Assignment Title : Financial Management </w:t>
      </w:r>
    </w:p>
    <w:p>
      <w:pPr>
        <w:ind w:firstLine="360" w:firstLineChars="150"/>
        <w:rPr>
          <w:rFonts w:hint="default"/>
          <w:color w:val="000000" w:themeColor="text1"/>
          <w:lang w:val="en-US"/>
          <w14:textFill>
            <w14:solidFill>
              <w14:schemeClr w14:val="tx1"/>
            </w14:solidFill>
          </w14:textFill>
        </w:rPr>
      </w:pPr>
      <w:r>
        <w:rPr>
          <w:rFonts w:hint="default"/>
          <w:color w:val="000000" w:themeColor="text1"/>
          <w:lang w:val="en-US"/>
          <w14:textFill>
            <w14:solidFill>
              <w14:schemeClr w14:val="tx1"/>
            </w14:solidFill>
          </w14:textFill>
        </w:rPr>
        <w:t xml:space="preserve">Lecturer Name : David Coker </w:t>
      </w:r>
    </w:p>
    <w:p>
      <w:pPr>
        <w:ind w:firstLine="360" w:firstLineChars="150"/>
        <w:rPr>
          <w:rFonts w:hint="default"/>
          <w:color w:val="000000" w:themeColor="text1"/>
          <w:lang w:val="en-US"/>
          <w14:textFill>
            <w14:solidFill>
              <w14:schemeClr w14:val="tx1"/>
            </w14:solidFill>
          </w14:textFill>
        </w:rPr>
      </w:pPr>
      <w:r>
        <w:rPr>
          <w:rFonts w:hint="default"/>
          <w:color w:val="000000" w:themeColor="text1"/>
          <w:lang w:val="en-US"/>
          <w14:textFill>
            <w14:solidFill>
              <w14:schemeClr w14:val="tx1"/>
            </w14:solidFill>
          </w14:textFill>
        </w:rPr>
        <w:t xml:space="preserve">Student Name : Iosif Tcaciu </w:t>
      </w:r>
    </w:p>
    <w:p>
      <w:pPr>
        <w:ind w:firstLine="360" w:firstLineChars="150"/>
        <w:rPr>
          <w:rFonts w:hint="default"/>
          <w:color w:val="000000" w:themeColor="text1"/>
          <w:lang w:val="en-US"/>
          <w14:textFill>
            <w14:solidFill>
              <w14:schemeClr w14:val="tx1"/>
            </w14:solidFill>
          </w14:textFill>
        </w:rPr>
      </w:pPr>
      <w:r>
        <w:rPr>
          <w:rFonts w:hint="default"/>
          <w:color w:val="000000" w:themeColor="text1"/>
          <w:lang w:val="en-US"/>
          <w14:textFill>
            <w14:solidFill>
              <w14:schemeClr w14:val="tx1"/>
            </w14:solidFill>
          </w14:textFill>
        </w:rPr>
        <w:t xml:space="preserve">Student ID : 2022775 </w:t>
      </w:r>
    </w:p>
    <w:p>
      <w:pPr>
        <w:ind w:firstLine="120" w:firstLineChars="50"/>
        <w:rPr>
          <w:rFonts w:hint="default"/>
          <w:color w:val="000000" w:themeColor="text1"/>
          <w:lang w:val="en-US"/>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jc w:val="center"/>
        <w:rPr>
          <w:b/>
          <w:bCs/>
          <w:color w:val="000000" w:themeColor="text1"/>
          <w:sz w:val="28"/>
          <w:szCs w:val="24"/>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dt>
      <w:sdtPr>
        <w:rPr>
          <w:rFonts w:ascii="Times New Roman" w:hAnsi="Times New Roman" w:eastAsiaTheme="minorHAnsi" w:cstheme="minorBidi"/>
          <w:color w:val="000000" w:themeColor="text1"/>
          <w:kern w:val="2"/>
          <w:sz w:val="24"/>
          <w:szCs w:val="22"/>
          <w14:textFill>
            <w14:solidFill>
              <w14:schemeClr w14:val="tx1"/>
            </w14:solidFill>
          </w14:textFill>
          <w14:ligatures w14:val="standardContextual"/>
        </w:rPr>
        <w:id w:val="-1507196035"/>
        <w:docPartObj>
          <w:docPartGallery w:val="Table of Contents"/>
          <w:docPartUnique/>
        </w:docPartObj>
      </w:sdtPr>
      <w:sdtEndPr>
        <w:rPr>
          <w:rFonts w:ascii="Times New Roman" w:hAnsi="Times New Roman" w:eastAsiaTheme="minorHAnsi" w:cstheme="minorBidi"/>
          <w:b/>
          <w:bCs/>
          <w:color w:val="000000" w:themeColor="text1"/>
          <w:kern w:val="2"/>
          <w:sz w:val="24"/>
          <w:szCs w:val="22"/>
          <w14:textFill>
            <w14:solidFill>
              <w14:schemeClr w14:val="tx1"/>
            </w14:solidFill>
          </w14:textFill>
          <w14:ligatures w14:val="standardContextual"/>
        </w:rPr>
      </w:sdtEndPr>
      <w:sdtContent>
        <w:p>
          <w:pPr>
            <w:pStyle w:val="18"/>
            <w:jc w:val="cente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TABLE OF CONTENTS</w:t>
          </w:r>
        </w:p>
        <w:p>
          <w:pPr>
            <w:pStyle w:val="11"/>
            <w:tabs>
              <w:tab w:val="right" w:leader="dot" w:pos="9350"/>
            </w:tabs>
            <w:rPr>
              <w:rFonts w:asciiTheme="minorHAnsi" w:hAnsiTheme="minorHAnsi" w:eastAsiaTheme="minorEastAsia"/>
              <w:color w:val="000000" w:themeColor="text1"/>
              <w:sz w:val="22"/>
              <w:szCs w:val="28"/>
              <w:lang w:bidi="bn-BD"/>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"_Toc159960158" </w:instrText>
          </w:r>
          <w:r>
            <w:fldChar w:fldCharType="separate"/>
          </w:r>
          <w:r>
            <w:rPr>
              <w:rStyle w:val="9"/>
              <w:color w:val="000000" w:themeColor="text1"/>
              <w14:textFill>
                <w14:solidFill>
                  <w14:schemeClr w14:val="tx1"/>
                </w14:solidFill>
              </w14:textFill>
            </w:rPr>
            <w:t>Introduction</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_Toc159960158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1"/>
            <w:tabs>
              <w:tab w:val="right" w:leader="dot" w:pos="9350"/>
            </w:tabs>
            <w:rPr>
              <w:rFonts w:asciiTheme="minorHAnsi" w:hAnsiTheme="minorHAnsi" w:eastAsiaTheme="minorEastAsia"/>
              <w:color w:val="000000" w:themeColor="text1"/>
              <w:sz w:val="22"/>
              <w:szCs w:val="28"/>
              <w:lang w:bidi="bn-BD"/>
              <w14:textFill>
                <w14:solidFill>
                  <w14:schemeClr w14:val="tx1"/>
                </w14:solidFill>
              </w14:textFill>
            </w:rPr>
          </w:pPr>
          <w:r>
            <w:fldChar w:fldCharType="begin"/>
          </w:r>
          <w:r>
            <w:instrText xml:space="preserve"> HYPERLINK \l "_Toc159960159" </w:instrText>
          </w:r>
          <w:r>
            <w:fldChar w:fldCharType="separate"/>
          </w:r>
          <w:r>
            <w:rPr>
              <w:rStyle w:val="9"/>
              <w:color w:val="000000" w:themeColor="text1"/>
              <w14:textFill>
                <w14:solidFill>
                  <w14:schemeClr w14:val="tx1"/>
                </w14:solidFill>
              </w14:textFill>
            </w:rPr>
            <w:t>Part a</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_Toc159960159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1"/>
            <w:tabs>
              <w:tab w:val="right" w:leader="dot" w:pos="9350"/>
            </w:tabs>
            <w:rPr>
              <w:rFonts w:asciiTheme="minorHAnsi" w:hAnsiTheme="minorHAnsi" w:eastAsiaTheme="minorEastAsia"/>
              <w:color w:val="000000" w:themeColor="text1"/>
              <w:sz w:val="22"/>
              <w:szCs w:val="28"/>
              <w:lang w:bidi="bn-BD"/>
              <w14:textFill>
                <w14:solidFill>
                  <w14:schemeClr w14:val="tx1"/>
                </w14:solidFill>
              </w14:textFill>
            </w:rPr>
          </w:pPr>
          <w:r>
            <w:fldChar w:fldCharType="begin"/>
          </w:r>
          <w:r>
            <w:instrText xml:space="preserve"> HYPERLINK \l "_Toc159960160" </w:instrText>
          </w:r>
          <w:r>
            <w:fldChar w:fldCharType="separate"/>
          </w:r>
          <w:r>
            <w:rPr>
              <w:rStyle w:val="9"/>
              <w:color w:val="000000" w:themeColor="text1"/>
              <w14:textFill>
                <w14:solidFill>
                  <w14:schemeClr w14:val="tx1"/>
                </w14:solidFill>
              </w14:textFill>
            </w:rPr>
            <w:t>Brief History of AAC and Major Events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_Toc159960160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2"/>
            <w:tabs>
              <w:tab w:val="right" w:leader="dot" w:pos="9350"/>
            </w:tabs>
            <w:rPr>
              <w:rFonts w:asciiTheme="minorHAnsi" w:hAnsiTheme="minorHAnsi" w:eastAsiaTheme="minorEastAsia"/>
              <w:color w:val="000000" w:themeColor="text1"/>
              <w:sz w:val="22"/>
              <w:szCs w:val="28"/>
              <w:lang w:bidi="bn-BD"/>
              <w14:textFill>
                <w14:solidFill>
                  <w14:schemeClr w14:val="tx1"/>
                </w14:solidFill>
              </w14:textFill>
            </w:rPr>
          </w:pPr>
          <w:r>
            <w:fldChar w:fldCharType="begin"/>
          </w:r>
          <w:r>
            <w:instrText xml:space="preserve"> HYPERLINK \l "_Toc159960161" </w:instrText>
          </w:r>
          <w:r>
            <w:fldChar w:fldCharType="separate"/>
          </w:r>
          <w:r>
            <w:rPr>
              <w:rStyle w:val="9"/>
              <w:color w:val="000000" w:themeColor="text1"/>
              <w14:textFill>
                <w14:solidFill>
                  <w14:schemeClr w14:val="tx1"/>
                </w14:solidFill>
              </w14:textFill>
            </w:rPr>
            <w:t>Review major events over the past five years.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_Toc159960161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1"/>
            <w:tabs>
              <w:tab w:val="right" w:leader="dot" w:pos="9350"/>
            </w:tabs>
            <w:rPr>
              <w:rFonts w:asciiTheme="minorHAnsi" w:hAnsiTheme="minorHAnsi" w:eastAsiaTheme="minorEastAsia"/>
              <w:color w:val="000000" w:themeColor="text1"/>
              <w:sz w:val="22"/>
              <w:szCs w:val="28"/>
              <w:lang w:bidi="bn-BD"/>
              <w14:textFill>
                <w14:solidFill>
                  <w14:schemeClr w14:val="tx1"/>
                </w14:solidFill>
              </w14:textFill>
            </w:rPr>
          </w:pPr>
          <w:r>
            <w:fldChar w:fldCharType="begin"/>
          </w:r>
          <w:r>
            <w:instrText xml:space="preserve"> HYPERLINK \l "_Toc159960162" </w:instrText>
          </w:r>
          <w:r>
            <w:fldChar w:fldCharType="separate"/>
          </w:r>
          <w:r>
            <w:rPr>
              <w:rStyle w:val="9"/>
              <w:color w:val="000000" w:themeColor="text1"/>
              <w14:textFill>
                <w14:solidFill>
                  <w14:schemeClr w14:val="tx1"/>
                </w14:solidFill>
              </w14:textFill>
            </w:rPr>
            <w:t>Part b</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_Toc159960162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1"/>
            <w:tabs>
              <w:tab w:val="right" w:leader="dot" w:pos="9350"/>
            </w:tabs>
            <w:rPr>
              <w:rFonts w:asciiTheme="minorHAnsi" w:hAnsiTheme="minorHAnsi" w:eastAsiaTheme="minorEastAsia"/>
              <w:color w:val="000000" w:themeColor="text1"/>
              <w:sz w:val="22"/>
              <w:szCs w:val="28"/>
              <w:lang w:bidi="bn-BD"/>
              <w14:textFill>
                <w14:solidFill>
                  <w14:schemeClr w14:val="tx1"/>
                </w14:solidFill>
              </w14:textFill>
            </w:rPr>
          </w:pPr>
          <w:r>
            <w:fldChar w:fldCharType="begin"/>
          </w:r>
          <w:r>
            <w:instrText xml:space="preserve"> HYPERLINK \l "_Toc159960163" </w:instrText>
          </w:r>
          <w:r>
            <w:fldChar w:fldCharType="separate"/>
          </w:r>
          <w:r>
            <w:rPr>
              <w:rStyle w:val="9"/>
              <w:color w:val="000000" w:themeColor="text1"/>
              <w14:textFill>
                <w14:solidFill>
                  <w14:schemeClr w14:val="tx1"/>
                </w14:solidFill>
              </w14:textFill>
            </w:rPr>
            <w:t>Critical Review of the Company’s Financial Performances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_Toc159960163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2"/>
            <w:tabs>
              <w:tab w:val="right" w:leader="dot" w:pos="9350"/>
            </w:tabs>
            <w:rPr>
              <w:rFonts w:asciiTheme="minorHAnsi" w:hAnsiTheme="minorHAnsi" w:eastAsiaTheme="minorEastAsia"/>
              <w:color w:val="000000" w:themeColor="text1"/>
              <w:sz w:val="22"/>
              <w:szCs w:val="28"/>
              <w:lang w:bidi="bn-BD"/>
              <w14:textFill>
                <w14:solidFill>
                  <w14:schemeClr w14:val="tx1"/>
                </w14:solidFill>
              </w14:textFill>
            </w:rPr>
          </w:pPr>
          <w:r>
            <w:fldChar w:fldCharType="begin"/>
          </w:r>
          <w:r>
            <w:instrText xml:space="preserve"> HYPERLINK \l "_Toc159960164" </w:instrText>
          </w:r>
          <w:r>
            <w:fldChar w:fldCharType="separate"/>
          </w:r>
          <w:r>
            <w:rPr>
              <w:rStyle w:val="9"/>
              <w:color w:val="000000" w:themeColor="text1"/>
              <w14:textFill>
                <w14:solidFill>
                  <w14:schemeClr w14:val="tx1"/>
                </w14:solidFill>
              </w14:textFill>
            </w:rPr>
            <w:t>Return on Equity</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_Toc159960164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2"/>
            <w:tabs>
              <w:tab w:val="right" w:leader="dot" w:pos="9350"/>
            </w:tabs>
            <w:rPr>
              <w:rFonts w:asciiTheme="minorHAnsi" w:hAnsiTheme="minorHAnsi" w:eastAsiaTheme="minorEastAsia"/>
              <w:color w:val="000000" w:themeColor="text1"/>
              <w:sz w:val="22"/>
              <w:szCs w:val="28"/>
              <w:lang w:bidi="bn-BD"/>
              <w14:textFill>
                <w14:solidFill>
                  <w14:schemeClr w14:val="tx1"/>
                </w14:solidFill>
              </w14:textFill>
            </w:rPr>
          </w:pPr>
          <w:r>
            <w:fldChar w:fldCharType="begin"/>
          </w:r>
          <w:r>
            <w:instrText xml:space="preserve"> HYPERLINK \l "_Toc159960165" </w:instrText>
          </w:r>
          <w:r>
            <w:fldChar w:fldCharType="separate"/>
          </w:r>
          <w:r>
            <w:rPr>
              <w:rStyle w:val="9"/>
              <w:color w:val="000000" w:themeColor="text1"/>
              <w14:textFill>
                <w14:solidFill>
                  <w14:schemeClr w14:val="tx1"/>
                </w14:solidFill>
              </w14:textFill>
            </w:rPr>
            <w:t>Current Ratio</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_Toc159960165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2"/>
            <w:tabs>
              <w:tab w:val="right" w:leader="dot" w:pos="9350"/>
            </w:tabs>
            <w:rPr>
              <w:rFonts w:asciiTheme="minorHAnsi" w:hAnsiTheme="minorHAnsi" w:eastAsiaTheme="minorEastAsia"/>
              <w:color w:val="000000" w:themeColor="text1"/>
              <w:sz w:val="22"/>
              <w:szCs w:val="28"/>
              <w:lang w:bidi="bn-BD"/>
              <w14:textFill>
                <w14:solidFill>
                  <w14:schemeClr w14:val="tx1"/>
                </w14:solidFill>
              </w14:textFill>
            </w:rPr>
          </w:pPr>
          <w:r>
            <w:fldChar w:fldCharType="begin"/>
          </w:r>
          <w:r>
            <w:instrText xml:space="preserve"> HYPERLINK \l "_Toc159960166" </w:instrText>
          </w:r>
          <w:r>
            <w:fldChar w:fldCharType="separate"/>
          </w:r>
          <w:r>
            <w:rPr>
              <w:rStyle w:val="9"/>
              <w:color w:val="000000" w:themeColor="text1"/>
              <w14:textFill>
                <w14:solidFill>
                  <w14:schemeClr w14:val="tx1"/>
                </w14:solidFill>
              </w14:textFill>
            </w:rPr>
            <w:t>Debt to Equity Ratio</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_Toc159960166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2"/>
            <w:tabs>
              <w:tab w:val="right" w:leader="dot" w:pos="9350"/>
            </w:tabs>
            <w:rPr>
              <w:rFonts w:asciiTheme="minorHAnsi" w:hAnsiTheme="minorHAnsi" w:eastAsiaTheme="minorEastAsia"/>
              <w:color w:val="000000" w:themeColor="text1"/>
              <w:sz w:val="22"/>
              <w:szCs w:val="28"/>
              <w:lang w:bidi="bn-BD"/>
              <w14:textFill>
                <w14:solidFill>
                  <w14:schemeClr w14:val="tx1"/>
                </w14:solidFill>
              </w14:textFill>
            </w:rPr>
          </w:pPr>
          <w:r>
            <w:fldChar w:fldCharType="begin"/>
          </w:r>
          <w:r>
            <w:instrText xml:space="preserve"> HYPERLINK \l "_Toc159960167" </w:instrText>
          </w:r>
          <w:r>
            <w:fldChar w:fldCharType="separate"/>
          </w:r>
          <w:r>
            <w:rPr>
              <w:rStyle w:val="9"/>
              <w:color w:val="000000" w:themeColor="text1"/>
              <w14:textFill>
                <w14:solidFill>
                  <w14:schemeClr w14:val="tx1"/>
                </w14:solidFill>
              </w14:textFill>
            </w:rPr>
            <w:t>Asset Turnover Ratio</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_Toc159960167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1"/>
            <w:tabs>
              <w:tab w:val="right" w:leader="dot" w:pos="9350"/>
            </w:tabs>
            <w:rPr>
              <w:rFonts w:asciiTheme="minorHAnsi" w:hAnsiTheme="minorHAnsi" w:eastAsiaTheme="minorEastAsia"/>
              <w:color w:val="000000" w:themeColor="text1"/>
              <w:sz w:val="22"/>
              <w:szCs w:val="28"/>
              <w:lang w:bidi="bn-BD"/>
              <w14:textFill>
                <w14:solidFill>
                  <w14:schemeClr w14:val="tx1"/>
                </w14:solidFill>
              </w14:textFill>
            </w:rPr>
          </w:pPr>
          <w:r>
            <w:fldChar w:fldCharType="begin"/>
          </w:r>
          <w:r>
            <w:instrText xml:space="preserve"> HYPERLINK \l "_Toc159960168" </w:instrText>
          </w:r>
          <w:r>
            <w:fldChar w:fldCharType="separate"/>
          </w:r>
          <w:r>
            <w:rPr>
              <w:rStyle w:val="9"/>
              <w:color w:val="000000" w:themeColor="text1"/>
              <w14:textFill>
                <w14:solidFill>
                  <w14:schemeClr w14:val="tx1"/>
                </w14:solidFill>
              </w14:textFill>
            </w:rPr>
            <w:t>Part c</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_Toc159960168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1"/>
            <w:tabs>
              <w:tab w:val="right" w:leader="dot" w:pos="9350"/>
            </w:tabs>
            <w:rPr>
              <w:rFonts w:asciiTheme="minorHAnsi" w:hAnsiTheme="minorHAnsi" w:eastAsiaTheme="minorEastAsia"/>
              <w:color w:val="000000" w:themeColor="text1"/>
              <w:sz w:val="22"/>
              <w:szCs w:val="28"/>
              <w:lang w:bidi="bn-BD"/>
              <w14:textFill>
                <w14:solidFill>
                  <w14:schemeClr w14:val="tx1"/>
                </w14:solidFill>
              </w14:textFill>
            </w:rPr>
          </w:pPr>
          <w:r>
            <w:fldChar w:fldCharType="begin"/>
          </w:r>
          <w:r>
            <w:instrText xml:space="preserve"> HYPERLINK \l "_Toc159960169" </w:instrText>
          </w:r>
          <w:r>
            <w:fldChar w:fldCharType="separate"/>
          </w:r>
          <w:r>
            <w:rPr>
              <w:rStyle w:val="9"/>
              <w:color w:val="000000" w:themeColor="text1"/>
              <w14:textFill>
                <w14:solidFill>
                  <w14:schemeClr w14:val="tx1"/>
                </w14:solidFill>
              </w14:textFill>
            </w:rPr>
            <w:t>Project Investment Calculations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_Toc159960169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2"/>
            <w:tabs>
              <w:tab w:val="right" w:leader="dot" w:pos="9350"/>
            </w:tabs>
            <w:rPr>
              <w:rFonts w:asciiTheme="minorHAnsi" w:hAnsiTheme="minorHAnsi" w:eastAsiaTheme="minorEastAsia"/>
              <w:color w:val="000000" w:themeColor="text1"/>
              <w:sz w:val="22"/>
              <w:szCs w:val="28"/>
              <w:lang w:bidi="bn-BD"/>
              <w14:textFill>
                <w14:solidFill>
                  <w14:schemeClr w14:val="tx1"/>
                </w14:solidFill>
              </w14:textFill>
            </w:rPr>
          </w:pPr>
          <w:r>
            <w:fldChar w:fldCharType="begin"/>
          </w:r>
          <w:r>
            <w:instrText xml:space="preserve"> HYPERLINK \l "_Toc159960170" </w:instrText>
          </w:r>
          <w:r>
            <w:fldChar w:fldCharType="separate"/>
          </w:r>
          <w:r>
            <w:rPr>
              <w:rStyle w:val="9"/>
              <w:color w:val="000000" w:themeColor="text1"/>
              <w14:textFill>
                <w14:solidFill>
                  <w14:schemeClr w14:val="tx1"/>
                </w14:solidFill>
              </w14:textFill>
            </w:rPr>
            <w:t>Calculation of Ratios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_Toc159960170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2"/>
            <w:tabs>
              <w:tab w:val="right" w:leader="dot" w:pos="9350"/>
            </w:tabs>
            <w:rPr>
              <w:rFonts w:asciiTheme="minorHAnsi" w:hAnsiTheme="minorHAnsi" w:eastAsiaTheme="minorEastAsia"/>
              <w:color w:val="000000" w:themeColor="text1"/>
              <w:sz w:val="22"/>
              <w:szCs w:val="28"/>
              <w:lang w:bidi="bn-BD"/>
              <w14:textFill>
                <w14:solidFill>
                  <w14:schemeClr w14:val="tx1"/>
                </w14:solidFill>
              </w14:textFill>
            </w:rPr>
          </w:pPr>
          <w:r>
            <w:fldChar w:fldCharType="begin"/>
          </w:r>
          <w:r>
            <w:instrText xml:space="preserve"> HYPERLINK \l "_Toc159960171" </w:instrText>
          </w:r>
          <w:r>
            <w:fldChar w:fldCharType="separate"/>
          </w:r>
          <w:r>
            <w:rPr>
              <w:rStyle w:val="9"/>
              <w:color w:val="000000" w:themeColor="text1"/>
              <w14:textFill>
                <w14:solidFill>
                  <w14:schemeClr w14:val="tx1"/>
                </w14:solidFill>
              </w14:textFill>
            </w:rPr>
            <w:t>Advantages and Disadvantages of Ratios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_Toc159960171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2"/>
            <w:tabs>
              <w:tab w:val="right" w:leader="dot" w:pos="9350"/>
            </w:tabs>
            <w:rPr>
              <w:rFonts w:asciiTheme="minorHAnsi" w:hAnsiTheme="minorHAnsi" w:eastAsiaTheme="minorEastAsia"/>
              <w:color w:val="000000" w:themeColor="text1"/>
              <w:sz w:val="22"/>
              <w:szCs w:val="28"/>
              <w:lang w:bidi="bn-BD"/>
              <w14:textFill>
                <w14:solidFill>
                  <w14:schemeClr w14:val="tx1"/>
                </w14:solidFill>
              </w14:textFill>
            </w:rPr>
          </w:pPr>
          <w:r>
            <w:fldChar w:fldCharType="begin"/>
          </w:r>
          <w:r>
            <w:instrText xml:space="preserve"> HYPERLINK \l "_Toc159960172" </w:instrText>
          </w:r>
          <w:r>
            <w:fldChar w:fldCharType="separate"/>
          </w:r>
          <w:r>
            <w:rPr>
              <w:rStyle w:val="9"/>
              <w:color w:val="000000" w:themeColor="text1"/>
              <w14:textFill>
                <w14:solidFill>
                  <w14:schemeClr w14:val="tx1"/>
                </w14:solidFill>
              </w14:textFill>
            </w:rPr>
            <w:t>Non-financial Factors to Consider</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_Toc159960172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1"/>
            <w:tabs>
              <w:tab w:val="right" w:leader="dot" w:pos="9350"/>
            </w:tabs>
            <w:rPr>
              <w:rFonts w:asciiTheme="minorHAnsi" w:hAnsiTheme="minorHAnsi" w:eastAsiaTheme="minorEastAsia"/>
              <w:color w:val="000000" w:themeColor="text1"/>
              <w:sz w:val="22"/>
              <w:szCs w:val="28"/>
              <w:lang w:bidi="bn-BD"/>
              <w14:textFill>
                <w14:solidFill>
                  <w14:schemeClr w14:val="tx1"/>
                </w14:solidFill>
              </w14:textFill>
            </w:rPr>
          </w:pPr>
          <w:r>
            <w:fldChar w:fldCharType="begin"/>
          </w:r>
          <w:r>
            <w:instrText xml:space="preserve"> HYPERLINK \l "_Toc159960173" </w:instrText>
          </w:r>
          <w:r>
            <w:fldChar w:fldCharType="separate"/>
          </w:r>
          <w:r>
            <w:rPr>
              <w:rStyle w:val="9"/>
              <w:color w:val="000000" w:themeColor="text1"/>
              <w14:textFill>
                <w14:solidFill>
                  <w14:schemeClr w14:val="tx1"/>
                </w14:solidFill>
              </w14:textFill>
            </w:rPr>
            <w:t>Conclusion</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_Toc159960173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1"/>
            <w:tabs>
              <w:tab w:val="right" w:leader="dot" w:pos="9350"/>
            </w:tabs>
            <w:rPr>
              <w:rFonts w:asciiTheme="minorHAnsi" w:hAnsiTheme="minorHAnsi" w:eastAsiaTheme="minorEastAsia"/>
              <w:color w:val="000000" w:themeColor="text1"/>
              <w:sz w:val="22"/>
              <w:szCs w:val="28"/>
              <w:lang w:bidi="bn-BD"/>
              <w14:textFill>
                <w14:solidFill>
                  <w14:schemeClr w14:val="tx1"/>
                </w14:solidFill>
              </w14:textFill>
            </w:rPr>
          </w:pPr>
          <w:r>
            <w:fldChar w:fldCharType="begin"/>
          </w:r>
          <w:r>
            <w:instrText xml:space="preserve"> HYPERLINK \l "_Toc159960174" </w:instrText>
          </w:r>
          <w:r>
            <w:fldChar w:fldCharType="separate"/>
          </w:r>
          <w:r>
            <w:rPr>
              <w:rStyle w:val="9"/>
              <w:color w:val="000000" w:themeColor="text1"/>
              <w14:textFill>
                <w14:solidFill>
                  <w14:schemeClr w14:val="tx1"/>
                </w14:solidFill>
              </w14:textFill>
            </w:rPr>
            <w:t>References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_Toc159960174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rPr>
              <w:color w:val="000000" w:themeColor="text1"/>
              <w14:textFill>
                <w14:solidFill>
                  <w14:schemeClr w14:val="tx1"/>
                </w14:solidFill>
              </w14:textFill>
            </w:rPr>
          </w:pPr>
          <w:r>
            <w:rPr>
              <w:b/>
              <w:bCs/>
              <w:color w:val="000000" w:themeColor="text1"/>
              <w14:textFill>
                <w14:solidFill>
                  <w14:schemeClr w14:val="tx1"/>
                </w14:solidFill>
              </w14:textFill>
            </w:rPr>
            <w:fldChar w:fldCharType="end"/>
          </w:r>
        </w:p>
      </w:sdtContent>
    </w:sdt>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2"/>
        <w:rPr>
          <w:color w:val="000000" w:themeColor="text1"/>
          <w14:textFill>
            <w14:solidFill>
              <w14:schemeClr w14:val="tx1"/>
            </w14:solidFill>
          </w14:textFill>
        </w:rPr>
      </w:pPr>
      <w:bookmarkStart w:id="17" w:name="_GoBack"/>
      <w:bookmarkEnd w:id="17"/>
      <w:bookmarkStart w:id="0" w:name="_Toc159960158"/>
      <w:r>
        <w:rPr>
          <w:color w:val="000000" w:themeColor="text1"/>
          <w14:textFill>
            <w14:solidFill>
              <w14:schemeClr w14:val="tx1"/>
            </w14:solidFill>
          </w14:textFill>
        </w:rPr>
        <w:t>Introduction</w:t>
      </w:r>
      <w:bookmarkEnd w:id="0"/>
    </w:p>
    <w:p>
      <w:pPr>
        <w:rPr>
          <w:color w:val="000000" w:themeColor="text1"/>
          <w14:textFill>
            <w14:solidFill>
              <w14:schemeClr w14:val="tx1"/>
            </w14:solidFill>
          </w14:textFill>
        </w:rPr>
      </w:pPr>
      <w:r>
        <w:rPr>
          <w:color w:val="000000" w:themeColor="text1"/>
          <w14:textFill>
            <w14:solidFill>
              <w14:schemeClr w14:val="tx1"/>
            </w14:solidFill>
          </w14:textFill>
        </w:rPr>
        <w:t xml:space="preserve">Atlantic American Corporation, a NYSE listed company, is mainly an insurance holding company which has its other subsidiaries in different markets such as the life and health and property and casualty insurance industries (Brigham &amp; Houston, 2018). Based on the products its subsidiaries are offering to their target customers where the main focus of the whole corporation is on the geographic, demographic and product niches that can be offered to the customers within the insurance marketplace. Here, the parent company has no significant source of revenue that they can rely on as most of their operating expenses and profitability comes from the fees and dividends from its operating subsidiaries (Brealey, Myers, &amp; Allen, 2017). In this report, the business model, marketplace competitors, strategic changes in the business market to stand out from the other businesses, profitability ratio analysis etc. will be shown to explain the process of Atlantic American Corporation’s business operations. </w:t>
      </w:r>
    </w:p>
    <w:p>
      <w:pPr>
        <w:pStyle w:val="2"/>
        <w:rPr>
          <w:color w:val="000000" w:themeColor="text1"/>
          <w14:textFill>
            <w14:solidFill>
              <w14:schemeClr w14:val="tx1"/>
            </w14:solidFill>
          </w14:textFill>
        </w:rPr>
      </w:pPr>
      <w:bookmarkStart w:id="1" w:name="_Toc159960159"/>
      <w:r>
        <w:rPr>
          <w:color w:val="000000" w:themeColor="text1"/>
          <w14:textFill>
            <w14:solidFill>
              <w14:schemeClr w14:val="tx1"/>
            </w14:solidFill>
          </w14:textFill>
        </w:rPr>
        <w:t>Part a</w:t>
      </w:r>
      <w:bookmarkEnd w:id="1"/>
    </w:p>
    <w:p>
      <w:pPr>
        <w:pStyle w:val="2"/>
        <w:rPr>
          <w:color w:val="000000" w:themeColor="text1"/>
          <w14:textFill>
            <w14:solidFill>
              <w14:schemeClr w14:val="tx1"/>
            </w14:solidFill>
          </w14:textFill>
        </w:rPr>
      </w:pPr>
      <w:bookmarkStart w:id="2" w:name="_Toc159960160"/>
      <w:r>
        <w:rPr>
          <w:color w:val="000000" w:themeColor="text1"/>
          <w14:textFill>
            <w14:solidFill>
              <w14:schemeClr w14:val="tx1"/>
            </w14:solidFill>
          </w14:textFill>
        </w:rPr>
        <w:t>Brief History of AAC and Major Events</w:t>
      </w:r>
      <w:bookmarkEnd w:id="2"/>
    </w:p>
    <w:p>
      <w:pPr>
        <w:rPr>
          <w:color w:val="000000" w:themeColor="text1"/>
          <w14:textFill>
            <w14:solidFill>
              <w14:schemeClr w14:val="tx1"/>
            </w14:solidFill>
          </w14:textFill>
        </w:rPr>
      </w:pPr>
      <w:r>
        <w:rPr>
          <w:color w:val="000000" w:themeColor="text1"/>
          <w14:textFill>
            <w14:solidFill>
              <w14:schemeClr w14:val="tx1"/>
            </w14:solidFill>
          </w14:textFill>
        </w:rPr>
        <w:t xml:space="preserve">American Southern, a subsidiary of AAC, is licensed to do business in 32 states and the District of Columbia where their premiums are derived from existing automobile lines of business which are operating in those areas (Ross, Westerfield, &amp; Jordan, 2019). Other than these automobile insurance services; inland marine and general liability services are also offered by the business in this case. Moreover, Surety bond coverage for school bus transportation as well as performance and payment bonds are offered to the target customers to make their lives more convenient. Along with machine related insurance, AAC also offers Life and health insurance and other supplementary products to the customers. Among those product offerings, Ordinary and Term life insurance, Medicare Supplement and other accident insurance products are provided to the customers in the areas where they are operating in (Gitman &amp; Zutter, 2019). According to the business portfolio of AAC, nearly 95% of their insurances in this case is health insurance and only 3% to 5% insurance is life insurance policies which are chosen by their customers in this case. The business model of AAC derives from the segmentation of their insurance services to the customers in different industries, such as in the automobile industry, the business provides automobile insurance coverage in the market on a multiyear contract basis to the government, local communities, and other large motor vehicle suppliers around the areas of its operation. The operations of the subsidiary of AAC in this segment collects the responses and orders from it customers through three distribution channels spread across 46 different states and two business divisions with the help of independent agents who represents the business in front of the customers in this case who are willing to take services from the business to get a better life and support from the business when they are in need (Van Horne &amp; Wachowicz, 2020). </w:t>
      </w:r>
    </w:p>
    <w:p>
      <w:pPr>
        <w:keepNext/>
        <w:rPr>
          <w:color w:val="000000" w:themeColor="text1"/>
          <w14:textFill>
            <w14:solidFill>
              <w14:schemeClr w14:val="tx1"/>
            </w14:solidFill>
          </w14:textFill>
        </w:rPr>
      </w:pPr>
      <w:r>
        <w:rPr>
          <w:color w:val="000000" w:themeColor="text1"/>
          <w14:textFill>
            <w14:solidFill>
              <w14:schemeClr w14:val="tx1"/>
            </w14:solidFill>
          </w14:textFill>
        </w:rPr>
        <w:drawing>
          <wp:inline distT="0" distB="0" distL="0" distR="0">
            <wp:extent cx="6042660" cy="2127250"/>
            <wp:effectExtent l="0" t="0" r="0" b="6350"/>
            <wp:docPr id="1708742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742735"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6055132" cy="2132089"/>
                    </a:xfrm>
                    <a:prstGeom prst="rect">
                      <a:avLst/>
                    </a:prstGeom>
                    <a:noFill/>
                  </pic:spPr>
                </pic:pic>
              </a:graphicData>
            </a:graphic>
          </wp:inline>
        </w:drawing>
      </w:r>
    </w:p>
    <w:p>
      <w:pPr>
        <w:pStyle w:val="6"/>
        <w:jc w:val="center"/>
        <w:rPr>
          <w:b/>
          <w:bCs/>
          <w:i w:val="0"/>
          <w:iCs w:val="0"/>
          <w:color w:val="000000" w:themeColor="text1"/>
          <w14:textFill>
            <w14:solidFill>
              <w14:schemeClr w14:val="tx1"/>
            </w14:solidFill>
          </w14:textFill>
        </w:rPr>
      </w:pPr>
      <w:r>
        <w:rPr>
          <w:b/>
          <w:bCs/>
          <w:i w:val="0"/>
          <w:iCs w:val="0"/>
          <w:color w:val="000000" w:themeColor="text1"/>
          <w14:textFill>
            <w14:solidFill>
              <w14:schemeClr w14:val="tx1"/>
            </w14:solidFill>
          </w14:textFill>
        </w:rPr>
        <w:t xml:space="preserve">Figure </w:t>
      </w:r>
      <w:r>
        <w:rPr>
          <w:b/>
          <w:bCs/>
          <w:i w:val="0"/>
          <w:iCs w:val="0"/>
          <w:color w:val="000000" w:themeColor="text1"/>
          <w14:textFill>
            <w14:solidFill>
              <w14:schemeClr w14:val="tx1"/>
            </w14:solidFill>
          </w14:textFill>
        </w:rPr>
        <w:fldChar w:fldCharType="begin"/>
      </w:r>
      <w:r>
        <w:rPr>
          <w:b/>
          <w:bCs/>
          <w:i w:val="0"/>
          <w:iCs w:val="0"/>
          <w:color w:val="000000" w:themeColor="text1"/>
          <w14:textFill>
            <w14:solidFill>
              <w14:schemeClr w14:val="tx1"/>
            </w14:solidFill>
          </w14:textFill>
        </w:rPr>
        <w:instrText xml:space="preserve"> SEQ Figure \* ARABIC </w:instrText>
      </w:r>
      <w:r>
        <w:rPr>
          <w:b/>
          <w:bCs/>
          <w:i w:val="0"/>
          <w:iCs w:val="0"/>
          <w:color w:val="000000" w:themeColor="text1"/>
          <w14:textFill>
            <w14:solidFill>
              <w14:schemeClr w14:val="tx1"/>
            </w14:solidFill>
          </w14:textFill>
        </w:rPr>
        <w:fldChar w:fldCharType="separate"/>
      </w:r>
      <w:r>
        <w:rPr>
          <w:b/>
          <w:bCs/>
          <w:i w:val="0"/>
          <w:iCs w:val="0"/>
          <w:color w:val="000000" w:themeColor="text1"/>
          <w14:textFill>
            <w14:solidFill>
              <w14:schemeClr w14:val="tx1"/>
            </w14:solidFill>
          </w14:textFill>
        </w:rPr>
        <w:t>1</w:t>
      </w:r>
      <w:r>
        <w:rPr>
          <w:b/>
          <w:bCs/>
          <w:i w:val="0"/>
          <w:iCs w:val="0"/>
          <w:color w:val="000000" w:themeColor="text1"/>
          <w14:textFill>
            <w14:solidFill>
              <w14:schemeClr w14:val="tx1"/>
            </w14:solidFill>
          </w14:textFill>
        </w:rPr>
        <w:fldChar w:fldCharType="end"/>
      </w:r>
      <w:r>
        <w:rPr>
          <w:b/>
          <w:bCs/>
          <w:i w:val="0"/>
          <w:iCs w:val="0"/>
          <w:color w:val="000000" w:themeColor="text1"/>
          <w14:textFill>
            <w14:solidFill>
              <w14:schemeClr w14:val="tx1"/>
            </w14:solidFill>
          </w14:textFill>
        </w:rPr>
        <w:t>: Customer willingness in insurance, Source: Atlantic American Corp, 2023</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In most cases, AAC does the marketing operations for the agents who are offering the banker fidelity product to its customers, but in few cases, if the agent wants to customize and offer marketing operations on their own, then AAC also encourage such type of actions. Their business model often promotes the below mentioned points in doing their business: </w:t>
      </w:r>
    </w:p>
    <w:p>
      <w:pPr>
        <w:pStyle w:val="15"/>
        <w:numPr>
          <w:ilvl w:val="0"/>
          <w:numId w:val="1"/>
        </w:numPr>
        <w:rPr>
          <w:color w:val="000000" w:themeColor="text1"/>
          <w14:textFill>
            <w14:solidFill>
              <w14:schemeClr w14:val="tx1"/>
            </w14:solidFill>
          </w14:textFill>
        </w:rPr>
      </w:pPr>
      <w:r>
        <w:rPr>
          <w:b/>
          <w:bCs/>
          <w:color w:val="000000" w:themeColor="text1"/>
          <w14:textFill>
            <w14:solidFill>
              <w14:schemeClr w14:val="tx1"/>
            </w14:solidFill>
          </w14:textFill>
        </w:rPr>
        <w:t>Diversification:</w:t>
      </w:r>
      <w:r>
        <w:rPr>
          <w:color w:val="000000" w:themeColor="text1"/>
          <w14:textFill>
            <w14:solidFill>
              <w14:schemeClr w14:val="tx1"/>
            </w14:solidFill>
          </w14:textFill>
        </w:rPr>
        <w:t xml:space="preserve"> Atlantic American Corporation firmly believes in their diversification of products across their different types of subsidiaries in this case. Besides, there are some unique product offerings such as short-term care products and group whole life insurance products offered by the business which help the business to stand out from the existing crowd in this case. With their expanding fame across different regions of the world, their geological footprint is on expansion. The business thinks their diversification tactics is one of the main reasons in this case to get such success within such short period of time (Arnold, 2019). </w:t>
      </w:r>
    </w:p>
    <w:p>
      <w:pPr>
        <w:pStyle w:val="15"/>
        <w:numPr>
          <w:ilvl w:val="0"/>
          <w:numId w:val="1"/>
        </w:numPr>
        <w:rPr>
          <w:color w:val="000000" w:themeColor="text1"/>
          <w14:textFill>
            <w14:solidFill>
              <w14:schemeClr w14:val="tx1"/>
            </w14:solidFill>
          </w14:textFill>
        </w:rPr>
      </w:pPr>
      <w:r>
        <w:rPr>
          <w:b/>
          <w:bCs/>
          <w:color w:val="000000" w:themeColor="text1"/>
          <w14:textFill>
            <w14:solidFill>
              <w14:schemeClr w14:val="tx1"/>
            </w14:solidFill>
          </w14:textFill>
        </w:rPr>
        <w:t>Differentiation:</w:t>
      </w:r>
      <w:r>
        <w:rPr>
          <w:color w:val="000000" w:themeColor="text1"/>
          <w14:textFill>
            <w14:solidFill>
              <w14:schemeClr w14:val="tx1"/>
            </w14:solidFill>
          </w14:textFill>
        </w:rPr>
        <w:t xml:space="preserve"> The quality of the services provided to the customers such as policyholders and the agent of the business is praiseworthy enough as the business provide continuous support to these stakeholders by their administration, underwriting and a plethora of other services that adds value to their existing services and facilities provided to these specific groups. There is a dedicated customer loyalty team in the business who provides a better support to the business operation handling and providing constant support to the business (Smart, Megginson, &amp; Gitman, 2022). </w:t>
      </w:r>
    </w:p>
    <w:p>
      <w:pPr>
        <w:pStyle w:val="15"/>
        <w:numPr>
          <w:ilvl w:val="0"/>
          <w:numId w:val="1"/>
        </w:numPr>
        <w:rPr>
          <w:color w:val="000000" w:themeColor="text1"/>
          <w14:textFill>
            <w14:solidFill>
              <w14:schemeClr w14:val="tx1"/>
            </w14:solidFill>
          </w14:textFill>
        </w:rPr>
      </w:pPr>
      <w:r>
        <w:rPr>
          <w:b/>
          <w:bCs/>
          <w:color w:val="000000" w:themeColor="text1"/>
          <w14:textFill>
            <w14:solidFill>
              <w14:schemeClr w14:val="tx1"/>
            </w14:solidFill>
          </w14:textFill>
        </w:rPr>
        <w:t>Quality:</w:t>
      </w:r>
      <w:r>
        <w:rPr>
          <w:color w:val="000000" w:themeColor="text1"/>
          <w14:textFill>
            <w14:solidFill>
              <w14:schemeClr w14:val="tx1"/>
            </w14:solidFill>
          </w14:textFill>
        </w:rPr>
        <w:t xml:space="preserve"> Bankers Fidelity product is focused on delivering superior service to its existing customers and policy holders in different stages of their lives. Their innovative products offerings and services provided to the customers have ensured the perceived value of the business in the eyes of the customers. </w:t>
      </w:r>
    </w:p>
    <w:p>
      <w:pPr>
        <w:pStyle w:val="15"/>
        <w:numPr>
          <w:ilvl w:val="0"/>
          <w:numId w:val="1"/>
        </w:numPr>
        <w:rPr>
          <w:color w:val="000000" w:themeColor="text1"/>
          <w14:textFill>
            <w14:solidFill>
              <w14:schemeClr w14:val="tx1"/>
            </w14:solidFill>
          </w14:textFill>
        </w:rPr>
      </w:pPr>
      <w:r>
        <w:rPr>
          <w:b/>
          <w:bCs/>
          <w:color w:val="000000" w:themeColor="text1"/>
          <w14:textFill>
            <w14:solidFill>
              <w14:schemeClr w14:val="tx1"/>
            </w14:solidFill>
          </w14:textFill>
        </w:rPr>
        <w:t>Retention:</w:t>
      </w:r>
      <w:r>
        <w:rPr>
          <w:color w:val="000000" w:themeColor="text1"/>
          <w14:textFill>
            <w14:solidFill>
              <w14:schemeClr w14:val="tx1"/>
            </w14:solidFill>
          </w14:textFill>
        </w:rPr>
        <w:t xml:space="preserve"> The business markets its products and services through different seasonal campaigns and other customers outreach operations in this case to meet the needs of customers. So, here through such engaging actions with their policyholders, their customers retention rate is very high compared to the other competitors in this market. </w:t>
      </w:r>
    </w:p>
    <w:p>
      <w:pPr>
        <w:pStyle w:val="15"/>
        <w:numPr>
          <w:ilvl w:val="0"/>
          <w:numId w:val="1"/>
        </w:numPr>
        <w:rPr>
          <w:color w:val="000000" w:themeColor="text1"/>
          <w14:textFill>
            <w14:solidFill>
              <w14:schemeClr w14:val="tx1"/>
            </w14:solidFill>
          </w14:textFill>
        </w:rPr>
      </w:pPr>
      <w:r>
        <w:rPr>
          <w:b/>
          <w:bCs/>
          <w:color w:val="000000" w:themeColor="text1"/>
          <w14:textFill>
            <w14:solidFill>
              <w14:schemeClr w14:val="tx1"/>
            </w14:solidFill>
          </w14:textFill>
        </w:rPr>
        <w:t>Profitability:</w:t>
      </w:r>
      <w:r>
        <w:rPr>
          <w:color w:val="000000" w:themeColor="text1"/>
          <w14:textFill>
            <w14:solidFill>
              <w14:schemeClr w14:val="tx1"/>
            </w14:solidFill>
          </w14:textFill>
        </w:rPr>
        <w:t xml:space="preserve"> The senior management ensures their profitability through managing their business operation with the support of the above mentioned four criteria which supports the business to get a better result in generating a better output in the business market.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Among the competitors in their market, Atlantic American Corporation faces challenges from larger national insurers such as MetLife, Prudential Financial and AIG, which are among the largest insurance companies in the similar market. They are also offering similar range of products and product lines to the customers in this case. Other than these national insurance companies, regional insurer companies are also providing services to their surrounding communities to make their lives easier and convenient (Brealey, Myers, &amp; Marcus, 2022). </w:t>
      </w:r>
    </w:p>
    <w:p>
      <w:pPr>
        <w:pStyle w:val="3"/>
      </w:pPr>
      <w:bookmarkStart w:id="3" w:name="_Toc159960161"/>
      <w:r>
        <w:t>Review major events over the past five years.</w:t>
      </w:r>
      <w:bookmarkEnd w:id="3"/>
    </w:p>
    <w:p>
      <w:pPr>
        <w:rPr>
          <w:color w:val="000000" w:themeColor="text1"/>
          <w14:textFill>
            <w14:solidFill>
              <w14:schemeClr w14:val="tx1"/>
            </w14:solidFill>
          </w14:textFill>
        </w:rPr>
      </w:pPr>
      <w:r>
        <w:rPr>
          <w:color w:val="000000" w:themeColor="text1"/>
          <w14:textFill>
            <w14:solidFill>
              <w14:schemeClr w14:val="tx1"/>
            </w14:solidFill>
          </w14:textFill>
        </w:rPr>
        <w:t xml:space="preserve">As the business went through changes which is evident in the market over the past few years, the specific changes in the business structure of Atlantic American Corporation has been discussed below: </w:t>
      </w:r>
    </w:p>
    <w:p>
      <w:pPr>
        <w:pStyle w:val="15"/>
        <w:numPr>
          <w:ilvl w:val="0"/>
          <w:numId w:val="2"/>
        </w:numPr>
        <w:rPr>
          <w:b/>
          <w:bCs/>
          <w:color w:val="000000" w:themeColor="text1"/>
          <w14:textFill>
            <w14:solidFill>
              <w14:schemeClr w14:val="tx1"/>
            </w14:solidFill>
          </w14:textFill>
        </w:rPr>
      </w:pPr>
      <w:r>
        <w:rPr>
          <w:b/>
          <w:bCs/>
          <w:color w:val="000000" w:themeColor="text1"/>
          <w14:textFill>
            <w14:solidFill>
              <w14:schemeClr w14:val="tx1"/>
            </w14:solidFill>
          </w14:textFill>
        </w:rPr>
        <w:t>Year 2022</w:t>
      </w:r>
    </w:p>
    <w:p>
      <w:pPr>
        <w:pStyle w:val="15"/>
        <w:rPr>
          <w:color w:val="000000" w:themeColor="text1"/>
          <w14:textFill>
            <w14:solidFill>
              <w14:schemeClr w14:val="tx1"/>
            </w14:solidFill>
          </w14:textFill>
        </w:rPr>
      </w:pPr>
      <w:r>
        <w:rPr>
          <w:color w:val="000000" w:themeColor="text1"/>
          <w14:textFill>
            <w14:solidFill>
              <w14:schemeClr w14:val="tx1"/>
            </w14:solidFill>
          </w14:textFill>
        </w:rPr>
        <w:t>In this year, as the usage of artificial intelligence was going through lots of changes in the business market while assisting business to conduct their activities smoothly, AAC also announced a strategic partnership with a leading technology firm in this case to enhance its digital capabilities that can ensure a good quality customer experience. Through the collaboration with the Tech based business, the modernization of operations of the businesses in this case helped AAC to increase efficiency in their operations over time.</w:t>
      </w:r>
    </w:p>
    <w:p>
      <w:pPr>
        <w:pStyle w:val="15"/>
        <w:numPr>
          <w:ilvl w:val="0"/>
          <w:numId w:val="2"/>
        </w:numPr>
        <w:rPr>
          <w:b/>
          <w:bCs/>
          <w:color w:val="000000" w:themeColor="text1"/>
          <w14:textFill>
            <w14:solidFill>
              <w14:schemeClr w14:val="tx1"/>
            </w14:solidFill>
          </w14:textFill>
        </w:rPr>
      </w:pPr>
      <w:r>
        <w:rPr>
          <w:b/>
          <w:bCs/>
          <w:color w:val="000000" w:themeColor="text1"/>
          <w14:textFill>
            <w14:solidFill>
              <w14:schemeClr w14:val="tx1"/>
            </w14:solidFill>
          </w14:textFill>
        </w:rPr>
        <w:t>Year 2021</w:t>
      </w:r>
    </w:p>
    <w:p>
      <w:pPr>
        <w:pStyle w:val="15"/>
        <w:rPr>
          <w:color w:val="000000" w:themeColor="text1"/>
          <w14:textFill>
            <w14:solidFill>
              <w14:schemeClr w14:val="tx1"/>
            </w14:solidFill>
          </w14:textFill>
        </w:rPr>
      </w:pPr>
      <w:r>
        <w:rPr>
          <w:color w:val="000000" w:themeColor="text1"/>
          <w14:textFill>
            <w14:solidFill>
              <w14:schemeClr w14:val="tx1"/>
            </w14:solidFill>
          </w14:textFill>
        </w:rPr>
        <w:t xml:space="preserve">As the retention of the surplus profitability from the ongoing operations of the business is on the increase, the business completed an acquisition of a small regional insurance company to ensure their exposure in those regional markets also. Their growth strategy in this case was diversified in entering into new markets with their existing resources in their business (Moyer, McGuigan, &amp; Rao, 2022). </w:t>
      </w:r>
    </w:p>
    <w:p>
      <w:pPr>
        <w:pStyle w:val="15"/>
        <w:numPr>
          <w:ilvl w:val="0"/>
          <w:numId w:val="2"/>
        </w:numPr>
        <w:rPr>
          <w:b/>
          <w:bCs/>
          <w:color w:val="000000" w:themeColor="text1"/>
          <w14:textFill>
            <w14:solidFill>
              <w14:schemeClr w14:val="tx1"/>
            </w14:solidFill>
          </w14:textFill>
        </w:rPr>
      </w:pPr>
      <w:r>
        <w:rPr>
          <w:b/>
          <w:bCs/>
          <w:color w:val="000000" w:themeColor="text1"/>
          <w14:textFill>
            <w14:solidFill>
              <w14:schemeClr w14:val="tx1"/>
            </w14:solidFill>
          </w14:textFill>
        </w:rPr>
        <w:t>Year 2020</w:t>
      </w:r>
    </w:p>
    <w:p>
      <w:pPr>
        <w:pStyle w:val="15"/>
        <w:rPr>
          <w:color w:val="000000" w:themeColor="text1"/>
          <w14:textFill>
            <w14:solidFill>
              <w14:schemeClr w14:val="tx1"/>
            </w14:solidFill>
          </w14:textFill>
        </w:rPr>
      </w:pPr>
      <w:r>
        <w:rPr>
          <w:color w:val="000000" w:themeColor="text1"/>
          <w14:textFill>
            <w14:solidFill>
              <w14:schemeClr w14:val="tx1"/>
            </w14:solidFill>
          </w14:textFill>
        </w:rPr>
        <w:t xml:space="preserve">During pandemic, as most of the policyholders were going through tough times, businesses, especially those who offered insurance services like AAC went through a tough time. In this year, one of the subsidiaries faced a legal challenge related to regulatory compliance issues. So, the business had to invest a significant amount of money into the matter to resolve it. </w:t>
      </w:r>
    </w:p>
    <w:p>
      <w:pPr>
        <w:pStyle w:val="15"/>
        <w:numPr>
          <w:ilvl w:val="0"/>
          <w:numId w:val="2"/>
        </w:numPr>
        <w:rPr>
          <w:b/>
          <w:bCs/>
          <w:color w:val="000000" w:themeColor="text1"/>
          <w14:textFill>
            <w14:solidFill>
              <w14:schemeClr w14:val="tx1"/>
            </w14:solidFill>
          </w14:textFill>
        </w:rPr>
      </w:pPr>
      <w:r>
        <w:rPr>
          <w:b/>
          <w:bCs/>
          <w:color w:val="000000" w:themeColor="text1"/>
          <w14:textFill>
            <w14:solidFill>
              <w14:schemeClr w14:val="tx1"/>
            </w14:solidFill>
          </w14:textFill>
        </w:rPr>
        <w:t>Year 2019</w:t>
      </w:r>
    </w:p>
    <w:p>
      <w:pPr>
        <w:pStyle w:val="15"/>
        <w:rPr>
          <w:color w:val="000000" w:themeColor="text1"/>
          <w14:textFill>
            <w14:solidFill>
              <w14:schemeClr w14:val="tx1"/>
            </w14:solidFill>
          </w14:textFill>
        </w:rPr>
      </w:pPr>
      <w:r>
        <w:rPr>
          <w:color w:val="000000" w:themeColor="text1"/>
          <w14:textFill>
            <w14:solidFill>
              <w14:schemeClr w14:val="tx1"/>
            </w14:solidFill>
          </w14:textFill>
        </w:rPr>
        <w:t xml:space="preserve">In this year, the leadership of the business was changed. A new CEO was appointed for the business operations management. As the new CEO started to take over the existing operations in the business market, newer perspectives of the business direction made the business operations change according to the strategic direction provided by the new CEO in this case. The CEO promoted sustainable growth over the time planning for actions which can help the business to sustain in the industry for longer period. </w:t>
      </w:r>
    </w:p>
    <w:p>
      <w:pPr>
        <w:pStyle w:val="15"/>
        <w:numPr>
          <w:ilvl w:val="0"/>
          <w:numId w:val="2"/>
        </w:numPr>
        <w:rPr>
          <w:b/>
          <w:bCs/>
          <w:color w:val="000000" w:themeColor="text1"/>
          <w14:textFill>
            <w14:solidFill>
              <w14:schemeClr w14:val="tx1"/>
            </w14:solidFill>
          </w14:textFill>
        </w:rPr>
      </w:pPr>
      <w:r>
        <w:rPr>
          <w:b/>
          <w:bCs/>
          <w:color w:val="000000" w:themeColor="text1"/>
          <w14:textFill>
            <w14:solidFill>
              <w14:schemeClr w14:val="tx1"/>
            </w14:solidFill>
          </w14:textFill>
        </w:rPr>
        <w:t>Year 2018</w:t>
      </w:r>
    </w:p>
    <w:p>
      <w:pPr>
        <w:pStyle w:val="15"/>
        <w:rPr>
          <w:color w:val="000000" w:themeColor="text1"/>
          <w14:textFill>
            <w14:solidFill>
              <w14:schemeClr w14:val="tx1"/>
            </w14:solidFill>
          </w14:textFill>
        </w:rPr>
      </w:pPr>
      <w:r>
        <w:rPr>
          <w:color w:val="000000" w:themeColor="text1"/>
          <w14:textFill>
            <w14:solidFill>
              <w14:schemeClr w14:val="tx1"/>
            </w14:solidFill>
          </w14:textFill>
        </w:rPr>
        <w:t xml:space="preserve">In this year, due to economic uncertainties in the financial markets, Atlantic American Corporation faced higher than usual claims from their policy holders. So, the business had to go through some unexpected losses from their business operations. So, AAC needs to ensure reassessment of its underwriting practices and risk management strategies to mitigate future losses.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So, the quick adaptation by the business in the competitive marketplaces around the globe helped the business to flourish with time and enlist themselves in the New York Stock Exchange where the value of the stock of the business is rising seeing the future potential of the business to lead the insurance industry with their vision and the pioneering service quality and specifications to their customers. With a view of achieving a better result from their existing operations, the business continued to evaluate their operations in the business market to find newer strategies that can help them to stand out from the existing crowd in the business market and outperform their competitors gaining a better profitability for expansion opportunity (Berk &amp; DeMarzo, 2020). </w:t>
      </w:r>
    </w:p>
    <w:p>
      <w:pPr>
        <w:pStyle w:val="2"/>
        <w:rPr>
          <w:color w:val="000000" w:themeColor="text1"/>
          <w14:textFill>
            <w14:solidFill>
              <w14:schemeClr w14:val="tx1"/>
            </w14:solidFill>
          </w14:textFill>
        </w:rPr>
      </w:pPr>
      <w:bookmarkStart w:id="4" w:name="_Toc159960162"/>
      <w:r>
        <w:rPr>
          <w:color w:val="000000" w:themeColor="text1"/>
          <w14:textFill>
            <w14:solidFill>
              <w14:schemeClr w14:val="tx1"/>
            </w14:solidFill>
          </w14:textFill>
        </w:rPr>
        <w:t>Part b</w:t>
      </w:r>
      <w:bookmarkEnd w:id="4"/>
    </w:p>
    <w:p>
      <w:pPr>
        <w:pStyle w:val="2"/>
        <w:rPr>
          <w:color w:val="000000" w:themeColor="text1"/>
          <w14:textFill>
            <w14:solidFill>
              <w14:schemeClr w14:val="tx1"/>
            </w14:solidFill>
          </w14:textFill>
        </w:rPr>
      </w:pPr>
      <w:bookmarkStart w:id="5" w:name="_Toc159960163"/>
      <w:r>
        <w:rPr>
          <w:color w:val="000000" w:themeColor="text1"/>
          <w14:textFill>
            <w14:solidFill>
              <w14:schemeClr w14:val="tx1"/>
            </w14:solidFill>
          </w14:textFill>
        </w:rPr>
        <w:t>Critical Review of the Company’s Financial Performances</w:t>
      </w:r>
      <w:bookmarkEnd w:id="5"/>
    </w:p>
    <w:p>
      <w:pPr>
        <w:rPr>
          <w:color w:val="000000" w:themeColor="text1"/>
          <w14:textFill>
            <w14:solidFill>
              <w14:schemeClr w14:val="tx1"/>
            </w14:solidFill>
          </w14:textFill>
        </w:rPr>
      </w:pPr>
      <w:r>
        <w:rPr>
          <w:color w:val="000000" w:themeColor="text1"/>
          <w14:textFill>
            <w14:solidFill>
              <w14:schemeClr w14:val="tx1"/>
            </w14:solidFill>
          </w14:textFill>
        </w:rPr>
        <w:t xml:space="preserve">According to the latest annual report that has been published by Atlantic American Corporation, the year 2022 the business could not perform as expected, because after recovering from the pandemic, people faced a lot of health-related issues which was covered by their insurance in this case. However, to get a clear picture of the financial performance of the business, the existing information from financial statements has been calculated and evaluated through different types of ratios below: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6"/>
        <w:gridCol w:w="3117"/>
        <w:gridCol w:w="3117"/>
      </w:tblGrid>
      <w:tr>
        <w:trPr>
          <w:trHeight w:val="525" w:hRule="atLeast"/>
        </w:trPr>
        <w:tc>
          <w:tcPr>
            <w:tcW w:w="3116" w:type="dxa"/>
            <w:vAlign w:val="center"/>
          </w:tcPr>
          <w:p>
            <w:pPr>
              <w:spacing w:after="0" w:line="240" w:lineRule="auto"/>
              <w:jc w:val="center"/>
              <w:rPr>
                <w:b/>
                <w:bCs/>
                <w:color w:val="000000" w:themeColor="text1"/>
                <w14:textFill>
                  <w14:solidFill>
                    <w14:schemeClr w14:val="tx1"/>
                  </w14:solidFill>
                </w14:textFill>
              </w:rPr>
            </w:pPr>
            <w:r>
              <w:rPr>
                <w:b/>
                <w:bCs/>
                <w:color w:val="000000" w:themeColor="text1"/>
                <w14:textFill>
                  <w14:solidFill>
                    <w14:schemeClr w14:val="tx1"/>
                  </w14:solidFill>
                </w14:textFill>
              </w:rPr>
              <w:t>Particulars</w:t>
            </w:r>
          </w:p>
        </w:tc>
        <w:tc>
          <w:tcPr>
            <w:tcW w:w="3117" w:type="dxa"/>
            <w:vAlign w:val="center"/>
          </w:tcPr>
          <w:p>
            <w:pPr>
              <w:spacing w:after="0" w:line="240" w:lineRule="auto"/>
              <w:jc w:val="center"/>
              <w:rPr>
                <w:b/>
                <w:bCs/>
                <w:color w:val="000000" w:themeColor="text1"/>
                <w14:textFill>
                  <w14:solidFill>
                    <w14:schemeClr w14:val="tx1"/>
                  </w14:solidFill>
                </w14:textFill>
              </w:rPr>
            </w:pPr>
            <w:r>
              <w:rPr>
                <w:b/>
                <w:bCs/>
                <w:color w:val="000000" w:themeColor="text1"/>
                <w14:textFill>
                  <w14:solidFill>
                    <w14:schemeClr w14:val="tx1"/>
                  </w14:solidFill>
                </w14:textFill>
              </w:rPr>
              <w:t>Formula</w:t>
            </w:r>
          </w:p>
        </w:tc>
        <w:tc>
          <w:tcPr>
            <w:tcW w:w="3117" w:type="dxa"/>
            <w:vAlign w:val="center"/>
          </w:tcPr>
          <w:p>
            <w:pPr>
              <w:spacing w:after="0" w:line="240" w:lineRule="auto"/>
              <w:jc w:val="center"/>
              <w:rPr>
                <w:b/>
                <w:bCs/>
                <w:color w:val="000000" w:themeColor="text1"/>
                <w14:textFill>
                  <w14:solidFill>
                    <w14:schemeClr w14:val="tx1"/>
                  </w14:solidFill>
                </w14:textFill>
              </w:rPr>
            </w:pPr>
            <w:r>
              <w:rPr>
                <w:b/>
                <w:bCs/>
                <w:color w:val="000000" w:themeColor="text1"/>
                <w14:textFill>
                  <w14:solidFill>
                    <w14:schemeClr w14:val="tx1"/>
                  </w14:solidFill>
                </w14:textFill>
              </w:rPr>
              <w:t>Ratio</w:t>
            </w:r>
          </w:p>
        </w:tc>
      </w:tr>
      <w:tr>
        <w:trPr>
          <w:trHeight w:val="525" w:hRule="atLeast"/>
        </w:trPr>
        <w:tc>
          <w:tcPr>
            <w:tcW w:w="3116" w:type="dxa"/>
            <w:vAlign w:val="center"/>
          </w:tcPr>
          <w:p>
            <w:pPr>
              <w:spacing w:after="0" w:line="240" w:lineRule="auto"/>
              <w:jc w:val="left"/>
              <w:rPr>
                <w:color w:val="000000" w:themeColor="text1"/>
                <w14:textFill>
                  <w14:solidFill>
                    <w14:schemeClr w14:val="tx1"/>
                  </w14:solidFill>
                </w14:textFill>
              </w:rPr>
            </w:pPr>
            <w:r>
              <w:rPr>
                <w:color w:val="000000" w:themeColor="text1"/>
                <w14:textFill>
                  <w14:solidFill>
                    <w14:schemeClr w14:val="tx1"/>
                  </w14:solidFill>
                </w14:textFill>
              </w:rPr>
              <w:t>Return on Equity (ROE)</w:t>
            </w:r>
          </w:p>
        </w:tc>
        <w:tc>
          <w:tcPr>
            <w:tcW w:w="3117" w:type="dxa"/>
            <w:vAlign w:val="center"/>
          </w:tcPr>
          <w:p>
            <w:pPr>
              <w:spacing w:after="0" w:line="240" w:lineRule="auto"/>
              <w:jc w:val="center"/>
              <w:rPr>
                <w:i/>
                <w:iCs/>
                <w:color w:val="000000" w:themeColor="text1"/>
                <w14:textFill>
                  <w14:solidFill>
                    <w14:schemeClr w14:val="tx1"/>
                  </w14:solidFill>
                </w14:textFill>
              </w:rPr>
            </w:pPr>
            <w:r>
              <w:rPr>
                <w:i/>
                <w:iCs/>
                <w:color w:val="000000" w:themeColor="text1"/>
                <w14:textFill>
                  <w14:solidFill>
                    <w14:schemeClr w14:val="tx1"/>
                  </w14:solidFill>
                </w14:textFill>
              </w:rPr>
              <w:t>Net Income / S. Equity</w:t>
            </w:r>
          </w:p>
        </w:tc>
        <w:tc>
          <w:tcPr>
            <w:tcW w:w="3117" w:type="dxa"/>
            <w:vAlign w:val="center"/>
          </w:tcPr>
          <w:p>
            <w:pPr>
              <w:spacing w:after="0" w:line="240" w:lineRule="auto"/>
              <w:jc w:val="center"/>
              <w:rPr>
                <w:color w:val="000000" w:themeColor="text1"/>
                <w14:textFill>
                  <w14:solidFill>
                    <w14:schemeClr w14:val="tx1"/>
                  </w14:solidFill>
                </w14:textFill>
              </w:rPr>
            </w:pPr>
            <w:r>
              <w:rPr>
                <w:color w:val="000000" w:themeColor="text1"/>
                <w14:textFill>
                  <w14:solidFill>
                    <w14:schemeClr w14:val="tx1"/>
                  </w14:solidFill>
                </w14:textFill>
              </w:rPr>
              <w:t>1.49%</w:t>
            </w:r>
          </w:p>
        </w:tc>
      </w:tr>
      <w:tr>
        <w:trPr>
          <w:trHeight w:val="525" w:hRule="atLeast"/>
        </w:trPr>
        <w:tc>
          <w:tcPr>
            <w:tcW w:w="3116" w:type="dxa"/>
            <w:vAlign w:val="center"/>
          </w:tcPr>
          <w:p>
            <w:pPr>
              <w:spacing w:after="0" w:line="240" w:lineRule="auto"/>
              <w:jc w:val="left"/>
              <w:rPr>
                <w:color w:val="000000" w:themeColor="text1"/>
                <w14:textFill>
                  <w14:solidFill>
                    <w14:schemeClr w14:val="tx1"/>
                  </w14:solidFill>
                </w14:textFill>
              </w:rPr>
            </w:pPr>
            <w:r>
              <w:rPr>
                <w:color w:val="000000" w:themeColor="text1"/>
                <w14:textFill>
                  <w14:solidFill>
                    <w14:schemeClr w14:val="tx1"/>
                  </w14:solidFill>
                </w14:textFill>
              </w:rPr>
              <w:t>Current Ratio</w:t>
            </w:r>
          </w:p>
        </w:tc>
        <w:tc>
          <w:tcPr>
            <w:tcW w:w="3117" w:type="dxa"/>
            <w:vAlign w:val="center"/>
          </w:tcPr>
          <w:p>
            <w:pPr>
              <w:spacing w:after="0" w:line="240" w:lineRule="auto"/>
              <w:jc w:val="center"/>
              <w:rPr>
                <w:i/>
                <w:iCs/>
                <w:color w:val="000000" w:themeColor="text1"/>
                <w14:textFill>
                  <w14:solidFill>
                    <w14:schemeClr w14:val="tx1"/>
                  </w14:solidFill>
                </w14:textFill>
              </w:rPr>
            </w:pPr>
            <w:r>
              <w:rPr>
                <w:i/>
                <w:iCs/>
                <w:color w:val="000000" w:themeColor="text1"/>
                <w14:textFill>
                  <w14:solidFill>
                    <w14:schemeClr w14:val="tx1"/>
                  </w14:solidFill>
                </w14:textFill>
              </w:rPr>
              <w:t>C. Assets / C. Liabilities</w:t>
            </w:r>
          </w:p>
        </w:tc>
        <w:tc>
          <w:tcPr>
            <w:tcW w:w="3117" w:type="dxa"/>
            <w:vAlign w:val="center"/>
          </w:tcPr>
          <w:p>
            <w:pPr>
              <w:spacing w:after="0" w:line="240" w:lineRule="auto"/>
              <w:jc w:val="center"/>
              <w:rPr>
                <w:color w:val="000000" w:themeColor="text1"/>
                <w14:textFill>
                  <w14:solidFill>
                    <w14:schemeClr w14:val="tx1"/>
                  </w14:solidFill>
                </w14:textFill>
              </w:rPr>
            </w:pPr>
            <w:r>
              <w:rPr>
                <w:color w:val="000000" w:themeColor="text1"/>
                <w14:textFill>
                  <w14:solidFill>
                    <w14:schemeClr w14:val="tx1"/>
                  </w14:solidFill>
                </w14:textFill>
              </w:rPr>
              <w:t>62.4%</w:t>
            </w:r>
          </w:p>
        </w:tc>
      </w:tr>
      <w:tr>
        <w:trPr>
          <w:trHeight w:val="502" w:hRule="atLeast"/>
        </w:trPr>
        <w:tc>
          <w:tcPr>
            <w:tcW w:w="3116" w:type="dxa"/>
            <w:vAlign w:val="center"/>
          </w:tcPr>
          <w:p>
            <w:pPr>
              <w:spacing w:after="0" w:line="240" w:lineRule="auto"/>
              <w:jc w:val="left"/>
              <w:rPr>
                <w:color w:val="000000" w:themeColor="text1"/>
                <w14:textFill>
                  <w14:solidFill>
                    <w14:schemeClr w14:val="tx1"/>
                  </w14:solidFill>
                </w14:textFill>
              </w:rPr>
            </w:pPr>
            <w:r>
              <w:rPr>
                <w:color w:val="000000" w:themeColor="text1"/>
                <w14:textFill>
                  <w14:solidFill>
                    <w14:schemeClr w14:val="tx1"/>
                  </w14:solidFill>
                </w14:textFill>
              </w:rPr>
              <w:t>Debt-to-Equity Ratio</w:t>
            </w:r>
          </w:p>
        </w:tc>
        <w:tc>
          <w:tcPr>
            <w:tcW w:w="3117" w:type="dxa"/>
            <w:vAlign w:val="center"/>
          </w:tcPr>
          <w:p>
            <w:pPr>
              <w:spacing w:after="0" w:line="240" w:lineRule="auto"/>
              <w:jc w:val="center"/>
              <w:rPr>
                <w:i/>
                <w:iCs/>
                <w:color w:val="000000" w:themeColor="text1"/>
                <w14:textFill>
                  <w14:solidFill>
                    <w14:schemeClr w14:val="tx1"/>
                  </w14:solidFill>
                </w14:textFill>
              </w:rPr>
            </w:pPr>
            <w:r>
              <w:rPr>
                <w:i/>
                <w:iCs/>
                <w:color w:val="000000" w:themeColor="text1"/>
                <w14:textFill>
                  <w14:solidFill>
                    <w14:schemeClr w14:val="tx1"/>
                  </w14:solidFill>
                </w14:textFill>
              </w:rPr>
              <w:t>Total Debt / S. Equity</w:t>
            </w:r>
          </w:p>
        </w:tc>
        <w:tc>
          <w:tcPr>
            <w:tcW w:w="3117" w:type="dxa"/>
            <w:vAlign w:val="center"/>
          </w:tcPr>
          <w:p>
            <w:pPr>
              <w:spacing w:after="0" w:line="240" w:lineRule="auto"/>
              <w:jc w:val="center"/>
              <w:rPr>
                <w:color w:val="000000" w:themeColor="text1"/>
                <w14:textFill>
                  <w14:solidFill>
                    <w14:schemeClr w14:val="tx1"/>
                  </w14:solidFill>
                </w14:textFill>
              </w:rPr>
            </w:pPr>
            <w:r>
              <w:rPr>
                <w:color w:val="000000" w:themeColor="text1"/>
                <w14:textFill>
                  <w14:solidFill>
                    <w14:schemeClr w14:val="tx1"/>
                  </w14:solidFill>
                </w14:textFill>
              </w:rPr>
              <w:t>2.59 x</w:t>
            </w:r>
          </w:p>
        </w:tc>
      </w:tr>
      <w:tr>
        <w:trPr>
          <w:trHeight w:val="525" w:hRule="atLeast"/>
        </w:trPr>
        <w:tc>
          <w:tcPr>
            <w:tcW w:w="3116" w:type="dxa"/>
            <w:vAlign w:val="center"/>
          </w:tcPr>
          <w:p>
            <w:pPr>
              <w:spacing w:after="0" w:line="240" w:lineRule="auto"/>
              <w:jc w:val="left"/>
              <w:rPr>
                <w:color w:val="000000" w:themeColor="text1"/>
                <w14:textFill>
                  <w14:solidFill>
                    <w14:schemeClr w14:val="tx1"/>
                  </w14:solidFill>
                </w14:textFill>
              </w:rPr>
            </w:pPr>
            <w:r>
              <w:rPr>
                <w:color w:val="000000" w:themeColor="text1"/>
                <w14:textFill>
                  <w14:solidFill>
                    <w14:schemeClr w14:val="tx1"/>
                  </w14:solidFill>
                </w14:textFill>
              </w:rPr>
              <w:t>Asset Turnover Ratio</w:t>
            </w:r>
          </w:p>
        </w:tc>
        <w:tc>
          <w:tcPr>
            <w:tcW w:w="3117" w:type="dxa"/>
            <w:vAlign w:val="center"/>
          </w:tcPr>
          <w:p>
            <w:pPr>
              <w:spacing w:after="0" w:line="240" w:lineRule="auto"/>
              <w:jc w:val="center"/>
              <w:rPr>
                <w:i/>
                <w:iCs/>
                <w:color w:val="000000" w:themeColor="text1"/>
                <w14:textFill>
                  <w14:solidFill>
                    <w14:schemeClr w14:val="tx1"/>
                  </w14:solidFill>
                </w14:textFill>
              </w:rPr>
            </w:pPr>
            <w:r>
              <w:rPr>
                <w:i/>
                <w:iCs/>
                <w:color w:val="000000" w:themeColor="text1"/>
                <w14:textFill>
                  <w14:solidFill>
                    <w14:schemeClr w14:val="tx1"/>
                  </w14:solidFill>
                </w14:textFill>
              </w:rPr>
              <w:t>Revenue / Total Assets</w:t>
            </w:r>
          </w:p>
        </w:tc>
        <w:tc>
          <w:tcPr>
            <w:tcW w:w="3117" w:type="dxa"/>
            <w:vAlign w:val="center"/>
          </w:tcPr>
          <w:p>
            <w:pPr>
              <w:keepNext/>
              <w:spacing w:after="0" w:line="240" w:lineRule="auto"/>
              <w:jc w:val="center"/>
              <w:rPr>
                <w:color w:val="000000" w:themeColor="text1"/>
                <w14:textFill>
                  <w14:solidFill>
                    <w14:schemeClr w14:val="tx1"/>
                  </w14:solidFill>
                </w14:textFill>
              </w:rPr>
            </w:pPr>
            <w:r>
              <w:rPr>
                <w:color w:val="000000" w:themeColor="text1"/>
                <w14:textFill>
                  <w14:solidFill>
                    <w14:schemeClr w14:val="tx1"/>
                  </w14:solidFill>
                </w14:textFill>
              </w:rPr>
              <w:t>0.51 x</w:t>
            </w:r>
          </w:p>
        </w:tc>
      </w:tr>
    </w:tbl>
    <w:p>
      <w:pPr>
        <w:pStyle w:val="6"/>
        <w:jc w:val="center"/>
        <w:rPr>
          <w:b/>
          <w:bCs/>
          <w:i w:val="0"/>
          <w:iCs w:val="0"/>
          <w:color w:val="000000" w:themeColor="text1"/>
          <w14:textFill>
            <w14:solidFill>
              <w14:schemeClr w14:val="tx1"/>
            </w14:solidFill>
          </w14:textFill>
        </w:rPr>
      </w:pPr>
      <w:r>
        <w:rPr>
          <w:b/>
          <w:bCs/>
          <w:i w:val="0"/>
          <w:iCs w:val="0"/>
          <w:color w:val="000000" w:themeColor="text1"/>
          <w14:textFill>
            <w14:solidFill>
              <w14:schemeClr w14:val="tx1"/>
            </w14:solidFill>
          </w14:textFill>
        </w:rPr>
        <w:t xml:space="preserve">Table </w:t>
      </w:r>
      <w:r>
        <w:rPr>
          <w:b/>
          <w:bCs/>
          <w:i w:val="0"/>
          <w:iCs w:val="0"/>
          <w:color w:val="000000" w:themeColor="text1"/>
          <w14:textFill>
            <w14:solidFill>
              <w14:schemeClr w14:val="tx1"/>
            </w14:solidFill>
          </w14:textFill>
        </w:rPr>
        <w:fldChar w:fldCharType="begin"/>
      </w:r>
      <w:r>
        <w:rPr>
          <w:b/>
          <w:bCs/>
          <w:i w:val="0"/>
          <w:iCs w:val="0"/>
          <w:color w:val="000000" w:themeColor="text1"/>
          <w14:textFill>
            <w14:solidFill>
              <w14:schemeClr w14:val="tx1"/>
            </w14:solidFill>
          </w14:textFill>
        </w:rPr>
        <w:instrText xml:space="preserve"> SEQ Table \* ARABIC </w:instrText>
      </w:r>
      <w:r>
        <w:rPr>
          <w:b/>
          <w:bCs/>
          <w:i w:val="0"/>
          <w:iCs w:val="0"/>
          <w:color w:val="000000" w:themeColor="text1"/>
          <w14:textFill>
            <w14:solidFill>
              <w14:schemeClr w14:val="tx1"/>
            </w14:solidFill>
          </w14:textFill>
        </w:rPr>
        <w:fldChar w:fldCharType="separate"/>
      </w:r>
      <w:r>
        <w:rPr>
          <w:b/>
          <w:bCs/>
          <w:i w:val="0"/>
          <w:iCs w:val="0"/>
          <w:color w:val="000000" w:themeColor="text1"/>
          <w14:textFill>
            <w14:solidFill>
              <w14:schemeClr w14:val="tx1"/>
            </w14:solidFill>
          </w14:textFill>
        </w:rPr>
        <w:t>1</w:t>
      </w:r>
      <w:r>
        <w:rPr>
          <w:b/>
          <w:bCs/>
          <w:i w:val="0"/>
          <w:iCs w:val="0"/>
          <w:color w:val="000000" w:themeColor="text1"/>
          <w14:textFill>
            <w14:solidFill>
              <w14:schemeClr w14:val="tx1"/>
            </w14:solidFill>
          </w14:textFill>
        </w:rPr>
        <w:fldChar w:fldCharType="end"/>
      </w:r>
      <w:r>
        <w:rPr>
          <w:b/>
          <w:bCs/>
          <w:i w:val="0"/>
          <w:iCs w:val="0"/>
          <w:color w:val="000000" w:themeColor="text1"/>
          <w14:textFill>
            <w14:solidFill>
              <w14:schemeClr w14:val="tx1"/>
            </w14:solidFill>
          </w14:textFill>
        </w:rPr>
        <w:t>: Calculation with formula, Source: Brealey et al., 2017</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Now, the calculation is explained in the following points: </w:t>
      </w:r>
    </w:p>
    <w:p>
      <w:pPr>
        <w:pStyle w:val="3"/>
      </w:pPr>
      <w:bookmarkStart w:id="6" w:name="_Toc159960164"/>
      <w:r>
        <w:t>Return on Equity</w:t>
      </w:r>
      <w:bookmarkEnd w:id="6"/>
    </w:p>
    <w:p>
      <w:pPr>
        <w:rPr>
          <w:color w:val="000000" w:themeColor="text1"/>
          <w14:textFill>
            <w14:solidFill>
              <w14:schemeClr w14:val="tx1"/>
            </w14:solidFill>
          </w14:textFill>
        </w:rPr>
      </w:pPr>
      <w:r>
        <w:rPr>
          <w:color w:val="000000" w:themeColor="text1"/>
          <w14:textFill>
            <w14:solidFill>
              <w14:schemeClr w14:val="tx1"/>
            </w14:solidFill>
          </w14:textFill>
        </w:rPr>
        <w:t xml:space="preserve">ROE is very important for calculation of returns that is expected after making an investment in the business. It is an indicator of profitability and in the long run, sustainability for a business. In this case of AAC performance in 2022, they had an ROE of 1.49% which indicates that for every dollar that the business had invested in their business operations, the company generated a profitability of 1.49% cents only. Though the return on Equity is still positive but, it does not show a lucrative amount that can attract investors from the foreign areas to invest in their business to get a further and better business operation in the market. However, the problem behind this low value might be the inefficiency of the business to utilize its existing resources in the business market.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Now, such low return on Equity can result from different types of issues such as low profitability from the revenue being generated from the market operations which is the main source of the business profitability over time. Moreover, inefficient asset management such as the prediction of assessing risks related with a particular asset in this case needs to be maintained carefully so that the losses can be mitigated (Higgins, 2021). But here, the business might have made some wrong moves in the market that made the business retain lower profitability. Additionally, the business if operated with excessive leverage in the business market, then it can result in a lower ROE from the existing operations of the business over time.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To track the growth and financial performance of the business over time, assessing the company’s ROE with industry average of the peer companies in the same industry is very important which provides a business to ensure boost or push at their back so that they can get a better success over time. Competitiveness in the business market is one of the most important issues that needs to be addressed by the existing businesses in the market. According to Block &amp; Hirt (2022), ROE can be related with the sustainability of the actions taken by the business over time as the business needs to conduct their strategies in such a way that can assure their stakeholders about the feasibility and sustainability of the business. Atlantic American Corporation might have lower credibility in their sustainability operations which reflected in their lower return on Equity over time. But if this issue continues to retain in the business, then the investors or the equity holders of the business might be demotivated to invest further in the business as they might lose their confidence about the profitability and potential of the business in future (Horngren et al., 2021). </w:t>
      </w:r>
    </w:p>
    <w:p>
      <w:pPr>
        <w:pStyle w:val="3"/>
      </w:pPr>
      <w:bookmarkStart w:id="7" w:name="_Toc159960165"/>
      <w:r>
        <w:t>Current Ratio</w:t>
      </w:r>
      <w:bookmarkEnd w:id="7"/>
    </w:p>
    <w:p>
      <w:pPr>
        <w:rPr>
          <w:color w:val="000000" w:themeColor="text1"/>
          <w14:textFill>
            <w14:solidFill>
              <w14:schemeClr w14:val="tx1"/>
            </w14:solidFill>
          </w14:textFill>
        </w:rPr>
      </w:pPr>
      <w:r>
        <w:rPr>
          <w:color w:val="000000" w:themeColor="text1"/>
          <w14:textFill>
            <w14:solidFill>
              <w14:schemeClr w14:val="tx1"/>
            </w14:solidFill>
          </w14:textFill>
        </w:rPr>
        <w:t xml:space="preserve">The business has a current ratio of 62.4% which means that with the existing available assets of the business, they can pay off only 62.4% of the current liabilities. As maintaining current ratio is one of the foremost concerns of the business being an indicator of the business performance in the present times, Atlantic American Corporation needs to develop their current ration as it might face challenges in meeting their short-term obligations with its current assets. If the current ratio is more than 100% then it indicates a safe investment for the investors in this case as the business would be able to meet its obligations buy itself over the recent changes in the business operations. </w:t>
      </w:r>
    </w:p>
    <w:p>
      <w:pPr>
        <w:rPr>
          <w:color w:val="000000" w:themeColor="text1"/>
          <w14:textFill>
            <w14:solidFill>
              <w14:schemeClr w14:val="tx1"/>
            </w14:solidFill>
          </w14:textFill>
        </w:rPr>
      </w:pPr>
      <w:r>
        <w:rPr>
          <w:color w:val="000000" w:themeColor="text1"/>
          <w14:textFill>
            <w14:solidFill>
              <w14:schemeClr w14:val="tx1"/>
            </w14:solidFill>
          </w14:textFill>
        </w:rPr>
        <w:t>As a current ratio as low as 62.4% might arise concerns about the business potential and the survival of the business in the coming challenges in future in the insurance industry, it has become very essential to restructure its business model so that it can lower their current liabilities compared to the current assets of the business. As the timing of cash flows of the business is limited. due to the nature of their business operations, AAC needs to be rethink in a creative way so that they can ensure a better sourcing of cash flows which can support their business operations to flourish with more capital injected from the surplus cash flows. A low current ratio imposes a higher liquidity risk for businesses as it is stressful for businesses to operate with such higher risks in the market (Arnold, 2019). So, the top management of Atlantic American Corporation needs to monitor their working capital management in their business so that the cash flow dynamics within the business can be managed with proper care and expertise. According to Ross et al. (2020), often excessively higher or lower current ratio might indicate inefficiencies and financial distress within the business. In this case of AAC, a similar scenario can be experienced. So, the business needs to create a balance in their liquidity management in their business so that they can be prepared for anu unexpected situation in the business market that can threaten their survival with any sudden challenges in the competitive marketplace.</w:t>
      </w:r>
    </w:p>
    <w:p>
      <w:pPr>
        <w:pStyle w:val="3"/>
      </w:pPr>
      <w:bookmarkStart w:id="8" w:name="_Toc159960166"/>
      <w:r>
        <w:t>Debt to Equity Ratio</w:t>
      </w:r>
      <w:bookmarkEnd w:id="8"/>
    </w:p>
    <w:p>
      <w:pPr>
        <w:rPr>
          <w:color w:val="000000" w:themeColor="text1"/>
          <w14:textFill>
            <w14:solidFill>
              <w14:schemeClr w14:val="tx1"/>
            </w14:solidFill>
          </w14:textFill>
        </w:rPr>
      </w:pPr>
      <w:r>
        <w:rPr>
          <w:color w:val="000000" w:themeColor="text1"/>
          <w14:textFill>
            <w14:solidFill>
              <w14:schemeClr w14:val="tx1"/>
            </w14:solidFill>
          </w14:textFill>
        </w:rPr>
        <w:t xml:space="preserve">According to the calculation, the debt-to-equity ratio of the business is 2.59 times which indicates that the business relies more on their debt compared to their existing equity in their business. So, for a business which is offering services to their customers around the world at various destinations, to support its operations and growth of the business maintaining this ratio is very important. Debt financing can often limit the growth of the business as if the performance of the business gets declined, then related challenges of paying off the debts to the debtors can create a significant fall in the available free cash flow in the business.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Though debt is very typical for insurance companies as they mostly operate with the premiums collected from their policy holders, but often the level of debt needs to be checked so that the quality of the business operations and management does not fall drastically (Block &amp; Hirt, 2022). In case of AAC, such high level of debt-to-Equity ratio can impede their development goals and increase the financial risks in the business market. With this, the interest expenses in the business market might also be affected by the high level of debt causing the cash outflow from the business to rise over time. As a consequence, the profitability of the business can be impacted, and the creditworthiness of the business might be compromised as the investors and lenders to the business will lose their confidence in the business. The industry’s debt to Equity ratio can be assessed by the business to understand their position in the market from a different perspective and this can help them to get a better understanding of their responsibilities to tackle the challenges that they are facing in managing their responsibilities in the market. </w:t>
      </w:r>
    </w:p>
    <w:p>
      <w:pPr>
        <w:pStyle w:val="3"/>
      </w:pPr>
      <w:bookmarkStart w:id="9" w:name="_Toc159960167"/>
      <w:r>
        <w:t>Asset Turnover Ratio</w:t>
      </w:r>
      <w:bookmarkEnd w:id="9"/>
    </w:p>
    <w:p>
      <w:pPr>
        <w:rPr>
          <w:color w:val="000000" w:themeColor="text1"/>
          <w14:textFill>
            <w14:solidFill>
              <w14:schemeClr w14:val="tx1"/>
            </w14:solidFill>
          </w14:textFill>
        </w:rPr>
      </w:pPr>
      <w:r>
        <w:rPr>
          <w:color w:val="000000" w:themeColor="text1"/>
          <w14:textFill>
            <w14:solidFill>
              <w14:schemeClr w14:val="tx1"/>
            </w14:solidFill>
          </w14:textFill>
        </w:rPr>
        <w:t xml:space="preserve">Atlantic’s asset turnover ratio is 0.51x which indicates that the business earns 0.51 dollars of revenue for every dollar of assets that the business has in it. So, it indicates a lower efficiency in managing their capital assets that they are using in the business market compared to the peer ones in the same industry.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Underutilization of available assets might result in a lower asset turnover ratio in the business market. In this case, the strategic management of the business by the top management might be a little inefficient in setting up policies and strategies that can protect their business against issues such as moral hazard and adverse selection effect. Often policyholders are seen to act in a risky way which creates a challenge for the insurance companies to support those with financial support. Here, Atlantic American Corporation needs to maintain their strategy in such a way that it can review the practices of other peer groups to identify the areas where the business is lacking in their strategies. Through selection of these issues, the business can mitigate their weak points and cover their financial losses that they were experiencing from the sudden claim of premiums by the policyholders in the business market (Smart, Megginson, &amp; Gitman, 2022). Optimization of asset utilization is also important to enhance profitability from the business operations as if continuous operational enhancements are ensured, then strategic investments by the business can be done. </w:t>
      </w:r>
    </w:p>
    <w:p>
      <w:pPr>
        <w:rPr>
          <w:color w:val="000000" w:themeColor="text1"/>
          <w14:textFill>
            <w14:solidFill>
              <w14:schemeClr w14:val="tx1"/>
            </w14:solidFill>
          </w14:textFill>
        </w:rPr>
      </w:pPr>
      <w:r>
        <w:rPr>
          <w:color w:val="000000" w:themeColor="text1"/>
          <w14:textFill>
            <w14:solidFill>
              <w14:schemeClr w14:val="tx1"/>
            </w14:solidFill>
          </w14:textFill>
        </w:rPr>
        <w:t>Critical evaluation of the financial performance of Atlantic American Corporation can indicate the way that can help the business to highlight their improvement areas for getting a better view of the existing opportunities in the insurance industry around the globe. To compare the performance with a major competitor of the business, MetLife, the financial statement of MetLife in 2022 has been collected and similar ratios has been calculated to see the relative performance of the business. Below here, are the financial ratios for both Atlantic American Corporation and MetLife for the year 2022:</w:t>
      </w:r>
    </w:p>
    <w:tbl>
      <w:tblPr>
        <w:tblStyle w:val="10"/>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5"/>
        <w:gridCol w:w="2700"/>
        <w:gridCol w:w="2892"/>
      </w:tblGrid>
      <w:tr>
        <w:trPr>
          <w:trHeight w:val="809" w:hRule="atLeast"/>
        </w:trPr>
        <w:tc>
          <w:tcPr>
            <w:tcW w:w="3685" w:type="dxa"/>
            <w:vAlign w:val="center"/>
          </w:tcPr>
          <w:p>
            <w:pPr>
              <w:spacing w:after="0" w:line="240" w:lineRule="auto"/>
              <w:jc w:val="center"/>
              <w:rPr>
                <w:b/>
                <w:bCs/>
                <w:color w:val="000000" w:themeColor="text1"/>
                <w14:textFill>
                  <w14:solidFill>
                    <w14:schemeClr w14:val="tx1"/>
                  </w14:solidFill>
                </w14:textFill>
              </w:rPr>
            </w:pPr>
            <w:r>
              <w:rPr>
                <w:b/>
                <w:bCs/>
                <w:color w:val="000000" w:themeColor="text1"/>
                <w14:textFill>
                  <w14:solidFill>
                    <w14:schemeClr w14:val="tx1"/>
                  </w14:solidFill>
                </w14:textFill>
              </w:rPr>
              <w:t>Ratio</w:t>
            </w:r>
          </w:p>
        </w:tc>
        <w:tc>
          <w:tcPr>
            <w:tcW w:w="2700" w:type="dxa"/>
            <w:vAlign w:val="center"/>
          </w:tcPr>
          <w:p>
            <w:pPr>
              <w:spacing w:after="160" w:line="360" w:lineRule="auto"/>
              <w:jc w:val="center"/>
              <w:rPr>
                <w:b/>
                <w:bCs/>
                <w:color w:val="000000" w:themeColor="text1"/>
                <w14:textFill>
                  <w14:solidFill>
                    <w14:schemeClr w14:val="tx1"/>
                  </w14:solidFill>
                </w14:textFill>
              </w:rPr>
            </w:pPr>
            <w:r>
              <w:rPr>
                <w:b/>
                <w:bCs/>
                <w:color w:val="000000" w:themeColor="text1"/>
                <w14:textFill>
                  <w14:solidFill>
                    <w14:schemeClr w14:val="tx1"/>
                  </w14:solidFill>
                </w14:textFill>
              </w:rPr>
              <w:t>Atlantic American Corporation</w:t>
            </w:r>
          </w:p>
        </w:tc>
        <w:tc>
          <w:tcPr>
            <w:tcW w:w="2892" w:type="dxa"/>
            <w:vAlign w:val="center"/>
          </w:tcPr>
          <w:p>
            <w:pPr>
              <w:spacing w:after="160" w:line="360" w:lineRule="auto"/>
              <w:jc w:val="center"/>
              <w:rPr>
                <w:b/>
                <w:bCs/>
                <w:color w:val="000000" w:themeColor="text1"/>
                <w14:textFill>
                  <w14:solidFill>
                    <w14:schemeClr w14:val="tx1"/>
                  </w14:solidFill>
                </w14:textFill>
              </w:rPr>
            </w:pPr>
            <w:r>
              <w:rPr>
                <w:b/>
                <w:bCs/>
                <w:color w:val="000000" w:themeColor="text1"/>
                <w14:textFill>
                  <w14:solidFill>
                    <w14:schemeClr w14:val="tx1"/>
                  </w14:solidFill>
                </w14:textFill>
              </w:rPr>
              <w:t>MetLife</w:t>
            </w:r>
          </w:p>
        </w:tc>
      </w:tr>
      <w:tr>
        <w:trPr>
          <w:trHeight w:val="587" w:hRule="atLeast"/>
        </w:trPr>
        <w:tc>
          <w:tcPr>
            <w:tcW w:w="3685" w:type="dxa"/>
            <w:vAlign w:val="center"/>
          </w:tcPr>
          <w:p>
            <w:pPr>
              <w:spacing w:after="160" w:line="360" w:lineRule="auto"/>
              <w:jc w:val="left"/>
              <w:rPr>
                <w:color w:val="000000" w:themeColor="text1"/>
                <w14:textFill>
                  <w14:solidFill>
                    <w14:schemeClr w14:val="tx1"/>
                  </w14:solidFill>
                </w14:textFill>
              </w:rPr>
            </w:pPr>
            <w:r>
              <w:rPr>
                <w:color w:val="000000" w:themeColor="text1"/>
                <w14:textFill>
                  <w14:solidFill>
                    <w14:schemeClr w14:val="tx1"/>
                  </w14:solidFill>
                </w14:textFill>
              </w:rPr>
              <w:t>Return on Equity (ROE)</w:t>
            </w:r>
          </w:p>
        </w:tc>
        <w:tc>
          <w:tcPr>
            <w:tcW w:w="2700" w:type="dxa"/>
            <w:vAlign w:val="center"/>
          </w:tcPr>
          <w:p>
            <w:pPr>
              <w:spacing w:after="0" w:line="240" w:lineRule="auto"/>
              <w:jc w:val="center"/>
              <w:rPr>
                <w:color w:val="000000" w:themeColor="text1"/>
                <w14:textFill>
                  <w14:solidFill>
                    <w14:schemeClr w14:val="tx1"/>
                  </w14:solidFill>
                </w14:textFill>
              </w:rPr>
            </w:pPr>
            <w:r>
              <w:rPr>
                <w:color w:val="000000" w:themeColor="text1"/>
                <w14:textFill>
                  <w14:solidFill>
                    <w14:schemeClr w14:val="tx1"/>
                  </w14:solidFill>
                </w14:textFill>
              </w:rPr>
              <w:t>1.49%</w:t>
            </w:r>
          </w:p>
        </w:tc>
        <w:tc>
          <w:tcPr>
            <w:tcW w:w="2892" w:type="dxa"/>
            <w:vAlign w:val="center"/>
          </w:tcPr>
          <w:p>
            <w:pPr>
              <w:spacing w:after="0" w:line="240" w:lineRule="auto"/>
              <w:jc w:val="center"/>
              <w:rPr>
                <w:color w:val="000000" w:themeColor="text1"/>
                <w14:textFill>
                  <w14:solidFill>
                    <w14:schemeClr w14:val="tx1"/>
                  </w14:solidFill>
                </w14:textFill>
              </w:rPr>
            </w:pPr>
            <w:r>
              <w:rPr>
                <w:color w:val="000000" w:themeColor="text1"/>
                <w14:textFill>
                  <w14:solidFill>
                    <w14:schemeClr w14:val="tx1"/>
                  </w14:solidFill>
                </w14:textFill>
              </w:rPr>
              <w:t>8.25%</w:t>
            </w:r>
          </w:p>
        </w:tc>
      </w:tr>
      <w:tr>
        <w:trPr>
          <w:trHeight w:val="600" w:hRule="atLeast"/>
        </w:trPr>
        <w:tc>
          <w:tcPr>
            <w:tcW w:w="3685" w:type="dxa"/>
            <w:vAlign w:val="center"/>
          </w:tcPr>
          <w:p>
            <w:pPr>
              <w:spacing w:after="0" w:line="240" w:lineRule="auto"/>
              <w:jc w:val="left"/>
              <w:rPr>
                <w:color w:val="000000" w:themeColor="text1"/>
                <w14:textFill>
                  <w14:solidFill>
                    <w14:schemeClr w14:val="tx1"/>
                  </w14:solidFill>
                </w14:textFill>
              </w:rPr>
            </w:pPr>
            <w:r>
              <w:rPr>
                <w:color w:val="000000" w:themeColor="text1"/>
                <w14:textFill>
                  <w14:solidFill>
                    <w14:schemeClr w14:val="tx1"/>
                  </w14:solidFill>
                </w14:textFill>
              </w:rPr>
              <w:t>Current Ratio</w:t>
            </w:r>
          </w:p>
        </w:tc>
        <w:tc>
          <w:tcPr>
            <w:tcW w:w="2700" w:type="dxa"/>
            <w:vAlign w:val="center"/>
          </w:tcPr>
          <w:p>
            <w:pPr>
              <w:spacing w:after="0" w:line="240" w:lineRule="auto"/>
              <w:jc w:val="center"/>
              <w:rPr>
                <w:color w:val="000000" w:themeColor="text1"/>
                <w14:textFill>
                  <w14:solidFill>
                    <w14:schemeClr w14:val="tx1"/>
                  </w14:solidFill>
                </w14:textFill>
              </w:rPr>
            </w:pPr>
            <w:r>
              <w:rPr>
                <w:color w:val="000000" w:themeColor="text1"/>
                <w14:textFill>
                  <w14:solidFill>
                    <w14:schemeClr w14:val="tx1"/>
                  </w14:solidFill>
                </w14:textFill>
              </w:rPr>
              <w:t>62.4%</w:t>
            </w:r>
          </w:p>
        </w:tc>
        <w:tc>
          <w:tcPr>
            <w:tcW w:w="2892" w:type="dxa"/>
            <w:vAlign w:val="center"/>
          </w:tcPr>
          <w:p>
            <w:pPr>
              <w:spacing w:after="0" w:line="240" w:lineRule="auto"/>
              <w:jc w:val="center"/>
              <w:rPr>
                <w:color w:val="000000" w:themeColor="text1"/>
                <w14:textFill>
                  <w14:solidFill>
                    <w14:schemeClr w14:val="tx1"/>
                  </w14:solidFill>
                </w14:textFill>
              </w:rPr>
            </w:pPr>
            <w:r>
              <w:rPr>
                <w:color w:val="000000" w:themeColor="text1"/>
                <w14:textFill>
                  <w14:solidFill>
                    <w14:schemeClr w14:val="tx1"/>
                  </w14:solidFill>
                </w14:textFill>
              </w:rPr>
              <w:t>110%</w:t>
            </w:r>
          </w:p>
        </w:tc>
      </w:tr>
      <w:tr>
        <w:trPr>
          <w:trHeight w:val="600" w:hRule="atLeast"/>
        </w:trPr>
        <w:tc>
          <w:tcPr>
            <w:tcW w:w="3685" w:type="dxa"/>
            <w:vAlign w:val="center"/>
          </w:tcPr>
          <w:p>
            <w:pPr>
              <w:spacing w:after="0" w:line="240" w:lineRule="auto"/>
              <w:jc w:val="left"/>
              <w:rPr>
                <w:color w:val="000000" w:themeColor="text1"/>
                <w14:textFill>
                  <w14:solidFill>
                    <w14:schemeClr w14:val="tx1"/>
                  </w14:solidFill>
                </w14:textFill>
              </w:rPr>
            </w:pPr>
            <w:r>
              <w:rPr>
                <w:color w:val="000000" w:themeColor="text1"/>
                <w14:textFill>
                  <w14:solidFill>
                    <w14:schemeClr w14:val="tx1"/>
                  </w14:solidFill>
                </w14:textFill>
              </w:rPr>
              <w:t>Debt-to-Equity Ratio</w:t>
            </w:r>
          </w:p>
        </w:tc>
        <w:tc>
          <w:tcPr>
            <w:tcW w:w="2700" w:type="dxa"/>
            <w:vAlign w:val="center"/>
          </w:tcPr>
          <w:p>
            <w:pPr>
              <w:spacing w:after="0" w:line="240" w:lineRule="auto"/>
              <w:jc w:val="center"/>
              <w:rPr>
                <w:color w:val="000000" w:themeColor="text1"/>
                <w14:textFill>
                  <w14:solidFill>
                    <w14:schemeClr w14:val="tx1"/>
                  </w14:solidFill>
                </w14:textFill>
              </w:rPr>
            </w:pPr>
            <w:r>
              <w:rPr>
                <w:color w:val="000000" w:themeColor="text1"/>
                <w14:textFill>
                  <w14:solidFill>
                    <w14:schemeClr w14:val="tx1"/>
                  </w14:solidFill>
                </w14:textFill>
              </w:rPr>
              <w:t>2.59x</w:t>
            </w:r>
          </w:p>
        </w:tc>
        <w:tc>
          <w:tcPr>
            <w:tcW w:w="2892" w:type="dxa"/>
            <w:vAlign w:val="center"/>
          </w:tcPr>
          <w:p>
            <w:pPr>
              <w:spacing w:after="0" w:line="240" w:lineRule="auto"/>
              <w:jc w:val="center"/>
              <w:rPr>
                <w:color w:val="000000" w:themeColor="text1"/>
                <w14:textFill>
                  <w14:solidFill>
                    <w14:schemeClr w14:val="tx1"/>
                  </w14:solidFill>
                </w14:textFill>
              </w:rPr>
            </w:pPr>
            <w:r>
              <w:rPr>
                <w:color w:val="000000" w:themeColor="text1"/>
                <w14:textFill>
                  <w14:solidFill>
                    <w14:schemeClr w14:val="tx1"/>
                  </w14:solidFill>
                </w14:textFill>
              </w:rPr>
              <w:t>0.68x</w:t>
            </w:r>
          </w:p>
        </w:tc>
      </w:tr>
      <w:tr>
        <w:trPr>
          <w:trHeight w:val="587" w:hRule="atLeast"/>
        </w:trPr>
        <w:tc>
          <w:tcPr>
            <w:tcW w:w="3685" w:type="dxa"/>
            <w:vAlign w:val="center"/>
          </w:tcPr>
          <w:p>
            <w:pPr>
              <w:spacing w:after="0" w:line="240" w:lineRule="auto"/>
              <w:jc w:val="left"/>
              <w:rPr>
                <w:color w:val="000000" w:themeColor="text1"/>
                <w14:textFill>
                  <w14:solidFill>
                    <w14:schemeClr w14:val="tx1"/>
                  </w14:solidFill>
                </w14:textFill>
              </w:rPr>
            </w:pPr>
            <w:r>
              <w:rPr>
                <w:color w:val="000000" w:themeColor="text1"/>
                <w14:textFill>
                  <w14:solidFill>
                    <w14:schemeClr w14:val="tx1"/>
                  </w14:solidFill>
                </w14:textFill>
              </w:rPr>
              <w:t>Asset Turnover Ratio</w:t>
            </w:r>
          </w:p>
        </w:tc>
        <w:tc>
          <w:tcPr>
            <w:tcW w:w="2700" w:type="dxa"/>
            <w:vAlign w:val="center"/>
          </w:tcPr>
          <w:p>
            <w:pPr>
              <w:spacing w:after="0" w:line="240" w:lineRule="auto"/>
              <w:jc w:val="center"/>
              <w:rPr>
                <w:color w:val="000000" w:themeColor="text1"/>
                <w14:textFill>
                  <w14:solidFill>
                    <w14:schemeClr w14:val="tx1"/>
                  </w14:solidFill>
                </w14:textFill>
              </w:rPr>
            </w:pPr>
            <w:r>
              <w:rPr>
                <w:color w:val="000000" w:themeColor="text1"/>
                <w14:textFill>
                  <w14:solidFill>
                    <w14:schemeClr w14:val="tx1"/>
                  </w14:solidFill>
                </w14:textFill>
              </w:rPr>
              <w:t>0.51x</w:t>
            </w:r>
          </w:p>
        </w:tc>
        <w:tc>
          <w:tcPr>
            <w:tcW w:w="2892" w:type="dxa"/>
            <w:vAlign w:val="center"/>
          </w:tcPr>
          <w:p>
            <w:pPr>
              <w:keepNext/>
              <w:spacing w:after="0" w:line="240" w:lineRule="auto"/>
              <w:jc w:val="center"/>
              <w:rPr>
                <w:color w:val="000000" w:themeColor="text1"/>
                <w14:textFill>
                  <w14:solidFill>
                    <w14:schemeClr w14:val="tx1"/>
                  </w14:solidFill>
                </w14:textFill>
              </w:rPr>
            </w:pPr>
            <w:r>
              <w:rPr>
                <w:color w:val="000000" w:themeColor="text1"/>
                <w14:textFill>
                  <w14:solidFill>
                    <w14:schemeClr w14:val="tx1"/>
                  </w14:solidFill>
                </w14:textFill>
              </w:rPr>
              <w:t>0.85x</w:t>
            </w:r>
          </w:p>
        </w:tc>
      </w:tr>
    </w:tbl>
    <w:p>
      <w:pPr>
        <w:pStyle w:val="6"/>
        <w:jc w:val="center"/>
        <w:rPr>
          <w:b/>
          <w:bCs/>
          <w:i w:val="0"/>
          <w:iCs w:val="0"/>
          <w:color w:val="000000" w:themeColor="text1"/>
          <w14:textFill>
            <w14:solidFill>
              <w14:schemeClr w14:val="tx1"/>
            </w14:solidFill>
          </w14:textFill>
        </w:rPr>
      </w:pPr>
      <w:r>
        <w:rPr>
          <w:b/>
          <w:bCs/>
          <w:i w:val="0"/>
          <w:iCs w:val="0"/>
          <w:color w:val="000000" w:themeColor="text1"/>
          <w14:textFill>
            <w14:solidFill>
              <w14:schemeClr w14:val="tx1"/>
            </w14:solidFill>
          </w14:textFill>
        </w:rPr>
        <w:t xml:space="preserve">Table </w:t>
      </w:r>
      <w:r>
        <w:rPr>
          <w:b/>
          <w:bCs/>
          <w:i w:val="0"/>
          <w:iCs w:val="0"/>
          <w:color w:val="000000" w:themeColor="text1"/>
          <w14:textFill>
            <w14:solidFill>
              <w14:schemeClr w14:val="tx1"/>
            </w14:solidFill>
          </w14:textFill>
        </w:rPr>
        <w:fldChar w:fldCharType="begin"/>
      </w:r>
      <w:r>
        <w:rPr>
          <w:b/>
          <w:bCs/>
          <w:i w:val="0"/>
          <w:iCs w:val="0"/>
          <w:color w:val="000000" w:themeColor="text1"/>
          <w14:textFill>
            <w14:solidFill>
              <w14:schemeClr w14:val="tx1"/>
            </w14:solidFill>
          </w14:textFill>
        </w:rPr>
        <w:instrText xml:space="preserve"> SEQ Table \* ARABIC </w:instrText>
      </w:r>
      <w:r>
        <w:rPr>
          <w:b/>
          <w:bCs/>
          <w:i w:val="0"/>
          <w:iCs w:val="0"/>
          <w:color w:val="000000" w:themeColor="text1"/>
          <w14:textFill>
            <w14:solidFill>
              <w14:schemeClr w14:val="tx1"/>
            </w14:solidFill>
          </w14:textFill>
        </w:rPr>
        <w:fldChar w:fldCharType="separate"/>
      </w:r>
      <w:r>
        <w:rPr>
          <w:b/>
          <w:bCs/>
          <w:i w:val="0"/>
          <w:iCs w:val="0"/>
          <w:color w:val="000000" w:themeColor="text1"/>
          <w14:textFill>
            <w14:solidFill>
              <w14:schemeClr w14:val="tx1"/>
            </w14:solidFill>
          </w14:textFill>
        </w:rPr>
        <w:t>2</w:t>
      </w:r>
      <w:r>
        <w:rPr>
          <w:b/>
          <w:bCs/>
          <w:i w:val="0"/>
          <w:iCs w:val="0"/>
          <w:color w:val="000000" w:themeColor="text1"/>
          <w14:textFill>
            <w14:solidFill>
              <w14:schemeClr w14:val="tx1"/>
            </w14:solidFill>
          </w14:textFill>
        </w:rPr>
        <w:fldChar w:fldCharType="end"/>
      </w:r>
      <w:r>
        <w:rPr>
          <w:b/>
          <w:bCs/>
          <w:i w:val="0"/>
          <w:iCs w:val="0"/>
          <w:color w:val="000000" w:themeColor="text1"/>
          <w14:textFill>
            <w14:solidFill>
              <w14:schemeClr w14:val="tx1"/>
            </w14:solidFill>
          </w14:textFill>
        </w:rPr>
        <w:t>: Calculation with formula, Source: Brealey et al., 2017</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Here, compared to the competitor, MetLife, the performance of Atlantic American Corporation has been discussed below: </w:t>
      </w:r>
    </w:p>
    <w:p>
      <w:pPr>
        <w:pStyle w:val="15"/>
        <w:numPr>
          <w:ilvl w:val="0"/>
          <w:numId w:val="3"/>
        </w:numPr>
        <w:rPr>
          <w:b/>
          <w:bCs/>
          <w:color w:val="000000" w:themeColor="text1"/>
          <w14:textFill>
            <w14:solidFill>
              <w14:schemeClr w14:val="tx1"/>
            </w14:solidFill>
          </w14:textFill>
        </w:rPr>
      </w:pPr>
      <w:r>
        <w:rPr>
          <w:b/>
          <w:bCs/>
          <w:color w:val="000000" w:themeColor="text1"/>
          <w14:textFill>
            <w14:solidFill>
              <w14:schemeClr w14:val="tx1"/>
            </w14:solidFill>
          </w14:textFill>
        </w:rPr>
        <w:t>Return on Equity (ROE):</w:t>
      </w:r>
    </w:p>
    <w:p>
      <w:pPr>
        <w:rPr>
          <w:color w:val="000000" w:themeColor="text1"/>
          <w14:textFill>
            <w14:solidFill>
              <w14:schemeClr w14:val="tx1"/>
            </w14:solidFill>
          </w14:textFill>
        </w:rPr>
      </w:pPr>
      <w:r>
        <w:rPr>
          <w:color w:val="000000" w:themeColor="text1"/>
          <w14:textFill>
            <w14:solidFill>
              <w14:schemeClr w14:val="tx1"/>
            </w14:solidFill>
          </w14:textFill>
        </w:rPr>
        <w:t>MetLife's ROE of 8.25% is significantly higher than Atlantic American Corporation's ROE of 1.49%. This comparison indicates that the competitor, MetLife, is more effective in utilizing shareholder equity to generate profits compared to AAC in this case.</w:t>
      </w:r>
    </w:p>
    <w:p>
      <w:pPr>
        <w:pStyle w:val="15"/>
        <w:numPr>
          <w:ilvl w:val="0"/>
          <w:numId w:val="3"/>
        </w:numPr>
        <w:rPr>
          <w:b/>
          <w:bCs/>
          <w:color w:val="000000" w:themeColor="text1"/>
          <w14:textFill>
            <w14:solidFill>
              <w14:schemeClr w14:val="tx1"/>
            </w14:solidFill>
          </w14:textFill>
        </w:rPr>
      </w:pPr>
      <w:r>
        <w:rPr>
          <w:b/>
          <w:bCs/>
          <w:color w:val="000000" w:themeColor="text1"/>
          <w14:textFill>
            <w14:solidFill>
              <w14:schemeClr w14:val="tx1"/>
            </w14:solidFill>
          </w14:textFill>
        </w:rPr>
        <w:t>Current Ratio:</w:t>
      </w:r>
    </w:p>
    <w:p>
      <w:pPr>
        <w:rPr>
          <w:color w:val="000000" w:themeColor="text1"/>
          <w14:textFill>
            <w14:solidFill>
              <w14:schemeClr w14:val="tx1"/>
            </w14:solidFill>
          </w14:textFill>
        </w:rPr>
      </w:pPr>
      <w:r>
        <w:rPr>
          <w:color w:val="000000" w:themeColor="text1"/>
          <w14:textFill>
            <w14:solidFill>
              <w14:schemeClr w14:val="tx1"/>
            </w14:solidFill>
          </w14:textFill>
        </w:rPr>
        <w:t>According to the above calculation, MetLife's current ratio of 110% indicates a healthier liquidity position compared to Atlantic American Corporation's ratio of 62.4%. So, here, MetLife has better ability to meet its short-term obligations using its current assets compared to the situation of AAC.</w:t>
      </w:r>
    </w:p>
    <w:p>
      <w:pPr>
        <w:pStyle w:val="15"/>
        <w:numPr>
          <w:ilvl w:val="0"/>
          <w:numId w:val="3"/>
        </w:numPr>
        <w:rPr>
          <w:b/>
          <w:bCs/>
          <w:color w:val="000000" w:themeColor="text1"/>
          <w14:textFill>
            <w14:solidFill>
              <w14:schemeClr w14:val="tx1"/>
            </w14:solidFill>
          </w14:textFill>
        </w:rPr>
      </w:pPr>
      <w:r>
        <w:rPr>
          <w:b/>
          <w:bCs/>
          <w:color w:val="000000" w:themeColor="text1"/>
          <w14:textFill>
            <w14:solidFill>
              <w14:schemeClr w14:val="tx1"/>
            </w14:solidFill>
          </w14:textFill>
        </w:rPr>
        <w:t>Debt-to-Equity Ratio:</w:t>
      </w:r>
    </w:p>
    <w:p>
      <w:pPr>
        <w:rPr>
          <w:color w:val="000000" w:themeColor="text1"/>
          <w14:textFill>
            <w14:solidFill>
              <w14:schemeClr w14:val="tx1"/>
            </w14:solidFill>
          </w14:textFill>
        </w:rPr>
      </w:pPr>
      <w:r>
        <w:rPr>
          <w:color w:val="000000" w:themeColor="text1"/>
          <w14:textFill>
            <w14:solidFill>
              <w14:schemeClr w14:val="tx1"/>
            </w14:solidFill>
          </w14:textFill>
        </w:rPr>
        <w:t>Atlantic American Corporation's debt-to-equity ratio of 2.59x is considerably higher than MetLife's ratio of 0.68x in 2022. This indicates that Atlantic American Corporation relies more on debt financing relative to equity financing compared to MetLife which shows a higher risk for AAC.</w:t>
      </w:r>
    </w:p>
    <w:p>
      <w:pPr>
        <w:pStyle w:val="15"/>
        <w:numPr>
          <w:ilvl w:val="0"/>
          <w:numId w:val="3"/>
        </w:numPr>
        <w:rPr>
          <w:b/>
          <w:bCs/>
          <w:color w:val="000000" w:themeColor="text1"/>
          <w14:textFill>
            <w14:solidFill>
              <w14:schemeClr w14:val="tx1"/>
            </w14:solidFill>
          </w14:textFill>
        </w:rPr>
      </w:pPr>
      <w:r>
        <w:rPr>
          <w:b/>
          <w:bCs/>
          <w:color w:val="000000" w:themeColor="text1"/>
          <w14:textFill>
            <w14:solidFill>
              <w14:schemeClr w14:val="tx1"/>
            </w14:solidFill>
          </w14:textFill>
        </w:rPr>
        <w:t>Asset Turnover Ratio:</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Asset turnover ratio of 0.85x in MetLife indicates more efficient utilization of assets to generate sales compared to Atlantic American Corporation's ratio of 0.51x. So, the peers of AAC is being more efficient in managing their available assets in the competitive market than Atlantic American Corporation.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To recommend actions that can help the business to ensure a better picture in their financial statements, the following areas might be suggested: </w:t>
      </w:r>
    </w:p>
    <w:p>
      <w:pPr>
        <w:pStyle w:val="15"/>
        <w:numPr>
          <w:ilvl w:val="0"/>
          <w:numId w:val="2"/>
        </w:numPr>
        <w:rPr>
          <w:color w:val="000000" w:themeColor="text1"/>
          <w14:textFill>
            <w14:solidFill>
              <w14:schemeClr w14:val="tx1"/>
            </w14:solidFill>
          </w14:textFill>
        </w:rPr>
      </w:pPr>
      <w:r>
        <w:rPr>
          <w:color w:val="000000" w:themeColor="text1"/>
          <w14:textFill>
            <w14:solidFill>
              <w14:schemeClr w14:val="tx1"/>
            </w14:solidFill>
          </w14:textFill>
        </w:rPr>
        <w:t xml:space="preserve">The business needs to carefully manage its existing leverage first so that it can lower its debt levels in the business and try to achieve a more balanced capital structure in the business. Refinancing debt at favorable terms and optimizing capital allocation to minimize financial risk can be done in this case to ensure a better outcome from the business management. </w:t>
      </w:r>
    </w:p>
    <w:p>
      <w:pPr>
        <w:pStyle w:val="15"/>
        <w:numPr>
          <w:ilvl w:val="0"/>
          <w:numId w:val="2"/>
        </w:numPr>
        <w:rPr>
          <w:color w:val="000000" w:themeColor="text1"/>
          <w14:textFill>
            <w14:solidFill>
              <w14:schemeClr w14:val="tx1"/>
            </w14:solidFill>
          </w14:textFill>
        </w:rPr>
      </w:pPr>
      <w:r>
        <w:rPr>
          <w:color w:val="000000" w:themeColor="text1"/>
          <w14:textFill>
            <w14:solidFill>
              <w14:schemeClr w14:val="tx1"/>
            </w14:solidFill>
          </w14:textFill>
        </w:rPr>
        <w:t xml:space="preserve">Enhancing asset utilization can be done to ensure a better asset turnover by the business in their business operation. Optimization of the investment strategies which generates profitability for the business can help the business in this case to identify areas where their investments can be relocated to get a higher yield from the business investments in the market. </w:t>
      </w:r>
    </w:p>
    <w:p>
      <w:pPr>
        <w:pStyle w:val="15"/>
        <w:numPr>
          <w:ilvl w:val="0"/>
          <w:numId w:val="2"/>
        </w:numPr>
        <w:rPr>
          <w:color w:val="000000" w:themeColor="text1"/>
          <w14:textFill>
            <w14:solidFill>
              <w14:schemeClr w14:val="tx1"/>
            </w14:solidFill>
          </w14:textFill>
        </w:rPr>
      </w:pPr>
      <w:r>
        <w:rPr>
          <w:color w:val="000000" w:themeColor="text1"/>
          <w14:textFill>
            <w14:solidFill>
              <w14:schemeClr w14:val="tx1"/>
            </w14:solidFill>
          </w14:textFill>
        </w:rPr>
        <w:t xml:space="preserve">Atlantic American Corporation can create strategic partnerships with more businesses soi that they can reduce the related costs of the business in this case. the competitive position of the business can be improved if the business can leverage their position with newer technologies in their business that can track their business performance over time and suggest steps that needs to be done to get a better result from their existing effort to move the business success ahead of the other competitors in the similar industry in this case. </w:t>
      </w:r>
    </w:p>
    <w:p>
      <w:pPr>
        <w:rPr>
          <w:color w:val="000000" w:themeColor="text1"/>
          <w14:textFill>
            <w14:solidFill>
              <w14:schemeClr w14:val="tx1"/>
            </w14:solidFill>
          </w14:textFill>
        </w:rPr>
        <w:sectPr>
          <w:footerReference r:id="rId5" w:type="default"/>
          <w:pgSz w:w="12240" w:h="15840"/>
          <w:pgMar w:top="1440" w:right="1440" w:bottom="1440" w:left="1440" w:header="720" w:footer="720" w:gutter="0"/>
          <w:cols w:space="720" w:num="1"/>
          <w:docGrid w:linePitch="360" w:charSpace="0"/>
        </w:sectPr>
      </w:pPr>
    </w:p>
    <w:p>
      <w:pPr>
        <w:pStyle w:val="2"/>
        <w:rPr>
          <w:color w:val="000000" w:themeColor="text1"/>
          <w14:textFill>
            <w14:solidFill>
              <w14:schemeClr w14:val="tx1"/>
            </w14:solidFill>
          </w14:textFill>
        </w:rPr>
      </w:pPr>
      <w:bookmarkStart w:id="10" w:name="_Toc159960168"/>
      <w:r>
        <w:rPr>
          <w:color w:val="000000" w:themeColor="text1"/>
          <w14:textFill>
            <w14:solidFill>
              <w14:schemeClr w14:val="tx1"/>
            </w14:solidFill>
          </w14:textFill>
        </w:rPr>
        <w:t>Part c</w:t>
      </w:r>
      <w:bookmarkEnd w:id="10"/>
    </w:p>
    <w:p>
      <w:pPr>
        <w:pStyle w:val="2"/>
        <w:rPr>
          <w:color w:val="000000" w:themeColor="text1"/>
          <w14:textFill>
            <w14:solidFill>
              <w14:schemeClr w14:val="tx1"/>
            </w14:solidFill>
          </w14:textFill>
        </w:rPr>
      </w:pPr>
      <w:bookmarkStart w:id="11" w:name="_Toc159960169"/>
      <w:r>
        <w:rPr>
          <w:color w:val="000000" w:themeColor="text1"/>
          <w14:textFill>
            <w14:solidFill>
              <w14:schemeClr w14:val="tx1"/>
            </w14:solidFill>
          </w14:textFill>
        </w:rPr>
        <w:t>Project Investment Calculations</w:t>
      </w:r>
      <w:bookmarkEnd w:id="11"/>
    </w:p>
    <w:p>
      <w:pPr>
        <w:pStyle w:val="3"/>
      </w:pPr>
      <w:bookmarkStart w:id="12" w:name="_Toc159960170"/>
      <w:r>
        <w:t>Calculation of Ratios</w:t>
      </w:r>
      <w:bookmarkEnd w:id="12"/>
    </w:p>
    <w:p>
      <w:pPr>
        <w:rPr>
          <w:color w:val="000000" w:themeColor="text1"/>
          <w14:textFill>
            <w14:solidFill>
              <w14:schemeClr w14:val="tx1"/>
            </w14:solidFill>
          </w14:textFill>
        </w:rPr>
      </w:pPr>
      <w:r>
        <w:rPr>
          <w:color w:val="000000" w:themeColor="text1"/>
          <w14:textFill>
            <w14:solidFill>
              <w14:schemeClr w14:val="tx1"/>
            </w14:solidFill>
          </w14:textFill>
        </w:rPr>
        <w:t xml:space="preserve">To invest in a business project different types of calculations need to be done so that the outcome from the chosen project can meet the expectations of the investors. Payback Period (PBP), Accounting Rate of Return (ARR) and the Net Present Value (NPV) of the project calculation in this case can lead to the decision to choose the most effective and profitable option for the business to choose to invest. Below here, the calculation has been shown: </w:t>
      </w:r>
    </w:p>
    <w:tbl>
      <w:tblPr>
        <w:tblStyle w:val="5"/>
        <w:tblW w:w="9021" w:type="dxa"/>
        <w:tblInd w:w="0" w:type="dxa"/>
        <w:tblLayout w:type="autofit"/>
        <w:tblCellMar>
          <w:top w:w="0" w:type="dxa"/>
          <w:left w:w="108" w:type="dxa"/>
          <w:bottom w:w="0" w:type="dxa"/>
          <w:right w:w="108" w:type="dxa"/>
        </w:tblCellMar>
      </w:tblPr>
      <w:tblGrid>
        <w:gridCol w:w="1431"/>
        <w:gridCol w:w="2040"/>
        <w:gridCol w:w="1795"/>
        <w:gridCol w:w="2040"/>
        <w:gridCol w:w="1715"/>
      </w:tblGrid>
      <w:tr>
        <w:trPr>
          <w:trHeight w:val="510" w:hRule="atLeast"/>
        </w:trPr>
        <w:tc>
          <w:tcPr>
            <w:tcW w:w="1431"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Year</w:t>
            </w:r>
          </w:p>
        </w:tc>
        <w:tc>
          <w:tcPr>
            <w:tcW w:w="3835" w:type="dxa"/>
            <w:gridSpan w:val="2"/>
            <w:tcBorders>
              <w:top w:val="single" w:color="auto" w:sz="4" w:space="0"/>
              <w:left w:val="nil"/>
              <w:bottom w:val="single" w:color="auto" w:sz="4" w:space="0"/>
              <w:right w:val="single" w:color="000000" w:sz="4" w:space="0"/>
            </w:tcBorders>
            <w:shd w:val="clear" w:color="auto" w:fill="auto"/>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 xml:space="preserve">Project A </w:t>
            </w:r>
          </w:p>
        </w:tc>
        <w:tc>
          <w:tcPr>
            <w:tcW w:w="3755" w:type="dxa"/>
            <w:gridSpan w:val="2"/>
            <w:tcBorders>
              <w:top w:val="single" w:color="auto" w:sz="4" w:space="0"/>
              <w:left w:val="nil"/>
              <w:bottom w:val="single" w:color="auto" w:sz="4" w:space="0"/>
              <w:right w:val="single" w:color="000000" w:sz="4" w:space="0"/>
            </w:tcBorders>
            <w:shd w:val="clear" w:color="auto" w:fill="auto"/>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 xml:space="preserve">Project B </w:t>
            </w:r>
          </w:p>
        </w:tc>
      </w:tr>
      <w:tr>
        <w:trPr>
          <w:trHeight w:val="300" w:hRule="atLeast"/>
        </w:trPr>
        <w:tc>
          <w:tcPr>
            <w:tcW w:w="1431"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 </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Net cash flow £m</w:t>
            </w:r>
          </w:p>
        </w:tc>
        <w:tc>
          <w:tcPr>
            <w:tcW w:w="179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Cumulative</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Net cash flow £m</w:t>
            </w:r>
          </w:p>
        </w:tc>
        <w:tc>
          <w:tcPr>
            <w:tcW w:w="171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Cumulative</w:t>
            </w:r>
          </w:p>
        </w:tc>
      </w:tr>
      <w:tr>
        <w:trPr>
          <w:trHeight w:val="300" w:hRule="atLeast"/>
        </w:trPr>
        <w:tc>
          <w:tcPr>
            <w:tcW w:w="1431"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0</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(5,000)</w:t>
            </w:r>
          </w:p>
        </w:tc>
        <w:tc>
          <w:tcPr>
            <w:tcW w:w="179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(1,000)</w:t>
            </w:r>
          </w:p>
        </w:tc>
        <w:tc>
          <w:tcPr>
            <w:tcW w:w="171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(1,000)</w:t>
            </w:r>
          </w:p>
        </w:tc>
      </w:tr>
      <w:tr>
        <w:trPr>
          <w:trHeight w:val="300" w:hRule="atLeast"/>
        </w:trPr>
        <w:tc>
          <w:tcPr>
            <w:tcW w:w="1431"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1</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2,500</w:t>
            </w:r>
          </w:p>
        </w:tc>
        <w:tc>
          <w:tcPr>
            <w:tcW w:w="179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(2,500)</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1,500</w:t>
            </w:r>
          </w:p>
        </w:tc>
        <w:tc>
          <w:tcPr>
            <w:tcW w:w="171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500</w:t>
            </w:r>
          </w:p>
        </w:tc>
      </w:tr>
      <w:tr>
        <w:trPr>
          <w:trHeight w:val="300" w:hRule="atLeast"/>
        </w:trPr>
        <w:tc>
          <w:tcPr>
            <w:tcW w:w="1431"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2</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2,000</w:t>
            </w:r>
          </w:p>
        </w:tc>
        <w:tc>
          <w:tcPr>
            <w:tcW w:w="179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(500)</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1,000</w:t>
            </w:r>
          </w:p>
        </w:tc>
        <w:tc>
          <w:tcPr>
            <w:tcW w:w="171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1,500</w:t>
            </w:r>
          </w:p>
        </w:tc>
      </w:tr>
      <w:tr>
        <w:trPr>
          <w:trHeight w:val="300" w:hRule="atLeast"/>
        </w:trPr>
        <w:tc>
          <w:tcPr>
            <w:tcW w:w="1431"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3</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1,000</w:t>
            </w:r>
          </w:p>
        </w:tc>
        <w:tc>
          <w:tcPr>
            <w:tcW w:w="179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500</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1,000</w:t>
            </w:r>
          </w:p>
        </w:tc>
        <w:tc>
          <w:tcPr>
            <w:tcW w:w="171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2,500</w:t>
            </w:r>
          </w:p>
        </w:tc>
      </w:tr>
      <w:tr>
        <w:trPr>
          <w:trHeight w:val="300" w:hRule="atLeast"/>
        </w:trPr>
        <w:tc>
          <w:tcPr>
            <w:tcW w:w="1431"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4</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(442)</w:t>
            </w:r>
          </w:p>
        </w:tc>
        <w:tc>
          <w:tcPr>
            <w:tcW w:w="179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58</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(470)</w:t>
            </w:r>
          </w:p>
        </w:tc>
        <w:tc>
          <w:tcPr>
            <w:tcW w:w="171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2,030</w:t>
            </w:r>
          </w:p>
        </w:tc>
      </w:tr>
      <w:tr>
        <w:trPr>
          <w:trHeight w:val="170" w:hRule="atLeast"/>
        </w:trPr>
        <w:tc>
          <w:tcPr>
            <w:tcW w:w="9021" w:type="dxa"/>
            <w:gridSpan w:val="5"/>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  </w:t>
            </w:r>
          </w:p>
        </w:tc>
      </w:tr>
      <w:tr>
        <w:trPr>
          <w:trHeight w:val="539" w:hRule="atLeast"/>
        </w:trPr>
        <w:tc>
          <w:tcPr>
            <w:tcW w:w="1431" w:type="dxa"/>
            <w:tcBorders>
              <w:top w:val="nil"/>
              <w:left w:val="single" w:color="auto" w:sz="4" w:space="0"/>
              <w:bottom w:val="single" w:color="auto" w:sz="4" w:space="0"/>
              <w:right w:val="single" w:color="auto" w:sz="4" w:space="0"/>
            </w:tcBorders>
            <w:shd w:val="clear" w:color="auto" w:fill="auto"/>
            <w:noWrap/>
            <w:vAlign w:val="center"/>
          </w:tcPr>
          <w:p>
            <w:pPr>
              <w:spacing w:after="0" w:line="240" w:lineRule="auto"/>
              <w:jc w:val="left"/>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NPV</w:t>
            </w:r>
          </w:p>
        </w:tc>
        <w:tc>
          <w:tcPr>
            <w:tcW w:w="2040" w:type="dxa"/>
            <w:tcBorders>
              <w:top w:val="nil"/>
              <w:left w:val="nil"/>
              <w:bottom w:val="single" w:color="auto" w:sz="4" w:space="0"/>
              <w:right w:val="single" w:color="auto" w:sz="4" w:space="0"/>
            </w:tcBorders>
            <w:shd w:val="clear" w:color="000000" w:fill="FFF2CC"/>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($749.83)</w:t>
            </w:r>
          </w:p>
        </w:tc>
        <w:tc>
          <w:tcPr>
            <w:tcW w:w="179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 </w:t>
            </w:r>
          </w:p>
        </w:tc>
        <w:tc>
          <w:tcPr>
            <w:tcW w:w="2040" w:type="dxa"/>
            <w:tcBorders>
              <w:top w:val="nil"/>
              <w:left w:val="nil"/>
              <w:bottom w:val="single" w:color="auto" w:sz="4" w:space="0"/>
              <w:right w:val="single" w:color="auto" w:sz="4" w:space="0"/>
            </w:tcBorders>
            <w:shd w:val="clear" w:color="000000" w:fill="DDEBF7"/>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 xml:space="preserve">$1,299.96 </w:t>
            </w:r>
          </w:p>
        </w:tc>
        <w:tc>
          <w:tcPr>
            <w:tcW w:w="171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 </w:t>
            </w:r>
          </w:p>
        </w:tc>
      </w:tr>
      <w:tr>
        <w:trPr>
          <w:trHeight w:val="300" w:hRule="atLeast"/>
        </w:trPr>
        <w:tc>
          <w:tcPr>
            <w:tcW w:w="1431" w:type="dxa"/>
            <w:tcBorders>
              <w:top w:val="single" w:color="auto" w:sz="4" w:space="0"/>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Payback Period</w:t>
            </w:r>
          </w:p>
        </w:tc>
        <w:tc>
          <w:tcPr>
            <w:tcW w:w="2040" w:type="dxa"/>
            <w:tcBorders>
              <w:top w:val="single" w:color="auto" w:sz="4" w:space="0"/>
              <w:left w:val="nil"/>
              <w:bottom w:val="single" w:color="auto" w:sz="4" w:space="0"/>
              <w:right w:val="single" w:color="auto" w:sz="4" w:space="0"/>
            </w:tcBorders>
            <w:shd w:val="clear" w:color="000000" w:fill="FFF2CC"/>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2.50</w:t>
            </w:r>
          </w:p>
        </w:tc>
        <w:tc>
          <w:tcPr>
            <w:tcW w:w="1795" w:type="dxa"/>
            <w:tcBorders>
              <w:top w:val="single" w:color="auto" w:sz="4" w:space="0"/>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Years</w:t>
            </w:r>
          </w:p>
        </w:tc>
        <w:tc>
          <w:tcPr>
            <w:tcW w:w="2040" w:type="dxa"/>
            <w:tcBorders>
              <w:top w:val="single" w:color="auto" w:sz="4" w:space="0"/>
              <w:left w:val="nil"/>
              <w:bottom w:val="single" w:color="auto" w:sz="4" w:space="0"/>
              <w:right w:val="single" w:color="auto" w:sz="4" w:space="0"/>
            </w:tcBorders>
            <w:shd w:val="clear" w:color="000000" w:fill="DDEBF7"/>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1.67</w:t>
            </w:r>
          </w:p>
        </w:tc>
        <w:tc>
          <w:tcPr>
            <w:tcW w:w="1715" w:type="dxa"/>
            <w:tcBorders>
              <w:top w:val="single" w:color="auto" w:sz="4" w:space="0"/>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Years</w:t>
            </w:r>
          </w:p>
        </w:tc>
      </w:tr>
      <w:tr>
        <w:trPr>
          <w:trHeight w:val="557" w:hRule="atLeast"/>
        </w:trPr>
        <w:tc>
          <w:tcPr>
            <w:tcW w:w="1431"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after="0" w:line="240" w:lineRule="auto"/>
              <w:jc w:val="left"/>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ARR</w:t>
            </w:r>
          </w:p>
        </w:tc>
        <w:tc>
          <w:tcPr>
            <w:tcW w:w="2040" w:type="dxa"/>
            <w:tcBorders>
              <w:top w:val="single" w:color="auto" w:sz="4" w:space="0"/>
              <w:left w:val="nil"/>
              <w:bottom w:val="single" w:color="auto" w:sz="4" w:space="0"/>
              <w:right w:val="single" w:color="auto" w:sz="4" w:space="0"/>
            </w:tcBorders>
            <w:shd w:val="clear" w:color="000000" w:fill="FFF2CC"/>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25%</w:t>
            </w:r>
          </w:p>
        </w:tc>
        <w:tc>
          <w:tcPr>
            <w:tcW w:w="1795" w:type="dxa"/>
            <w:tcBorders>
              <w:top w:val="single" w:color="auto" w:sz="4" w:space="0"/>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p>
        </w:tc>
        <w:tc>
          <w:tcPr>
            <w:tcW w:w="2040" w:type="dxa"/>
            <w:tcBorders>
              <w:top w:val="single" w:color="auto" w:sz="4" w:space="0"/>
              <w:left w:val="nil"/>
              <w:bottom w:val="single" w:color="auto" w:sz="4" w:space="0"/>
              <w:right w:val="single" w:color="auto" w:sz="4" w:space="0"/>
            </w:tcBorders>
            <w:shd w:val="clear" w:color="000000" w:fill="DDEBF7"/>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76%</w:t>
            </w:r>
          </w:p>
        </w:tc>
        <w:tc>
          <w:tcPr>
            <w:tcW w:w="1715" w:type="dxa"/>
            <w:tcBorders>
              <w:top w:val="single" w:color="auto" w:sz="4" w:space="0"/>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p>
        </w:tc>
      </w:tr>
    </w:tbl>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w:t xml:space="preserve">According to the above calculations, Project A has a negative NPV compared to Project B. So, in this criteria, Project B needs to be chosen as there will be a chance of making profits from the investment in Project B.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The payback period of Project A is 2.50 years whereas Project B has a less time requirements if 1.67 years. So, in this case, the investment amount in the business can be easily received from project B as it will return the invested amount from the business from making profits in its operations. The average rate of return on Project A is very low as it has a higher initial investment need in the business. So, the ARR of Project A is 25% whereas the ARR of Project B is 76%.  Comparing the calculations of these two projects, Project B seems to be more lucrative and profitable for investment in this case.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Now if the initial investments rise by 10% and the cash flows from the business operations reduce by 10%, the following outcome can be expected: </w:t>
      </w:r>
    </w:p>
    <w:tbl>
      <w:tblPr>
        <w:tblStyle w:val="5"/>
        <w:tblW w:w="9018" w:type="dxa"/>
        <w:tblInd w:w="0" w:type="dxa"/>
        <w:tblLayout w:type="autofit"/>
        <w:tblCellMar>
          <w:top w:w="0" w:type="dxa"/>
          <w:left w:w="108" w:type="dxa"/>
          <w:bottom w:w="0" w:type="dxa"/>
          <w:right w:w="108" w:type="dxa"/>
        </w:tblCellMar>
      </w:tblPr>
      <w:tblGrid>
        <w:gridCol w:w="1431"/>
        <w:gridCol w:w="2040"/>
        <w:gridCol w:w="1792"/>
        <w:gridCol w:w="2040"/>
        <w:gridCol w:w="1715"/>
      </w:tblGrid>
      <w:tr>
        <w:trPr>
          <w:trHeight w:val="510" w:hRule="atLeast"/>
        </w:trPr>
        <w:tc>
          <w:tcPr>
            <w:tcW w:w="1431"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Year</w:t>
            </w:r>
          </w:p>
        </w:tc>
        <w:tc>
          <w:tcPr>
            <w:tcW w:w="3832" w:type="dxa"/>
            <w:gridSpan w:val="2"/>
            <w:tcBorders>
              <w:top w:val="single" w:color="auto" w:sz="4" w:space="0"/>
              <w:left w:val="nil"/>
              <w:bottom w:val="single" w:color="auto" w:sz="4" w:space="0"/>
              <w:right w:val="single" w:color="000000" w:sz="4" w:space="0"/>
            </w:tcBorders>
            <w:shd w:val="clear" w:color="auto" w:fill="auto"/>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 xml:space="preserve">Project A </w:t>
            </w:r>
          </w:p>
        </w:tc>
        <w:tc>
          <w:tcPr>
            <w:tcW w:w="3755" w:type="dxa"/>
            <w:gridSpan w:val="2"/>
            <w:tcBorders>
              <w:top w:val="single" w:color="auto" w:sz="4" w:space="0"/>
              <w:left w:val="nil"/>
              <w:bottom w:val="single" w:color="auto" w:sz="4" w:space="0"/>
              <w:right w:val="single" w:color="000000" w:sz="4" w:space="0"/>
            </w:tcBorders>
            <w:shd w:val="clear" w:color="auto" w:fill="auto"/>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 xml:space="preserve">Project B </w:t>
            </w:r>
          </w:p>
        </w:tc>
      </w:tr>
      <w:tr>
        <w:trPr>
          <w:trHeight w:val="300" w:hRule="atLeast"/>
        </w:trPr>
        <w:tc>
          <w:tcPr>
            <w:tcW w:w="1431"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 </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Net cash flow £m</w:t>
            </w:r>
          </w:p>
        </w:tc>
        <w:tc>
          <w:tcPr>
            <w:tcW w:w="1792"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Cumulative</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Net cash flow £m</w:t>
            </w:r>
          </w:p>
        </w:tc>
        <w:tc>
          <w:tcPr>
            <w:tcW w:w="171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Cumulative</w:t>
            </w:r>
          </w:p>
        </w:tc>
      </w:tr>
      <w:tr>
        <w:trPr>
          <w:trHeight w:val="300" w:hRule="atLeast"/>
        </w:trPr>
        <w:tc>
          <w:tcPr>
            <w:tcW w:w="1431" w:type="dxa"/>
            <w:tcBorders>
              <w:top w:val="nil"/>
              <w:left w:val="single" w:color="auto" w:sz="4" w:space="0"/>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0</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(5,500)</w:t>
            </w:r>
          </w:p>
        </w:tc>
        <w:tc>
          <w:tcPr>
            <w:tcW w:w="1792"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(1,100)</w:t>
            </w:r>
          </w:p>
        </w:tc>
        <w:tc>
          <w:tcPr>
            <w:tcW w:w="171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(1,000)</w:t>
            </w:r>
          </w:p>
        </w:tc>
      </w:tr>
      <w:tr>
        <w:trPr>
          <w:trHeight w:val="300" w:hRule="atLeast"/>
        </w:trPr>
        <w:tc>
          <w:tcPr>
            <w:tcW w:w="1431" w:type="dxa"/>
            <w:tcBorders>
              <w:top w:val="nil"/>
              <w:left w:val="single" w:color="auto" w:sz="4" w:space="0"/>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1</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2,250</w:t>
            </w:r>
          </w:p>
        </w:tc>
        <w:tc>
          <w:tcPr>
            <w:tcW w:w="1792"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(3,250)</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1,350</w:t>
            </w:r>
          </w:p>
        </w:tc>
        <w:tc>
          <w:tcPr>
            <w:tcW w:w="171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250</w:t>
            </w:r>
          </w:p>
        </w:tc>
      </w:tr>
      <w:tr>
        <w:trPr>
          <w:trHeight w:val="300" w:hRule="atLeast"/>
        </w:trPr>
        <w:tc>
          <w:tcPr>
            <w:tcW w:w="1431" w:type="dxa"/>
            <w:tcBorders>
              <w:top w:val="nil"/>
              <w:left w:val="single" w:color="auto" w:sz="4" w:space="0"/>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2</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1,800</w:t>
            </w:r>
          </w:p>
        </w:tc>
        <w:tc>
          <w:tcPr>
            <w:tcW w:w="1792"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(1,450)</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900</w:t>
            </w:r>
          </w:p>
        </w:tc>
        <w:tc>
          <w:tcPr>
            <w:tcW w:w="171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1,150</w:t>
            </w:r>
          </w:p>
        </w:tc>
      </w:tr>
      <w:tr>
        <w:trPr>
          <w:trHeight w:val="300" w:hRule="atLeast"/>
        </w:trPr>
        <w:tc>
          <w:tcPr>
            <w:tcW w:w="1431" w:type="dxa"/>
            <w:tcBorders>
              <w:top w:val="nil"/>
              <w:left w:val="single" w:color="auto" w:sz="4" w:space="0"/>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3</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900</w:t>
            </w:r>
          </w:p>
        </w:tc>
        <w:tc>
          <w:tcPr>
            <w:tcW w:w="1792"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(550)</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900</w:t>
            </w:r>
          </w:p>
        </w:tc>
        <w:tc>
          <w:tcPr>
            <w:tcW w:w="171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2,050</w:t>
            </w:r>
          </w:p>
        </w:tc>
      </w:tr>
      <w:tr>
        <w:trPr>
          <w:trHeight w:val="300" w:hRule="atLeast"/>
        </w:trPr>
        <w:tc>
          <w:tcPr>
            <w:tcW w:w="1431" w:type="dxa"/>
            <w:tcBorders>
              <w:top w:val="nil"/>
              <w:left w:val="single" w:color="auto" w:sz="4" w:space="0"/>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4</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(398)</w:t>
            </w:r>
          </w:p>
        </w:tc>
        <w:tc>
          <w:tcPr>
            <w:tcW w:w="1792"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(948)</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(423)</w:t>
            </w:r>
          </w:p>
        </w:tc>
        <w:tc>
          <w:tcPr>
            <w:tcW w:w="171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1,627</w:t>
            </w:r>
          </w:p>
        </w:tc>
      </w:tr>
      <w:tr>
        <w:trPr>
          <w:trHeight w:val="300" w:hRule="atLeast"/>
        </w:trPr>
        <w:tc>
          <w:tcPr>
            <w:tcW w:w="1431"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 </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 </w:t>
            </w:r>
          </w:p>
        </w:tc>
        <w:tc>
          <w:tcPr>
            <w:tcW w:w="1792"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 </w:t>
            </w:r>
          </w:p>
        </w:tc>
        <w:tc>
          <w:tcPr>
            <w:tcW w:w="2040"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 </w:t>
            </w:r>
          </w:p>
        </w:tc>
        <w:tc>
          <w:tcPr>
            <w:tcW w:w="171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 </w:t>
            </w:r>
          </w:p>
        </w:tc>
      </w:tr>
      <w:tr>
        <w:trPr>
          <w:trHeight w:val="449" w:hRule="atLeast"/>
        </w:trPr>
        <w:tc>
          <w:tcPr>
            <w:tcW w:w="1431" w:type="dxa"/>
            <w:tcBorders>
              <w:top w:val="nil"/>
              <w:left w:val="single" w:color="auto" w:sz="4" w:space="0"/>
              <w:bottom w:val="single" w:color="auto" w:sz="4" w:space="0"/>
              <w:right w:val="single" w:color="auto" w:sz="4" w:space="0"/>
            </w:tcBorders>
            <w:shd w:val="clear" w:color="auto" w:fill="auto"/>
            <w:noWrap/>
            <w:vAlign w:val="center"/>
          </w:tcPr>
          <w:p>
            <w:pPr>
              <w:spacing w:after="0" w:line="240" w:lineRule="auto"/>
              <w:jc w:val="left"/>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NPV</w:t>
            </w:r>
          </w:p>
        </w:tc>
        <w:tc>
          <w:tcPr>
            <w:tcW w:w="2040" w:type="dxa"/>
            <w:tcBorders>
              <w:top w:val="nil"/>
              <w:left w:val="nil"/>
              <w:bottom w:val="single" w:color="auto" w:sz="4" w:space="0"/>
              <w:right w:val="single" w:color="auto" w:sz="4" w:space="0"/>
            </w:tcBorders>
            <w:shd w:val="clear" w:color="000000" w:fill="FFF2CC"/>
            <w:noWrap/>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b/>
                <w:bCs/>
                <w:color w:val="000000" w:themeColor="text1"/>
                <w14:textFill>
                  <w14:solidFill>
                    <w14:schemeClr w14:val="tx1"/>
                  </w14:solidFill>
                </w14:textFill>
              </w:rPr>
              <w:t>($2,000.58)</w:t>
            </w:r>
          </w:p>
        </w:tc>
        <w:tc>
          <w:tcPr>
            <w:tcW w:w="1792" w:type="dxa"/>
            <w:tcBorders>
              <w:top w:val="nil"/>
              <w:left w:val="nil"/>
              <w:bottom w:val="single" w:color="auto" w:sz="4" w:space="0"/>
              <w:right w:val="single" w:color="auto" w:sz="4" w:space="0"/>
            </w:tcBorders>
            <w:shd w:val="clear" w:color="auto" w:fill="auto"/>
            <w:noWrap/>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p>
        </w:tc>
        <w:tc>
          <w:tcPr>
            <w:tcW w:w="2040" w:type="dxa"/>
            <w:tcBorders>
              <w:top w:val="nil"/>
              <w:left w:val="nil"/>
              <w:bottom w:val="single" w:color="auto" w:sz="4" w:space="0"/>
              <w:right w:val="single" w:color="auto" w:sz="4" w:space="0"/>
            </w:tcBorders>
            <w:shd w:val="clear" w:color="000000" w:fill="DDEBF7"/>
            <w:noWrap/>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b/>
                <w:bCs/>
                <w:color w:val="000000" w:themeColor="text1"/>
                <w14:textFill>
                  <w14:solidFill>
                    <w14:schemeClr w14:val="tx1"/>
                  </w14:solidFill>
                </w14:textFill>
              </w:rPr>
              <w:t xml:space="preserve">$50.36 </w:t>
            </w:r>
          </w:p>
        </w:tc>
        <w:tc>
          <w:tcPr>
            <w:tcW w:w="1715" w:type="dxa"/>
            <w:tcBorders>
              <w:top w:val="nil"/>
              <w:left w:val="nil"/>
              <w:bottom w:val="single" w:color="auto" w:sz="4" w:space="0"/>
              <w:right w:val="single" w:color="auto" w:sz="4" w:space="0"/>
            </w:tcBorders>
            <w:shd w:val="clear" w:color="auto" w:fill="auto"/>
            <w:noWrap/>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p>
        </w:tc>
      </w:tr>
      <w:tr>
        <w:trPr>
          <w:trHeight w:val="629" w:hRule="atLeast"/>
        </w:trPr>
        <w:tc>
          <w:tcPr>
            <w:tcW w:w="1431" w:type="dxa"/>
            <w:tcBorders>
              <w:top w:val="nil"/>
              <w:left w:val="single" w:color="auto" w:sz="4" w:space="0"/>
              <w:bottom w:val="single" w:color="auto" w:sz="4" w:space="0"/>
              <w:right w:val="single" w:color="auto" w:sz="4" w:space="0"/>
            </w:tcBorders>
            <w:shd w:val="clear" w:color="auto" w:fill="auto"/>
            <w:noWrap/>
            <w:vAlign w:val="center"/>
          </w:tcPr>
          <w:p>
            <w:pPr>
              <w:spacing w:after="0" w:line="240" w:lineRule="auto"/>
              <w:jc w:val="left"/>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Payback Period</w:t>
            </w:r>
          </w:p>
        </w:tc>
        <w:tc>
          <w:tcPr>
            <w:tcW w:w="2040" w:type="dxa"/>
            <w:tcBorders>
              <w:top w:val="nil"/>
              <w:left w:val="nil"/>
              <w:bottom w:val="single" w:color="auto" w:sz="4" w:space="0"/>
              <w:right w:val="single" w:color="auto" w:sz="4" w:space="0"/>
            </w:tcBorders>
            <w:shd w:val="clear" w:color="000000" w:fill="FFF2CC"/>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5.38</w:t>
            </w:r>
          </w:p>
        </w:tc>
        <w:tc>
          <w:tcPr>
            <w:tcW w:w="1792"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Years</w:t>
            </w:r>
          </w:p>
        </w:tc>
        <w:tc>
          <w:tcPr>
            <w:tcW w:w="2040" w:type="dxa"/>
            <w:tcBorders>
              <w:top w:val="nil"/>
              <w:left w:val="nil"/>
              <w:bottom w:val="single" w:color="auto" w:sz="4" w:space="0"/>
              <w:right w:val="single" w:color="auto" w:sz="4" w:space="0"/>
            </w:tcBorders>
            <w:shd w:val="clear" w:color="000000" w:fill="DDEBF7"/>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1.74</w:t>
            </w:r>
          </w:p>
        </w:tc>
        <w:tc>
          <w:tcPr>
            <w:tcW w:w="171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Years</w:t>
            </w:r>
          </w:p>
        </w:tc>
      </w:tr>
      <w:tr>
        <w:trPr>
          <w:trHeight w:val="431" w:hRule="atLeast"/>
        </w:trPr>
        <w:tc>
          <w:tcPr>
            <w:tcW w:w="1431" w:type="dxa"/>
            <w:tcBorders>
              <w:top w:val="nil"/>
              <w:left w:val="single" w:color="auto" w:sz="4" w:space="0"/>
              <w:bottom w:val="single" w:color="auto" w:sz="4" w:space="0"/>
              <w:right w:val="single" w:color="auto" w:sz="4" w:space="0"/>
            </w:tcBorders>
            <w:shd w:val="clear" w:color="auto" w:fill="auto"/>
            <w:noWrap/>
            <w:vAlign w:val="center"/>
          </w:tcPr>
          <w:p>
            <w:pPr>
              <w:spacing w:after="0" w:line="240" w:lineRule="auto"/>
              <w:jc w:val="left"/>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ARR</w:t>
            </w:r>
          </w:p>
        </w:tc>
        <w:tc>
          <w:tcPr>
            <w:tcW w:w="2040" w:type="dxa"/>
            <w:tcBorders>
              <w:top w:val="nil"/>
              <w:left w:val="nil"/>
              <w:bottom w:val="single" w:color="auto" w:sz="4" w:space="0"/>
              <w:right w:val="single" w:color="auto" w:sz="4" w:space="0"/>
            </w:tcBorders>
            <w:shd w:val="clear" w:color="000000" w:fill="FFF2CC"/>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21%</w:t>
            </w:r>
          </w:p>
        </w:tc>
        <w:tc>
          <w:tcPr>
            <w:tcW w:w="1792"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 </w:t>
            </w:r>
          </w:p>
        </w:tc>
        <w:tc>
          <w:tcPr>
            <w:tcW w:w="2040" w:type="dxa"/>
            <w:tcBorders>
              <w:top w:val="nil"/>
              <w:left w:val="nil"/>
              <w:bottom w:val="single" w:color="auto" w:sz="4" w:space="0"/>
              <w:right w:val="single" w:color="auto" w:sz="4" w:space="0"/>
            </w:tcBorders>
            <w:shd w:val="clear" w:color="000000" w:fill="DDEBF7"/>
            <w:noWrap/>
            <w:vAlign w:val="center"/>
          </w:tcPr>
          <w:p>
            <w:pPr>
              <w:spacing w:after="0" w:line="240" w:lineRule="auto"/>
              <w:jc w:val="center"/>
              <w:rPr>
                <w:rFonts w:eastAsia="Times New Roman" w:cs="Times New Roman"/>
                <w:b/>
                <w:bCs/>
                <w:color w:val="000000" w:themeColor="text1"/>
                <w:kern w:val="0"/>
                <w:sz w:val="22"/>
                <w14:textFill>
                  <w14:solidFill>
                    <w14:schemeClr w14:val="tx1"/>
                  </w14:solidFill>
                </w14:textFill>
                <w14:ligatures w14:val="none"/>
              </w:rPr>
            </w:pPr>
            <w:r>
              <w:rPr>
                <w:rFonts w:eastAsia="Times New Roman" w:cs="Times New Roman"/>
                <w:b/>
                <w:bCs/>
                <w:color w:val="000000" w:themeColor="text1"/>
                <w:kern w:val="0"/>
                <w:sz w:val="22"/>
                <w14:textFill>
                  <w14:solidFill>
                    <w14:schemeClr w14:val="tx1"/>
                  </w14:solidFill>
                </w14:textFill>
                <w14:ligatures w14:val="none"/>
              </w:rPr>
              <w:t>62%</w:t>
            </w:r>
          </w:p>
        </w:tc>
        <w:tc>
          <w:tcPr>
            <w:tcW w:w="1715" w:type="dxa"/>
            <w:tcBorders>
              <w:top w:val="nil"/>
              <w:left w:val="nil"/>
              <w:bottom w:val="single" w:color="auto" w:sz="4" w:space="0"/>
              <w:right w:val="single" w:color="auto" w:sz="4" w:space="0"/>
            </w:tcBorders>
            <w:shd w:val="clear" w:color="auto" w:fill="auto"/>
            <w:noWrap/>
            <w:vAlign w:val="center"/>
          </w:tcPr>
          <w:p>
            <w:pPr>
              <w:spacing w:after="0" w:line="240" w:lineRule="auto"/>
              <w:jc w:val="center"/>
              <w:rPr>
                <w:rFonts w:eastAsia="Times New Roman" w:cs="Times New Roman"/>
                <w:color w:val="000000" w:themeColor="text1"/>
                <w:kern w:val="0"/>
                <w:sz w:val="22"/>
                <w14:textFill>
                  <w14:solidFill>
                    <w14:schemeClr w14:val="tx1"/>
                  </w14:solidFill>
                </w14:textFill>
                <w14:ligatures w14:val="none"/>
              </w:rPr>
            </w:pPr>
            <w:r>
              <w:rPr>
                <w:rFonts w:eastAsia="Times New Roman" w:cs="Times New Roman"/>
                <w:color w:val="000000" w:themeColor="text1"/>
                <w:kern w:val="0"/>
                <w:sz w:val="22"/>
                <w14:textFill>
                  <w14:solidFill>
                    <w14:schemeClr w14:val="tx1"/>
                  </w14:solidFill>
                </w14:textFill>
                <w14:ligatures w14:val="none"/>
              </w:rPr>
              <w:t> </w:t>
            </w:r>
          </w:p>
        </w:tc>
      </w:tr>
    </w:tbl>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w:t xml:space="preserve">According to the calculation, Project A is still lagging behind as the outcome from Projecty B is more feasible for making investment in the business. With a view to achieving a more feasible outcome from choosing from both Project A and Project B, here, Project B alone can provide a positive return from the investment that has been made from the business. </w:t>
      </w:r>
    </w:p>
    <w:p>
      <w:pPr>
        <w:pStyle w:val="3"/>
      </w:pPr>
      <w:bookmarkStart w:id="13" w:name="_Toc159960171"/>
      <w:r>
        <w:t>Advantages and Disadvantages of Ratios</w:t>
      </w:r>
      <w:bookmarkEnd w:id="13"/>
    </w:p>
    <w:p>
      <w:pPr>
        <w:rPr>
          <w:color w:val="000000" w:themeColor="text1"/>
          <w14:textFill>
            <w14:solidFill>
              <w14:schemeClr w14:val="tx1"/>
            </w14:solidFill>
          </w14:textFill>
        </w:rPr>
      </w:pPr>
      <w:r>
        <w:rPr>
          <w:color w:val="000000" w:themeColor="text1"/>
          <w14:textFill>
            <w14:solidFill>
              <w14:schemeClr w14:val="tx1"/>
            </w14:solidFill>
          </w14:textFill>
        </w:rPr>
        <w:t xml:space="preserve">Considering the cash flows that can be expected from investment options is very important as without analyzing the potential of an investment, the whole effort can end up in losses, which is not expected from a rational investment point of view. So, the calculation of payback period, Net Present value and Average Rate of Return to evaluate the effectiveness and rationale of an investment can have the following advantages: </w:t>
      </w:r>
    </w:p>
    <w:p>
      <w:pPr>
        <w:pStyle w:val="15"/>
        <w:numPr>
          <w:ilvl w:val="0"/>
          <w:numId w:val="4"/>
        </w:numPr>
        <w:rPr>
          <w:color w:val="000000" w:themeColor="text1"/>
          <w14:textFill>
            <w14:solidFill>
              <w14:schemeClr w14:val="tx1"/>
            </w14:solidFill>
          </w14:textFill>
        </w:rPr>
      </w:pPr>
      <w:r>
        <w:rPr>
          <w:color w:val="000000" w:themeColor="text1"/>
          <w14:textFill>
            <w14:solidFill>
              <w14:schemeClr w14:val="tx1"/>
            </w14:solidFill>
          </w14:textFill>
        </w:rPr>
        <w:t xml:space="preserve">Payback period indicates the time required to get back the invested amount from the business. It is a very simple metric for calculation and can provide very important insights from the business market. It emphasizes the liquidity position of the project over the years, so, it can provide a better understanding of the situation if the total situation can be analyzed utilizing this technique (Smart, Megginson, &amp; Gitman, 2022). </w:t>
      </w:r>
    </w:p>
    <w:p>
      <w:pPr>
        <w:pStyle w:val="15"/>
        <w:numPr>
          <w:ilvl w:val="0"/>
          <w:numId w:val="4"/>
        </w:numPr>
        <w:rPr>
          <w:color w:val="000000" w:themeColor="text1"/>
          <w14:textFill>
            <w14:solidFill>
              <w14:schemeClr w14:val="tx1"/>
            </w14:solidFill>
          </w14:textFill>
        </w:rPr>
      </w:pPr>
      <w:r>
        <w:rPr>
          <w:color w:val="000000" w:themeColor="text1"/>
          <w14:textFill>
            <w14:solidFill>
              <w14:schemeClr w14:val="tx1"/>
            </w14:solidFill>
          </w14:textFill>
        </w:rPr>
        <w:t xml:space="preserve">Average rate of return is a very simple yet effective process to understand the profitability and the lucrativeness of the investment that is made in the business. It focuses on the profitability of the business on an average basis so that the profitability per year considering the initial investment made in the business can be understood (Moyer, McGuigan, &amp; Rao, 2022). </w:t>
      </w:r>
    </w:p>
    <w:p>
      <w:pPr>
        <w:pStyle w:val="15"/>
        <w:numPr>
          <w:ilvl w:val="0"/>
          <w:numId w:val="4"/>
        </w:numPr>
        <w:rPr>
          <w:color w:val="000000" w:themeColor="text1"/>
          <w14:textFill>
            <w14:solidFill>
              <w14:schemeClr w14:val="tx1"/>
            </w14:solidFill>
          </w14:textFill>
        </w:rPr>
      </w:pPr>
      <w:r>
        <w:rPr>
          <w:color w:val="000000" w:themeColor="text1"/>
          <w14:textFill>
            <w14:solidFill>
              <w14:schemeClr w14:val="tx1"/>
            </w14:solidFill>
          </w14:textFill>
        </w:rPr>
        <w:t xml:space="preserve">The net present value of the whole cash inflow that are expected over the time period considering the cost of capital of the business, is calculated through this metric, so this considers the time value of money in the business market (Horngren et al., 2021). A clear projection of project profitability from the investment made in a particular project can be understood from such a metric.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Along with advantages, there are some shortcomings of these metrices: </w:t>
      </w:r>
    </w:p>
    <w:p>
      <w:pPr>
        <w:pStyle w:val="15"/>
        <w:numPr>
          <w:ilvl w:val="0"/>
          <w:numId w:val="5"/>
        </w:numPr>
        <w:rPr>
          <w:color w:val="000000" w:themeColor="text1"/>
          <w14:textFill>
            <w14:solidFill>
              <w14:schemeClr w14:val="tx1"/>
            </w14:solidFill>
          </w14:textFill>
        </w:rPr>
      </w:pPr>
      <w:r>
        <w:rPr>
          <w:color w:val="000000" w:themeColor="text1"/>
          <w14:textFill>
            <w14:solidFill>
              <w14:schemeClr w14:val="tx1"/>
            </w14:solidFill>
          </w14:textFill>
        </w:rPr>
        <w:t xml:space="preserve">The payback period of a project ignores the time value of money and any other additional cash flows that might be received other than the project cash flows. </w:t>
      </w:r>
    </w:p>
    <w:p>
      <w:pPr>
        <w:pStyle w:val="15"/>
        <w:numPr>
          <w:ilvl w:val="0"/>
          <w:numId w:val="5"/>
        </w:numPr>
        <w:rPr>
          <w:color w:val="000000" w:themeColor="text1"/>
          <w14:textFill>
            <w14:solidFill>
              <w14:schemeClr w14:val="tx1"/>
            </w14:solidFill>
          </w14:textFill>
        </w:rPr>
      </w:pPr>
      <w:r>
        <w:rPr>
          <w:color w:val="000000" w:themeColor="text1"/>
          <w14:textFill>
            <w14:solidFill>
              <w14:schemeClr w14:val="tx1"/>
            </w14:solidFill>
          </w14:textFill>
        </w:rPr>
        <w:t xml:space="preserve">The average rate of return also ignores the time value of money. Besides, ARR can often be easily manipulated using different depreciation methods available. </w:t>
      </w:r>
    </w:p>
    <w:p>
      <w:pPr>
        <w:pStyle w:val="15"/>
        <w:numPr>
          <w:ilvl w:val="0"/>
          <w:numId w:val="5"/>
        </w:numPr>
        <w:rPr>
          <w:color w:val="000000" w:themeColor="text1"/>
          <w14:textFill>
            <w14:solidFill>
              <w14:schemeClr w14:val="tx1"/>
            </w14:solidFill>
          </w14:textFill>
        </w:rPr>
      </w:pPr>
      <w:r>
        <w:rPr>
          <w:color w:val="000000" w:themeColor="text1"/>
          <w14:textFill>
            <w14:solidFill>
              <w14:schemeClr w14:val="tx1"/>
            </w14:solidFill>
          </w14:textFill>
        </w:rPr>
        <w:t xml:space="preserve">The Net Present value of a project does not focus on the associated risks in the project, and it assumes that all the amounts will be reinvested in the business again. </w:t>
      </w:r>
    </w:p>
    <w:p>
      <w:pPr>
        <w:pStyle w:val="3"/>
      </w:pPr>
      <w:bookmarkStart w:id="14" w:name="_Toc159960172"/>
      <w:r>
        <w:t>Non-financial Factors to Consider</w:t>
      </w:r>
      <w:bookmarkEnd w:id="14"/>
    </w:p>
    <w:p>
      <w:pPr>
        <w:rPr>
          <w:color w:val="000000" w:themeColor="text1"/>
          <w14:textFill>
            <w14:solidFill>
              <w14:schemeClr w14:val="tx1"/>
            </w14:solidFill>
          </w14:textFill>
        </w:rPr>
      </w:pPr>
      <w:r>
        <w:rPr>
          <w:color w:val="000000" w:themeColor="text1"/>
          <w14:textFill>
            <w14:solidFill>
              <w14:schemeClr w14:val="tx1"/>
            </w14:solidFill>
          </w14:textFill>
        </w:rPr>
        <w:t xml:space="preserve">Besides all these calculation techniques, the management needs to focus on some non-financial factors also so that they can ensure that the business practices can provide the business operations with a smooth transaction to grow. Some of these factors are as follows: </w:t>
      </w:r>
    </w:p>
    <w:p>
      <w:pPr>
        <w:pStyle w:val="15"/>
        <w:numPr>
          <w:ilvl w:val="0"/>
          <w:numId w:val="6"/>
        </w:numPr>
        <w:rPr>
          <w:color w:val="000000" w:themeColor="text1"/>
          <w14:textFill>
            <w14:solidFill>
              <w14:schemeClr w14:val="tx1"/>
            </w14:solidFill>
          </w14:textFill>
        </w:rPr>
      </w:pPr>
      <w:r>
        <w:rPr>
          <w:color w:val="000000" w:themeColor="text1"/>
          <w14:textFill>
            <w14:solidFill>
              <w14:schemeClr w14:val="tx1"/>
            </w14:solidFill>
          </w14:textFill>
        </w:rPr>
        <w:t xml:space="preserve">The potential impact on brand reputation of any decision made by the management needs to be assessed so that the outcome from the business can provide a positive response to the business alternatives. </w:t>
      </w:r>
    </w:p>
    <w:p>
      <w:pPr>
        <w:pStyle w:val="15"/>
        <w:numPr>
          <w:ilvl w:val="0"/>
          <w:numId w:val="6"/>
        </w:numPr>
        <w:rPr>
          <w:color w:val="000000" w:themeColor="text1"/>
          <w14:textFill>
            <w14:solidFill>
              <w14:schemeClr w14:val="tx1"/>
            </w14:solidFill>
          </w14:textFill>
        </w:rPr>
      </w:pPr>
      <w:r>
        <w:rPr>
          <w:color w:val="000000" w:themeColor="text1"/>
          <w14:textFill>
            <w14:solidFill>
              <w14:schemeClr w14:val="tx1"/>
            </w14:solidFill>
          </w14:textFill>
        </w:rPr>
        <w:t xml:space="preserve">The management should ensure that the strategies align with the company goals as without them the business might be directed in the wrong way. In this case, the expansion of the business can be riskier than the previous times. </w:t>
      </w:r>
    </w:p>
    <w:p>
      <w:pPr>
        <w:pStyle w:val="15"/>
        <w:numPr>
          <w:ilvl w:val="0"/>
          <w:numId w:val="6"/>
        </w:numPr>
        <w:rPr>
          <w:color w:val="000000" w:themeColor="text1"/>
          <w14:textFill>
            <w14:solidFill>
              <w14:schemeClr w14:val="tx1"/>
            </w14:solidFill>
          </w14:textFill>
        </w:rPr>
      </w:pPr>
      <w:r>
        <w:rPr>
          <w:color w:val="000000" w:themeColor="text1"/>
          <w14:textFill>
            <w14:solidFill>
              <w14:schemeClr w14:val="tx1"/>
            </w14:solidFill>
          </w14:textFill>
        </w:rPr>
        <w:t xml:space="preserve">Technological feasibility in the insurance business operations needs to be judged so that innovation can drive the business to get the maximum return out of the existing opportunities in the market. </w:t>
      </w:r>
    </w:p>
    <w:p>
      <w:pPr>
        <w:pStyle w:val="15"/>
        <w:numPr>
          <w:ilvl w:val="0"/>
          <w:numId w:val="6"/>
        </w:numPr>
        <w:rPr>
          <w:color w:val="000000" w:themeColor="text1"/>
          <w14:textFill>
            <w14:solidFill>
              <w14:schemeClr w14:val="tx1"/>
            </w14:solidFill>
          </w14:textFill>
        </w:rPr>
      </w:pPr>
      <w:r>
        <w:rPr>
          <w:color w:val="000000" w:themeColor="text1"/>
          <w14:textFill>
            <w14:solidFill>
              <w14:schemeClr w14:val="tx1"/>
            </w14:solidFill>
          </w14:textFill>
        </w:rPr>
        <w:t>Social and ethical considerations are very important for insurance businesses like Atlantic American Corporation as they depend on the trustworthiness among the customers to generate revenue from the business operations that they are adopting.</w:t>
      </w:r>
    </w:p>
    <w:p>
      <w:pPr>
        <w:pStyle w:val="15"/>
        <w:numPr>
          <w:ilvl w:val="0"/>
          <w:numId w:val="6"/>
        </w:numPr>
        <w:rPr>
          <w:color w:val="000000" w:themeColor="text1"/>
          <w14:textFill>
            <w14:solidFill>
              <w14:schemeClr w14:val="tx1"/>
            </w14:solidFill>
          </w14:textFill>
        </w:rPr>
      </w:pPr>
      <w:r>
        <w:rPr>
          <w:color w:val="000000" w:themeColor="text1"/>
          <w14:textFill>
            <w14:solidFill>
              <w14:schemeClr w14:val="tx1"/>
            </w14:solidFill>
          </w14:textFill>
        </w:rPr>
        <w:t xml:space="preserve">Regulatory and environmental compliance is essential for getting the maximum return out of the business. As insurance business is very prone to legal environment if any issue arises, AAC needs to understand their surrounding legal environment before making a decision that can affect the lives of the policyholders of the business. </w:t>
      </w:r>
    </w:p>
    <w:p>
      <w:pPr>
        <w:pStyle w:val="2"/>
        <w:rPr>
          <w:color w:val="000000" w:themeColor="text1"/>
          <w14:textFill>
            <w14:solidFill>
              <w14:schemeClr w14:val="tx1"/>
            </w14:solidFill>
          </w14:textFill>
        </w:rPr>
      </w:pPr>
      <w:bookmarkStart w:id="15" w:name="_Toc159960173"/>
      <w:r>
        <w:rPr>
          <w:color w:val="000000" w:themeColor="text1"/>
          <w14:textFill>
            <w14:solidFill>
              <w14:schemeClr w14:val="tx1"/>
            </w14:solidFill>
          </w14:textFill>
        </w:rPr>
        <w:t>Conclusion</w:t>
      </w:r>
      <w:bookmarkEnd w:id="15"/>
    </w:p>
    <w:p>
      <w:pPr>
        <w:rPr>
          <w:color w:val="000000" w:themeColor="text1"/>
          <w14:textFill>
            <w14:solidFill>
              <w14:schemeClr w14:val="tx1"/>
            </w14:solidFill>
          </w14:textFill>
        </w:rPr>
      </w:pPr>
      <w:r>
        <w:rPr>
          <w:color w:val="000000" w:themeColor="text1"/>
          <w14:textFill>
            <w14:solidFill>
              <w14:schemeClr w14:val="tx1"/>
            </w14:solidFill>
          </w14:textFill>
        </w:rPr>
        <w:t xml:space="preserve">As the insurance industry is growing around the world, people seeing the uncertainties mitigation techniques by these companies, there are ample opportunities for businesses like AAC to flourish mitigating the risks that the businesses are facing. Through taking necessary actions that can reduce the debt dependency of AAC, they can thrive in the market with a more efficient and effective management structure. </w:t>
      </w:r>
    </w:p>
    <w:p>
      <w:pPr>
        <w:rPr>
          <w:color w:val="000000" w:themeColor="text1"/>
          <w14:textFill>
            <w14:solidFill>
              <w14:schemeClr w14:val="tx1"/>
            </w14:solidFill>
          </w14:textFill>
        </w:rPr>
      </w:pPr>
    </w:p>
    <w:p>
      <w:pPr>
        <w:rPr>
          <w:rFonts w:ascii="Cambria" w:hAnsi="Cambria" w:eastAsiaTheme="majorEastAsia" w:cstheme="majorBidi"/>
          <w:b/>
          <w:color w:val="000000" w:themeColor="text1"/>
          <w:sz w:val="32"/>
          <w:szCs w:val="32"/>
          <w14:textFill>
            <w14:solidFill>
              <w14:schemeClr w14:val="tx1"/>
            </w14:solidFill>
          </w14:textFill>
        </w:rPr>
      </w:pPr>
      <w:r>
        <w:rPr>
          <w:color w:val="000000" w:themeColor="text1"/>
          <w14:textFill>
            <w14:solidFill>
              <w14:schemeClr w14:val="tx1"/>
            </w14:solidFill>
          </w14:textFill>
        </w:rPr>
        <w:br w:type="page"/>
      </w:r>
    </w:p>
    <w:p>
      <w:pPr>
        <w:pStyle w:val="2"/>
        <w:rPr>
          <w:color w:val="000000" w:themeColor="text1"/>
          <w14:textFill>
            <w14:solidFill>
              <w14:schemeClr w14:val="tx1"/>
            </w14:solidFill>
          </w14:textFill>
        </w:rPr>
      </w:pPr>
      <w:bookmarkStart w:id="16" w:name="_Toc159960174"/>
      <w:r>
        <w:rPr>
          <w:color w:val="000000" w:themeColor="text1"/>
          <w14:textFill>
            <w14:solidFill>
              <w14:schemeClr w14:val="tx1"/>
            </w14:solidFill>
          </w14:textFill>
        </w:rPr>
        <w:t>References</w:t>
      </w:r>
      <w:bookmarkEnd w:id="16"/>
    </w:p>
    <w:p>
      <w:pPr>
        <w:rPr>
          <w:color w:val="000000" w:themeColor="text1"/>
          <w14:textFill>
            <w14:solidFill>
              <w14:schemeClr w14:val="tx1"/>
            </w14:solidFill>
          </w14:textFill>
        </w:rPr>
      </w:pPr>
      <w:r>
        <w:rPr>
          <w:color w:val="000000" w:themeColor="text1"/>
          <w14:textFill>
            <w14:solidFill>
              <w14:schemeClr w14:val="tx1"/>
            </w14:solidFill>
          </w14:textFill>
        </w:rPr>
        <w:t>Arnold, G. (2019). Corporate Financial Management (6th ed.). Pearson.</w:t>
      </w:r>
    </w:p>
    <w:p>
      <w:pPr>
        <w:rPr>
          <w:color w:val="000000" w:themeColor="text1"/>
          <w14:textFill>
            <w14:solidFill>
              <w14:schemeClr w14:val="tx1"/>
            </w14:solidFill>
          </w14:textFill>
        </w:rPr>
      </w:pPr>
      <w:r>
        <w:rPr>
          <w:color w:val="000000" w:themeColor="text1"/>
          <w14:textFill>
            <w14:solidFill>
              <w14:schemeClr w14:val="tx1"/>
            </w14:solidFill>
          </w14:textFill>
        </w:rPr>
        <w:t>Arnold, G. (2019). Essentials of Corporate Financial Management (2nd ed.). Pearson.</w:t>
      </w:r>
    </w:p>
    <w:p>
      <w:pPr>
        <w:rPr>
          <w:color w:val="000000" w:themeColor="text1"/>
          <w14:textFill>
            <w14:solidFill>
              <w14:schemeClr w14:val="tx1"/>
            </w14:solidFill>
          </w14:textFill>
        </w:rPr>
      </w:pPr>
      <w:r>
        <w:rPr>
          <w:color w:val="000000" w:themeColor="text1"/>
          <w14:textFill>
            <w14:solidFill>
              <w14:schemeClr w14:val="tx1"/>
            </w14:solidFill>
          </w14:textFill>
        </w:rPr>
        <w:t>Berk, J., &amp; DeMarzo, P. (2020). Corporate Finance (4th ed.). Pearson.</w:t>
      </w:r>
    </w:p>
    <w:p>
      <w:pPr>
        <w:rPr>
          <w:color w:val="000000" w:themeColor="text1"/>
          <w14:textFill>
            <w14:solidFill>
              <w14:schemeClr w14:val="tx1"/>
            </w14:solidFill>
          </w14:textFill>
        </w:rPr>
      </w:pPr>
      <w:r>
        <w:rPr>
          <w:color w:val="000000" w:themeColor="text1"/>
          <w14:textFill>
            <w14:solidFill>
              <w14:schemeClr w14:val="tx1"/>
            </w14:solidFill>
          </w14:textFill>
        </w:rPr>
        <w:t>Block, S. B., &amp; Hirt, G. A. (2022). Foundations of Financial Management (17th ed.). McGraw-Hill Education.</w:t>
      </w:r>
    </w:p>
    <w:p>
      <w:pPr>
        <w:rPr>
          <w:color w:val="000000" w:themeColor="text1"/>
          <w14:textFill>
            <w14:solidFill>
              <w14:schemeClr w14:val="tx1"/>
            </w14:solidFill>
          </w14:textFill>
        </w:rPr>
      </w:pPr>
      <w:r>
        <w:rPr>
          <w:color w:val="000000" w:themeColor="text1"/>
          <w14:textFill>
            <w14:solidFill>
              <w14:schemeClr w14:val="tx1"/>
            </w14:solidFill>
          </w14:textFill>
        </w:rPr>
        <w:t>Brealey, R. A., Myers, S. C., &amp; Allen, F. (2017). Principles of Corporate Finance (12th ed.). McGraw-Hill Education.</w:t>
      </w:r>
    </w:p>
    <w:p>
      <w:pPr>
        <w:rPr>
          <w:color w:val="000000" w:themeColor="text1"/>
          <w14:textFill>
            <w14:solidFill>
              <w14:schemeClr w14:val="tx1"/>
            </w14:solidFill>
          </w14:textFill>
        </w:rPr>
      </w:pPr>
      <w:r>
        <w:rPr>
          <w:color w:val="000000" w:themeColor="text1"/>
          <w14:textFill>
            <w14:solidFill>
              <w14:schemeClr w14:val="tx1"/>
            </w14:solidFill>
          </w14:textFill>
        </w:rPr>
        <w:t>Brealey, R. A., Myers, S. C., &amp; Marcus, A. J. (2022). Fundamentals of Corporate Finance (9th ed.). McGraw-Hill Education.</w:t>
      </w:r>
    </w:p>
    <w:p>
      <w:pPr>
        <w:rPr>
          <w:color w:val="000000" w:themeColor="text1"/>
          <w14:textFill>
            <w14:solidFill>
              <w14:schemeClr w14:val="tx1"/>
            </w14:solidFill>
          </w14:textFill>
        </w:rPr>
      </w:pPr>
      <w:r>
        <w:rPr>
          <w:color w:val="000000" w:themeColor="text1"/>
          <w14:textFill>
            <w14:solidFill>
              <w14:schemeClr w14:val="tx1"/>
            </w14:solidFill>
          </w14:textFill>
        </w:rPr>
        <w:t>Brigham, E. F., &amp; Houston, J. F. (2018). Fundamentals of Financial Management (15th ed.). Cengage Learning.</w:t>
      </w:r>
    </w:p>
    <w:p>
      <w:pPr>
        <w:rPr>
          <w:color w:val="000000" w:themeColor="text1"/>
          <w14:textFill>
            <w14:solidFill>
              <w14:schemeClr w14:val="tx1"/>
            </w14:solidFill>
          </w14:textFill>
        </w:rPr>
      </w:pPr>
      <w:r>
        <w:rPr>
          <w:color w:val="000000" w:themeColor="text1"/>
          <w14:textFill>
            <w14:solidFill>
              <w14:schemeClr w14:val="tx1"/>
            </w14:solidFill>
          </w14:textFill>
        </w:rPr>
        <w:t>Gitman, L. J., &amp; Zutter, C. J. (2019). Principles of Managerial Finance (15th ed.). Pearson.</w:t>
      </w:r>
    </w:p>
    <w:p>
      <w:pPr>
        <w:rPr>
          <w:color w:val="000000" w:themeColor="text1"/>
          <w14:textFill>
            <w14:solidFill>
              <w14:schemeClr w14:val="tx1"/>
            </w14:solidFill>
          </w14:textFill>
        </w:rPr>
      </w:pPr>
      <w:r>
        <w:rPr>
          <w:color w:val="000000" w:themeColor="text1"/>
          <w14:textFill>
            <w14:solidFill>
              <w14:schemeClr w14:val="tx1"/>
            </w14:solidFill>
          </w14:textFill>
        </w:rPr>
        <w:t>Higgins, R. C. (2021). Analysis for Financial Management (11th ed.). McGraw-Hill Education.</w:t>
      </w:r>
    </w:p>
    <w:p>
      <w:pPr>
        <w:rPr>
          <w:color w:val="000000" w:themeColor="text1"/>
          <w14:textFill>
            <w14:solidFill>
              <w14:schemeClr w14:val="tx1"/>
            </w14:solidFill>
          </w14:textFill>
        </w:rPr>
      </w:pPr>
      <w:r>
        <w:rPr>
          <w:color w:val="000000" w:themeColor="text1"/>
          <w14:textFill>
            <w14:solidFill>
              <w14:schemeClr w14:val="tx1"/>
            </w14:solidFill>
          </w14:textFill>
        </w:rPr>
        <w:t>Horngren, C. T., Sundem, G. L., Stratton, W. O., Burgstahler, D., &amp; Schatzberg, J. (2021). Introduction to Management Accounting (16th ed.). Pearson.</w:t>
      </w:r>
    </w:p>
    <w:p>
      <w:pPr>
        <w:rPr>
          <w:color w:val="000000" w:themeColor="text1"/>
          <w14:textFill>
            <w14:solidFill>
              <w14:schemeClr w14:val="tx1"/>
            </w14:solidFill>
          </w14:textFill>
        </w:rPr>
      </w:pPr>
      <w:r>
        <w:rPr>
          <w:color w:val="000000" w:themeColor="text1"/>
          <w14:textFill>
            <w14:solidFill>
              <w14:schemeClr w14:val="tx1"/>
            </w14:solidFill>
          </w14:textFill>
        </w:rPr>
        <w:t>Moyer, R. C., McGuigan, J. R., &amp; Rao, R. (2022). Contemporary Financial Management (15th ed.). Cengage Learning.</w:t>
      </w:r>
    </w:p>
    <w:p>
      <w:pPr>
        <w:rPr>
          <w:color w:val="000000" w:themeColor="text1"/>
          <w14:textFill>
            <w14:solidFill>
              <w14:schemeClr w14:val="tx1"/>
            </w14:solidFill>
          </w14:textFill>
        </w:rPr>
      </w:pPr>
      <w:r>
        <w:rPr>
          <w:color w:val="000000" w:themeColor="text1"/>
          <w14:textFill>
            <w14:solidFill>
              <w14:schemeClr w14:val="tx1"/>
            </w14:solidFill>
          </w14:textFill>
        </w:rPr>
        <w:t>Ross, S. A., Westerfield, R. W., &amp; Jordan, B. D. (2019). Fundamentals of Corporate Finance (12th ed.). McGraw-Hill Education.</w:t>
      </w:r>
    </w:p>
    <w:p>
      <w:pPr>
        <w:rPr>
          <w:color w:val="000000" w:themeColor="text1"/>
          <w14:textFill>
            <w14:solidFill>
              <w14:schemeClr w14:val="tx1"/>
            </w14:solidFill>
          </w14:textFill>
        </w:rPr>
      </w:pPr>
      <w:r>
        <w:rPr>
          <w:color w:val="000000" w:themeColor="text1"/>
          <w14:textFill>
            <w14:solidFill>
              <w14:schemeClr w14:val="tx1"/>
            </w14:solidFill>
          </w14:textFill>
        </w:rPr>
        <w:t>Ross, S. A., Westerfield, R. W., Jaffe, J., &amp; Jordan, B. D. (2020). Corporate Finance: Core Principles and Applications (5th ed.). McGraw-Hill Education.</w:t>
      </w:r>
    </w:p>
    <w:p>
      <w:pPr>
        <w:rPr>
          <w:color w:val="000000" w:themeColor="text1"/>
          <w14:textFill>
            <w14:solidFill>
              <w14:schemeClr w14:val="tx1"/>
            </w14:solidFill>
          </w14:textFill>
        </w:rPr>
      </w:pPr>
      <w:r>
        <w:rPr>
          <w:color w:val="000000" w:themeColor="text1"/>
          <w14:textFill>
            <w14:solidFill>
              <w14:schemeClr w14:val="tx1"/>
            </w14:solidFill>
          </w14:textFill>
        </w:rPr>
        <w:t>Smart, S. B., Megginson, W. L., &amp; Gitman, L. J. (2022). Corporate Finance (4th ed.). Cengage Learning.</w:t>
      </w:r>
    </w:p>
    <w:p>
      <w:pPr>
        <w:rPr>
          <w:color w:val="000000" w:themeColor="text1"/>
          <w14:textFill>
            <w14:solidFill>
              <w14:schemeClr w14:val="tx1"/>
            </w14:solidFill>
          </w14:textFill>
        </w:rPr>
      </w:pPr>
      <w:r>
        <w:rPr>
          <w:color w:val="000000" w:themeColor="text1"/>
          <w14:textFill>
            <w14:solidFill>
              <w14:schemeClr w14:val="tx1"/>
            </w14:solidFill>
          </w14:textFill>
        </w:rPr>
        <w:t>Van Horne, J. C., &amp; Wachowicz, J. M. (2020). Fundamentals of Financial Management (14th ed.). Pearson.</w:t>
      </w: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Vrinda">
    <w:altName w:val="苹方-简"/>
    <w:panose1 w:val="020B0502040204020203"/>
    <w:charset w:val="00"/>
    <w:family w:val="swiss"/>
    <w:pitch w:val="default"/>
    <w:sig w:usb0="00000000" w:usb1="00000000" w:usb2="00000000" w:usb3="00000000" w:csb0="00000001" w:csb1="00000000"/>
  </w:font>
  <w:font w:name="苹方-简">
    <w:panose1 w:val="020B0400000000000000"/>
    <w:charset w:val="86"/>
    <w:family w:val="auto"/>
    <w:pitch w:val="default"/>
    <w:sig w:usb0="00000000" w:usb1="00000000" w:usb2="00000000" w:usb3="00000000" w:csb0="00160000" w:csb1="00000000"/>
  </w:font>
  <w:font w:name="Calibri">
    <w:altName w:val="Helvetica Neue"/>
    <w:panose1 w:val="00000000000000000000"/>
    <w:charset w:val="00"/>
    <w:family w:val="auto"/>
    <w:pitch w:val="default"/>
    <w:sig w:usb0="00000000" w:usb1="00000000" w:usb2="00000000" w:usb3="00000000" w:csb0="00000000" w:csb1="00000000"/>
  </w:font>
  <w:font w:name="Cambria">
    <w:altName w:val="苹方-简"/>
    <w:panose1 w:val="02040503050406030204"/>
    <w:charset w:val="00"/>
    <w:family w:val="roman"/>
    <w:pitch w:val="default"/>
    <w:sig w:usb0="00000000" w:usb1="00000000" w:usb2="00000000" w:usb3="00000000" w:csb0="0000019F" w:csb1="00000000"/>
  </w:font>
  <w:font w:name="等线 Light">
    <w:altName w:val="苹方-简"/>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苹方-简"/>
    <w:panose1 w:val="00000000000000000000"/>
    <w:charset w:val="00"/>
    <w:family w:val="auto"/>
    <w:pitch w:val="default"/>
    <w:sig w:usb0="00000000" w:usb1="00000000" w:usb2="00000000" w:usb3="00000000" w:csb0="00000000" w:csb1="00000000"/>
  </w:font>
  <w:font w:name="Wingdings">
    <w:panose1 w:val="05000000000000000000"/>
    <w:charset w:val="4D"/>
    <w:family w:val="decorative"/>
    <w:pitch w:val="default"/>
    <w:sig w:usb0="00000000" w:usb1="00000000" w:usb2="00000000" w:usb3="00000000" w:csb0="00000000" w:csb1="00000000"/>
  </w:font>
  <w:font w:name="Symbol">
    <w:altName w:val="Kingsoft Sign"/>
    <w:panose1 w:val="05050102010706020507"/>
    <w:charset w:val="02"/>
    <w:family w:val="decorative"/>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00000000" w:csb1="00000000"/>
  </w:font>
  <w:font w:name="Hiragino Sans GB">
    <w:panose1 w:val="020B0300000000000000"/>
    <w:charset w:val="86"/>
    <w:family w:val="auto"/>
    <w:pitch w:val="default"/>
    <w:sig w:usb0="00000000" w:usb1="00000000" w:usb2="00000000" w:usb3="00000000" w:csb0="00160000" w:csb1="00000000"/>
  </w:font>
  <w:font w:name=".AppleSystemUIFont">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2317904"/>
      <w:docPartObj>
        <w:docPartGallery w:val="AutoText"/>
      </w:docPartObj>
    </w:sdtPr>
    <w:sdtContent>
      <w:p>
        <w:pPr>
          <w:pStyle w:val="7"/>
          <w:jc w:val="center"/>
        </w:pPr>
        <w:r>
          <w:fldChar w:fldCharType="begin"/>
        </w:r>
        <w:r>
          <w:instrText xml:space="preserve"> PAGE   \* MERGEFORMAT </w:instrText>
        </w:r>
        <w:r>
          <w:fldChar w:fldCharType="separate"/>
        </w:r>
        <w:r>
          <w:t>2</w:t>
        </w:r>
        <w:r>
          <w:fldChar w:fldCharType="end"/>
        </w:r>
      </w:p>
    </w:sdtContent>
  </w:sdt>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D624E5"/>
    <w:multiLevelType w:val="multilevel"/>
    <w:tmpl w:val="17D624E5"/>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1DB7FB3"/>
    <w:multiLevelType w:val="multilevel"/>
    <w:tmpl w:val="21DB7FB3"/>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46B0118C"/>
    <w:multiLevelType w:val="multilevel"/>
    <w:tmpl w:val="46B0118C"/>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5035428C"/>
    <w:multiLevelType w:val="multilevel"/>
    <w:tmpl w:val="5035428C"/>
    <w:lvl w:ilvl="0" w:tentative="0">
      <w:start w:val="1"/>
      <w:numFmt w:val="bullet"/>
      <w:lvlText w:val=""/>
      <w:lvlJc w:val="left"/>
      <w:pPr>
        <w:ind w:left="783" w:hanging="360"/>
      </w:pPr>
      <w:rPr>
        <w:rFonts w:hint="default" w:ascii="Wingdings" w:hAnsi="Wingdings"/>
      </w:rPr>
    </w:lvl>
    <w:lvl w:ilvl="1" w:tentative="0">
      <w:start w:val="1"/>
      <w:numFmt w:val="bullet"/>
      <w:lvlText w:val="o"/>
      <w:lvlJc w:val="left"/>
      <w:pPr>
        <w:ind w:left="1503" w:hanging="360"/>
      </w:pPr>
      <w:rPr>
        <w:rFonts w:hint="default" w:ascii="Courier New" w:hAnsi="Courier New" w:cs="Courier New"/>
      </w:rPr>
    </w:lvl>
    <w:lvl w:ilvl="2" w:tentative="0">
      <w:start w:val="1"/>
      <w:numFmt w:val="bullet"/>
      <w:lvlText w:val=""/>
      <w:lvlJc w:val="left"/>
      <w:pPr>
        <w:ind w:left="2223" w:hanging="360"/>
      </w:pPr>
      <w:rPr>
        <w:rFonts w:hint="default" w:ascii="Wingdings" w:hAnsi="Wingdings"/>
      </w:rPr>
    </w:lvl>
    <w:lvl w:ilvl="3" w:tentative="0">
      <w:start w:val="1"/>
      <w:numFmt w:val="bullet"/>
      <w:lvlText w:val=""/>
      <w:lvlJc w:val="left"/>
      <w:pPr>
        <w:ind w:left="2943" w:hanging="360"/>
      </w:pPr>
      <w:rPr>
        <w:rFonts w:hint="default" w:ascii="Symbol" w:hAnsi="Symbol"/>
      </w:rPr>
    </w:lvl>
    <w:lvl w:ilvl="4" w:tentative="0">
      <w:start w:val="1"/>
      <w:numFmt w:val="bullet"/>
      <w:lvlText w:val="o"/>
      <w:lvlJc w:val="left"/>
      <w:pPr>
        <w:ind w:left="3663" w:hanging="360"/>
      </w:pPr>
      <w:rPr>
        <w:rFonts w:hint="default" w:ascii="Courier New" w:hAnsi="Courier New" w:cs="Courier New"/>
      </w:rPr>
    </w:lvl>
    <w:lvl w:ilvl="5" w:tentative="0">
      <w:start w:val="1"/>
      <w:numFmt w:val="bullet"/>
      <w:lvlText w:val=""/>
      <w:lvlJc w:val="left"/>
      <w:pPr>
        <w:ind w:left="4383" w:hanging="360"/>
      </w:pPr>
      <w:rPr>
        <w:rFonts w:hint="default" w:ascii="Wingdings" w:hAnsi="Wingdings"/>
      </w:rPr>
    </w:lvl>
    <w:lvl w:ilvl="6" w:tentative="0">
      <w:start w:val="1"/>
      <w:numFmt w:val="bullet"/>
      <w:lvlText w:val=""/>
      <w:lvlJc w:val="left"/>
      <w:pPr>
        <w:ind w:left="5103" w:hanging="360"/>
      </w:pPr>
      <w:rPr>
        <w:rFonts w:hint="default" w:ascii="Symbol" w:hAnsi="Symbol"/>
      </w:rPr>
    </w:lvl>
    <w:lvl w:ilvl="7" w:tentative="0">
      <w:start w:val="1"/>
      <w:numFmt w:val="bullet"/>
      <w:lvlText w:val="o"/>
      <w:lvlJc w:val="left"/>
      <w:pPr>
        <w:ind w:left="5823" w:hanging="360"/>
      </w:pPr>
      <w:rPr>
        <w:rFonts w:hint="default" w:ascii="Courier New" w:hAnsi="Courier New" w:cs="Courier New"/>
      </w:rPr>
    </w:lvl>
    <w:lvl w:ilvl="8" w:tentative="0">
      <w:start w:val="1"/>
      <w:numFmt w:val="bullet"/>
      <w:lvlText w:val=""/>
      <w:lvlJc w:val="left"/>
      <w:pPr>
        <w:ind w:left="6543" w:hanging="360"/>
      </w:pPr>
      <w:rPr>
        <w:rFonts w:hint="default" w:ascii="Wingdings" w:hAnsi="Wingdings"/>
      </w:rPr>
    </w:lvl>
  </w:abstractNum>
  <w:abstractNum w:abstractNumId="4">
    <w:nsid w:val="56D736E8"/>
    <w:multiLevelType w:val="multilevel"/>
    <w:tmpl w:val="56D736E8"/>
    <w:lvl w:ilvl="0" w:tentative="0">
      <w:start w:val="1"/>
      <w:numFmt w:val="upp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786226AF"/>
    <w:multiLevelType w:val="multilevel"/>
    <w:tmpl w:val="786226AF"/>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Tc2MTW1tLC0MDW3NDdT0lEKTi0uzszPAykwrAUA3rBiViwAAAA="/>
  </w:docVars>
  <w:rsids>
    <w:rsidRoot w:val="004A0EF9"/>
    <w:rsid w:val="00000638"/>
    <w:rsid w:val="0000439F"/>
    <w:rsid w:val="00021484"/>
    <w:rsid w:val="00033289"/>
    <w:rsid w:val="00050049"/>
    <w:rsid w:val="0007611C"/>
    <w:rsid w:val="000D152F"/>
    <w:rsid w:val="001076AC"/>
    <w:rsid w:val="00141BEF"/>
    <w:rsid w:val="0015199E"/>
    <w:rsid w:val="00153D83"/>
    <w:rsid w:val="00160683"/>
    <w:rsid w:val="001908E0"/>
    <w:rsid w:val="001A0011"/>
    <w:rsid w:val="001A5CD0"/>
    <w:rsid w:val="001D12DB"/>
    <w:rsid w:val="001D6BE6"/>
    <w:rsid w:val="00222FE4"/>
    <w:rsid w:val="00223AA3"/>
    <w:rsid w:val="00265738"/>
    <w:rsid w:val="0027319B"/>
    <w:rsid w:val="0027670D"/>
    <w:rsid w:val="00283F86"/>
    <w:rsid w:val="002A2A52"/>
    <w:rsid w:val="002B2976"/>
    <w:rsid w:val="002D4492"/>
    <w:rsid w:val="002D61BF"/>
    <w:rsid w:val="0035689F"/>
    <w:rsid w:val="00363D77"/>
    <w:rsid w:val="00395B3E"/>
    <w:rsid w:val="003A01C3"/>
    <w:rsid w:val="003A353A"/>
    <w:rsid w:val="003B0016"/>
    <w:rsid w:val="003C0E21"/>
    <w:rsid w:val="003C146D"/>
    <w:rsid w:val="003D4904"/>
    <w:rsid w:val="00433254"/>
    <w:rsid w:val="00436BBE"/>
    <w:rsid w:val="004449AD"/>
    <w:rsid w:val="00447154"/>
    <w:rsid w:val="0045042F"/>
    <w:rsid w:val="00450EAF"/>
    <w:rsid w:val="004549BC"/>
    <w:rsid w:val="00456B19"/>
    <w:rsid w:val="0047031D"/>
    <w:rsid w:val="004827E4"/>
    <w:rsid w:val="00490F6A"/>
    <w:rsid w:val="004A0EF9"/>
    <w:rsid w:val="004C7819"/>
    <w:rsid w:val="004D217A"/>
    <w:rsid w:val="00512049"/>
    <w:rsid w:val="0053517E"/>
    <w:rsid w:val="00537052"/>
    <w:rsid w:val="00552344"/>
    <w:rsid w:val="0055728C"/>
    <w:rsid w:val="005B0D10"/>
    <w:rsid w:val="00603374"/>
    <w:rsid w:val="00632AF7"/>
    <w:rsid w:val="006429F2"/>
    <w:rsid w:val="00681058"/>
    <w:rsid w:val="006B0FF9"/>
    <w:rsid w:val="007408B9"/>
    <w:rsid w:val="00762FA6"/>
    <w:rsid w:val="007641D8"/>
    <w:rsid w:val="007C1287"/>
    <w:rsid w:val="007C29F3"/>
    <w:rsid w:val="007F0F7F"/>
    <w:rsid w:val="007F712A"/>
    <w:rsid w:val="0081219D"/>
    <w:rsid w:val="00813355"/>
    <w:rsid w:val="00830F00"/>
    <w:rsid w:val="008563DF"/>
    <w:rsid w:val="0088798C"/>
    <w:rsid w:val="008C1E24"/>
    <w:rsid w:val="008C59B3"/>
    <w:rsid w:val="008D5BD5"/>
    <w:rsid w:val="008F2CD2"/>
    <w:rsid w:val="00965809"/>
    <w:rsid w:val="0096741B"/>
    <w:rsid w:val="00976F57"/>
    <w:rsid w:val="00986710"/>
    <w:rsid w:val="009D1F74"/>
    <w:rsid w:val="009E684D"/>
    <w:rsid w:val="009F0018"/>
    <w:rsid w:val="009F7541"/>
    <w:rsid w:val="00A32CC9"/>
    <w:rsid w:val="00A61D29"/>
    <w:rsid w:val="00A9289E"/>
    <w:rsid w:val="00AA75A4"/>
    <w:rsid w:val="00AD3D80"/>
    <w:rsid w:val="00AE598B"/>
    <w:rsid w:val="00AE7E1B"/>
    <w:rsid w:val="00AF6BEE"/>
    <w:rsid w:val="00B2456F"/>
    <w:rsid w:val="00B52810"/>
    <w:rsid w:val="00B76370"/>
    <w:rsid w:val="00B97542"/>
    <w:rsid w:val="00BA31B6"/>
    <w:rsid w:val="00BB4380"/>
    <w:rsid w:val="00BD1ACB"/>
    <w:rsid w:val="00BE23CC"/>
    <w:rsid w:val="00C01985"/>
    <w:rsid w:val="00C165A1"/>
    <w:rsid w:val="00C26D09"/>
    <w:rsid w:val="00C30489"/>
    <w:rsid w:val="00C47427"/>
    <w:rsid w:val="00C65671"/>
    <w:rsid w:val="00CC2781"/>
    <w:rsid w:val="00CC29B8"/>
    <w:rsid w:val="00CF3721"/>
    <w:rsid w:val="00D117A7"/>
    <w:rsid w:val="00D17836"/>
    <w:rsid w:val="00D17997"/>
    <w:rsid w:val="00D273A0"/>
    <w:rsid w:val="00D40F72"/>
    <w:rsid w:val="00D46D51"/>
    <w:rsid w:val="00D62656"/>
    <w:rsid w:val="00D74242"/>
    <w:rsid w:val="00D8409D"/>
    <w:rsid w:val="00D961FC"/>
    <w:rsid w:val="00DA09EE"/>
    <w:rsid w:val="00DC659E"/>
    <w:rsid w:val="00DD0003"/>
    <w:rsid w:val="00DE1182"/>
    <w:rsid w:val="00DF7D45"/>
    <w:rsid w:val="00E16D4D"/>
    <w:rsid w:val="00E34434"/>
    <w:rsid w:val="00E6668E"/>
    <w:rsid w:val="00EA18B5"/>
    <w:rsid w:val="00EB0D79"/>
    <w:rsid w:val="00EB109F"/>
    <w:rsid w:val="00EF5211"/>
    <w:rsid w:val="00EF7C13"/>
    <w:rsid w:val="00F23984"/>
    <w:rsid w:val="00F35986"/>
    <w:rsid w:val="00F41F5F"/>
    <w:rsid w:val="00F4480A"/>
    <w:rsid w:val="00F6712D"/>
    <w:rsid w:val="00F73B49"/>
    <w:rsid w:val="00F7609C"/>
    <w:rsid w:val="00FA2C43"/>
    <w:rsid w:val="00FD2F11"/>
    <w:rsid w:val="FE5BFB3E"/>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kern w:val="2"/>
      <w:sz w:val="24"/>
      <w:szCs w:val="22"/>
      <w:lang w:val="en-US" w:eastAsia="en-US" w:bidi="ar-SA"/>
      <w14:ligatures w14:val="standardContextual"/>
    </w:rPr>
  </w:style>
  <w:style w:type="paragraph" w:styleId="2">
    <w:name w:val="heading 1"/>
    <w:basedOn w:val="1"/>
    <w:next w:val="1"/>
    <w:link w:val="13"/>
    <w:qFormat/>
    <w:uiPriority w:val="9"/>
    <w:pPr>
      <w:keepNext/>
      <w:keepLines/>
      <w:spacing w:before="240" w:after="0"/>
      <w:outlineLvl w:val="0"/>
    </w:pPr>
    <w:rPr>
      <w:rFonts w:ascii="Cambria" w:hAnsi="Cambria" w:eastAsiaTheme="majorEastAsia" w:cstheme="majorBidi"/>
      <w:b/>
      <w:color w:val="2F5597" w:themeColor="accent1" w:themeShade="BF"/>
      <w:sz w:val="32"/>
      <w:szCs w:val="32"/>
    </w:rPr>
  </w:style>
  <w:style w:type="paragraph" w:styleId="3">
    <w:name w:val="heading 2"/>
    <w:basedOn w:val="1"/>
    <w:next w:val="1"/>
    <w:link w:val="14"/>
    <w:unhideWhenUsed/>
    <w:qFormat/>
    <w:uiPriority w:val="9"/>
    <w:pPr>
      <w:keepNext/>
      <w:keepLines/>
      <w:spacing w:before="120" w:after="0"/>
      <w:outlineLvl w:val="1"/>
    </w:pPr>
    <w:rPr>
      <w:rFonts w:ascii="Cambria" w:hAnsi="Cambria" w:eastAsiaTheme="majorEastAsia" w:cstheme="majorBidi"/>
      <w:b/>
      <w:color w:val="000000" w:themeColor="text1"/>
      <w:sz w:val="28"/>
      <w:szCs w:val="26"/>
      <w14:textFill>
        <w14:solidFill>
          <w14:schemeClr w14:val="tx1"/>
        </w14:solidFill>
      </w14:textFill>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7">
    <w:name w:val="footer"/>
    <w:basedOn w:val="1"/>
    <w:link w:val="17"/>
    <w:unhideWhenUsed/>
    <w:uiPriority w:val="99"/>
    <w:pPr>
      <w:tabs>
        <w:tab w:val="center" w:pos="4680"/>
        <w:tab w:val="right" w:pos="9360"/>
      </w:tabs>
      <w:spacing w:after="0" w:line="240" w:lineRule="auto"/>
    </w:pPr>
  </w:style>
  <w:style w:type="paragraph" w:styleId="8">
    <w:name w:val="header"/>
    <w:basedOn w:val="1"/>
    <w:link w:val="16"/>
    <w:unhideWhenUsed/>
    <w:uiPriority w:val="99"/>
    <w:pPr>
      <w:tabs>
        <w:tab w:val="center" w:pos="4680"/>
        <w:tab w:val="right" w:pos="9360"/>
      </w:tabs>
      <w:spacing w:after="0" w:line="240" w:lineRule="auto"/>
    </w:pPr>
  </w:style>
  <w:style w:type="character" w:styleId="9">
    <w:name w:val="Hyperlink"/>
    <w:basedOn w:val="4"/>
    <w:unhideWhenUsed/>
    <w:uiPriority w:val="99"/>
    <w:rPr>
      <w:color w:val="0563C1" w:themeColor="hyperlink"/>
      <w:u w:val="single"/>
      <w14:textFill>
        <w14:solidFill>
          <w14:schemeClr w14:val="hlink"/>
        </w14:solidFill>
      </w14:textFill>
    </w:rPr>
  </w:style>
  <w:style w:type="table" w:styleId="10">
    <w:name w:val="Table Grid"/>
    <w:basedOn w:val="5"/>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toc 1"/>
    <w:basedOn w:val="1"/>
    <w:next w:val="1"/>
    <w:unhideWhenUsed/>
    <w:uiPriority w:val="39"/>
    <w:pPr>
      <w:spacing w:after="100"/>
    </w:pPr>
  </w:style>
  <w:style w:type="paragraph" w:styleId="12">
    <w:name w:val="toc 2"/>
    <w:basedOn w:val="1"/>
    <w:next w:val="1"/>
    <w:unhideWhenUsed/>
    <w:uiPriority w:val="39"/>
    <w:pPr>
      <w:spacing w:after="100"/>
      <w:ind w:left="240"/>
    </w:pPr>
  </w:style>
  <w:style w:type="character" w:customStyle="1" w:styleId="13">
    <w:name w:val="Heading 1 Char"/>
    <w:basedOn w:val="4"/>
    <w:link w:val="2"/>
    <w:uiPriority w:val="9"/>
    <w:rPr>
      <w:rFonts w:ascii="Cambria" w:hAnsi="Cambria" w:eastAsiaTheme="majorEastAsia" w:cstheme="majorBidi"/>
      <w:b/>
      <w:color w:val="2F5597" w:themeColor="accent1" w:themeShade="BF"/>
      <w:sz w:val="32"/>
      <w:szCs w:val="32"/>
    </w:rPr>
  </w:style>
  <w:style w:type="character" w:customStyle="1" w:styleId="14">
    <w:name w:val="Heading 2 Char"/>
    <w:basedOn w:val="4"/>
    <w:link w:val="3"/>
    <w:uiPriority w:val="9"/>
    <w:rPr>
      <w:rFonts w:ascii="Cambria" w:hAnsi="Cambria" w:eastAsiaTheme="majorEastAsia" w:cstheme="majorBidi"/>
      <w:b/>
      <w:color w:val="000000" w:themeColor="text1"/>
      <w:sz w:val="28"/>
      <w:szCs w:val="26"/>
      <w14:textFill>
        <w14:solidFill>
          <w14:schemeClr w14:val="tx1"/>
        </w14:solidFill>
      </w14:textFill>
    </w:rPr>
  </w:style>
  <w:style w:type="paragraph" w:styleId="15">
    <w:name w:val="List Paragraph"/>
    <w:basedOn w:val="1"/>
    <w:qFormat/>
    <w:uiPriority w:val="34"/>
    <w:pPr>
      <w:ind w:left="720"/>
      <w:contextualSpacing/>
    </w:pPr>
  </w:style>
  <w:style w:type="character" w:customStyle="1" w:styleId="16">
    <w:name w:val="Header Char"/>
    <w:basedOn w:val="4"/>
    <w:link w:val="8"/>
    <w:uiPriority w:val="99"/>
    <w:rPr>
      <w:rFonts w:ascii="Times New Roman" w:hAnsi="Times New Roman"/>
      <w:sz w:val="24"/>
    </w:rPr>
  </w:style>
  <w:style w:type="character" w:customStyle="1" w:styleId="17">
    <w:name w:val="Footer Char"/>
    <w:basedOn w:val="4"/>
    <w:link w:val="7"/>
    <w:uiPriority w:val="99"/>
    <w:rPr>
      <w:rFonts w:ascii="Times New Roman" w:hAnsi="Times New Roman"/>
      <w:sz w:val="24"/>
    </w:rPr>
  </w:style>
  <w:style w:type="paragraph" w:customStyle="1" w:styleId="18">
    <w:name w:val="TOC Heading"/>
    <w:basedOn w:val="2"/>
    <w:next w:val="1"/>
    <w:unhideWhenUsed/>
    <w:qFormat/>
    <w:uiPriority w:val="39"/>
    <w:pPr>
      <w:spacing w:line="259" w:lineRule="auto"/>
      <w:jc w:val="left"/>
      <w:outlineLvl w:val="9"/>
    </w:pPr>
    <w:rPr>
      <w:rFonts w:asciiTheme="majorHAnsi" w:hAnsiTheme="majorHAnsi"/>
      <w:b w:val="0"/>
      <w:kern w:val="0"/>
      <w14:ligatures w14: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4799</Words>
  <Characters>27359</Characters>
  <Lines>227</Lines>
  <Paragraphs>64</Paragraphs>
  <TotalTime>9</TotalTime>
  <ScaleCrop>false</ScaleCrop>
  <LinksUpToDate>false</LinksUpToDate>
  <CharactersWithSpaces>32094</CharactersWithSpaces>
  <Application>WPS Office_5.7.1.8092_F1E327BC-269C-435d-A152-05C5408002CA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2024-02-27T10:56:00Z</dcterms:created>
  <dcterms:modified xsi:type="dcterms:W3CDTF">2024-04-12T19:54:40Z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2024-04-11T21:47:01Z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6369eed5-1062-4847-9251-fef2c18fb7d1</vt:lpwstr>
  </property>
  <property fmtid="{D5CDD505-2E9C-101B-9397-08002B2CF9AE}" pid="7" name="MSIP_Label_defa4170-0d19-0005-0004-bc88714345d2_ActionId">
    <vt:lpwstr>185a3cb9-e93b-4951-9e32-037fc9c3d8ba</vt:lpwstr>
  </property>
  <property fmtid="{D5CDD505-2E9C-101B-9397-08002B2CF9AE}" pid="8" name="MSIP_Label_defa4170-0d19-0005-0004-bc88714345d2_ContentBits">
    <vt:lpwstr>0</vt:lpwstr>
  </property>
  <property fmtid="{D5CDD505-2E9C-101B-9397-08002B2CF9AE}" pid="9" name="KSOProductBuildVer">
    <vt:lpwstr>1033-5.7.1.8092</vt:lpwstr>
  </property>
</Properties>
</file>