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B604C9" w14:textId="77777777" w:rsidR="00FA24E3" w:rsidRPr="009B4E1E" w:rsidRDefault="00000000">
      <w:pPr>
        <w:spacing w:after="0" w:line="240" w:lineRule="auto"/>
        <w:jc w:val="center"/>
        <w:rPr>
          <w:rFonts w:ascii="Arial" w:eastAsia="Times New Roman" w:hAnsi="Arial" w:cs="Arial"/>
          <w:color w:val="2E74B5"/>
          <w:sz w:val="72"/>
        </w:rPr>
      </w:pPr>
      <w:r w:rsidRPr="009B4E1E">
        <w:rPr>
          <w:rFonts w:ascii="Arial" w:eastAsia="Times New Roman" w:hAnsi="Arial" w:cs="Arial"/>
          <w:b/>
          <w:color w:val="2E74B5"/>
          <w:sz w:val="72"/>
        </w:rPr>
        <w:t>SH4053QA</w:t>
      </w:r>
      <w:r w:rsidRPr="009B4E1E">
        <w:rPr>
          <w:rFonts w:ascii="Arial" w:eastAsia="Times New Roman" w:hAnsi="Arial" w:cs="Arial"/>
          <w:color w:val="2E74B5"/>
          <w:sz w:val="72"/>
        </w:rPr>
        <w:t xml:space="preserve"> </w:t>
      </w:r>
    </w:p>
    <w:p w14:paraId="1AE23C62" w14:textId="77777777" w:rsidR="00FA24E3" w:rsidRPr="009B4E1E" w:rsidRDefault="00000000">
      <w:pPr>
        <w:spacing w:after="0" w:line="240" w:lineRule="auto"/>
        <w:jc w:val="center"/>
        <w:rPr>
          <w:rFonts w:ascii="Arial" w:eastAsia="Calibri" w:hAnsi="Arial" w:cs="Arial"/>
          <w:sz w:val="56"/>
        </w:rPr>
      </w:pPr>
      <w:r w:rsidRPr="009B4E1E">
        <w:rPr>
          <w:rFonts w:ascii="Arial" w:eastAsia="Calibri" w:hAnsi="Arial" w:cs="Arial"/>
          <w:sz w:val="56"/>
        </w:rPr>
        <w:t>Academic Skills and Literacy</w:t>
      </w:r>
    </w:p>
    <w:p w14:paraId="74333944" w14:textId="77777777" w:rsidR="00FA24E3" w:rsidRPr="009B4E1E" w:rsidRDefault="00FA24E3">
      <w:pPr>
        <w:spacing w:after="0" w:line="240" w:lineRule="auto"/>
        <w:jc w:val="center"/>
        <w:rPr>
          <w:rFonts w:ascii="Arial" w:eastAsia="Calibri" w:hAnsi="Arial" w:cs="Arial"/>
          <w:sz w:val="56"/>
        </w:rPr>
      </w:pPr>
    </w:p>
    <w:tbl>
      <w:tblPr>
        <w:tblW w:w="0" w:type="auto"/>
        <w:tblInd w:w="108" w:type="dxa"/>
        <w:tblCellMar>
          <w:left w:w="10" w:type="dxa"/>
          <w:right w:w="10" w:type="dxa"/>
        </w:tblCellMar>
        <w:tblLook w:val="0000" w:firstRow="0" w:lastRow="0" w:firstColumn="0" w:lastColumn="0" w:noHBand="0" w:noVBand="0"/>
      </w:tblPr>
      <w:tblGrid>
        <w:gridCol w:w="2674"/>
        <w:gridCol w:w="6336"/>
      </w:tblGrid>
      <w:tr w:rsidR="00FA24E3" w:rsidRPr="009B4E1E" w14:paraId="16012263" w14:textId="77777777">
        <w:tblPrEx>
          <w:tblCellMar>
            <w:top w:w="0" w:type="dxa"/>
            <w:bottom w:w="0" w:type="dxa"/>
          </w:tblCellMar>
        </w:tblPrEx>
        <w:tc>
          <w:tcPr>
            <w:tcW w:w="2674"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vAlign w:val="center"/>
          </w:tcPr>
          <w:p w14:paraId="6C28D259" w14:textId="77777777" w:rsidR="00FA24E3" w:rsidRPr="009B4E1E" w:rsidRDefault="00000000">
            <w:pPr>
              <w:spacing w:after="0" w:line="240" w:lineRule="auto"/>
              <w:rPr>
                <w:rFonts w:ascii="Arial" w:eastAsia="Calibri" w:hAnsi="Arial" w:cs="Arial"/>
              </w:rPr>
            </w:pPr>
            <w:r w:rsidRPr="009B4E1E">
              <w:rPr>
                <w:rFonts w:ascii="Arial" w:eastAsia="Calibri" w:hAnsi="Arial" w:cs="Arial"/>
                <w:sz w:val="40"/>
              </w:rPr>
              <w:t>Student ID no.</w:t>
            </w:r>
          </w:p>
        </w:tc>
        <w:tc>
          <w:tcPr>
            <w:tcW w:w="633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vAlign w:val="center"/>
          </w:tcPr>
          <w:p w14:paraId="751A88DB" w14:textId="77777777" w:rsidR="00FA24E3" w:rsidRPr="009B4E1E" w:rsidRDefault="00000000">
            <w:pPr>
              <w:spacing w:after="0" w:line="240" w:lineRule="auto"/>
              <w:rPr>
                <w:rFonts w:ascii="Arial" w:eastAsia="Calibri" w:hAnsi="Arial" w:cs="Arial"/>
                <w:sz w:val="22"/>
              </w:rPr>
            </w:pPr>
            <w:r w:rsidRPr="009B4E1E">
              <w:rPr>
                <w:rFonts w:ascii="Arial" w:eastAsia="Calibri" w:hAnsi="Arial" w:cs="Arial"/>
                <w:sz w:val="22"/>
              </w:rPr>
              <w:t>10451409</w:t>
            </w:r>
          </w:p>
        </w:tc>
      </w:tr>
      <w:tr w:rsidR="00FA24E3" w:rsidRPr="009B4E1E" w14:paraId="62515F09" w14:textId="77777777">
        <w:tblPrEx>
          <w:tblCellMar>
            <w:top w:w="0" w:type="dxa"/>
            <w:bottom w:w="0" w:type="dxa"/>
          </w:tblCellMar>
        </w:tblPrEx>
        <w:tc>
          <w:tcPr>
            <w:tcW w:w="2674"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vAlign w:val="center"/>
          </w:tcPr>
          <w:p w14:paraId="4490E7F0" w14:textId="77777777" w:rsidR="00FA24E3" w:rsidRPr="009B4E1E" w:rsidRDefault="00000000">
            <w:pPr>
              <w:spacing w:after="0" w:line="240" w:lineRule="auto"/>
              <w:rPr>
                <w:rFonts w:ascii="Arial" w:eastAsia="Calibri" w:hAnsi="Arial" w:cs="Arial"/>
              </w:rPr>
            </w:pPr>
            <w:r w:rsidRPr="009B4E1E">
              <w:rPr>
                <w:rFonts w:ascii="Arial" w:eastAsia="Calibri" w:hAnsi="Arial" w:cs="Arial"/>
                <w:sz w:val="40"/>
              </w:rPr>
              <w:t>Word count</w:t>
            </w:r>
          </w:p>
        </w:tc>
        <w:tc>
          <w:tcPr>
            <w:tcW w:w="633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vAlign w:val="center"/>
          </w:tcPr>
          <w:p w14:paraId="061EAFF8" w14:textId="77777777" w:rsidR="00FA24E3" w:rsidRPr="009B4E1E" w:rsidRDefault="00000000">
            <w:pPr>
              <w:spacing w:after="0" w:line="240" w:lineRule="auto"/>
              <w:rPr>
                <w:rFonts w:ascii="Arial" w:eastAsia="Calibri" w:hAnsi="Arial" w:cs="Arial"/>
                <w:sz w:val="22"/>
              </w:rPr>
            </w:pPr>
            <w:r w:rsidRPr="009B4E1E">
              <w:rPr>
                <w:rFonts w:ascii="Arial" w:eastAsia="Calibri" w:hAnsi="Arial" w:cs="Arial"/>
                <w:sz w:val="22"/>
              </w:rPr>
              <w:t>500</w:t>
            </w:r>
          </w:p>
        </w:tc>
      </w:tr>
    </w:tbl>
    <w:p w14:paraId="66B7C0F9" w14:textId="77777777" w:rsidR="00FA24E3" w:rsidRPr="009B4E1E" w:rsidRDefault="00000000">
      <w:pPr>
        <w:tabs>
          <w:tab w:val="left" w:pos="7799"/>
        </w:tabs>
        <w:spacing w:after="0" w:line="240" w:lineRule="auto"/>
        <w:rPr>
          <w:rFonts w:ascii="Arial" w:eastAsia="Calibri" w:hAnsi="Arial" w:cs="Arial"/>
          <w:sz w:val="56"/>
        </w:rPr>
      </w:pPr>
      <w:r w:rsidRPr="009B4E1E">
        <w:rPr>
          <w:rFonts w:ascii="Arial" w:eastAsia="Calibri" w:hAnsi="Arial" w:cs="Arial"/>
          <w:sz w:val="56"/>
        </w:rPr>
        <w:tab/>
      </w:r>
    </w:p>
    <w:p w14:paraId="3272EF18" w14:textId="77777777" w:rsidR="00FA24E3" w:rsidRPr="009B4E1E" w:rsidRDefault="00000000">
      <w:pPr>
        <w:spacing w:after="0" w:line="240" w:lineRule="auto"/>
        <w:jc w:val="center"/>
        <w:rPr>
          <w:rFonts w:ascii="Arial" w:eastAsia="Times New Roman" w:hAnsi="Arial" w:cs="Arial"/>
          <w:sz w:val="48"/>
        </w:rPr>
      </w:pPr>
      <w:r w:rsidRPr="009B4E1E">
        <w:rPr>
          <w:rFonts w:ascii="Arial" w:eastAsia="Times New Roman" w:hAnsi="Arial" w:cs="Arial"/>
          <w:sz w:val="48"/>
        </w:rPr>
        <w:t>Assessment 1: Annotated Bibliography</w:t>
      </w:r>
    </w:p>
    <w:p w14:paraId="7E4B2F00" w14:textId="77777777" w:rsidR="00FA24E3" w:rsidRPr="009B4E1E" w:rsidRDefault="00FA24E3">
      <w:pPr>
        <w:spacing w:after="0" w:line="240" w:lineRule="auto"/>
        <w:jc w:val="center"/>
        <w:rPr>
          <w:rFonts w:ascii="Arial" w:eastAsia="Times New Roman" w:hAnsi="Arial" w:cs="Arial"/>
          <w:sz w:val="32"/>
        </w:rPr>
      </w:pPr>
    </w:p>
    <w:p w14:paraId="2557178D" w14:textId="77777777" w:rsidR="00FA24E3" w:rsidRPr="009B4E1E" w:rsidRDefault="00000000">
      <w:pPr>
        <w:spacing w:after="0" w:line="360" w:lineRule="auto"/>
        <w:rPr>
          <w:rFonts w:ascii="Arial" w:eastAsia="Times New Roman" w:hAnsi="Arial" w:cs="Arial"/>
          <w:sz w:val="32"/>
        </w:rPr>
      </w:pPr>
      <w:r w:rsidRPr="009B4E1E">
        <w:rPr>
          <w:rFonts w:ascii="Arial" w:eastAsia="Times New Roman" w:hAnsi="Arial" w:cs="Arial"/>
          <w:sz w:val="32"/>
          <w:u w:val="single"/>
        </w:rPr>
        <w:t>Task</w:t>
      </w:r>
      <w:r w:rsidRPr="009B4E1E">
        <w:rPr>
          <w:rFonts w:ascii="Arial" w:eastAsia="Times New Roman" w:hAnsi="Arial" w:cs="Arial"/>
          <w:sz w:val="32"/>
        </w:rPr>
        <w:t>: Produce an annotated bibliography of approximately 500 words, consisting of 5 sources. Identify and evaluate their relevance for your studies. Use your referencing skills and writing ability to express yourself clearly. Approx. 500 words. (30% of the module)</w:t>
      </w:r>
    </w:p>
    <w:p w14:paraId="192F3C24" w14:textId="77777777" w:rsidR="00FA24E3" w:rsidRPr="009B4E1E" w:rsidRDefault="00FA24E3">
      <w:pPr>
        <w:spacing w:after="0" w:line="240" w:lineRule="auto"/>
        <w:rPr>
          <w:rFonts w:ascii="Arial" w:eastAsia="Times New Roman" w:hAnsi="Arial" w:cs="Arial"/>
          <w:sz w:val="32"/>
        </w:rPr>
      </w:pPr>
    </w:p>
    <w:p w14:paraId="4422E23B" w14:textId="77777777" w:rsidR="00FA24E3" w:rsidRPr="009B4E1E" w:rsidRDefault="00FA24E3">
      <w:pPr>
        <w:spacing w:after="0" w:line="240" w:lineRule="auto"/>
        <w:rPr>
          <w:rFonts w:ascii="Arial" w:eastAsia="Times New Roman" w:hAnsi="Arial" w:cs="Arial"/>
          <w:sz w:val="32"/>
        </w:rPr>
      </w:pPr>
    </w:p>
    <w:p w14:paraId="094DD145" w14:textId="77777777" w:rsidR="00FA24E3" w:rsidRPr="009B4E1E" w:rsidRDefault="00000000">
      <w:pPr>
        <w:spacing w:after="0" w:line="240" w:lineRule="auto"/>
        <w:rPr>
          <w:rFonts w:ascii="Arial" w:eastAsia="Times New Roman" w:hAnsi="Arial" w:cs="Arial"/>
          <w:b/>
          <w:sz w:val="22"/>
        </w:rPr>
      </w:pPr>
      <w:r w:rsidRPr="009B4E1E">
        <w:rPr>
          <w:rFonts w:ascii="Arial" w:eastAsia="Times New Roman" w:hAnsi="Arial" w:cs="Arial"/>
          <w:b/>
          <w:sz w:val="22"/>
        </w:rPr>
        <w:t>All submissions should remain anonymous. Do not add your name anywhere on your work.</w:t>
      </w:r>
    </w:p>
    <w:p w14:paraId="096203C2" w14:textId="77777777" w:rsidR="00FA24E3" w:rsidRPr="009B4E1E" w:rsidRDefault="00FA24E3">
      <w:pPr>
        <w:spacing w:after="0" w:line="240" w:lineRule="auto"/>
        <w:rPr>
          <w:rFonts w:ascii="Arial" w:eastAsia="Times New Roman" w:hAnsi="Arial" w:cs="Arial"/>
          <w:sz w:val="32"/>
        </w:rPr>
      </w:pPr>
    </w:p>
    <w:p w14:paraId="1036EC17" w14:textId="77777777" w:rsidR="00FA24E3" w:rsidRDefault="00FA24E3">
      <w:pPr>
        <w:spacing w:after="0" w:line="240" w:lineRule="auto"/>
        <w:rPr>
          <w:rFonts w:ascii="Times New Roman" w:eastAsia="Times New Roman" w:hAnsi="Times New Roman" w:cs="Times New Roman"/>
          <w:sz w:val="32"/>
        </w:rPr>
      </w:pPr>
    </w:p>
    <w:p w14:paraId="260BF431" w14:textId="77777777" w:rsidR="00FA24E3" w:rsidRDefault="00FA24E3">
      <w:pPr>
        <w:spacing w:after="0" w:line="240" w:lineRule="auto"/>
        <w:rPr>
          <w:rFonts w:ascii="Times New Roman" w:eastAsia="Times New Roman" w:hAnsi="Times New Roman" w:cs="Times New Roman"/>
          <w:sz w:val="32"/>
        </w:rPr>
      </w:pPr>
    </w:p>
    <w:p w14:paraId="33A3BA5E" w14:textId="77777777" w:rsidR="00FA24E3" w:rsidRDefault="00FA24E3">
      <w:pPr>
        <w:spacing w:after="0" w:line="240" w:lineRule="auto"/>
        <w:rPr>
          <w:rFonts w:ascii="Times New Roman" w:eastAsia="Times New Roman" w:hAnsi="Times New Roman" w:cs="Times New Roman"/>
          <w:sz w:val="32"/>
        </w:rPr>
      </w:pPr>
    </w:p>
    <w:p w14:paraId="2B317554" w14:textId="77777777" w:rsidR="00FA24E3" w:rsidRDefault="00FA24E3">
      <w:pPr>
        <w:spacing w:after="0" w:line="240" w:lineRule="auto"/>
        <w:rPr>
          <w:rFonts w:ascii="Times New Roman" w:eastAsia="Times New Roman" w:hAnsi="Times New Roman" w:cs="Times New Roman"/>
          <w:sz w:val="32"/>
        </w:rPr>
      </w:pPr>
    </w:p>
    <w:p w14:paraId="236ECE71" w14:textId="77777777" w:rsidR="00FA24E3" w:rsidRDefault="00000000">
      <w:pPr>
        <w:spacing w:after="0" w:line="240" w:lineRule="auto"/>
        <w:rPr>
          <w:rFonts w:ascii="Times New Roman" w:eastAsia="Times New Roman" w:hAnsi="Times New Roman" w:cs="Times New Roman"/>
          <w:sz w:val="32"/>
        </w:rPr>
      </w:pPr>
      <w:r>
        <w:rPr>
          <w:rFonts w:ascii="Times New Roman" w:eastAsia="Times New Roman" w:hAnsi="Times New Roman" w:cs="Times New Roman"/>
          <w:sz w:val="32"/>
        </w:rPr>
        <w:t xml:space="preserve"> </w:t>
      </w:r>
    </w:p>
    <w:p w14:paraId="70BA9D75" w14:textId="77777777" w:rsidR="009B4E1E" w:rsidRDefault="009B4E1E">
      <w:pPr>
        <w:spacing w:after="0" w:line="360" w:lineRule="auto"/>
        <w:rPr>
          <w:rFonts w:ascii="Arial" w:eastAsia="Arial" w:hAnsi="Arial" w:cs="Arial"/>
        </w:rPr>
      </w:pPr>
    </w:p>
    <w:p w14:paraId="6898A19A" w14:textId="77777777" w:rsidR="009B4E1E" w:rsidRDefault="009B4E1E">
      <w:pPr>
        <w:spacing w:after="0" w:line="360" w:lineRule="auto"/>
        <w:rPr>
          <w:rFonts w:ascii="Arial" w:eastAsia="Arial" w:hAnsi="Arial" w:cs="Arial"/>
        </w:rPr>
      </w:pPr>
    </w:p>
    <w:p w14:paraId="3E666129" w14:textId="77777777" w:rsidR="009B4E1E" w:rsidRDefault="009B4E1E">
      <w:pPr>
        <w:spacing w:after="0" w:line="360" w:lineRule="auto"/>
        <w:rPr>
          <w:rFonts w:ascii="Arial" w:eastAsia="Arial" w:hAnsi="Arial" w:cs="Arial"/>
        </w:rPr>
      </w:pPr>
    </w:p>
    <w:p w14:paraId="34DF5730" w14:textId="77777777" w:rsidR="009B4E1E" w:rsidRDefault="009B4E1E">
      <w:pPr>
        <w:spacing w:after="0" w:line="360" w:lineRule="auto"/>
        <w:rPr>
          <w:rFonts w:ascii="Arial" w:eastAsia="Arial" w:hAnsi="Arial" w:cs="Arial"/>
        </w:rPr>
      </w:pPr>
    </w:p>
    <w:p w14:paraId="37956620" w14:textId="77777777" w:rsidR="009B4E1E" w:rsidRDefault="009B4E1E">
      <w:pPr>
        <w:spacing w:after="0" w:line="360" w:lineRule="auto"/>
        <w:rPr>
          <w:rFonts w:ascii="Arial" w:eastAsia="Arial" w:hAnsi="Arial" w:cs="Arial"/>
        </w:rPr>
      </w:pPr>
    </w:p>
    <w:p w14:paraId="185EBC64" w14:textId="77777777" w:rsidR="009B4E1E" w:rsidRDefault="009B4E1E">
      <w:pPr>
        <w:spacing w:after="0" w:line="360" w:lineRule="auto"/>
        <w:rPr>
          <w:rFonts w:ascii="Arial" w:eastAsia="Arial" w:hAnsi="Arial" w:cs="Arial"/>
        </w:rPr>
      </w:pPr>
    </w:p>
    <w:p w14:paraId="6CF27DFE" w14:textId="797BAB12" w:rsidR="00FA24E3" w:rsidRPr="009B4E1E" w:rsidRDefault="00000000">
      <w:pPr>
        <w:spacing w:after="0" w:line="360" w:lineRule="auto"/>
        <w:rPr>
          <w:rFonts w:ascii="Arial" w:eastAsia="Arial" w:hAnsi="Arial" w:cs="Arial"/>
        </w:rPr>
      </w:pPr>
      <w:r>
        <w:rPr>
          <w:rFonts w:ascii="Arial" w:eastAsia="Arial" w:hAnsi="Arial" w:cs="Arial"/>
        </w:rPr>
        <w:lastRenderedPageBreak/>
        <w:t>1</w:t>
      </w:r>
      <w:r w:rsidRPr="009B4E1E">
        <w:rPr>
          <w:rFonts w:ascii="Arial" w:eastAsia="Arial" w:hAnsi="Arial" w:cs="Arial"/>
        </w:rPr>
        <w:t xml:space="preserve">. The Role of Artificial Intelligence in Healthcare   </w:t>
      </w:r>
    </w:p>
    <w:p w14:paraId="2DD87B47" w14:textId="77777777" w:rsidR="00FA24E3" w:rsidRPr="009B4E1E" w:rsidRDefault="00FA24E3">
      <w:pPr>
        <w:spacing w:after="0" w:line="360" w:lineRule="auto"/>
        <w:rPr>
          <w:rFonts w:ascii="Arial" w:eastAsia="Arial" w:hAnsi="Arial" w:cs="Arial"/>
        </w:rPr>
      </w:pPr>
    </w:p>
    <w:p w14:paraId="64FE0BF6" w14:textId="77777777" w:rsidR="00FA24E3" w:rsidRPr="009B4E1E" w:rsidRDefault="00000000">
      <w:pPr>
        <w:spacing w:after="0" w:line="360" w:lineRule="auto"/>
        <w:rPr>
          <w:rFonts w:ascii="Arial" w:eastAsia="Arial" w:hAnsi="Arial" w:cs="Arial"/>
        </w:rPr>
      </w:pPr>
      <w:r w:rsidRPr="009B4E1E">
        <w:rPr>
          <w:rFonts w:ascii="Arial" w:eastAsia="Arial" w:hAnsi="Arial" w:cs="Arial"/>
        </w:rPr>
        <w:t xml:space="preserve">This topic explores how artificial intelligence (AI) is revolutionizing healthcare by enhancing diagnostics, patient care, and medical research. AI algorithms can show patterns in large datasets, predict disease progression, and recommend treatments. Understanding the role of AI in healthcare is crucial for developing modern technology and shaping policies in this growing field. By reading the article I find AI's potential impact on healthcare, allowing me to make informed decisions when working with AI-driven tools and systems, the potential of AI in enhancing healthcare services, including early detection, diagnostics, patient monitoring, and personalized medicine.  3. Mental Health Awareness  </w:t>
      </w:r>
    </w:p>
    <w:p w14:paraId="011DCCEA" w14:textId="77777777" w:rsidR="00FA24E3" w:rsidRPr="009B4E1E" w:rsidRDefault="00FA24E3">
      <w:pPr>
        <w:spacing w:after="0" w:line="360" w:lineRule="auto"/>
        <w:rPr>
          <w:rFonts w:ascii="Arial" w:eastAsia="Arial" w:hAnsi="Arial" w:cs="Arial"/>
        </w:rPr>
      </w:pPr>
    </w:p>
    <w:p w14:paraId="2590125C" w14:textId="77777777" w:rsidR="00FA24E3" w:rsidRPr="009B4E1E" w:rsidRDefault="00000000">
      <w:pPr>
        <w:spacing w:after="0" w:line="360" w:lineRule="auto"/>
        <w:rPr>
          <w:rFonts w:ascii="Arial" w:eastAsia="Arial" w:hAnsi="Arial" w:cs="Arial"/>
        </w:rPr>
      </w:pPr>
      <w:r w:rsidRPr="009B4E1E">
        <w:rPr>
          <w:rFonts w:ascii="Arial" w:eastAsia="Arial" w:hAnsi="Arial" w:cs="Arial"/>
        </w:rPr>
        <w:t xml:space="preserve">2. Long COVID  </w:t>
      </w:r>
    </w:p>
    <w:p w14:paraId="231D2B9D" w14:textId="77777777" w:rsidR="00FA24E3" w:rsidRPr="009B4E1E" w:rsidRDefault="00FA24E3">
      <w:pPr>
        <w:spacing w:after="0" w:line="360" w:lineRule="auto"/>
        <w:rPr>
          <w:rFonts w:ascii="Arial" w:eastAsia="Arial" w:hAnsi="Arial" w:cs="Arial"/>
        </w:rPr>
      </w:pPr>
    </w:p>
    <w:p w14:paraId="311EF7DC" w14:textId="77777777" w:rsidR="00FA24E3" w:rsidRPr="009B4E1E" w:rsidRDefault="00000000">
      <w:pPr>
        <w:spacing w:after="0" w:line="360" w:lineRule="auto"/>
        <w:rPr>
          <w:rFonts w:ascii="Arial" w:eastAsia="Arial" w:hAnsi="Arial" w:cs="Arial"/>
        </w:rPr>
      </w:pPr>
      <w:r w:rsidRPr="009B4E1E">
        <w:rPr>
          <w:rFonts w:ascii="Arial" w:eastAsia="Arial" w:hAnsi="Arial" w:cs="Arial"/>
        </w:rPr>
        <w:t xml:space="preserve">Long COVID refers to the persistence of symptoms and health complications following the acute phase of SARS-CoV-2 infection. It includes ongoing fatigue, respiratory issues, and neurological symptoms. Long COVID is a pressing public health concern, affecting millions of people worldwide. Understanding its impact and management is essential for healthcare professionals and researchers. By learning the latest COVID-19 measures, I can follow its development and evaluate its impact on health and help me better understand the long-term complexities of COVID and allow you to provide better care and support to those affected. </w:t>
      </w:r>
    </w:p>
    <w:p w14:paraId="0C1773E3" w14:textId="77777777" w:rsidR="00FA24E3" w:rsidRPr="009B4E1E" w:rsidRDefault="00FA24E3">
      <w:pPr>
        <w:spacing w:after="0" w:line="360" w:lineRule="auto"/>
        <w:rPr>
          <w:rFonts w:ascii="Arial" w:eastAsia="Arial" w:hAnsi="Arial" w:cs="Arial"/>
        </w:rPr>
      </w:pPr>
    </w:p>
    <w:p w14:paraId="0869B548" w14:textId="056DFCB5" w:rsidR="00FA24E3" w:rsidRPr="009B4E1E" w:rsidRDefault="00000000">
      <w:pPr>
        <w:spacing w:after="0" w:line="360" w:lineRule="auto"/>
        <w:rPr>
          <w:rFonts w:ascii="Arial" w:eastAsia="Arial" w:hAnsi="Arial" w:cs="Arial"/>
        </w:rPr>
      </w:pPr>
      <w:r w:rsidRPr="009B4E1E">
        <w:rPr>
          <w:rFonts w:ascii="Arial" w:eastAsia="Arial" w:hAnsi="Arial" w:cs="Arial"/>
        </w:rPr>
        <w:t xml:space="preserve"> 3.Mental Health Awareness </w:t>
      </w:r>
    </w:p>
    <w:p w14:paraId="5A5C502A" w14:textId="77777777" w:rsidR="00FA24E3" w:rsidRPr="009B4E1E" w:rsidRDefault="00FA24E3">
      <w:pPr>
        <w:spacing w:after="0" w:line="360" w:lineRule="auto"/>
        <w:rPr>
          <w:rFonts w:ascii="Arial" w:eastAsia="Arial" w:hAnsi="Arial" w:cs="Arial"/>
        </w:rPr>
      </w:pPr>
    </w:p>
    <w:p w14:paraId="227C4043" w14:textId="77777777" w:rsidR="00FA24E3" w:rsidRPr="009B4E1E" w:rsidRDefault="00000000">
      <w:pPr>
        <w:spacing w:after="0" w:line="360" w:lineRule="auto"/>
        <w:rPr>
          <w:rFonts w:ascii="Arial" w:eastAsia="Arial" w:hAnsi="Arial" w:cs="Arial"/>
        </w:rPr>
      </w:pPr>
      <w:r w:rsidRPr="009B4E1E">
        <w:rPr>
          <w:rFonts w:ascii="Arial" w:eastAsia="Arial" w:hAnsi="Arial" w:cs="Arial"/>
        </w:rPr>
        <w:t xml:space="preserve">Mental health awareness focuses on increasing understanding, recognition and acceptance of various mental health issues. Covers topics such as depression, anxiety and stress management. Mental health awareness is important in improving the environment and reducing the stigma around mental health issues. After reading this article I improved my mental health and can use this knowledge to help people in my community get the support they need. Improving mental health awareness will help reduce stigma and contribute to better mental health. </w:t>
      </w:r>
    </w:p>
    <w:p w14:paraId="13BA1E7D" w14:textId="77777777" w:rsidR="00FA24E3" w:rsidRPr="009B4E1E" w:rsidRDefault="00FA24E3">
      <w:pPr>
        <w:spacing w:after="0" w:line="360" w:lineRule="auto"/>
        <w:rPr>
          <w:rFonts w:ascii="Arial" w:eastAsia="Arial" w:hAnsi="Arial" w:cs="Arial"/>
        </w:rPr>
      </w:pPr>
    </w:p>
    <w:p w14:paraId="66305436" w14:textId="77777777" w:rsidR="00FA24E3" w:rsidRPr="009B4E1E" w:rsidRDefault="00000000">
      <w:pPr>
        <w:spacing w:after="0" w:line="360" w:lineRule="auto"/>
        <w:rPr>
          <w:rFonts w:ascii="Arial" w:eastAsia="Arial" w:hAnsi="Arial" w:cs="Arial"/>
        </w:rPr>
      </w:pPr>
      <w:r w:rsidRPr="009B4E1E">
        <w:rPr>
          <w:rFonts w:ascii="Arial" w:eastAsia="Arial" w:hAnsi="Arial" w:cs="Arial"/>
        </w:rPr>
        <w:t xml:space="preserve"> </w:t>
      </w:r>
    </w:p>
    <w:p w14:paraId="671B7B4C" w14:textId="77777777" w:rsidR="00FA24E3" w:rsidRPr="009B4E1E" w:rsidRDefault="00000000">
      <w:pPr>
        <w:spacing w:after="0" w:line="360" w:lineRule="auto"/>
        <w:rPr>
          <w:rFonts w:ascii="Arial" w:eastAsia="Arial" w:hAnsi="Arial" w:cs="Arial"/>
        </w:rPr>
      </w:pPr>
      <w:r w:rsidRPr="009B4E1E">
        <w:rPr>
          <w:rFonts w:ascii="Arial" w:eastAsia="Arial" w:hAnsi="Arial" w:cs="Arial"/>
        </w:rPr>
        <w:lastRenderedPageBreak/>
        <w:t xml:space="preserve">4. Healthcare Data Privacy  </w:t>
      </w:r>
    </w:p>
    <w:p w14:paraId="24561117" w14:textId="77777777" w:rsidR="00FA24E3" w:rsidRPr="009B4E1E" w:rsidRDefault="00FA24E3">
      <w:pPr>
        <w:spacing w:after="0" w:line="360" w:lineRule="auto"/>
        <w:rPr>
          <w:rFonts w:ascii="Arial" w:eastAsia="Arial" w:hAnsi="Arial" w:cs="Arial"/>
        </w:rPr>
      </w:pPr>
    </w:p>
    <w:p w14:paraId="14DA6A36" w14:textId="77777777" w:rsidR="00FA24E3" w:rsidRPr="009B4E1E" w:rsidRDefault="00000000">
      <w:pPr>
        <w:spacing w:after="0" w:line="360" w:lineRule="auto"/>
        <w:rPr>
          <w:rFonts w:ascii="Arial" w:eastAsia="Arial" w:hAnsi="Arial" w:cs="Arial"/>
        </w:rPr>
      </w:pPr>
      <w:r w:rsidRPr="009B4E1E">
        <w:rPr>
          <w:rFonts w:ascii="Arial" w:eastAsia="Arial" w:hAnsi="Arial" w:cs="Arial"/>
        </w:rPr>
        <w:t xml:space="preserve"> The healthcare industry is concerned about the importance of protecting patient information in the digital age. It includes guidelines, best practices, and security measures that focus on the importance of protecting patient information, regulatory requirements, and information security measures. Protecting patient data is essential for supporting trust in healthcare systems and following privacy laws and keeping patient confidentiality in healthcare. Gaining this knowledge can help me figure out the privacy and security of health information, prevent unauthorized access and data breaches, and implement strong organizational privacy measures such as compliance with ethical standards in healthcare management projects. </w:t>
      </w:r>
    </w:p>
    <w:p w14:paraId="1A295EB4" w14:textId="77777777" w:rsidR="00FA24E3" w:rsidRPr="009B4E1E" w:rsidRDefault="00FA24E3">
      <w:pPr>
        <w:spacing w:after="0" w:line="360" w:lineRule="auto"/>
        <w:rPr>
          <w:rFonts w:ascii="Arial" w:eastAsia="Arial" w:hAnsi="Arial" w:cs="Arial"/>
        </w:rPr>
      </w:pPr>
    </w:p>
    <w:p w14:paraId="15B80107" w14:textId="67845DF4" w:rsidR="00FA24E3" w:rsidRPr="009B4E1E" w:rsidRDefault="00000000">
      <w:pPr>
        <w:spacing w:after="0" w:line="360" w:lineRule="auto"/>
        <w:rPr>
          <w:rFonts w:ascii="Arial" w:eastAsia="Arial" w:hAnsi="Arial" w:cs="Arial"/>
        </w:rPr>
      </w:pPr>
      <w:r w:rsidRPr="009B4E1E">
        <w:rPr>
          <w:rFonts w:ascii="Arial" w:eastAsia="Arial" w:hAnsi="Arial" w:cs="Arial"/>
        </w:rPr>
        <w:t xml:space="preserve"> 5. Health Inequalities and Social Determinants of Health </w:t>
      </w:r>
    </w:p>
    <w:p w14:paraId="4F0C1CB8" w14:textId="77777777" w:rsidR="00FA24E3" w:rsidRPr="009B4E1E" w:rsidRDefault="00FA24E3">
      <w:pPr>
        <w:spacing w:after="0" w:line="360" w:lineRule="auto"/>
        <w:rPr>
          <w:rFonts w:ascii="Arial" w:eastAsia="Arial" w:hAnsi="Arial" w:cs="Arial"/>
        </w:rPr>
      </w:pPr>
    </w:p>
    <w:p w14:paraId="1EB69B02" w14:textId="12358268" w:rsidR="00FA24E3" w:rsidRPr="009B4E1E" w:rsidRDefault="00000000">
      <w:pPr>
        <w:spacing w:after="0" w:line="360" w:lineRule="auto"/>
        <w:rPr>
          <w:rFonts w:ascii="Arial" w:eastAsia="Arial" w:hAnsi="Arial" w:cs="Arial"/>
        </w:rPr>
      </w:pPr>
      <w:r w:rsidRPr="009B4E1E">
        <w:rPr>
          <w:rFonts w:ascii="Arial" w:eastAsia="Arial" w:hAnsi="Arial" w:cs="Arial"/>
        </w:rPr>
        <w:t xml:space="preserve">Important analysis of the several factors affecting health in Great Britain. This article, written by leading researchers in public health and social sciences, explains the importance of access to social welfare, education, employment, housing and healthcare in transforming people's lives. It explains how these beneficiaries contribute to health inequalities across diverse groups of people. After reading this article, I got a better understanding of different forms of health inequality and highlighted the importance of addressing social problems to achieve health equity. I have used this knowledge in my teaching by incorporating it into research projects and policy </w:t>
      </w:r>
      <w:r w:rsidR="009B4E1E" w:rsidRPr="009B4E1E">
        <w:rPr>
          <w:rFonts w:ascii="Arial" w:eastAsia="Arial" w:hAnsi="Arial" w:cs="Arial"/>
        </w:rPr>
        <w:t>analyses</w:t>
      </w:r>
      <w:r w:rsidRPr="009B4E1E">
        <w:rPr>
          <w:rFonts w:ascii="Arial" w:eastAsia="Arial" w:hAnsi="Arial" w:cs="Arial"/>
        </w:rPr>
        <w:t xml:space="preserve"> aimed at promoting equity in health care and cutting disparities in treatment and outcomes. </w:t>
      </w:r>
    </w:p>
    <w:p w14:paraId="5E655F3C" w14:textId="77777777" w:rsidR="00FA24E3" w:rsidRPr="009B4E1E" w:rsidRDefault="00FA24E3">
      <w:pPr>
        <w:spacing w:after="0" w:line="360" w:lineRule="auto"/>
        <w:rPr>
          <w:rFonts w:ascii="Arial" w:eastAsia="Arial" w:hAnsi="Arial" w:cs="Arial"/>
        </w:rPr>
      </w:pPr>
    </w:p>
    <w:p w14:paraId="720373E2" w14:textId="77777777" w:rsidR="00FA24E3" w:rsidRPr="009B4E1E" w:rsidRDefault="00FA24E3">
      <w:pPr>
        <w:spacing w:after="0" w:line="360" w:lineRule="auto"/>
        <w:rPr>
          <w:rFonts w:ascii="Arial" w:eastAsia="Arial" w:hAnsi="Arial" w:cs="Arial"/>
        </w:rPr>
      </w:pPr>
    </w:p>
    <w:p w14:paraId="0981A54F" w14:textId="77777777" w:rsidR="00FA24E3" w:rsidRPr="009B4E1E" w:rsidRDefault="00FA24E3">
      <w:pPr>
        <w:spacing w:after="0" w:line="360" w:lineRule="auto"/>
        <w:rPr>
          <w:rFonts w:ascii="Arial" w:eastAsia="Arial" w:hAnsi="Arial" w:cs="Arial"/>
        </w:rPr>
      </w:pPr>
    </w:p>
    <w:p w14:paraId="4DAF7315" w14:textId="77777777" w:rsidR="00FA24E3" w:rsidRPr="009B4E1E" w:rsidRDefault="00FA24E3">
      <w:pPr>
        <w:spacing w:after="0" w:line="360" w:lineRule="auto"/>
        <w:rPr>
          <w:rFonts w:ascii="Arial" w:eastAsia="Arial" w:hAnsi="Arial" w:cs="Arial"/>
        </w:rPr>
      </w:pPr>
    </w:p>
    <w:p w14:paraId="5EDECCFC" w14:textId="77777777" w:rsidR="00FA24E3" w:rsidRPr="009B4E1E" w:rsidRDefault="00FA24E3">
      <w:pPr>
        <w:spacing w:after="0" w:line="360" w:lineRule="auto"/>
        <w:rPr>
          <w:rFonts w:ascii="Arial" w:eastAsia="Arial" w:hAnsi="Arial" w:cs="Arial"/>
        </w:rPr>
      </w:pPr>
    </w:p>
    <w:p w14:paraId="4C1147F4" w14:textId="77777777" w:rsidR="009B4E1E" w:rsidRDefault="009B4E1E">
      <w:pPr>
        <w:spacing w:after="0" w:line="360" w:lineRule="auto"/>
        <w:rPr>
          <w:rFonts w:ascii="Arial" w:eastAsia="Arial" w:hAnsi="Arial" w:cs="Arial"/>
        </w:rPr>
      </w:pPr>
    </w:p>
    <w:p w14:paraId="47BBCAFB" w14:textId="77777777" w:rsidR="009B4E1E" w:rsidRDefault="009B4E1E">
      <w:pPr>
        <w:spacing w:after="0" w:line="360" w:lineRule="auto"/>
        <w:rPr>
          <w:rFonts w:ascii="Arial" w:eastAsia="Arial" w:hAnsi="Arial" w:cs="Arial"/>
        </w:rPr>
      </w:pPr>
    </w:p>
    <w:p w14:paraId="28F39215" w14:textId="77777777" w:rsidR="009B4E1E" w:rsidRDefault="009B4E1E">
      <w:pPr>
        <w:spacing w:after="0" w:line="360" w:lineRule="auto"/>
        <w:rPr>
          <w:rFonts w:ascii="Arial" w:eastAsia="Arial" w:hAnsi="Arial" w:cs="Arial"/>
        </w:rPr>
      </w:pPr>
    </w:p>
    <w:p w14:paraId="366302B1" w14:textId="77777777" w:rsidR="009B4E1E" w:rsidRDefault="009B4E1E">
      <w:pPr>
        <w:spacing w:after="0" w:line="360" w:lineRule="auto"/>
        <w:rPr>
          <w:rFonts w:ascii="Arial" w:eastAsia="Arial" w:hAnsi="Arial" w:cs="Arial"/>
        </w:rPr>
      </w:pPr>
    </w:p>
    <w:p w14:paraId="3869D90F" w14:textId="77777777" w:rsidR="009B4E1E" w:rsidRDefault="009B4E1E">
      <w:pPr>
        <w:spacing w:after="0" w:line="360" w:lineRule="auto"/>
        <w:rPr>
          <w:rFonts w:ascii="Arial" w:eastAsia="Arial" w:hAnsi="Arial" w:cs="Arial"/>
        </w:rPr>
      </w:pPr>
    </w:p>
    <w:p w14:paraId="246AD004" w14:textId="5C154E4D" w:rsidR="00FA24E3" w:rsidRPr="009B4E1E" w:rsidRDefault="00000000">
      <w:pPr>
        <w:spacing w:after="0" w:line="360" w:lineRule="auto"/>
        <w:rPr>
          <w:rFonts w:ascii="Arial" w:eastAsia="Arial" w:hAnsi="Arial" w:cs="Arial"/>
        </w:rPr>
      </w:pPr>
      <w:r w:rsidRPr="009B4E1E">
        <w:rPr>
          <w:rFonts w:ascii="Arial" w:eastAsia="Arial" w:hAnsi="Arial" w:cs="Arial"/>
        </w:rPr>
        <w:lastRenderedPageBreak/>
        <w:t xml:space="preserve">References: </w:t>
      </w:r>
    </w:p>
    <w:p w14:paraId="30BAF595" w14:textId="77777777" w:rsidR="00FA24E3" w:rsidRPr="009B4E1E" w:rsidRDefault="00FA24E3">
      <w:pPr>
        <w:spacing w:after="0" w:line="360" w:lineRule="auto"/>
        <w:rPr>
          <w:rFonts w:ascii="Arial" w:eastAsia="Arial" w:hAnsi="Arial" w:cs="Arial"/>
        </w:rPr>
      </w:pPr>
    </w:p>
    <w:p w14:paraId="0F6C1D96" w14:textId="77777777" w:rsidR="00FA24E3" w:rsidRPr="009B4E1E" w:rsidRDefault="00000000">
      <w:pPr>
        <w:spacing w:after="0" w:line="360" w:lineRule="auto"/>
        <w:rPr>
          <w:rFonts w:ascii="Arial" w:eastAsia="Arial" w:hAnsi="Arial" w:cs="Arial"/>
        </w:rPr>
      </w:pPr>
      <w:r w:rsidRPr="009B4E1E">
        <w:rPr>
          <w:rFonts w:ascii="Arial" w:eastAsia="Arial" w:hAnsi="Arial" w:cs="Arial"/>
        </w:rPr>
        <w:t xml:space="preserve">British Medical Journal (2019). The BMJ: Leading General Medical journal. Research. Education. Comment | the BMJ. [online] Bmj.com. Available at: </w:t>
      </w:r>
      <w:hyperlink r:id="rId4">
        <w:r w:rsidRPr="009B4E1E">
          <w:rPr>
            <w:rFonts w:ascii="Arial" w:eastAsia="Arial" w:hAnsi="Arial" w:cs="Arial"/>
            <w:color w:val="0000FF"/>
            <w:u w:val="single"/>
          </w:rPr>
          <w:t>https://www.bmj.com/</w:t>
        </w:r>
      </w:hyperlink>
      <w:r w:rsidRPr="009B4E1E">
        <w:rPr>
          <w:rFonts w:ascii="Arial" w:eastAsia="Arial" w:hAnsi="Arial" w:cs="Arial"/>
        </w:rPr>
        <w:t xml:space="preserve">. </w:t>
      </w:r>
    </w:p>
    <w:p w14:paraId="41B7CFC5" w14:textId="77777777" w:rsidR="00FA24E3" w:rsidRPr="009B4E1E" w:rsidRDefault="00FA24E3">
      <w:pPr>
        <w:spacing w:after="0" w:line="360" w:lineRule="auto"/>
        <w:rPr>
          <w:rFonts w:ascii="Arial" w:eastAsia="Arial" w:hAnsi="Arial" w:cs="Arial"/>
        </w:rPr>
      </w:pPr>
    </w:p>
    <w:p w14:paraId="43AA8EF5" w14:textId="77777777" w:rsidR="00FA24E3" w:rsidRPr="009B4E1E" w:rsidRDefault="00000000">
      <w:pPr>
        <w:spacing w:after="0" w:line="360" w:lineRule="auto"/>
        <w:rPr>
          <w:rFonts w:ascii="Arial" w:eastAsia="Arial" w:hAnsi="Arial" w:cs="Arial"/>
        </w:rPr>
      </w:pPr>
      <w:r w:rsidRPr="009B4E1E">
        <w:rPr>
          <w:rFonts w:ascii="Arial" w:eastAsia="Arial" w:hAnsi="Arial" w:cs="Arial"/>
        </w:rPr>
        <w:t xml:space="preserve"> </w:t>
      </w:r>
    </w:p>
    <w:p w14:paraId="013B3768" w14:textId="77777777" w:rsidR="00FA24E3" w:rsidRPr="009B4E1E" w:rsidRDefault="00FA24E3">
      <w:pPr>
        <w:spacing w:after="0" w:line="360" w:lineRule="auto"/>
        <w:rPr>
          <w:rFonts w:ascii="Arial" w:eastAsia="Arial" w:hAnsi="Arial" w:cs="Arial"/>
        </w:rPr>
      </w:pPr>
    </w:p>
    <w:p w14:paraId="57C9418F" w14:textId="77777777" w:rsidR="00FA24E3" w:rsidRDefault="00000000">
      <w:pPr>
        <w:spacing w:after="0" w:line="360" w:lineRule="auto"/>
        <w:rPr>
          <w:rFonts w:ascii="Arial" w:eastAsia="Arial" w:hAnsi="Arial" w:cs="Arial"/>
        </w:rPr>
      </w:pPr>
      <w:r w:rsidRPr="009B4E1E">
        <w:rPr>
          <w:rFonts w:ascii="Arial" w:eastAsia="Arial" w:hAnsi="Arial" w:cs="Arial"/>
        </w:rPr>
        <w:t xml:space="preserve">Gordon-Nesbitt, R. and Howarth, A. (2019). The Arts and the Social Determinants of health: Findings from an Inquiry Conducted by the United Kingdom All-Party </w:t>
      </w:r>
      <w:r>
        <w:rPr>
          <w:rFonts w:ascii="Arial" w:eastAsia="Arial" w:hAnsi="Arial" w:cs="Arial"/>
        </w:rPr>
        <w:t xml:space="preserve">Parliamentary Group on Arts, Health and Wellbeing. Arts &amp; Health, 12(1), pp.1–22. Doi: </w:t>
      </w:r>
      <w:hyperlink r:id="rId5">
        <w:r>
          <w:rPr>
            <w:rFonts w:ascii="Arial" w:eastAsia="Arial" w:hAnsi="Arial" w:cs="Arial"/>
            <w:color w:val="0000FF"/>
            <w:u w:val="single"/>
          </w:rPr>
          <w:t>https://doi.org/10.1080/17533015.2019.1567563</w:t>
        </w:r>
      </w:hyperlink>
      <w:r>
        <w:rPr>
          <w:rFonts w:ascii="Arial" w:eastAsia="Arial" w:hAnsi="Arial" w:cs="Arial"/>
        </w:rPr>
        <w:t xml:space="preserve">. </w:t>
      </w:r>
    </w:p>
    <w:p w14:paraId="5EE4EE4E" w14:textId="77777777" w:rsidR="00FA24E3" w:rsidRDefault="00FA24E3">
      <w:pPr>
        <w:spacing w:after="0" w:line="360" w:lineRule="auto"/>
        <w:rPr>
          <w:rFonts w:ascii="Arial" w:eastAsia="Arial" w:hAnsi="Arial" w:cs="Arial"/>
        </w:rPr>
      </w:pPr>
    </w:p>
    <w:p w14:paraId="0F970619" w14:textId="77777777" w:rsidR="00FA24E3" w:rsidRDefault="00000000">
      <w:pPr>
        <w:spacing w:after="0" w:line="360" w:lineRule="auto"/>
        <w:rPr>
          <w:rFonts w:ascii="Arial" w:eastAsia="Arial" w:hAnsi="Arial" w:cs="Arial"/>
        </w:rPr>
      </w:pPr>
      <w:r>
        <w:rPr>
          <w:rFonts w:ascii="Arial" w:eastAsia="Arial" w:hAnsi="Arial" w:cs="Arial"/>
        </w:rPr>
        <w:t xml:space="preserve"> </w:t>
      </w:r>
    </w:p>
    <w:p w14:paraId="2FD1A5CE" w14:textId="77777777" w:rsidR="00FA24E3" w:rsidRDefault="00FA24E3">
      <w:pPr>
        <w:spacing w:after="0" w:line="360" w:lineRule="auto"/>
        <w:rPr>
          <w:rFonts w:ascii="Arial" w:eastAsia="Arial" w:hAnsi="Arial" w:cs="Arial"/>
        </w:rPr>
      </w:pPr>
    </w:p>
    <w:p w14:paraId="18D29692" w14:textId="77777777" w:rsidR="00FA24E3" w:rsidRDefault="00000000">
      <w:pPr>
        <w:spacing w:after="0" w:line="360" w:lineRule="auto"/>
        <w:rPr>
          <w:rFonts w:ascii="Arial" w:eastAsia="Arial" w:hAnsi="Arial" w:cs="Arial"/>
        </w:rPr>
      </w:pPr>
      <w:r>
        <w:rPr>
          <w:rFonts w:ascii="Arial" w:eastAsia="Arial" w:hAnsi="Arial" w:cs="Arial"/>
        </w:rPr>
        <w:t xml:space="preserve">Mental Health Foundation (2023). Depression: Statistics. [online] </w:t>
      </w:r>
      <w:hyperlink r:id="rId6">
        <w:r>
          <w:rPr>
            <w:rFonts w:ascii="Arial" w:eastAsia="Arial" w:hAnsi="Arial" w:cs="Arial"/>
            <w:color w:val="0000FF"/>
            <w:u w:val="single"/>
          </w:rPr>
          <w:t>www.mentalhealth.org.uk</w:t>
        </w:r>
      </w:hyperlink>
      <w:r>
        <w:rPr>
          <w:rFonts w:ascii="Arial" w:eastAsia="Arial" w:hAnsi="Arial" w:cs="Arial"/>
        </w:rPr>
        <w:t xml:space="preserve">. Available at: </w:t>
      </w:r>
      <w:hyperlink r:id="rId7">
        <w:r>
          <w:rPr>
            <w:rFonts w:ascii="Arial" w:eastAsia="Arial" w:hAnsi="Arial" w:cs="Arial"/>
            <w:color w:val="0000FF"/>
            <w:u w:val="single"/>
          </w:rPr>
          <w:t>https://www.mentalhealth.org.uk/explore-mental-health/statistics/depression-statistics</w:t>
        </w:r>
      </w:hyperlink>
      <w:r>
        <w:rPr>
          <w:rFonts w:ascii="Arial" w:eastAsia="Arial" w:hAnsi="Arial" w:cs="Arial"/>
        </w:rPr>
        <w:t xml:space="preserve">. </w:t>
      </w:r>
    </w:p>
    <w:p w14:paraId="61E7247F" w14:textId="77777777" w:rsidR="00FA24E3" w:rsidRDefault="00FA24E3">
      <w:pPr>
        <w:spacing w:after="0" w:line="360" w:lineRule="auto"/>
        <w:rPr>
          <w:rFonts w:ascii="Arial" w:eastAsia="Arial" w:hAnsi="Arial" w:cs="Arial"/>
        </w:rPr>
      </w:pPr>
    </w:p>
    <w:p w14:paraId="7B700495" w14:textId="77777777" w:rsidR="00FA24E3" w:rsidRDefault="00000000">
      <w:pPr>
        <w:spacing w:after="0" w:line="360" w:lineRule="auto"/>
        <w:rPr>
          <w:rFonts w:ascii="Arial" w:eastAsia="Arial" w:hAnsi="Arial" w:cs="Arial"/>
        </w:rPr>
      </w:pPr>
      <w:r>
        <w:rPr>
          <w:rFonts w:ascii="Arial" w:eastAsia="Arial" w:hAnsi="Arial" w:cs="Arial"/>
        </w:rPr>
        <w:t xml:space="preserve">NHS Digital (2019). Home - NHS Digital. [online] NHS Digital. Available at: </w:t>
      </w:r>
      <w:hyperlink r:id="rId8">
        <w:r>
          <w:rPr>
            <w:rFonts w:ascii="Arial" w:eastAsia="Arial" w:hAnsi="Arial" w:cs="Arial"/>
            <w:color w:val="0000FF"/>
            <w:u w:val="single"/>
          </w:rPr>
          <w:t>https://digital.nhs.uk/</w:t>
        </w:r>
      </w:hyperlink>
      <w:r>
        <w:rPr>
          <w:rFonts w:ascii="Arial" w:eastAsia="Arial" w:hAnsi="Arial" w:cs="Arial"/>
        </w:rPr>
        <w:t xml:space="preserve">. </w:t>
      </w:r>
    </w:p>
    <w:p w14:paraId="136CD047" w14:textId="77777777" w:rsidR="00FA24E3" w:rsidRDefault="00FA24E3">
      <w:pPr>
        <w:spacing w:after="0" w:line="360" w:lineRule="auto"/>
        <w:rPr>
          <w:rFonts w:ascii="Arial" w:eastAsia="Arial" w:hAnsi="Arial" w:cs="Arial"/>
        </w:rPr>
      </w:pPr>
    </w:p>
    <w:p w14:paraId="507EE8EB" w14:textId="77777777" w:rsidR="00FA24E3" w:rsidRDefault="00000000">
      <w:pPr>
        <w:spacing w:after="0" w:line="360" w:lineRule="auto"/>
        <w:rPr>
          <w:rFonts w:ascii="Arial" w:eastAsia="Arial" w:hAnsi="Arial" w:cs="Arial"/>
        </w:rPr>
      </w:pPr>
      <w:r>
        <w:rPr>
          <w:rFonts w:ascii="Arial" w:eastAsia="Arial" w:hAnsi="Arial" w:cs="Arial"/>
        </w:rPr>
        <w:t xml:space="preserve">NHS England (2023). One in Five Children and Young People Had a Probable Mental Disorder in 2023. [online] </w:t>
      </w:r>
      <w:hyperlink r:id="rId9">
        <w:r>
          <w:rPr>
            <w:rFonts w:ascii="Arial" w:eastAsia="Arial" w:hAnsi="Arial" w:cs="Arial"/>
            <w:color w:val="0000FF"/>
            <w:u w:val="single"/>
          </w:rPr>
          <w:t>www.england.nhs.uk</w:t>
        </w:r>
      </w:hyperlink>
      <w:r>
        <w:rPr>
          <w:rFonts w:ascii="Arial" w:eastAsia="Arial" w:hAnsi="Arial" w:cs="Arial"/>
        </w:rPr>
        <w:t xml:space="preserve">. Available at: </w:t>
      </w:r>
      <w:hyperlink r:id="rId10">
        <w:r>
          <w:rPr>
            <w:rFonts w:ascii="Arial" w:eastAsia="Arial" w:hAnsi="Arial" w:cs="Arial"/>
            <w:color w:val="0000FF"/>
            <w:u w:val="single"/>
          </w:rPr>
          <w:t>https://www.england.nhs.uk/2023/11/one-in-five-children-and-young-people-had-a-probable-mental-disorder-in-2023/</w:t>
        </w:r>
      </w:hyperlink>
      <w:r>
        <w:rPr>
          <w:rFonts w:ascii="Arial" w:eastAsia="Arial" w:hAnsi="Arial" w:cs="Arial"/>
        </w:rPr>
        <w:t xml:space="preserve">. </w:t>
      </w:r>
    </w:p>
    <w:p w14:paraId="2FBA50E5" w14:textId="77777777" w:rsidR="00FA24E3" w:rsidRDefault="00FA24E3">
      <w:pPr>
        <w:spacing w:after="0" w:line="360" w:lineRule="auto"/>
        <w:rPr>
          <w:rFonts w:ascii="Arial" w:eastAsia="Arial" w:hAnsi="Arial" w:cs="Arial"/>
          <w:b/>
        </w:rPr>
      </w:pPr>
    </w:p>
    <w:p w14:paraId="19BE2CA6" w14:textId="77777777" w:rsidR="00FA24E3" w:rsidRDefault="00000000">
      <w:pPr>
        <w:spacing w:after="0" w:line="360" w:lineRule="auto"/>
        <w:rPr>
          <w:rFonts w:ascii="Arial" w:eastAsia="Arial" w:hAnsi="Arial" w:cs="Arial"/>
        </w:rPr>
      </w:pPr>
      <w:r>
        <w:rPr>
          <w:rFonts w:ascii="Arial" w:eastAsia="Arial" w:hAnsi="Arial" w:cs="Arial"/>
        </w:rPr>
        <w:t xml:space="preserve"> </w:t>
      </w:r>
    </w:p>
    <w:p w14:paraId="2FC38C69" w14:textId="77777777" w:rsidR="00FA24E3" w:rsidRDefault="00FA24E3">
      <w:pPr>
        <w:spacing w:after="0" w:line="360" w:lineRule="auto"/>
        <w:rPr>
          <w:rFonts w:ascii="Arial" w:eastAsia="Arial" w:hAnsi="Arial" w:cs="Arial"/>
        </w:rPr>
      </w:pPr>
    </w:p>
    <w:p w14:paraId="7BEE6325" w14:textId="77777777" w:rsidR="00FA24E3" w:rsidRDefault="00000000">
      <w:pPr>
        <w:spacing w:after="0" w:line="240" w:lineRule="auto"/>
        <w:rPr>
          <w:rFonts w:ascii="Arial" w:eastAsia="Arial" w:hAnsi="Arial" w:cs="Arial"/>
        </w:rPr>
      </w:pPr>
      <w:r>
        <w:rPr>
          <w:rFonts w:ascii="Arial" w:eastAsia="Arial" w:hAnsi="Arial" w:cs="Arial"/>
        </w:rPr>
        <w:t xml:space="preserve"> </w:t>
      </w:r>
    </w:p>
    <w:sectPr w:rsidR="00FA24E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FA24E3"/>
    <w:rsid w:val="009A4921"/>
    <w:rsid w:val="009B4E1E"/>
    <w:rsid w:val="00FA24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904D60"/>
  <w15:docId w15:val="{E2A9DC61-2C1A-4E11-9B4B-0459CD7174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igital.nhs.uk/" TargetMode="External"/><Relationship Id="rId3" Type="http://schemas.openxmlformats.org/officeDocument/2006/relationships/webSettings" Target="webSettings.xml"/><Relationship Id="rId7" Type="http://schemas.openxmlformats.org/officeDocument/2006/relationships/hyperlink" Target="https://www.mentalhealth.org.uk/explore-mental-health/statistics/depression-statistics"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mentalhealth.org.uk/" TargetMode="External"/><Relationship Id="rId11" Type="http://schemas.openxmlformats.org/officeDocument/2006/relationships/fontTable" Target="fontTable.xml"/><Relationship Id="rId5" Type="http://schemas.openxmlformats.org/officeDocument/2006/relationships/hyperlink" Target="https://doi.org/10.1080/17533015.2019.1567563" TargetMode="External"/><Relationship Id="rId10" Type="http://schemas.openxmlformats.org/officeDocument/2006/relationships/hyperlink" Target="https://www.england.nhs.uk/2023/11/one-in-five-children-and-young-people-had-a-probable-mental-disorder-in-2023/" TargetMode="External"/><Relationship Id="rId4" Type="http://schemas.openxmlformats.org/officeDocument/2006/relationships/hyperlink" Target="https://www.bmj.com/" TargetMode="External"/><Relationship Id="rId9" Type="http://schemas.openxmlformats.org/officeDocument/2006/relationships/hyperlink" Target="http://www.england.nhs.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TotalTime>
  <Pages>1</Pages>
  <Words>835</Words>
  <Characters>4763</Characters>
  <Application>Microsoft Office Word</Application>
  <DocSecurity>0</DocSecurity>
  <Lines>39</Lines>
  <Paragraphs>11</Paragraphs>
  <ScaleCrop>false</ScaleCrop>
  <Company/>
  <LinksUpToDate>false</LinksUpToDate>
  <CharactersWithSpaces>5587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SATAN</dc:creator>
  <cp:lastModifiedBy>Laurentiu Balica</cp:lastModifiedBy>
  <cp:revision>3</cp:revision>
  <dcterms:created xsi:type="dcterms:W3CDTF">2024-05-24T17:21:00Z</dcterms:created>
  <dcterms:modified xsi:type="dcterms:W3CDTF">2024-05-24T17:25:00Z</dcterms:modified>
</cp:coreProperties>
</file>