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F149E" w14:textId="77777777" w:rsidR="000F7B4D" w:rsidRPr="00361D63" w:rsidRDefault="000F7B4D" w:rsidP="00FB6FB3">
      <w:pPr>
        <w:jc w:val="center"/>
        <w:rPr>
          <w:rFonts w:eastAsia="Times New Roman" w:cs="Arial"/>
          <w:b/>
          <w:bCs/>
          <w:kern w:val="36"/>
          <w:sz w:val="28"/>
          <w:szCs w:val="28"/>
        </w:rPr>
      </w:pPr>
      <w:r w:rsidRPr="00361D63">
        <w:rPr>
          <w:rFonts w:eastAsia="Times New Roman" w:cs="Arial"/>
          <w:b/>
          <w:bCs/>
          <w:kern w:val="36"/>
          <w:sz w:val="28"/>
          <w:szCs w:val="28"/>
        </w:rPr>
        <w:t>BA (Hons) Leadership and Management Skills for the Workplace</w:t>
      </w:r>
    </w:p>
    <w:p w14:paraId="119A2535" w14:textId="77777777" w:rsidR="000F7B4D" w:rsidRPr="00361D63" w:rsidRDefault="000F7B4D" w:rsidP="00FB6FB3">
      <w:pPr>
        <w:jc w:val="center"/>
        <w:rPr>
          <w:rFonts w:eastAsia="Times New Roman" w:cs="Arial"/>
          <w:b/>
          <w:bCs/>
          <w:kern w:val="36"/>
          <w:sz w:val="28"/>
          <w:szCs w:val="28"/>
        </w:rPr>
      </w:pPr>
      <w:r w:rsidRPr="00361D63">
        <w:rPr>
          <w:rFonts w:eastAsia="Times New Roman" w:cs="Arial"/>
          <w:b/>
          <w:bCs/>
          <w:kern w:val="36"/>
          <w:sz w:val="28"/>
          <w:szCs w:val="28"/>
        </w:rPr>
        <w:t>Developing and Managing Individuals and Teams</w:t>
      </w:r>
    </w:p>
    <w:p w14:paraId="09A1E0A0" w14:textId="7BB3A502" w:rsidR="000F7B4D" w:rsidRPr="00361D63" w:rsidRDefault="000F7B4D" w:rsidP="00FB6FB3">
      <w:pPr>
        <w:jc w:val="center"/>
        <w:rPr>
          <w:rFonts w:eastAsia="Times New Roman" w:cs="Arial"/>
          <w:b/>
          <w:bCs/>
          <w:kern w:val="36"/>
          <w:sz w:val="28"/>
          <w:szCs w:val="28"/>
        </w:rPr>
      </w:pPr>
      <w:r w:rsidRPr="00361D63">
        <w:rPr>
          <w:rFonts w:eastAsia="Times New Roman" w:cs="Arial"/>
          <w:b/>
          <w:bCs/>
          <w:kern w:val="36"/>
          <w:sz w:val="28"/>
          <w:szCs w:val="28"/>
        </w:rPr>
        <w:t>LCLM5002</w:t>
      </w:r>
    </w:p>
    <w:p w14:paraId="3240FF6A" w14:textId="60FA419A" w:rsidR="000F7B4D" w:rsidRPr="00361D63" w:rsidRDefault="000F7B4D" w:rsidP="00FB6FB3">
      <w:pPr>
        <w:jc w:val="center"/>
        <w:rPr>
          <w:rFonts w:eastAsia="Times New Roman" w:cs="Arial"/>
          <w:b/>
          <w:bCs/>
          <w:kern w:val="36"/>
          <w:sz w:val="28"/>
          <w:szCs w:val="28"/>
        </w:rPr>
      </w:pPr>
      <w:r w:rsidRPr="00361D63">
        <w:rPr>
          <w:rFonts w:eastAsia="Times New Roman" w:cs="Arial"/>
          <w:b/>
          <w:bCs/>
          <w:kern w:val="36"/>
          <w:sz w:val="28"/>
          <w:szCs w:val="28"/>
        </w:rPr>
        <w:t>Component 2 – Individual Report</w:t>
      </w:r>
    </w:p>
    <w:p w14:paraId="02934ABF" w14:textId="77777777" w:rsidR="000F7B4D" w:rsidRPr="00361D63" w:rsidRDefault="000F7B4D" w:rsidP="00FB6FB3">
      <w:pPr>
        <w:jc w:val="center"/>
        <w:rPr>
          <w:rFonts w:eastAsia="Times New Roman" w:cs="Arial"/>
          <w:b/>
          <w:bCs/>
          <w:kern w:val="36"/>
          <w:sz w:val="28"/>
          <w:szCs w:val="28"/>
        </w:rPr>
      </w:pPr>
      <w:r w:rsidRPr="00361D63">
        <w:rPr>
          <w:rFonts w:eastAsia="Times New Roman" w:cs="Arial"/>
          <w:b/>
          <w:bCs/>
          <w:kern w:val="36"/>
          <w:sz w:val="28"/>
          <w:szCs w:val="28"/>
        </w:rPr>
        <w:t>Report Title:</w:t>
      </w:r>
    </w:p>
    <w:p w14:paraId="67A72E91" w14:textId="2681657A" w:rsidR="000F7B4D" w:rsidRPr="00361D63" w:rsidRDefault="002A4794" w:rsidP="00FB6FB3">
      <w:pPr>
        <w:jc w:val="center"/>
        <w:rPr>
          <w:rFonts w:eastAsia="Times New Roman" w:cs="Arial"/>
          <w:b/>
          <w:bCs/>
          <w:kern w:val="36"/>
          <w:sz w:val="28"/>
          <w:szCs w:val="28"/>
        </w:rPr>
      </w:pPr>
      <w:r w:rsidRPr="00361D63">
        <w:rPr>
          <w:rFonts w:eastAsia="Times New Roman" w:cs="Arial"/>
          <w:b/>
          <w:bCs/>
          <w:kern w:val="36"/>
          <w:sz w:val="28"/>
          <w:szCs w:val="28"/>
        </w:rPr>
        <w:t>Contemporary Human Resource Challenges at Sainsbury’s plc, UK</w:t>
      </w:r>
    </w:p>
    <w:p w14:paraId="4B36E9CB" w14:textId="35CE256E" w:rsidR="000F7B4D" w:rsidRPr="00361D63" w:rsidRDefault="000F7B4D" w:rsidP="00FB6FB3">
      <w:pPr>
        <w:rPr>
          <w:rFonts w:eastAsia="Times New Roman" w:cs="Arial"/>
          <w:b/>
          <w:bCs/>
          <w:kern w:val="36"/>
          <w:sz w:val="24"/>
          <w:szCs w:val="24"/>
        </w:rPr>
      </w:pPr>
    </w:p>
    <w:p w14:paraId="407EAF6C" w14:textId="571CA07E" w:rsidR="000F7B4D" w:rsidRPr="00361D63" w:rsidRDefault="000F7B4D" w:rsidP="00FB6FB3">
      <w:pPr>
        <w:rPr>
          <w:rFonts w:eastAsia="Times New Roman" w:cs="Arial"/>
          <w:b/>
          <w:bCs/>
          <w:kern w:val="36"/>
          <w:sz w:val="24"/>
          <w:szCs w:val="24"/>
        </w:rPr>
      </w:pPr>
    </w:p>
    <w:p w14:paraId="0045EEF3" w14:textId="15EC8658" w:rsidR="000F7B4D" w:rsidRPr="00361D63" w:rsidRDefault="000F7B4D" w:rsidP="00FB6FB3">
      <w:pPr>
        <w:rPr>
          <w:rFonts w:eastAsia="Times New Roman" w:cs="Arial"/>
          <w:b/>
          <w:bCs/>
          <w:kern w:val="36"/>
          <w:sz w:val="24"/>
          <w:szCs w:val="24"/>
        </w:rPr>
      </w:pPr>
    </w:p>
    <w:p w14:paraId="2DEA9BF0" w14:textId="1C6D105A" w:rsidR="000F7B4D" w:rsidRPr="00361D63" w:rsidRDefault="000F7B4D" w:rsidP="00FB6FB3">
      <w:pPr>
        <w:rPr>
          <w:rFonts w:eastAsia="Times New Roman" w:cs="Arial"/>
          <w:b/>
          <w:bCs/>
          <w:kern w:val="36"/>
          <w:sz w:val="24"/>
          <w:szCs w:val="24"/>
        </w:rPr>
      </w:pPr>
    </w:p>
    <w:p w14:paraId="1F19014C" w14:textId="77777777" w:rsidR="000F7B4D" w:rsidRPr="00361D63" w:rsidRDefault="000F7B4D" w:rsidP="00FB6FB3">
      <w:pPr>
        <w:rPr>
          <w:rFonts w:eastAsia="Times New Roman" w:cs="Arial"/>
          <w:b/>
          <w:bCs/>
          <w:kern w:val="36"/>
          <w:sz w:val="24"/>
          <w:szCs w:val="24"/>
        </w:rPr>
      </w:pPr>
    </w:p>
    <w:p w14:paraId="565DA11A" w14:textId="77777777" w:rsidR="000F7B4D" w:rsidRPr="00361D63" w:rsidRDefault="000F7B4D" w:rsidP="00FB6FB3">
      <w:pPr>
        <w:rPr>
          <w:rFonts w:eastAsia="Times New Roman" w:cs="Arial"/>
          <w:b/>
          <w:bCs/>
          <w:kern w:val="36"/>
          <w:sz w:val="24"/>
          <w:szCs w:val="24"/>
        </w:rPr>
      </w:pPr>
    </w:p>
    <w:p w14:paraId="5C266BB6" w14:textId="6C1C88D9" w:rsidR="000F7B4D" w:rsidRPr="00361D63" w:rsidRDefault="000F7B4D" w:rsidP="00FB6FB3">
      <w:pPr>
        <w:rPr>
          <w:rFonts w:eastAsia="Times New Roman" w:cs="Arial"/>
          <w:b/>
          <w:bCs/>
          <w:kern w:val="36"/>
          <w:sz w:val="24"/>
          <w:szCs w:val="24"/>
        </w:rPr>
      </w:pPr>
      <w:r w:rsidRPr="00361D63">
        <w:rPr>
          <w:rFonts w:eastAsia="Times New Roman" w:cs="Arial"/>
          <w:b/>
          <w:bCs/>
          <w:kern w:val="36"/>
          <w:sz w:val="24"/>
          <w:szCs w:val="24"/>
        </w:rPr>
        <w:t>Student Name:</w:t>
      </w:r>
      <w:r w:rsidR="00B75BC9">
        <w:rPr>
          <w:rFonts w:eastAsia="Times New Roman" w:cs="Arial"/>
          <w:b/>
          <w:bCs/>
          <w:kern w:val="36"/>
          <w:sz w:val="24"/>
          <w:szCs w:val="24"/>
        </w:rPr>
        <w:t xml:space="preserve"> Zlatoslava Hristova</w:t>
      </w:r>
    </w:p>
    <w:p w14:paraId="720983D0" w14:textId="6CBF112C" w:rsidR="000F7B4D" w:rsidRPr="00361D63" w:rsidRDefault="000F7B4D" w:rsidP="00FB6FB3">
      <w:pPr>
        <w:rPr>
          <w:rFonts w:eastAsia="Times New Roman" w:cs="Arial"/>
          <w:b/>
          <w:bCs/>
          <w:kern w:val="36"/>
          <w:sz w:val="24"/>
          <w:szCs w:val="24"/>
        </w:rPr>
      </w:pPr>
      <w:r w:rsidRPr="00361D63">
        <w:rPr>
          <w:rFonts w:eastAsia="Times New Roman" w:cs="Arial"/>
          <w:b/>
          <w:bCs/>
          <w:kern w:val="36"/>
          <w:sz w:val="24"/>
          <w:szCs w:val="24"/>
        </w:rPr>
        <w:t>Student Number:</w:t>
      </w:r>
      <w:r w:rsidR="00B75BC9">
        <w:rPr>
          <w:rFonts w:eastAsia="Times New Roman" w:cs="Arial"/>
          <w:b/>
          <w:bCs/>
          <w:kern w:val="36"/>
          <w:sz w:val="24"/>
          <w:szCs w:val="24"/>
        </w:rPr>
        <w:t xml:space="preserve"> 2437124 </w:t>
      </w:r>
    </w:p>
    <w:p w14:paraId="035C9A6C" w14:textId="77777777" w:rsidR="004825D0" w:rsidRDefault="000F7B4D" w:rsidP="00FB6FB3">
      <w:pPr>
        <w:rPr>
          <w:rFonts w:eastAsia="Times New Roman" w:cs="Arial"/>
          <w:b/>
          <w:bCs/>
          <w:kern w:val="36"/>
          <w:sz w:val="24"/>
          <w:szCs w:val="24"/>
        </w:rPr>
      </w:pPr>
      <w:r w:rsidRPr="00361D63">
        <w:rPr>
          <w:rFonts w:eastAsia="Times New Roman" w:cs="Arial"/>
          <w:b/>
          <w:bCs/>
          <w:kern w:val="36"/>
          <w:sz w:val="24"/>
          <w:szCs w:val="24"/>
        </w:rPr>
        <w:t>Module Leader / Lecturer:</w:t>
      </w:r>
      <w:r w:rsidR="00B75BC9">
        <w:rPr>
          <w:rFonts w:eastAsia="Times New Roman" w:cs="Arial"/>
          <w:b/>
          <w:bCs/>
          <w:kern w:val="36"/>
          <w:sz w:val="24"/>
          <w:szCs w:val="24"/>
        </w:rPr>
        <w:t xml:space="preserve"> Mohammad Rahman</w:t>
      </w:r>
    </w:p>
    <w:p w14:paraId="6499ADF3" w14:textId="3A91C7ED" w:rsidR="00B67DFA" w:rsidRPr="00361D63" w:rsidRDefault="004825D0" w:rsidP="00FB6FB3">
      <w:pPr>
        <w:rPr>
          <w:rFonts w:eastAsia="Times New Roman" w:cs="Arial"/>
          <w:b/>
          <w:bCs/>
          <w:kern w:val="36"/>
          <w:sz w:val="24"/>
          <w:szCs w:val="24"/>
        </w:rPr>
      </w:pPr>
      <w:r>
        <w:rPr>
          <w:rFonts w:eastAsia="Times New Roman" w:cs="Arial"/>
          <w:b/>
          <w:bCs/>
          <w:kern w:val="36"/>
          <w:sz w:val="24"/>
          <w:szCs w:val="24"/>
        </w:rPr>
        <w:t>Submission Date: 16/08/2026</w:t>
      </w:r>
      <w:r w:rsidR="00B67DFA" w:rsidRPr="00361D63">
        <w:rPr>
          <w:rFonts w:eastAsia="Times New Roman" w:cs="Arial"/>
          <w:b/>
          <w:bCs/>
          <w:kern w:val="36"/>
          <w:sz w:val="24"/>
          <w:szCs w:val="24"/>
        </w:rPr>
        <w:br w:type="page"/>
      </w:r>
    </w:p>
    <w:sdt>
      <w:sdtPr>
        <w:rPr>
          <w:rFonts w:ascii="Arial" w:eastAsiaTheme="minorHAnsi" w:hAnsi="Arial" w:cs="Arial"/>
          <w:color w:val="auto"/>
          <w:sz w:val="22"/>
          <w:szCs w:val="22"/>
        </w:rPr>
        <w:id w:val="-619217902"/>
        <w:docPartObj>
          <w:docPartGallery w:val="Table of Contents"/>
          <w:docPartUnique/>
        </w:docPartObj>
      </w:sdtPr>
      <w:sdtEndPr>
        <w:rPr>
          <w:b/>
          <w:bCs/>
        </w:rPr>
      </w:sdtEndPr>
      <w:sdtContent>
        <w:p w14:paraId="7D4ACDCB" w14:textId="12E16FD8" w:rsidR="000F7B4D" w:rsidRPr="00361D63" w:rsidRDefault="000F7B4D" w:rsidP="00FB6FB3">
          <w:pPr>
            <w:pStyle w:val="a4"/>
            <w:spacing w:line="360" w:lineRule="auto"/>
            <w:rPr>
              <w:rFonts w:ascii="Arial" w:hAnsi="Arial" w:cs="Arial"/>
            </w:rPr>
          </w:pPr>
          <w:r w:rsidRPr="00361D63">
            <w:rPr>
              <w:rFonts w:ascii="Arial" w:hAnsi="Arial" w:cs="Arial"/>
            </w:rPr>
            <w:t>Table of Contents</w:t>
          </w:r>
        </w:p>
        <w:p w14:paraId="34F89088" w14:textId="5F3220DF" w:rsidR="003749A5" w:rsidRDefault="000F7B4D" w:rsidP="00FB6FB3">
          <w:pPr>
            <w:pStyle w:val="11"/>
            <w:tabs>
              <w:tab w:val="right" w:leader="dot" w:pos="9350"/>
            </w:tabs>
            <w:rPr>
              <w:rFonts w:asciiTheme="minorHAnsi" w:eastAsiaTheme="minorEastAsia" w:hAnsiTheme="minorHAnsi"/>
              <w:noProof/>
              <w:kern w:val="2"/>
              <w:lang w:val="en-US"/>
              <w14:ligatures w14:val="standardContextual"/>
            </w:rPr>
          </w:pPr>
          <w:r w:rsidRPr="00361D63">
            <w:rPr>
              <w:rFonts w:cs="Arial"/>
            </w:rPr>
            <w:fldChar w:fldCharType="begin"/>
          </w:r>
          <w:r w:rsidRPr="00361D63">
            <w:rPr>
              <w:rFonts w:cs="Arial"/>
            </w:rPr>
            <w:instrText xml:space="preserve"> TOC \o "1-3" \h \z \u </w:instrText>
          </w:r>
          <w:r w:rsidRPr="00361D63">
            <w:rPr>
              <w:rFonts w:cs="Arial"/>
            </w:rPr>
            <w:fldChar w:fldCharType="separate"/>
          </w:r>
          <w:hyperlink w:anchor="_Toc237109291" w:history="1">
            <w:r w:rsidR="003749A5" w:rsidRPr="007D2BE5">
              <w:rPr>
                <w:rStyle w:val="a5"/>
                <w:rFonts w:cs="Arial"/>
                <w:noProof/>
              </w:rPr>
              <w:t>1. Introduction</w:t>
            </w:r>
            <w:r w:rsidR="003749A5">
              <w:rPr>
                <w:noProof/>
                <w:webHidden/>
              </w:rPr>
              <w:tab/>
            </w:r>
            <w:r w:rsidR="003749A5">
              <w:rPr>
                <w:noProof/>
                <w:webHidden/>
              </w:rPr>
              <w:fldChar w:fldCharType="begin"/>
            </w:r>
            <w:r w:rsidR="003749A5">
              <w:rPr>
                <w:noProof/>
                <w:webHidden/>
              </w:rPr>
              <w:instrText xml:space="preserve"> PAGEREF _Toc237109291 \h </w:instrText>
            </w:r>
            <w:r w:rsidR="003749A5">
              <w:rPr>
                <w:noProof/>
                <w:webHidden/>
              </w:rPr>
            </w:r>
            <w:r w:rsidR="003749A5">
              <w:rPr>
                <w:noProof/>
                <w:webHidden/>
              </w:rPr>
              <w:fldChar w:fldCharType="separate"/>
            </w:r>
            <w:r w:rsidR="003749A5">
              <w:rPr>
                <w:noProof/>
                <w:webHidden/>
              </w:rPr>
              <w:t>3</w:t>
            </w:r>
            <w:r w:rsidR="003749A5">
              <w:rPr>
                <w:noProof/>
                <w:webHidden/>
              </w:rPr>
              <w:fldChar w:fldCharType="end"/>
            </w:r>
          </w:hyperlink>
        </w:p>
        <w:p w14:paraId="3ECD8720" w14:textId="47430539" w:rsidR="003749A5" w:rsidRDefault="00514651" w:rsidP="00FB6FB3">
          <w:pPr>
            <w:pStyle w:val="21"/>
            <w:tabs>
              <w:tab w:val="right" w:leader="dot" w:pos="9350"/>
            </w:tabs>
            <w:rPr>
              <w:rFonts w:asciiTheme="minorHAnsi" w:eastAsiaTheme="minorEastAsia" w:hAnsiTheme="minorHAnsi"/>
              <w:noProof/>
              <w:kern w:val="2"/>
              <w:lang w:val="en-US"/>
              <w14:ligatures w14:val="standardContextual"/>
            </w:rPr>
          </w:pPr>
          <w:hyperlink w:anchor="_Toc237109292" w:history="1">
            <w:r w:rsidR="003749A5" w:rsidRPr="007D2BE5">
              <w:rPr>
                <w:rStyle w:val="a5"/>
                <w:rFonts w:cs="Arial"/>
                <w:noProof/>
              </w:rPr>
              <w:t>2. Key Organisational HR Issues</w:t>
            </w:r>
            <w:r w:rsidR="003749A5">
              <w:rPr>
                <w:noProof/>
                <w:webHidden/>
              </w:rPr>
              <w:tab/>
            </w:r>
            <w:r w:rsidR="003749A5">
              <w:rPr>
                <w:noProof/>
                <w:webHidden/>
              </w:rPr>
              <w:fldChar w:fldCharType="begin"/>
            </w:r>
            <w:r w:rsidR="003749A5">
              <w:rPr>
                <w:noProof/>
                <w:webHidden/>
              </w:rPr>
              <w:instrText xml:space="preserve"> PAGEREF _Toc237109292 \h </w:instrText>
            </w:r>
            <w:r w:rsidR="003749A5">
              <w:rPr>
                <w:noProof/>
                <w:webHidden/>
              </w:rPr>
            </w:r>
            <w:r w:rsidR="003749A5">
              <w:rPr>
                <w:noProof/>
                <w:webHidden/>
              </w:rPr>
              <w:fldChar w:fldCharType="separate"/>
            </w:r>
            <w:r w:rsidR="003749A5">
              <w:rPr>
                <w:noProof/>
                <w:webHidden/>
              </w:rPr>
              <w:t>3</w:t>
            </w:r>
            <w:r w:rsidR="003749A5">
              <w:rPr>
                <w:noProof/>
                <w:webHidden/>
              </w:rPr>
              <w:fldChar w:fldCharType="end"/>
            </w:r>
          </w:hyperlink>
        </w:p>
        <w:p w14:paraId="6DC5A8AB" w14:textId="33A1B2C3" w:rsidR="003749A5" w:rsidRDefault="00514651" w:rsidP="00FB6FB3">
          <w:pPr>
            <w:pStyle w:val="31"/>
            <w:tabs>
              <w:tab w:val="right" w:leader="dot" w:pos="9350"/>
            </w:tabs>
            <w:rPr>
              <w:rFonts w:asciiTheme="minorHAnsi" w:eastAsiaTheme="minorEastAsia" w:hAnsiTheme="minorHAnsi"/>
              <w:noProof/>
              <w:kern w:val="2"/>
              <w:lang w:val="en-US"/>
              <w14:ligatures w14:val="standardContextual"/>
            </w:rPr>
          </w:pPr>
          <w:hyperlink w:anchor="_Toc237109293" w:history="1">
            <w:r w:rsidR="003749A5" w:rsidRPr="007D2BE5">
              <w:rPr>
                <w:rStyle w:val="a5"/>
                <w:noProof/>
              </w:rPr>
              <w:t>Technological Advancement</w:t>
            </w:r>
            <w:r w:rsidR="003749A5">
              <w:rPr>
                <w:noProof/>
                <w:webHidden/>
              </w:rPr>
              <w:tab/>
            </w:r>
            <w:r w:rsidR="003749A5">
              <w:rPr>
                <w:noProof/>
                <w:webHidden/>
              </w:rPr>
              <w:fldChar w:fldCharType="begin"/>
            </w:r>
            <w:r w:rsidR="003749A5">
              <w:rPr>
                <w:noProof/>
                <w:webHidden/>
              </w:rPr>
              <w:instrText xml:space="preserve"> PAGEREF _Toc237109293 \h </w:instrText>
            </w:r>
            <w:r w:rsidR="003749A5">
              <w:rPr>
                <w:noProof/>
                <w:webHidden/>
              </w:rPr>
            </w:r>
            <w:r w:rsidR="003749A5">
              <w:rPr>
                <w:noProof/>
                <w:webHidden/>
              </w:rPr>
              <w:fldChar w:fldCharType="separate"/>
            </w:r>
            <w:r w:rsidR="003749A5">
              <w:rPr>
                <w:noProof/>
                <w:webHidden/>
              </w:rPr>
              <w:t>3</w:t>
            </w:r>
            <w:r w:rsidR="003749A5">
              <w:rPr>
                <w:noProof/>
                <w:webHidden/>
              </w:rPr>
              <w:fldChar w:fldCharType="end"/>
            </w:r>
          </w:hyperlink>
        </w:p>
        <w:p w14:paraId="52E4A45A" w14:textId="53EAEC29" w:rsidR="003749A5" w:rsidRDefault="00514651" w:rsidP="00FB6FB3">
          <w:pPr>
            <w:pStyle w:val="31"/>
            <w:tabs>
              <w:tab w:val="right" w:leader="dot" w:pos="9350"/>
            </w:tabs>
            <w:rPr>
              <w:rFonts w:asciiTheme="minorHAnsi" w:eastAsiaTheme="minorEastAsia" w:hAnsiTheme="minorHAnsi"/>
              <w:noProof/>
              <w:kern w:val="2"/>
              <w:lang w:val="en-US"/>
              <w14:ligatures w14:val="standardContextual"/>
            </w:rPr>
          </w:pPr>
          <w:hyperlink w:anchor="_Toc237109294" w:history="1">
            <w:r w:rsidR="003749A5" w:rsidRPr="007D2BE5">
              <w:rPr>
                <w:rStyle w:val="a5"/>
                <w:noProof/>
              </w:rPr>
              <w:t>Talent Acquisition and Retention</w:t>
            </w:r>
            <w:r w:rsidR="003749A5">
              <w:rPr>
                <w:noProof/>
                <w:webHidden/>
              </w:rPr>
              <w:tab/>
            </w:r>
            <w:r w:rsidR="003749A5">
              <w:rPr>
                <w:noProof/>
                <w:webHidden/>
              </w:rPr>
              <w:fldChar w:fldCharType="begin"/>
            </w:r>
            <w:r w:rsidR="003749A5">
              <w:rPr>
                <w:noProof/>
                <w:webHidden/>
              </w:rPr>
              <w:instrText xml:space="preserve"> PAGEREF _Toc237109294 \h </w:instrText>
            </w:r>
            <w:r w:rsidR="003749A5">
              <w:rPr>
                <w:noProof/>
                <w:webHidden/>
              </w:rPr>
            </w:r>
            <w:r w:rsidR="003749A5">
              <w:rPr>
                <w:noProof/>
                <w:webHidden/>
              </w:rPr>
              <w:fldChar w:fldCharType="separate"/>
            </w:r>
            <w:r w:rsidR="003749A5">
              <w:rPr>
                <w:noProof/>
                <w:webHidden/>
              </w:rPr>
              <w:t>4</w:t>
            </w:r>
            <w:r w:rsidR="003749A5">
              <w:rPr>
                <w:noProof/>
                <w:webHidden/>
              </w:rPr>
              <w:fldChar w:fldCharType="end"/>
            </w:r>
          </w:hyperlink>
        </w:p>
        <w:p w14:paraId="2881F0D4" w14:textId="6E5778F2" w:rsidR="003749A5" w:rsidRDefault="00514651" w:rsidP="00FB6FB3">
          <w:pPr>
            <w:pStyle w:val="31"/>
            <w:tabs>
              <w:tab w:val="right" w:leader="dot" w:pos="9350"/>
            </w:tabs>
            <w:rPr>
              <w:rFonts w:asciiTheme="minorHAnsi" w:eastAsiaTheme="minorEastAsia" w:hAnsiTheme="minorHAnsi"/>
              <w:noProof/>
              <w:kern w:val="2"/>
              <w:lang w:val="en-US"/>
              <w14:ligatures w14:val="standardContextual"/>
            </w:rPr>
          </w:pPr>
          <w:hyperlink w:anchor="_Toc237109295" w:history="1">
            <w:r w:rsidR="003749A5" w:rsidRPr="007D2BE5">
              <w:rPr>
                <w:rStyle w:val="a5"/>
                <w:noProof/>
              </w:rPr>
              <w:t>Diversity, Equity and Inclusion</w:t>
            </w:r>
            <w:r w:rsidR="003749A5">
              <w:rPr>
                <w:noProof/>
                <w:webHidden/>
              </w:rPr>
              <w:tab/>
            </w:r>
            <w:r w:rsidR="003749A5">
              <w:rPr>
                <w:noProof/>
                <w:webHidden/>
              </w:rPr>
              <w:fldChar w:fldCharType="begin"/>
            </w:r>
            <w:r w:rsidR="003749A5">
              <w:rPr>
                <w:noProof/>
                <w:webHidden/>
              </w:rPr>
              <w:instrText xml:space="preserve"> PAGEREF _Toc237109295 \h </w:instrText>
            </w:r>
            <w:r w:rsidR="003749A5">
              <w:rPr>
                <w:noProof/>
                <w:webHidden/>
              </w:rPr>
            </w:r>
            <w:r w:rsidR="003749A5">
              <w:rPr>
                <w:noProof/>
                <w:webHidden/>
              </w:rPr>
              <w:fldChar w:fldCharType="separate"/>
            </w:r>
            <w:r w:rsidR="003749A5">
              <w:rPr>
                <w:noProof/>
                <w:webHidden/>
              </w:rPr>
              <w:t>4</w:t>
            </w:r>
            <w:r w:rsidR="003749A5">
              <w:rPr>
                <w:noProof/>
                <w:webHidden/>
              </w:rPr>
              <w:fldChar w:fldCharType="end"/>
            </w:r>
          </w:hyperlink>
        </w:p>
        <w:p w14:paraId="1C00D095" w14:textId="29E0DC56" w:rsidR="003749A5" w:rsidRDefault="00514651" w:rsidP="00FB6FB3">
          <w:pPr>
            <w:pStyle w:val="21"/>
            <w:tabs>
              <w:tab w:val="right" w:leader="dot" w:pos="9350"/>
            </w:tabs>
            <w:rPr>
              <w:rFonts w:asciiTheme="minorHAnsi" w:eastAsiaTheme="minorEastAsia" w:hAnsiTheme="minorHAnsi"/>
              <w:noProof/>
              <w:kern w:val="2"/>
              <w:lang w:val="en-US"/>
              <w14:ligatures w14:val="standardContextual"/>
            </w:rPr>
          </w:pPr>
          <w:hyperlink w:anchor="_Toc237109296" w:history="1">
            <w:r w:rsidR="003749A5" w:rsidRPr="007D2BE5">
              <w:rPr>
                <w:rStyle w:val="a5"/>
                <w:rFonts w:cs="Arial"/>
                <w:noProof/>
              </w:rPr>
              <w:t>3. Evaluation of Contemporary HR Practices</w:t>
            </w:r>
            <w:r w:rsidR="003749A5">
              <w:rPr>
                <w:noProof/>
                <w:webHidden/>
              </w:rPr>
              <w:tab/>
            </w:r>
            <w:r w:rsidR="003749A5">
              <w:rPr>
                <w:noProof/>
                <w:webHidden/>
              </w:rPr>
              <w:fldChar w:fldCharType="begin"/>
            </w:r>
            <w:r w:rsidR="003749A5">
              <w:rPr>
                <w:noProof/>
                <w:webHidden/>
              </w:rPr>
              <w:instrText xml:space="preserve"> PAGEREF _Toc237109296 \h </w:instrText>
            </w:r>
            <w:r w:rsidR="003749A5">
              <w:rPr>
                <w:noProof/>
                <w:webHidden/>
              </w:rPr>
            </w:r>
            <w:r w:rsidR="003749A5">
              <w:rPr>
                <w:noProof/>
                <w:webHidden/>
              </w:rPr>
              <w:fldChar w:fldCharType="separate"/>
            </w:r>
            <w:r w:rsidR="003749A5">
              <w:rPr>
                <w:noProof/>
                <w:webHidden/>
              </w:rPr>
              <w:t>5</w:t>
            </w:r>
            <w:r w:rsidR="003749A5">
              <w:rPr>
                <w:noProof/>
                <w:webHidden/>
              </w:rPr>
              <w:fldChar w:fldCharType="end"/>
            </w:r>
          </w:hyperlink>
        </w:p>
        <w:p w14:paraId="664E9641" w14:textId="5F66B131" w:rsidR="003749A5" w:rsidRDefault="00514651" w:rsidP="00FB6FB3">
          <w:pPr>
            <w:pStyle w:val="21"/>
            <w:tabs>
              <w:tab w:val="right" w:leader="dot" w:pos="9350"/>
            </w:tabs>
            <w:rPr>
              <w:rFonts w:asciiTheme="minorHAnsi" w:eastAsiaTheme="minorEastAsia" w:hAnsiTheme="minorHAnsi"/>
              <w:noProof/>
              <w:kern w:val="2"/>
              <w:lang w:val="en-US"/>
              <w14:ligatures w14:val="standardContextual"/>
            </w:rPr>
          </w:pPr>
          <w:hyperlink w:anchor="_Toc237109297" w:history="1">
            <w:r w:rsidR="003749A5" w:rsidRPr="007D2BE5">
              <w:rPr>
                <w:rStyle w:val="a5"/>
                <w:rFonts w:cs="Arial"/>
                <w:noProof/>
              </w:rPr>
              <w:t>4. Critical Evaluation of Managerial Implementation</w:t>
            </w:r>
            <w:r w:rsidR="003749A5">
              <w:rPr>
                <w:noProof/>
                <w:webHidden/>
              </w:rPr>
              <w:tab/>
            </w:r>
            <w:r w:rsidR="003749A5">
              <w:rPr>
                <w:noProof/>
                <w:webHidden/>
              </w:rPr>
              <w:fldChar w:fldCharType="begin"/>
            </w:r>
            <w:r w:rsidR="003749A5">
              <w:rPr>
                <w:noProof/>
                <w:webHidden/>
              </w:rPr>
              <w:instrText xml:space="preserve"> PAGEREF _Toc237109297 \h </w:instrText>
            </w:r>
            <w:r w:rsidR="003749A5">
              <w:rPr>
                <w:noProof/>
                <w:webHidden/>
              </w:rPr>
            </w:r>
            <w:r w:rsidR="003749A5">
              <w:rPr>
                <w:noProof/>
                <w:webHidden/>
              </w:rPr>
              <w:fldChar w:fldCharType="separate"/>
            </w:r>
            <w:r w:rsidR="003749A5">
              <w:rPr>
                <w:noProof/>
                <w:webHidden/>
              </w:rPr>
              <w:t>6</w:t>
            </w:r>
            <w:r w:rsidR="003749A5">
              <w:rPr>
                <w:noProof/>
                <w:webHidden/>
              </w:rPr>
              <w:fldChar w:fldCharType="end"/>
            </w:r>
          </w:hyperlink>
        </w:p>
        <w:p w14:paraId="6FE7294E" w14:textId="6FD07BD1" w:rsidR="003749A5" w:rsidRDefault="00514651" w:rsidP="00FB6FB3">
          <w:pPr>
            <w:pStyle w:val="21"/>
            <w:tabs>
              <w:tab w:val="right" w:leader="dot" w:pos="9350"/>
            </w:tabs>
            <w:rPr>
              <w:rFonts w:asciiTheme="minorHAnsi" w:eastAsiaTheme="minorEastAsia" w:hAnsiTheme="minorHAnsi"/>
              <w:noProof/>
              <w:kern w:val="2"/>
              <w:lang w:val="en-US"/>
              <w14:ligatures w14:val="standardContextual"/>
            </w:rPr>
          </w:pPr>
          <w:hyperlink w:anchor="_Toc237109298" w:history="1">
            <w:r w:rsidR="003749A5" w:rsidRPr="007D2BE5">
              <w:rPr>
                <w:rStyle w:val="a5"/>
                <w:rFonts w:cs="Arial"/>
                <w:noProof/>
              </w:rPr>
              <w:t>5. Recommendations</w:t>
            </w:r>
            <w:r w:rsidR="003749A5">
              <w:rPr>
                <w:noProof/>
                <w:webHidden/>
              </w:rPr>
              <w:tab/>
            </w:r>
            <w:r w:rsidR="003749A5">
              <w:rPr>
                <w:noProof/>
                <w:webHidden/>
              </w:rPr>
              <w:fldChar w:fldCharType="begin"/>
            </w:r>
            <w:r w:rsidR="003749A5">
              <w:rPr>
                <w:noProof/>
                <w:webHidden/>
              </w:rPr>
              <w:instrText xml:space="preserve"> PAGEREF _Toc237109298 \h </w:instrText>
            </w:r>
            <w:r w:rsidR="003749A5">
              <w:rPr>
                <w:noProof/>
                <w:webHidden/>
              </w:rPr>
            </w:r>
            <w:r w:rsidR="003749A5">
              <w:rPr>
                <w:noProof/>
                <w:webHidden/>
              </w:rPr>
              <w:fldChar w:fldCharType="separate"/>
            </w:r>
            <w:r w:rsidR="003749A5">
              <w:rPr>
                <w:noProof/>
                <w:webHidden/>
              </w:rPr>
              <w:t>8</w:t>
            </w:r>
            <w:r w:rsidR="003749A5">
              <w:rPr>
                <w:noProof/>
                <w:webHidden/>
              </w:rPr>
              <w:fldChar w:fldCharType="end"/>
            </w:r>
          </w:hyperlink>
        </w:p>
        <w:p w14:paraId="1228928B" w14:textId="5C0385DA" w:rsidR="003749A5" w:rsidRDefault="00514651" w:rsidP="00FB6FB3">
          <w:pPr>
            <w:pStyle w:val="21"/>
            <w:tabs>
              <w:tab w:val="right" w:leader="dot" w:pos="9350"/>
            </w:tabs>
            <w:rPr>
              <w:rFonts w:asciiTheme="minorHAnsi" w:eastAsiaTheme="minorEastAsia" w:hAnsiTheme="minorHAnsi"/>
              <w:noProof/>
              <w:kern w:val="2"/>
              <w:lang w:val="en-US"/>
              <w14:ligatures w14:val="standardContextual"/>
            </w:rPr>
          </w:pPr>
          <w:hyperlink w:anchor="_Toc237109299" w:history="1">
            <w:r w:rsidR="003749A5" w:rsidRPr="007D2BE5">
              <w:rPr>
                <w:rStyle w:val="a5"/>
                <w:rFonts w:cs="Arial"/>
                <w:noProof/>
              </w:rPr>
              <w:t>6. Conclusion</w:t>
            </w:r>
            <w:r w:rsidR="003749A5">
              <w:rPr>
                <w:noProof/>
                <w:webHidden/>
              </w:rPr>
              <w:tab/>
            </w:r>
            <w:r w:rsidR="003749A5">
              <w:rPr>
                <w:noProof/>
                <w:webHidden/>
              </w:rPr>
              <w:fldChar w:fldCharType="begin"/>
            </w:r>
            <w:r w:rsidR="003749A5">
              <w:rPr>
                <w:noProof/>
                <w:webHidden/>
              </w:rPr>
              <w:instrText xml:space="preserve"> PAGEREF _Toc237109299 \h </w:instrText>
            </w:r>
            <w:r w:rsidR="003749A5">
              <w:rPr>
                <w:noProof/>
                <w:webHidden/>
              </w:rPr>
            </w:r>
            <w:r w:rsidR="003749A5">
              <w:rPr>
                <w:noProof/>
                <w:webHidden/>
              </w:rPr>
              <w:fldChar w:fldCharType="separate"/>
            </w:r>
            <w:r w:rsidR="003749A5">
              <w:rPr>
                <w:noProof/>
                <w:webHidden/>
              </w:rPr>
              <w:t>9</w:t>
            </w:r>
            <w:r w:rsidR="003749A5">
              <w:rPr>
                <w:noProof/>
                <w:webHidden/>
              </w:rPr>
              <w:fldChar w:fldCharType="end"/>
            </w:r>
          </w:hyperlink>
        </w:p>
        <w:p w14:paraId="398AA60E" w14:textId="4F25174C" w:rsidR="003749A5" w:rsidRDefault="00514651" w:rsidP="00FB6FB3">
          <w:pPr>
            <w:pStyle w:val="11"/>
            <w:tabs>
              <w:tab w:val="right" w:leader="dot" w:pos="9350"/>
            </w:tabs>
            <w:rPr>
              <w:rFonts w:asciiTheme="minorHAnsi" w:eastAsiaTheme="minorEastAsia" w:hAnsiTheme="minorHAnsi"/>
              <w:noProof/>
              <w:kern w:val="2"/>
              <w:lang w:val="en-US"/>
              <w14:ligatures w14:val="standardContextual"/>
            </w:rPr>
          </w:pPr>
          <w:hyperlink w:anchor="_Toc237109300" w:history="1">
            <w:r w:rsidR="003749A5" w:rsidRPr="007D2BE5">
              <w:rPr>
                <w:rStyle w:val="a5"/>
                <w:rFonts w:cs="Arial"/>
                <w:noProof/>
              </w:rPr>
              <w:t>Reference</w:t>
            </w:r>
            <w:r w:rsidR="003749A5">
              <w:rPr>
                <w:noProof/>
                <w:webHidden/>
              </w:rPr>
              <w:tab/>
            </w:r>
            <w:r w:rsidR="003749A5">
              <w:rPr>
                <w:noProof/>
                <w:webHidden/>
              </w:rPr>
              <w:fldChar w:fldCharType="begin"/>
            </w:r>
            <w:r w:rsidR="003749A5">
              <w:rPr>
                <w:noProof/>
                <w:webHidden/>
              </w:rPr>
              <w:instrText xml:space="preserve"> PAGEREF _Toc237109300 \h </w:instrText>
            </w:r>
            <w:r w:rsidR="003749A5">
              <w:rPr>
                <w:noProof/>
                <w:webHidden/>
              </w:rPr>
            </w:r>
            <w:r w:rsidR="003749A5">
              <w:rPr>
                <w:noProof/>
                <w:webHidden/>
              </w:rPr>
              <w:fldChar w:fldCharType="separate"/>
            </w:r>
            <w:r w:rsidR="003749A5">
              <w:rPr>
                <w:noProof/>
                <w:webHidden/>
              </w:rPr>
              <w:t>10</w:t>
            </w:r>
            <w:r w:rsidR="003749A5">
              <w:rPr>
                <w:noProof/>
                <w:webHidden/>
              </w:rPr>
              <w:fldChar w:fldCharType="end"/>
            </w:r>
          </w:hyperlink>
        </w:p>
        <w:p w14:paraId="39C5DD88" w14:textId="17112C79" w:rsidR="000F7B4D" w:rsidRPr="00361D63" w:rsidRDefault="000F7B4D" w:rsidP="00FB6FB3">
          <w:pPr>
            <w:rPr>
              <w:rFonts w:cs="Arial"/>
            </w:rPr>
          </w:pPr>
          <w:r w:rsidRPr="00361D63">
            <w:rPr>
              <w:rFonts w:cs="Arial"/>
              <w:b/>
              <w:bCs/>
            </w:rPr>
            <w:fldChar w:fldCharType="end"/>
          </w:r>
        </w:p>
      </w:sdtContent>
    </w:sdt>
    <w:p w14:paraId="288A5FC8" w14:textId="77777777" w:rsidR="000F7B4D" w:rsidRPr="00361D63" w:rsidRDefault="000F7B4D" w:rsidP="00FB6FB3">
      <w:pPr>
        <w:rPr>
          <w:rFonts w:eastAsia="Times New Roman" w:cs="Arial"/>
          <w:b/>
          <w:bCs/>
          <w:kern w:val="36"/>
          <w:sz w:val="28"/>
          <w:szCs w:val="48"/>
        </w:rPr>
      </w:pPr>
      <w:r w:rsidRPr="00361D63">
        <w:rPr>
          <w:rFonts w:cs="Arial"/>
        </w:rPr>
        <w:br w:type="page"/>
      </w:r>
    </w:p>
    <w:p w14:paraId="0CFFFA66" w14:textId="2E823602" w:rsidR="00CD2DC2" w:rsidRPr="00361D63" w:rsidRDefault="00CD2DC2" w:rsidP="00FB6FB3">
      <w:pPr>
        <w:pStyle w:val="1"/>
        <w:rPr>
          <w:rFonts w:ascii="Arial" w:hAnsi="Arial" w:cs="Arial"/>
          <w:sz w:val="26"/>
          <w:szCs w:val="26"/>
        </w:rPr>
      </w:pPr>
      <w:bookmarkStart w:id="0" w:name="_Toc237109291"/>
      <w:r w:rsidRPr="00361D63">
        <w:rPr>
          <w:rFonts w:ascii="Arial" w:hAnsi="Arial" w:cs="Arial"/>
          <w:sz w:val="26"/>
          <w:szCs w:val="26"/>
        </w:rPr>
        <w:lastRenderedPageBreak/>
        <w:t>1. Introduction</w:t>
      </w:r>
      <w:bookmarkEnd w:id="0"/>
    </w:p>
    <w:p w14:paraId="79DE008B" w14:textId="52B7FC3C" w:rsidR="005E21A3" w:rsidRPr="00361D63" w:rsidRDefault="005E21A3" w:rsidP="00FB6FB3">
      <w:pPr>
        <w:rPr>
          <w:rFonts w:cs="Arial"/>
        </w:rPr>
      </w:pPr>
      <w:r w:rsidRPr="00361D63">
        <w:rPr>
          <w:rFonts w:cs="Arial"/>
        </w:rPr>
        <w:t xml:space="preserve">Sainsbury's plc is one of the supermarkets </w:t>
      </w:r>
      <w:r w:rsidR="00821B07" w:rsidRPr="00361D63">
        <w:rPr>
          <w:rFonts w:cs="Arial"/>
        </w:rPr>
        <w:t>leaders</w:t>
      </w:r>
      <w:r w:rsidRPr="00361D63">
        <w:rPr>
          <w:rFonts w:cs="Arial"/>
        </w:rPr>
        <w:t xml:space="preserve"> in the United Kingdom with activities in same stores, convenience stores, e-services, online retail and any businesses associated with them. The company has more than 140 000 employees and HRM plays a crucial role in providing quality customer services, operational efficiency and sustainable competitiveness (Butterfield, 2023). Rapid change in the retail sector is also creating a challenge for Sainsbury's, with the company's diverse customer needs, expectations of diversity and inclusion, and the need for multi-skilled staff and digital technology impacting on the needs of its workforce.</w:t>
      </w:r>
    </w:p>
    <w:p w14:paraId="545EB7E7" w14:textId="0CCB8951" w:rsidR="00D95A86" w:rsidRPr="00361D63" w:rsidRDefault="005E21A3" w:rsidP="00FB6FB3">
      <w:pPr>
        <w:rPr>
          <w:rFonts w:cs="Arial"/>
        </w:rPr>
      </w:pPr>
      <w:r w:rsidRPr="00361D63">
        <w:rPr>
          <w:rFonts w:cs="Arial"/>
        </w:rPr>
        <w:t xml:space="preserve">In this report, three contemporary Human Resources (HR) related challenges that Sainsbury's is facing are examined: Remembering technology and technology; Sourcing and retaining </w:t>
      </w:r>
      <w:r w:rsidR="00F531F9" w:rsidRPr="00361D63">
        <w:rPr>
          <w:rFonts w:cs="Arial"/>
        </w:rPr>
        <w:t>skilful</w:t>
      </w:r>
      <w:r w:rsidRPr="00361D63">
        <w:rPr>
          <w:rFonts w:cs="Arial"/>
        </w:rPr>
        <w:t xml:space="preserve"> employees and Changing diversity, equity and inclusion (DEI). It assesses suitable HR strategies to respond to these areas and the possibility of departmental managers being able to put these strategies into practice. </w:t>
      </w:r>
      <w:r w:rsidR="00F531F9" w:rsidRPr="00361D63">
        <w:rPr>
          <w:rFonts w:cs="Arial"/>
        </w:rPr>
        <w:t>Finally,</w:t>
      </w:r>
      <w:r w:rsidRPr="00361D63">
        <w:rPr>
          <w:rFonts w:cs="Arial"/>
        </w:rPr>
        <w:t xml:space="preserve"> recommendations are made to improve the skills of the organisation, their involvement and improve the </w:t>
      </w:r>
      <w:r w:rsidR="00F531F9" w:rsidRPr="00361D63">
        <w:rPr>
          <w:rFonts w:cs="Arial"/>
        </w:rPr>
        <w:t>long-term</w:t>
      </w:r>
      <w:r w:rsidRPr="00361D63">
        <w:rPr>
          <w:rFonts w:cs="Arial"/>
        </w:rPr>
        <w:t xml:space="preserve"> performance of the organisation.</w:t>
      </w:r>
    </w:p>
    <w:p w14:paraId="50E258DB" w14:textId="776ACE67" w:rsidR="00CD2DC2" w:rsidRPr="00361D63" w:rsidRDefault="00CD2DC2" w:rsidP="00FB6FB3">
      <w:pPr>
        <w:pStyle w:val="2"/>
        <w:rPr>
          <w:rFonts w:ascii="Arial" w:hAnsi="Arial" w:cs="Arial"/>
        </w:rPr>
      </w:pPr>
      <w:bookmarkStart w:id="1" w:name="_Toc237109292"/>
      <w:r w:rsidRPr="00361D63">
        <w:rPr>
          <w:rFonts w:ascii="Arial" w:hAnsi="Arial" w:cs="Arial"/>
        </w:rPr>
        <w:t xml:space="preserve">2. </w:t>
      </w:r>
      <w:r w:rsidR="00827AAB" w:rsidRPr="00361D63">
        <w:rPr>
          <w:rFonts w:ascii="Arial" w:hAnsi="Arial" w:cs="Arial"/>
        </w:rPr>
        <w:t>Key Organisational HR Issues</w:t>
      </w:r>
      <w:bookmarkEnd w:id="1"/>
    </w:p>
    <w:p w14:paraId="1677A6FF" w14:textId="77777777" w:rsidR="00CD2DC2" w:rsidRPr="00361D63" w:rsidRDefault="00CD2DC2" w:rsidP="00FB6FB3">
      <w:pPr>
        <w:pStyle w:val="3"/>
      </w:pPr>
      <w:bookmarkStart w:id="2" w:name="_Toc237109293"/>
      <w:r w:rsidRPr="00361D63">
        <w:t>Technological Advancement</w:t>
      </w:r>
      <w:bookmarkEnd w:id="2"/>
    </w:p>
    <w:p w14:paraId="025D2D90" w14:textId="77777777" w:rsidR="00747942" w:rsidRPr="00361D63" w:rsidRDefault="00747942" w:rsidP="00FB6FB3">
      <w:pPr>
        <w:rPr>
          <w:rFonts w:cs="Arial"/>
        </w:rPr>
      </w:pPr>
      <w:r w:rsidRPr="00361D63">
        <w:rPr>
          <w:rFonts w:cs="Arial"/>
        </w:rPr>
        <w:t>It's an era where technology has been clearly established in the trading economy. Sainsbury's' is increasingly utilising its stores, its online channel, digital customer service, its database marketing and more and more automated supply-chain and operational processes. There have been significant opportunities that have arisen with the rise of artificial intelligence, data analytics, automation, digital retail, and skills that are required of employees have also been transformed (Amor, 2023).</w:t>
      </w:r>
    </w:p>
    <w:p w14:paraId="4BA9B192" w14:textId="77777777" w:rsidR="00747942" w:rsidRPr="00361D63" w:rsidRDefault="00747942" w:rsidP="00FB6FB3">
      <w:pPr>
        <w:rPr>
          <w:rFonts w:cs="Arial"/>
        </w:rPr>
      </w:pPr>
      <w:r w:rsidRPr="00361D63">
        <w:rPr>
          <w:rFonts w:cs="Arial"/>
        </w:rPr>
        <w:t>Thus, there is a tremendous demand to develop digital capability – and these are among some of the biggest issues in HRM sector right now. Retailers are currently trained to work in the conventional retail industry, but may need to learn how to operate in new retail systems, as well as the digital processes and data-driven decision-making (Argyropoulou et al., 2023). Managers need to ensure that employees won't be left with a wide gap in their technological skills between those comfortable, and more not-so-comfortable, with the new technology.</w:t>
      </w:r>
    </w:p>
    <w:p w14:paraId="480E1A16" w14:textId="2401D510" w:rsidR="00747942" w:rsidRPr="00361D63" w:rsidRDefault="00747942" w:rsidP="00FB6FB3">
      <w:pPr>
        <w:rPr>
          <w:rFonts w:cs="Arial"/>
        </w:rPr>
      </w:pPr>
      <w:r w:rsidRPr="00361D63">
        <w:rPr>
          <w:rFonts w:cs="Arial"/>
        </w:rPr>
        <w:lastRenderedPageBreak/>
        <w:t xml:space="preserve">Electronic technology can also have a negative impact on employees' worries. There could be anxiety over job security as workers begin to be replaced by technology, and privacy issues and an increase in workload when increased surveillance and data gathering is introduced. </w:t>
      </w:r>
      <w:r w:rsidR="00212651" w:rsidRPr="00361D63">
        <w:rPr>
          <w:rFonts w:cs="Arial"/>
        </w:rPr>
        <w:t>Thus,</w:t>
      </w:r>
      <w:r w:rsidRPr="00361D63">
        <w:rPr>
          <w:rFonts w:cs="Arial"/>
        </w:rPr>
        <w:t xml:space="preserve"> technological change cannot just be seen as an IT venture. Training, communication and change management is also essential for it and is a people management issue (Paranada, 2023).</w:t>
      </w:r>
    </w:p>
    <w:p w14:paraId="08A720B0" w14:textId="77777777" w:rsidR="00CD2DC2" w:rsidRPr="00361D63" w:rsidRDefault="00CD2DC2" w:rsidP="00FB6FB3">
      <w:pPr>
        <w:pStyle w:val="3"/>
      </w:pPr>
      <w:bookmarkStart w:id="3" w:name="_Toc237109294"/>
      <w:r w:rsidRPr="00361D63">
        <w:t>Talent Acquisition and Retention</w:t>
      </w:r>
      <w:bookmarkEnd w:id="3"/>
    </w:p>
    <w:p w14:paraId="76B9C96A" w14:textId="77777777" w:rsidR="00D96FE0" w:rsidRPr="00361D63" w:rsidRDefault="00D96FE0" w:rsidP="00FB6FB3">
      <w:pPr>
        <w:rPr>
          <w:rFonts w:cs="Arial"/>
        </w:rPr>
      </w:pPr>
      <w:r w:rsidRPr="00361D63">
        <w:rPr>
          <w:rFonts w:cs="Arial"/>
        </w:rPr>
        <w:t xml:space="preserve">For a large retailer, talent acquisition and retention </w:t>
      </w:r>
      <w:proofErr w:type="gramStart"/>
      <w:r w:rsidRPr="00361D63">
        <w:rPr>
          <w:rFonts w:cs="Arial"/>
        </w:rPr>
        <w:t>is</w:t>
      </w:r>
      <w:proofErr w:type="gramEnd"/>
      <w:r w:rsidRPr="00361D63">
        <w:rPr>
          <w:rFonts w:cs="Arial"/>
        </w:rPr>
        <w:t xml:space="preserve"> a critical issue since the performance of the operations relies on having enough skilled employees with the appropriate expertise in the store, in logistics, IT, digital operations and management. Recruitment may be tough if the company lacks skilled employees and losing staff leads to the upsurge in recruitment and training expenses, which may have an adverse impact on customer service (Mackenzie et al., 2024)</w:t>
      </w:r>
    </w:p>
    <w:p w14:paraId="1567CF06" w14:textId="57DECFF5" w:rsidR="00D96FE0" w:rsidRPr="00361D63" w:rsidRDefault="00D96FE0" w:rsidP="00FB6FB3">
      <w:pPr>
        <w:rPr>
          <w:rFonts w:cs="Arial"/>
        </w:rPr>
      </w:pPr>
      <w:r w:rsidRPr="00361D63">
        <w:rPr>
          <w:rFonts w:cs="Arial"/>
        </w:rPr>
        <w:t>The role of pay will therefore not be the only element for Sainsbury's to compete on, they will need to compete on progression opportunities, employee experience, wellbeing, organisation culture and career development as well. Having the sense of being valued for employees' contribution and can develop their career for long term in the organisation makes them more likely to stay (Chew, 2024).</w:t>
      </w:r>
      <w:r w:rsidR="00B82935" w:rsidRPr="00361D63">
        <w:rPr>
          <w:rFonts w:cs="Arial"/>
        </w:rPr>
        <w:t xml:space="preserve"> </w:t>
      </w:r>
      <w:r w:rsidRPr="00361D63">
        <w:rPr>
          <w:rFonts w:cs="Arial"/>
        </w:rPr>
        <w:t xml:space="preserve">Reward is also one of the vital mechanisms to retain. Sainsbury's has kept its colleague hourly wages higher, and has added an additional increment from March 2026. However, there are aspects of salaries which cannot assure retention (Madede et al., 2024). </w:t>
      </w:r>
    </w:p>
    <w:p w14:paraId="3B07ADDE" w14:textId="77777777" w:rsidR="00CD2DC2" w:rsidRPr="00361D63" w:rsidRDefault="00CD2DC2" w:rsidP="00FB6FB3">
      <w:pPr>
        <w:pStyle w:val="3"/>
      </w:pPr>
      <w:bookmarkStart w:id="4" w:name="_Toc237109295"/>
      <w:r w:rsidRPr="00361D63">
        <w:t>Diversity, Equity and Inclusion</w:t>
      </w:r>
      <w:bookmarkEnd w:id="4"/>
    </w:p>
    <w:p w14:paraId="5F1F795B" w14:textId="77777777" w:rsidR="00032B00" w:rsidRPr="00361D63" w:rsidRDefault="00032B00" w:rsidP="00FB6FB3">
      <w:pPr>
        <w:rPr>
          <w:rFonts w:cs="Arial"/>
        </w:rPr>
      </w:pPr>
      <w:r w:rsidRPr="00361D63">
        <w:rPr>
          <w:rFonts w:cs="Arial"/>
        </w:rPr>
        <w:t xml:space="preserve">Sainsbury's also have a challenge around Diversity, equality and inclusion within HR as these communities are diverse in Sainsbury's presence in the UK. An organisation can thus enjoy a diversity of employees, recognizing their needs and customers, and can present different perspectives on the business for decision making. Though diversity in recruitment doesn't necessarily mean equality of opportunity in management and leadership (Kennedy and Snell, 2025). </w:t>
      </w:r>
    </w:p>
    <w:p w14:paraId="557F7DA9" w14:textId="2BDEE9B7" w:rsidR="00032B00" w:rsidRPr="00361D63" w:rsidRDefault="00032B00" w:rsidP="00FB6FB3">
      <w:pPr>
        <w:rPr>
          <w:rFonts w:cs="Arial"/>
        </w:rPr>
      </w:pPr>
      <w:r w:rsidRPr="00361D63">
        <w:rPr>
          <w:rFonts w:cs="Arial"/>
        </w:rPr>
        <w:t xml:space="preserve">Sainsbury's has objectives in place for representation and specifically aims to appoint a female to positions of leadership and management and for diversity, they wish to appoint ethnically diverse individuals. </w:t>
      </w:r>
    </w:p>
    <w:p w14:paraId="2A4C79F8" w14:textId="673C1616" w:rsidR="003F2BE3" w:rsidRPr="00361D63" w:rsidRDefault="00032B00" w:rsidP="00FB6FB3">
      <w:pPr>
        <w:rPr>
          <w:rFonts w:cs="Arial"/>
        </w:rPr>
      </w:pPr>
      <w:r w:rsidRPr="00361D63">
        <w:rPr>
          <w:rFonts w:cs="Arial"/>
        </w:rPr>
        <w:t xml:space="preserve">With all these advances, however, the problem is sustainability – or, putting it another way, inclusion should be an integral part of everyday business and management – not a HR program. </w:t>
      </w:r>
      <w:r w:rsidRPr="00361D63">
        <w:rPr>
          <w:rFonts w:cs="Arial"/>
        </w:rPr>
        <w:lastRenderedPageBreak/>
        <w:t xml:space="preserve">Sainsbury's reported that women held approximately 42% of senior leadership and management roles and ethnic minority staff were less than their target for 2028 (Mendonça, 2025). </w:t>
      </w:r>
    </w:p>
    <w:p w14:paraId="7EC54BB6" w14:textId="77777777" w:rsidR="00CD2DC2" w:rsidRPr="00361D63" w:rsidRDefault="00CD2DC2" w:rsidP="00FB6FB3">
      <w:pPr>
        <w:pStyle w:val="2"/>
        <w:rPr>
          <w:rFonts w:ascii="Arial" w:hAnsi="Arial" w:cs="Arial"/>
        </w:rPr>
      </w:pPr>
      <w:bookmarkStart w:id="5" w:name="_Toc237109296"/>
      <w:r w:rsidRPr="00361D63">
        <w:rPr>
          <w:rFonts w:ascii="Arial" w:hAnsi="Arial" w:cs="Arial"/>
        </w:rPr>
        <w:t>3. Evaluation of Contemporary HR Practices</w:t>
      </w:r>
      <w:bookmarkEnd w:id="5"/>
    </w:p>
    <w:p w14:paraId="76C5A617" w14:textId="3A5D9AF5" w:rsidR="00FE21F1" w:rsidRPr="00361D63" w:rsidRDefault="00082378" w:rsidP="00FB6FB3">
      <w:pPr>
        <w:pStyle w:val="a3"/>
        <w:spacing w:line="360" w:lineRule="auto"/>
        <w:rPr>
          <w:rFonts w:ascii="Arial" w:hAnsi="Arial" w:cs="Arial"/>
          <w:b/>
          <w:bCs/>
          <w:sz w:val="22"/>
          <w:szCs w:val="22"/>
        </w:rPr>
      </w:pPr>
      <w:r w:rsidRPr="00361D63">
        <w:rPr>
          <w:rFonts w:ascii="Arial" w:hAnsi="Arial" w:cs="Arial"/>
          <w:b/>
          <w:bCs/>
          <w:sz w:val="22"/>
          <w:szCs w:val="22"/>
        </w:rPr>
        <w:t>Digital HR and Workforce Analytics</w:t>
      </w:r>
    </w:p>
    <w:p w14:paraId="5884C1E0" w14:textId="77777777" w:rsidR="00FB4A33" w:rsidRPr="00361D63" w:rsidRDefault="00FB4A33" w:rsidP="00FB6FB3">
      <w:pPr>
        <w:rPr>
          <w:rFonts w:cs="Arial"/>
        </w:rPr>
      </w:pPr>
      <w:r w:rsidRPr="00361D63">
        <w:rPr>
          <w:rFonts w:cs="Arial"/>
        </w:rPr>
        <w:t>Sainsbury's must do more to leverage the use of electronic HR technology, and people and employee data. It can assist you in identifying trends for the entire employment process, workers turnover, absenteeism of your employees, training requirements and workforce gaps. Managers can then make its use for them as evidence rather than going with their gut.</w:t>
      </w:r>
    </w:p>
    <w:p w14:paraId="721BCEF9" w14:textId="11D6166C" w:rsidR="00FA7AF2" w:rsidRPr="00361D63" w:rsidRDefault="00FB4A33" w:rsidP="00FB6FB3">
      <w:pPr>
        <w:rPr>
          <w:rFonts w:cs="Arial"/>
        </w:rPr>
      </w:pPr>
      <w:r w:rsidRPr="00361D63">
        <w:rPr>
          <w:rFonts w:cs="Arial"/>
        </w:rPr>
        <w:t xml:space="preserve">The main advantage is enhanced </w:t>
      </w:r>
      <w:r w:rsidR="00106E6B" w:rsidRPr="00361D63">
        <w:rPr>
          <w:rFonts w:cs="Arial"/>
        </w:rPr>
        <w:t xml:space="preserve">work </w:t>
      </w:r>
      <w:proofErr w:type="gramStart"/>
      <w:r w:rsidR="00106E6B" w:rsidRPr="00361D63">
        <w:rPr>
          <w:rFonts w:cs="Arial"/>
        </w:rPr>
        <w:t>holders</w:t>
      </w:r>
      <w:proofErr w:type="gramEnd"/>
      <w:r w:rsidRPr="00361D63">
        <w:rPr>
          <w:rFonts w:cs="Arial"/>
        </w:rPr>
        <w:t xml:space="preserve"> management. For example, assuming that management notice that the employee turnover at a particular outlet is high, they might go to the store and discover the answer to whether the operation is making money from employee pay, employee scheduling troubles, management reputation and performance, or employee workload/careers advancement (Lambie-Mumford and Kennedy, 2025).</w:t>
      </w:r>
      <w:r w:rsidR="00FA7AF2" w:rsidRPr="00361D63">
        <w:rPr>
          <w:rFonts w:cs="Arial"/>
        </w:rPr>
        <w:t xml:space="preserve"> If too many assessments are used for marking teachers' performance, it may be tempting to overlook the positive feedback that a teacher has received. Data should be considered as an aid to decision making, rather than the decision maker.</w:t>
      </w:r>
    </w:p>
    <w:p w14:paraId="0066976F" w14:textId="2FE02529" w:rsidR="00FE21F1" w:rsidRPr="00361D63" w:rsidRDefault="00FA7AF2" w:rsidP="00FB6FB3">
      <w:pPr>
        <w:rPr>
          <w:rFonts w:cs="Arial"/>
        </w:rPr>
      </w:pPr>
      <w:r w:rsidRPr="00361D63">
        <w:rPr>
          <w:rFonts w:cs="Arial"/>
        </w:rPr>
        <w:t>Digital learning platforms have to be augmented to offer flexibility for access to technology, AI, data and leadership development for employees. Sainsbury's already has platforms and learning program for its employees, has mentoring and sponsoring program.</w:t>
      </w:r>
    </w:p>
    <w:p w14:paraId="047C310A" w14:textId="3F764A47" w:rsidR="00FE21F1" w:rsidRPr="00361D63" w:rsidRDefault="00086F9E" w:rsidP="00FB6FB3">
      <w:pPr>
        <w:pStyle w:val="a3"/>
        <w:spacing w:line="360" w:lineRule="auto"/>
        <w:rPr>
          <w:rFonts w:ascii="Arial" w:hAnsi="Arial" w:cs="Arial"/>
          <w:b/>
          <w:bCs/>
          <w:sz w:val="22"/>
          <w:szCs w:val="22"/>
        </w:rPr>
      </w:pPr>
      <w:r w:rsidRPr="00361D63">
        <w:rPr>
          <w:rFonts w:ascii="Arial" w:hAnsi="Arial" w:cs="Arial"/>
          <w:b/>
          <w:bCs/>
          <w:sz w:val="22"/>
          <w:szCs w:val="22"/>
        </w:rPr>
        <w:t>Strategic Workforce Planning and Employee Retention</w:t>
      </w:r>
    </w:p>
    <w:p w14:paraId="666071AA" w14:textId="77777777" w:rsidR="00DF56C0" w:rsidRPr="00361D63" w:rsidRDefault="00DF56C0" w:rsidP="00FB6FB3">
      <w:pPr>
        <w:rPr>
          <w:rFonts w:cs="Arial"/>
        </w:rPr>
      </w:pPr>
      <w:r w:rsidRPr="00361D63">
        <w:rPr>
          <w:rFonts w:cs="Arial"/>
        </w:rPr>
        <w:t>Strategic workforce planning should be focused on matching future skill requirements of the business and workplace with current skills of its workforce. Sainsbury's can help prevent scarcity as they can scout, develop the skills and opportunities and train employees themselves several years before the positions are introduced.</w:t>
      </w:r>
    </w:p>
    <w:p w14:paraId="1CF5811E" w14:textId="77777777" w:rsidR="00DF56C0" w:rsidRPr="00361D63" w:rsidRDefault="00DF56C0" w:rsidP="00FB6FB3">
      <w:pPr>
        <w:rPr>
          <w:rFonts w:cs="Arial"/>
        </w:rPr>
      </w:pPr>
      <w:r w:rsidRPr="00361D63">
        <w:rPr>
          <w:rFonts w:cs="Arial"/>
        </w:rPr>
        <w:t>Retention assistance to Career. Staff need to know what skills are needed to develop and move on to more senior, supervisory, managerial and specialised jobs. Minimising reliance on outsourcing – this can be achieved through using apprenticeships, graduate schemes and mentoring and through internal recruitment.</w:t>
      </w:r>
    </w:p>
    <w:p w14:paraId="11672721" w14:textId="77777777" w:rsidR="00DF56C0" w:rsidRPr="00361D63" w:rsidRDefault="00DF56C0" w:rsidP="00FB6FB3">
      <w:pPr>
        <w:rPr>
          <w:rFonts w:cs="Arial"/>
        </w:rPr>
      </w:pPr>
      <w:r w:rsidRPr="00361D63">
        <w:rPr>
          <w:rFonts w:cs="Arial"/>
        </w:rPr>
        <w:lastRenderedPageBreak/>
        <w:t>Sainsbury's already has these types of leadership development in place, including Accelerate YOU (ethnically diverse talent) and apprenticeships along with a Graduate programme. These approaches could enhance the retention rate, as workers are able to envision a future with the company.</w:t>
      </w:r>
    </w:p>
    <w:p w14:paraId="0433DECA" w14:textId="3D54DE8D" w:rsidR="00FE21F1" w:rsidRPr="00361D63" w:rsidRDefault="00DF56C0" w:rsidP="00FB6FB3">
      <w:pPr>
        <w:rPr>
          <w:rFonts w:cs="Arial"/>
        </w:rPr>
      </w:pPr>
      <w:r w:rsidRPr="00361D63">
        <w:rPr>
          <w:rFonts w:cs="Arial"/>
        </w:rPr>
        <w:t>However, if only top-notch staffers can be part of a development programme, the programme may be ineffective. In summary, development opportunities need to be communicated and accessible to every position, role and type of employee, and managers should ensure this.</w:t>
      </w:r>
    </w:p>
    <w:p w14:paraId="54F69AD0" w14:textId="6BF016A3" w:rsidR="00FE21F1" w:rsidRPr="00361D63" w:rsidRDefault="002A69CC" w:rsidP="00FB6FB3">
      <w:pPr>
        <w:pStyle w:val="a3"/>
        <w:spacing w:line="360" w:lineRule="auto"/>
        <w:rPr>
          <w:rFonts w:ascii="Arial" w:hAnsi="Arial" w:cs="Arial"/>
          <w:b/>
          <w:bCs/>
          <w:sz w:val="22"/>
          <w:szCs w:val="22"/>
        </w:rPr>
      </w:pPr>
      <w:r w:rsidRPr="00361D63">
        <w:rPr>
          <w:rFonts w:ascii="Arial" w:hAnsi="Arial" w:cs="Arial"/>
          <w:b/>
          <w:bCs/>
          <w:sz w:val="22"/>
          <w:szCs w:val="22"/>
        </w:rPr>
        <w:t>Inclusive Recruitment and Leadership Development</w:t>
      </w:r>
    </w:p>
    <w:p w14:paraId="254189C7" w14:textId="77777777" w:rsidR="00BD349D" w:rsidRPr="00361D63" w:rsidRDefault="00BD349D" w:rsidP="00FB6FB3">
      <w:pPr>
        <w:rPr>
          <w:rFonts w:cs="Arial"/>
        </w:rPr>
      </w:pPr>
      <w:r w:rsidRPr="00361D63">
        <w:rPr>
          <w:rFonts w:cs="Arial"/>
        </w:rPr>
        <w:t>Sainsbury's should continue on with their inclusive recruitment method of structured interviews, mixed recruitment panels, objective measures of selection and examining recruitment data. These practices can help mitigate unconscious bias and can lead to a more consistent recruitment process (Sainsbury, 2026).</w:t>
      </w:r>
    </w:p>
    <w:p w14:paraId="5E4F5375" w14:textId="77777777" w:rsidR="00BD349D" w:rsidRPr="00361D63" w:rsidRDefault="00BD349D" w:rsidP="00FB6FB3">
      <w:pPr>
        <w:rPr>
          <w:rFonts w:cs="Arial"/>
        </w:rPr>
      </w:pPr>
      <w:r w:rsidRPr="00361D63">
        <w:rPr>
          <w:rFonts w:cs="Arial"/>
        </w:rPr>
        <w:t>It is no less important about developing leadership as it is about recruitment because recruiting is not enough to generate representation at the top level. Mentoring/sponsoring/career pathing opportunities for employees from marginalised groups should be in place.</w:t>
      </w:r>
    </w:p>
    <w:p w14:paraId="2441AA3D" w14:textId="77777777" w:rsidR="00BD349D" w:rsidRPr="00361D63" w:rsidRDefault="00BD349D" w:rsidP="00FB6FB3">
      <w:pPr>
        <w:rPr>
          <w:rFonts w:cs="Arial"/>
        </w:rPr>
      </w:pPr>
      <w:r w:rsidRPr="00361D63">
        <w:rPr>
          <w:rFonts w:cs="Arial"/>
        </w:rPr>
        <w:t>Sainsbury's already has established networks of colleagues and further enhances the use of voice and inclusion in the workplace. These networks can assist managers to gain insight into workplaces obstacles that may not be seen in traditional data on the HR field (Winton et al., 2026).</w:t>
      </w:r>
    </w:p>
    <w:p w14:paraId="1398F8F3" w14:textId="14C8AC7A" w:rsidR="00CD2DC2" w:rsidRPr="00361D63" w:rsidRDefault="00BD349D" w:rsidP="00FB6FB3">
      <w:pPr>
        <w:rPr>
          <w:rFonts w:cs="Arial"/>
        </w:rPr>
      </w:pPr>
      <w:r w:rsidRPr="00361D63">
        <w:rPr>
          <w:rFonts w:cs="Arial"/>
        </w:rPr>
        <w:t xml:space="preserve">However, DEI efforts need to bring about tangible results in the organization. People who have trained or created a social networking will not guarantee behavioural change. </w:t>
      </w:r>
    </w:p>
    <w:p w14:paraId="6E934556" w14:textId="77777777" w:rsidR="00CD2DC2" w:rsidRPr="00361D63" w:rsidRDefault="00CD2DC2" w:rsidP="00FB6FB3">
      <w:pPr>
        <w:pStyle w:val="2"/>
        <w:rPr>
          <w:rFonts w:ascii="Arial" w:hAnsi="Arial" w:cs="Arial"/>
        </w:rPr>
      </w:pPr>
      <w:bookmarkStart w:id="6" w:name="_Toc237109297"/>
      <w:r w:rsidRPr="00361D63">
        <w:rPr>
          <w:rFonts w:ascii="Arial" w:hAnsi="Arial" w:cs="Arial"/>
        </w:rPr>
        <w:t>4. Critical Evaluation of Managerial Implementation</w:t>
      </w:r>
      <w:bookmarkEnd w:id="6"/>
    </w:p>
    <w:p w14:paraId="29345DF6" w14:textId="77777777" w:rsidR="00C437FD" w:rsidRPr="00361D63" w:rsidRDefault="00C437FD" w:rsidP="00FB6FB3">
      <w:pPr>
        <w:rPr>
          <w:rFonts w:cs="Arial"/>
        </w:rPr>
      </w:pPr>
      <w:r w:rsidRPr="00361D63">
        <w:rPr>
          <w:rFonts w:cs="Arial"/>
        </w:rPr>
        <w:t>Department managers are directly involved in the implementation of Sainsbury's HR policy and therefore are in an important position to translate the policies into effective HR practice. While HR can formulate suitable strategies for technological development, talent retention and diversity, managers' compliance with this is crucial to the success of these strategies (Al-Kindy et al., 2026). Therefore, manager's accountability, effective communication, monitoring and culture are of great importance if it is to be effective implemented.</w:t>
      </w:r>
    </w:p>
    <w:p w14:paraId="59056083" w14:textId="77777777" w:rsidR="00C437FD" w:rsidRPr="00361D63" w:rsidRDefault="00C437FD" w:rsidP="00FB6FB3">
      <w:pPr>
        <w:rPr>
          <w:rFonts w:cs="Arial"/>
        </w:rPr>
      </w:pPr>
      <w:r w:rsidRPr="00361D63">
        <w:rPr>
          <w:rFonts w:cs="Arial"/>
        </w:rPr>
        <w:t xml:space="preserve">Firstly, the responsibilities of leaders should be repeated. Managers should have clear employee development, engagement, retention and inclusion development roles. Human resource planning </w:t>
      </w:r>
      <w:r w:rsidRPr="00361D63">
        <w:rPr>
          <w:rFonts w:cs="Arial"/>
        </w:rPr>
        <w:lastRenderedPageBreak/>
        <w:t>goals should be embedded in the managerial evaluation practices, in addition to the operational goals. This would motivate managers to view employee development and DEI as business issues, instead of a business activity in HR (Kennedy and Snell, 2025). Too many performance targets, however, would lead to overstressed management and thus the objectives should be realistic and take into account routine obligations.</w:t>
      </w:r>
    </w:p>
    <w:p w14:paraId="3E5459A2" w14:textId="77777777" w:rsidR="00C437FD" w:rsidRPr="00361D63" w:rsidRDefault="00C437FD" w:rsidP="00FB6FB3">
      <w:pPr>
        <w:rPr>
          <w:rFonts w:cs="Arial"/>
        </w:rPr>
      </w:pPr>
      <w:r w:rsidRPr="00361D63">
        <w:rPr>
          <w:rFonts w:cs="Arial"/>
        </w:rPr>
        <w:t>Secondly, communication is an important aspect in particular when introducing technological change. Discuss with staff new technologies to ensure processes are understood, explained and highlight changes to their role and training and support provided. Two-way communication will be better than managers telling employees about the decision, as it will help them identify problems and/or resistance at an early stage. In this context, the employees should have the opportunity to raise questions, share their responses and make suggestions to improve (Mendonça, 2025).  Effective communication can boost confidence, while inadequate communication can foster doubts and issues when implementing technology.</w:t>
      </w:r>
    </w:p>
    <w:p w14:paraId="44FF5FBD" w14:textId="08856077" w:rsidR="00C437FD" w:rsidRPr="00361D63" w:rsidRDefault="00C437FD" w:rsidP="00FB6FB3">
      <w:pPr>
        <w:rPr>
          <w:rFonts w:cs="Arial"/>
        </w:rPr>
      </w:pPr>
      <w:r w:rsidRPr="00361D63">
        <w:rPr>
          <w:rFonts w:cs="Arial"/>
        </w:rPr>
        <w:t xml:space="preserve">Thirdly, measurable indicators should be adopted for the implementation of the clear measure. The Sainsbury’s managers would be able to track employee turnover, availabilities to promotions, training rate, employee engagement, recruitment measures and representation of various employee groups at management level. If the managers could get a sense of certain areas that are underperforming, corrective steps can be taken on these by regular monitoring. But employee experience primarily cannot be measured by quantitative measures. This information will also be supplemented via staff surveys, feedback sessions and 1:1 </w:t>
      </w:r>
      <w:r w:rsidR="002557EC" w:rsidRPr="00361D63">
        <w:rPr>
          <w:rFonts w:cs="Arial"/>
        </w:rPr>
        <w:t>discussion</w:t>
      </w:r>
      <w:r w:rsidRPr="00361D63">
        <w:rPr>
          <w:rFonts w:cs="Arial"/>
        </w:rPr>
        <w:t xml:space="preserve"> together with the workforce data to enhance the likelihood of improvement to working practices (Lambie-Mumford and Kennedy, 2025).</w:t>
      </w:r>
    </w:p>
    <w:p w14:paraId="14089EDE" w14:textId="77777777" w:rsidR="00C437FD" w:rsidRPr="00361D63" w:rsidRDefault="00C437FD" w:rsidP="00FB6FB3">
      <w:pPr>
        <w:rPr>
          <w:rFonts w:cs="Arial"/>
        </w:rPr>
      </w:pPr>
      <w:r w:rsidRPr="00361D63">
        <w:rPr>
          <w:rFonts w:cs="Arial"/>
        </w:rPr>
        <w:t>Fourth, HR strategy needs to be reinforced by the organisational culture. Managers need to demonstrate inclusive behaviour during the recruitment process, in appointments, on performance, through recognitions, and/or promotions. If you can follow-up on your employees' confidence with actions from immediate managers, they'll be more likely to feel your commitment. This implies that trainers need to be given the right card to be able to train the manager in inclusive leadership practices and management of persons.</w:t>
      </w:r>
    </w:p>
    <w:p w14:paraId="467383F4" w14:textId="63ABF4B6" w:rsidR="00CD2DC2" w:rsidRPr="00361D63" w:rsidRDefault="00C437FD" w:rsidP="00FB6FB3">
      <w:pPr>
        <w:rPr>
          <w:rFonts w:cs="Arial"/>
        </w:rPr>
      </w:pPr>
      <w:r w:rsidRPr="00361D63">
        <w:rPr>
          <w:rFonts w:cs="Arial"/>
        </w:rPr>
        <w:t xml:space="preserve">There are a number of potential implementation challenges. Operating pressures may be one of those factors that may drive a manager to meet staffing and sales requirements instead of developing staff. New technologies may not be adopted because employees are concerned about losing their jobs or unknown processes, and the cost of employee training can also be a barrier </w:t>
      </w:r>
      <w:r w:rsidRPr="00361D63">
        <w:rPr>
          <w:rFonts w:cs="Arial"/>
        </w:rPr>
        <w:lastRenderedPageBreak/>
        <w:t xml:space="preserve">to implementing new technology. These barriers can be reduced through the gradual roll out of the strategy back to the community, training managers and communicating, and designing effective workforce planning (Winton et al, 2026). </w:t>
      </w:r>
    </w:p>
    <w:p w14:paraId="5B42E6F5" w14:textId="77777777" w:rsidR="00CD2DC2" w:rsidRPr="00361D63" w:rsidRDefault="00CD2DC2" w:rsidP="00FB6FB3">
      <w:pPr>
        <w:pStyle w:val="2"/>
        <w:rPr>
          <w:rFonts w:ascii="Arial" w:hAnsi="Arial" w:cs="Arial"/>
        </w:rPr>
      </w:pPr>
      <w:bookmarkStart w:id="7" w:name="_Toc237109298"/>
      <w:r w:rsidRPr="00361D63">
        <w:rPr>
          <w:rFonts w:ascii="Arial" w:hAnsi="Arial" w:cs="Arial"/>
        </w:rPr>
        <w:t>5. Recommendations</w:t>
      </w:r>
      <w:bookmarkEnd w:id="7"/>
    </w:p>
    <w:p w14:paraId="1C61C002" w14:textId="77777777" w:rsidR="00EB01AF" w:rsidRPr="00361D63" w:rsidRDefault="00EB01AF" w:rsidP="00FB6FB3">
      <w:pPr>
        <w:rPr>
          <w:rFonts w:cs="Arial"/>
        </w:rPr>
      </w:pPr>
      <w:r w:rsidRPr="00361D63">
        <w:rPr>
          <w:rFonts w:cs="Arial"/>
        </w:rPr>
        <w:t>Five key steps should be taken by Sainsbury's.</w:t>
      </w:r>
    </w:p>
    <w:p w14:paraId="6D0FCBBD" w14:textId="77777777" w:rsidR="00EB01AF" w:rsidRPr="00361D63" w:rsidRDefault="00EB01AF" w:rsidP="00FB6FB3">
      <w:pPr>
        <w:rPr>
          <w:rFonts w:cs="Arial"/>
        </w:rPr>
      </w:pPr>
      <w:r w:rsidRPr="00361D63">
        <w:rPr>
          <w:rFonts w:cs="Arial"/>
        </w:rPr>
        <w:t>Strengthen digital skills planning. The organisation should identify existing staff skills and needs in relation to the future demand for AI, data, automation and digital retail and aim to train staff in areas they are missing.</w:t>
      </w:r>
    </w:p>
    <w:p w14:paraId="120808A6" w14:textId="557CFF9D" w:rsidR="00EB01AF" w:rsidRPr="00361D63" w:rsidRDefault="00EB01AF" w:rsidP="00FB6FB3">
      <w:pPr>
        <w:rPr>
          <w:rFonts w:cs="Arial"/>
        </w:rPr>
      </w:pPr>
      <w:r w:rsidRPr="00361D63">
        <w:rPr>
          <w:rFonts w:cs="Arial"/>
        </w:rPr>
        <w:t>Second</w:t>
      </w:r>
      <w:r w:rsidR="00A40209" w:rsidRPr="00361D63">
        <w:rPr>
          <w:rFonts w:cs="Arial"/>
        </w:rPr>
        <w:t xml:space="preserve">ly </w:t>
      </w:r>
      <w:r w:rsidRPr="00361D63">
        <w:rPr>
          <w:rFonts w:cs="Arial"/>
        </w:rPr>
        <w:t>enhanc</w:t>
      </w:r>
      <w:r w:rsidR="00A40209" w:rsidRPr="00361D63">
        <w:rPr>
          <w:rFonts w:cs="Arial"/>
        </w:rPr>
        <w:t>ing the</w:t>
      </w:r>
      <w:r w:rsidRPr="00361D63">
        <w:rPr>
          <w:rFonts w:cs="Arial"/>
        </w:rPr>
        <w:t xml:space="preserve"> in-house career development </w:t>
      </w:r>
      <w:r w:rsidR="007A0A30" w:rsidRPr="00361D63">
        <w:rPr>
          <w:rFonts w:cs="Arial"/>
        </w:rPr>
        <w:t>ways</w:t>
      </w:r>
      <w:r w:rsidRPr="00361D63">
        <w:rPr>
          <w:rFonts w:cs="Arial"/>
        </w:rPr>
        <w:t>. Clearly defined pro-typing pathways with mentoring scheme, Apprenticeships, Development programmes and opportunities for employees to progress within the business. This will assist in attracting more and save on hiring outside of the house considerably.</w:t>
      </w:r>
    </w:p>
    <w:p w14:paraId="59408CDD" w14:textId="77777777" w:rsidR="00EB01AF" w:rsidRPr="00361D63" w:rsidRDefault="00EB01AF" w:rsidP="00FB6FB3">
      <w:pPr>
        <w:rPr>
          <w:rFonts w:cs="Arial"/>
        </w:rPr>
      </w:pPr>
      <w:r w:rsidRPr="00361D63">
        <w:rPr>
          <w:rFonts w:cs="Arial"/>
        </w:rPr>
        <w:t>Last but not least, take managers to task for the results of people. Engagement, turnover, development, and diversity, equity and inclusion indicators should be factors in managerial performance reviews.</w:t>
      </w:r>
    </w:p>
    <w:p w14:paraId="1C68DBD8" w14:textId="77777777" w:rsidR="00EB01AF" w:rsidRPr="00361D63" w:rsidRDefault="00EB01AF" w:rsidP="00FB6FB3">
      <w:pPr>
        <w:rPr>
          <w:rFonts w:cs="Arial"/>
        </w:rPr>
      </w:pPr>
      <w:r w:rsidRPr="00361D63">
        <w:rPr>
          <w:rFonts w:cs="Arial"/>
        </w:rPr>
        <w:t>Fourth, improve the effectiveness of the use of evidence for monitoring recruitment. An analysis of recruitment data should be carried out periodically to ensure that there is no disadvantage for any group in recruitment, selection and progression.</w:t>
      </w:r>
    </w:p>
    <w:p w14:paraId="44241D3F" w14:textId="455B83A1" w:rsidR="00676F95" w:rsidRPr="00361D63" w:rsidRDefault="00EB01AF" w:rsidP="00FB6FB3">
      <w:pPr>
        <w:rPr>
          <w:rFonts w:cs="Arial"/>
        </w:rPr>
      </w:pPr>
      <w:r w:rsidRPr="00361D63">
        <w:rPr>
          <w:rFonts w:cs="Arial"/>
        </w:rPr>
        <w:t xml:space="preserve">Fifth, engage employees' voice in decisions. Identify workplace challenges and staff reactions via </w:t>
      </w:r>
      <w:r w:rsidR="002557EC" w:rsidRPr="00361D63">
        <w:rPr>
          <w:rFonts w:cs="Arial"/>
        </w:rPr>
        <w:t>colleagues’</w:t>
      </w:r>
      <w:r w:rsidRPr="00361D63">
        <w:rPr>
          <w:rFonts w:cs="Arial"/>
        </w:rPr>
        <w:t xml:space="preserve"> surveys, listening sessions, </w:t>
      </w:r>
      <w:r w:rsidR="00150724" w:rsidRPr="00361D63">
        <w:rPr>
          <w:rFonts w:cs="Arial"/>
        </w:rPr>
        <w:t>employee’s</w:t>
      </w:r>
      <w:r w:rsidRPr="00361D63">
        <w:rPr>
          <w:rFonts w:cs="Arial"/>
        </w:rPr>
        <w:t xml:space="preserve"> networks, and have them translated to specific action items for the department that can be measured.</w:t>
      </w:r>
    </w:p>
    <w:p w14:paraId="4CADDF47" w14:textId="3682B1B2" w:rsidR="0028108A" w:rsidRPr="00361D63" w:rsidRDefault="00676F95" w:rsidP="00FB6FB3">
      <w:pPr>
        <w:jc w:val="left"/>
        <w:rPr>
          <w:rFonts w:cs="Arial"/>
        </w:rPr>
      </w:pPr>
      <w:r w:rsidRPr="00361D63">
        <w:rPr>
          <w:rFonts w:cs="Arial"/>
        </w:rPr>
        <w:br w:type="page"/>
      </w:r>
    </w:p>
    <w:p w14:paraId="7EB7A10F" w14:textId="775C4467" w:rsidR="00CD2DC2" w:rsidRPr="00361D63" w:rsidRDefault="00CD2DC2" w:rsidP="00FB6FB3">
      <w:pPr>
        <w:pStyle w:val="2"/>
        <w:rPr>
          <w:rFonts w:ascii="Arial" w:hAnsi="Arial" w:cs="Arial"/>
        </w:rPr>
      </w:pPr>
      <w:bookmarkStart w:id="8" w:name="_Toc237109299"/>
      <w:r w:rsidRPr="00361D63">
        <w:rPr>
          <w:rFonts w:ascii="Arial" w:hAnsi="Arial" w:cs="Arial"/>
        </w:rPr>
        <w:lastRenderedPageBreak/>
        <w:t>6. Conclusion</w:t>
      </w:r>
      <w:bookmarkEnd w:id="8"/>
    </w:p>
    <w:p w14:paraId="22154F8E" w14:textId="4FF156E2" w:rsidR="00582EF3" w:rsidRPr="00361D63" w:rsidRDefault="00582EF3" w:rsidP="00FB6FB3">
      <w:pPr>
        <w:rPr>
          <w:rFonts w:cs="Arial"/>
        </w:rPr>
      </w:pPr>
      <w:r w:rsidRPr="00361D63">
        <w:rPr>
          <w:rFonts w:cs="Arial"/>
        </w:rPr>
        <w:t xml:space="preserve">The retail environment in which Sainsbury's operates is extremely competitive, and now addresses four main issues: technological change, talent management, diversity, equity and inclusion (DEI), etc. Any technology change has to be accompanied by ongoing digitalization and analytical capabilities, while talent acquisition and retention has to be associated with the offer of a competitive salary and the value of people's </w:t>
      </w:r>
      <w:r w:rsidR="00F64AE8" w:rsidRPr="00361D63">
        <w:rPr>
          <w:rFonts w:cs="Arial"/>
        </w:rPr>
        <w:t>labour</w:t>
      </w:r>
      <w:r w:rsidRPr="00361D63">
        <w:rPr>
          <w:rFonts w:cs="Arial"/>
        </w:rPr>
        <w:t xml:space="preserve"> and life trajectories. Unfortunately, DEI must not only be the source of diverse talent, it must be a source of equal development and progression.</w:t>
      </w:r>
    </w:p>
    <w:p w14:paraId="534BB9FD" w14:textId="1D53A269" w:rsidR="00D9311C" w:rsidRPr="00361D63" w:rsidRDefault="00582EF3" w:rsidP="00FB6FB3">
      <w:pPr>
        <w:rPr>
          <w:rFonts w:cs="Arial"/>
        </w:rPr>
      </w:pPr>
      <w:r w:rsidRPr="00361D63">
        <w:rPr>
          <w:rFonts w:cs="Arial"/>
        </w:rPr>
        <w:t xml:space="preserve">There are a number of practices in place at Sainsbury's which are applicable to this, including: digital learning; leadership development; colleague networks; inclusive recruitment programmes; and future-skills programmes. However, these efforts will only be effective if they are carried out by the manager. Managers need to be responsible for the outcomes of people, effectively communicate change, intelligently use workforce data and develop inclusive workplace cultures. </w:t>
      </w:r>
    </w:p>
    <w:p w14:paraId="665DADAD" w14:textId="0D96F142" w:rsidR="000F7B4D" w:rsidRPr="00361D63" w:rsidRDefault="000F7B4D" w:rsidP="00FB6FB3">
      <w:pPr>
        <w:rPr>
          <w:rFonts w:cs="Arial"/>
          <w:sz w:val="24"/>
          <w:szCs w:val="24"/>
        </w:rPr>
      </w:pPr>
      <w:r w:rsidRPr="00361D63">
        <w:rPr>
          <w:rFonts w:cs="Arial"/>
          <w:sz w:val="24"/>
          <w:szCs w:val="24"/>
        </w:rPr>
        <w:br w:type="page"/>
      </w:r>
    </w:p>
    <w:p w14:paraId="72B220A1" w14:textId="2C178D8C" w:rsidR="00B8471C" w:rsidRPr="00361D63" w:rsidRDefault="000F7B4D" w:rsidP="00FB6FB3">
      <w:pPr>
        <w:pStyle w:val="1"/>
        <w:rPr>
          <w:rFonts w:ascii="Arial" w:hAnsi="Arial" w:cs="Arial"/>
          <w:sz w:val="26"/>
          <w:szCs w:val="26"/>
        </w:rPr>
      </w:pPr>
      <w:bookmarkStart w:id="9" w:name="_Toc237109300"/>
      <w:r w:rsidRPr="00361D63">
        <w:rPr>
          <w:rFonts w:ascii="Arial" w:hAnsi="Arial" w:cs="Arial"/>
          <w:sz w:val="26"/>
          <w:szCs w:val="26"/>
        </w:rPr>
        <w:lastRenderedPageBreak/>
        <w:t>Reference</w:t>
      </w:r>
      <w:bookmarkEnd w:id="9"/>
      <w:r w:rsidRPr="00361D63">
        <w:rPr>
          <w:rFonts w:ascii="Arial" w:hAnsi="Arial" w:cs="Arial"/>
          <w:sz w:val="26"/>
          <w:szCs w:val="26"/>
        </w:rPr>
        <w:t xml:space="preserve"> </w:t>
      </w:r>
    </w:p>
    <w:p w14:paraId="12CB48B6" w14:textId="77777777" w:rsidR="00306AF5" w:rsidRPr="00D51C05" w:rsidRDefault="00306AF5" w:rsidP="00FB6FB3">
      <w:pPr>
        <w:rPr>
          <w:rFonts w:cs="Arial"/>
          <w:color w:val="222222"/>
          <w:shd w:val="clear" w:color="auto" w:fill="FFFFFF"/>
        </w:rPr>
      </w:pPr>
      <w:r w:rsidRPr="00D51C05">
        <w:rPr>
          <w:rFonts w:cs="Arial"/>
          <w:color w:val="222222"/>
          <w:shd w:val="clear" w:color="auto" w:fill="FFFFFF"/>
        </w:rPr>
        <w:t>Al-Kindy, S.N., Kofi Mensah, H. and Ndirangu, A., 2026. Prospects for Effective Socio-Ecological Value Creation in Agri-Business: A Case of Vegpro Kenya Limited. </w:t>
      </w:r>
      <w:r w:rsidRPr="00D51C05">
        <w:rPr>
          <w:rFonts w:cs="Arial"/>
          <w:i/>
          <w:iCs/>
          <w:color w:val="222222"/>
          <w:shd w:val="clear" w:color="auto" w:fill="FFFFFF"/>
        </w:rPr>
        <w:t>F1000Research</w:t>
      </w:r>
      <w:r w:rsidRPr="00D51C05">
        <w:rPr>
          <w:rFonts w:cs="Arial"/>
          <w:color w:val="222222"/>
          <w:shd w:val="clear" w:color="auto" w:fill="FFFFFF"/>
        </w:rPr>
        <w:t>, </w:t>
      </w:r>
      <w:r w:rsidRPr="00D51C05">
        <w:rPr>
          <w:rFonts w:cs="Arial"/>
          <w:i/>
          <w:iCs/>
          <w:color w:val="222222"/>
          <w:shd w:val="clear" w:color="auto" w:fill="FFFFFF"/>
        </w:rPr>
        <w:t>15</w:t>
      </w:r>
      <w:r w:rsidRPr="00D51C05">
        <w:rPr>
          <w:rFonts w:cs="Arial"/>
          <w:color w:val="222222"/>
          <w:shd w:val="clear" w:color="auto" w:fill="FFFFFF"/>
        </w:rPr>
        <w:t>, p.1044.</w:t>
      </w:r>
    </w:p>
    <w:p w14:paraId="1BB12617" w14:textId="77777777" w:rsidR="00306AF5" w:rsidRPr="00D51C05" w:rsidRDefault="00306AF5" w:rsidP="00FB6FB3">
      <w:pPr>
        <w:rPr>
          <w:rFonts w:cs="Arial"/>
          <w:color w:val="222222"/>
          <w:shd w:val="clear" w:color="auto" w:fill="FFFFFF"/>
        </w:rPr>
      </w:pPr>
      <w:r w:rsidRPr="00D51C05">
        <w:rPr>
          <w:rFonts w:cs="Arial"/>
          <w:color w:val="222222"/>
          <w:shd w:val="clear" w:color="auto" w:fill="FFFFFF"/>
        </w:rPr>
        <w:t>Amor, A.M., 2023. Reinventing human resources through digitalization. In </w:t>
      </w:r>
      <w:r w:rsidRPr="00D51C05">
        <w:rPr>
          <w:rFonts w:cs="Arial"/>
          <w:i/>
          <w:iCs/>
          <w:color w:val="222222"/>
          <w:shd w:val="clear" w:color="auto" w:fill="FFFFFF"/>
        </w:rPr>
        <w:t>Managing Technology Integration for Human Resources in Industry 5.0</w:t>
      </w:r>
      <w:r w:rsidRPr="00D51C05">
        <w:rPr>
          <w:rFonts w:cs="Arial"/>
          <w:color w:val="222222"/>
          <w:shd w:val="clear" w:color="auto" w:fill="FFFFFF"/>
        </w:rPr>
        <w:t> (pp. 115-130). IGI Global Scientific Publishing.</w:t>
      </w:r>
    </w:p>
    <w:p w14:paraId="760F0E21" w14:textId="77777777" w:rsidR="00306AF5" w:rsidRPr="00D51C05" w:rsidRDefault="00306AF5" w:rsidP="00FB6FB3">
      <w:pPr>
        <w:rPr>
          <w:rFonts w:cs="Arial"/>
          <w:color w:val="222222"/>
          <w:shd w:val="clear" w:color="auto" w:fill="FFFFFF"/>
        </w:rPr>
      </w:pPr>
      <w:r w:rsidRPr="00D51C05">
        <w:rPr>
          <w:rFonts w:cs="Arial"/>
          <w:color w:val="222222"/>
          <w:shd w:val="clear" w:color="auto" w:fill="FFFFFF"/>
        </w:rPr>
        <w:t>Argyropoulou, M., Zissis, D., Korfiatis, N. and Zampou, E., 2023. Horizontal collaboration in the last mile distribution: gauging managerial response to disruption and abnormal demand. </w:t>
      </w:r>
      <w:r w:rsidRPr="00D51C05">
        <w:rPr>
          <w:rFonts w:cs="Arial"/>
          <w:i/>
          <w:iCs/>
          <w:color w:val="222222"/>
          <w:shd w:val="clear" w:color="auto" w:fill="FFFFFF"/>
        </w:rPr>
        <w:t>Benchmarking: An International Journal</w:t>
      </w:r>
      <w:r w:rsidRPr="00D51C05">
        <w:rPr>
          <w:rFonts w:cs="Arial"/>
          <w:color w:val="222222"/>
          <w:shd w:val="clear" w:color="auto" w:fill="FFFFFF"/>
        </w:rPr>
        <w:t>, </w:t>
      </w:r>
      <w:r w:rsidRPr="00D51C05">
        <w:rPr>
          <w:rFonts w:cs="Arial"/>
          <w:i/>
          <w:iCs/>
          <w:color w:val="222222"/>
          <w:shd w:val="clear" w:color="auto" w:fill="FFFFFF"/>
        </w:rPr>
        <w:t>30</w:t>
      </w:r>
      <w:r w:rsidRPr="00D51C05">
        <w:rPr>
          <w:rFonts w:cs="Arial"/>
          <w:color w:val="222222"/>
          <w:shd w:val="clear" w:color="auto" w:fill="FFFFFF"/>
        </w:rPr>
        <w:t>(2), pp.460-474.</w:t>
      </w:r>
    </w:p>
    <w:p w14:paraId="3A9DF6A8" w14:textId="77777777" w:rsidR="00306AF5" w:rsidRPr="00D51C05" w:rsidRDefault="00306AF5" w:rsidP="00FB6FB3">
      <w:pPr>
        <w:rPr>
          <w:rFonts w:cs="Arial"/>
          <w:color w:val="222222"/>
          <w:shd w:val="clear" w:color="auto" w:fill="FFFFFF"/>
        </w:rPr>
      </w:pPr>
      <w:r w:rsidRPr="00D51C05">
        <w:rPr>
          <w:rFonts w:cs="Arial"/>
          <w:color w:val="222222"/>
          <w:shd w:val="clear" w:color="auto" w:fill="FFFFFF"/>
        </w:rPr>
        <w:t>Butterfield, K.M., 2023. </w:t>
      </w:r>
      <w:r w:rsidRPr="00D51C05">
        <w:rPr>
          <w:rFonts w:cs="Arial"/>
          <w:i/>
          <w:iCs/>
          <w:color w:val="222222"/>
          <w:shd w:val="clear" w:color="auto" w:fill="FFFFFF"/>
        </w:rPr>
        <w:t>Refining spatial grocery models of consumer behaviour: an individual-based approach</w:t>
      </w:r>
      <w:r w:rsidRPr="00D51C05">
        <w:rPr>
          <w:rFonts w:cs="Arial"/>
          <w:color w:val="222222"/>
          <w:shd w:val="clear" w:color="auto" w:fill="FFFFFF"/>
        </w:rPr>
        <w:t> (Doctoral dissertation, University of Leeds).</w:t>
      </w:r>
    </w:p>
    <w:p w14:paraId="590C6FCF" w14:textId="77777777" w:rsidR="00306AF5" w:rsidRPr="00D51C05" w:rsidRDefault="00306AF5" w:rsidP="00FB6FB3">
      <w:pPr>
        <w:rPr>
          <w:rFonts w:cs="Arial"/>
          <w:color w:val="222222"/>
          <w:shd w:val="clear" w:color="auto" w:fill="FFFFFF"/>
        </w:rPr>
      </w:pPr>
      <w:r w:rsidRPr="00D51C05">
        <w:rPr>
          <w:rFonts w:cs="Arial"/>
          <w:color w:val="222222"/>
          <w:shd w:val="clear" w:color="auto" w:fill="FFFFFF"/>
        </w:rPr>
        <w:t>Chew, D., 2024. Epilogue: Sustainable financial management (and the promise and pitfalls of ESG investing). </w:t>
      </w:r>
      <w:r w:rsidRPr="00D51C05">
        <w:rPr>
          <w:rFonts w:cs="Arial"/>
          <w:i/>
          <w:iCs/>
          <w:color w:val="222222"/>
          <w:shd w:val="clear" w:color="auto" w:fill="FFFFFF"/>
        </w:rPr>
        <w:t>Journal of Applied Corporate Finance</w:t>
      </w:r>
      <w:r w:rsidRPr="00D51C05">
        <w:rPr>
          <w:rFonts w:cs="Arial"/>
          <w:color w:val="222222"/>
          <w:shd w:val="clear" w:color="auto" w:fill="FFFFFF"/>
        </w:rPr>
        <w:t>, </w:t>
      </w:r>
      <w:r w:rsidRPr="00D51C05">
        <w:rPr>
          <w:rFonts w:cs="Arial"/>
          <w:i/>
          <w:iCs/>
          <w:color w:val="222222"/>
          <w:shd w:val="clear" w:color="auto" w:fill="FFFFFF"/>
        </w:rPr>
        <w:t>36</w:t>
      </w:r>
      <w:r w:rsidRPr="00D51C05">
        <w:rPr>
          <w:rFonts w:cs="Arial"/>
          <w:color w:val="222222"/>
          <w:shd w:val="clear" w:color="auto" w:fill="FFFFFF"/>
        </w:rPr>
        <w:t>(2), p.27.</w:t>
      </w:r>
    </w:p>
    <w:p w14:paraId="4D2A3DCD" w14:textId="77777777" w:rsidR="00306AF5" w:rsidRPr="00D51C05" w:rsidRDefault="00306AF5" w:rsidP="00FB6FB3">
      <w:pPr>
        <w:rPr>
          <w:rFonts w:cs="Arial"/>
          <w:color w:val="222222"/>
          <w:shd w:val="clear" w:color="auto" w:fill="FFFFFF"/>
        </w:rPr>
      </w:pPr>
      <w:r w:rsidRPr="00D51C05">
        <w:rPr>
          <w:rFonts w:cs="Arial"/>
          <w:color w:val="222222"/>
          <w:shd w:val="clear" w:color="auto" w:fill="FFFFFF"/>
        </w:rPr>
        <w:t>Garthwaite, K., 2026. Exploring the Growth of ‘Emergency’Charitable Food Aid in the UK. In </w:t>
      </w:r>
      <w:r w:rsidRPr="00D51C05">
        <w:rPr>
          <w:rFonts w:cs="Arial"/>
          <w:i/>
          <w:iCs/>
          <w:color w:val="222222"/>
          <w:shd w:val="clear" w:color="auto" w:fill="FFFFFF"/>
        </w:rPr>
        <w:t>The Modern World After Colonialism</w:t>
      </w:r>
      <w:r w:rsidRPr="00D51C05">
        <w:rPr>
          <w:rFonts w:cs="Arial"/>
          <w:color w:val="222222"/>
          <w:shd w:val="clear" w:color="auto" w:fill="FFFFFF"/>
        </w:rPr>
        <w:t> (pp. 140-152). Bristol University Press.</w:t>
      </w:r>
    </w:p>
    <w:p w14:paraId="6891C700" w14:textId="77777777" w:rsidR="00306AF5" w:rsidRPr="00D51C05" w:rsidRDefault="00306AF5" w:rsidP="00FB6FB3">
      <w:pPr>
        <w:rPr>
          <w:rFonts w:cs="Arial"/>
          <w:color w:val="222222"/>
          <w:shd w:val="clear" w:color="auto" w:fill="FFFFFF"/>
        </w:rPr>
      </w:pPr>
      <w:r w:rsidRPr="00D51C05">
        <w:rPr>
          <w:rFonts w:cs="Arial"/>
          <w:color w:val="222222"/>
          <w:shd w:val="clear" w:color="auto" w:fill="FFFFFF"/>
        </w:rPr>
        <w:t>Kennedy, K. and Snell, C., 2025. Relationships between supermarkets and food charities in reducing food insecurity: Lessons learned. </w:t>
      </w:r>
      <w:r w:rsidRPr="00D51C05">
        <w:rPr>
          <w:rFonts w:cs="Arial"/>
          <w:i/>
          <w:iCs/>
          <w:color w:val="222222"/>
          <w:shd w:val="clear" w:color="auto" w:fill="FFFFFF"/>
        </w:rPr>
        <w:t>Voluntary Sector Review</w:t>
      </w:r>
      <w:r w:rsidRPr="00D51C05">
        <w:rPr>
          <w:rFonts w:cs="Arial"/>
          <w:color w:val="222222"/>
          <w:shd w:val="clear" w:color="auto" w:fill="FFFFFF"/>
        </w:rPr>
        <w:t>, </w:t>
      </w:r>
      <w:r w:rsidRPr="00D51C05">
        <w:rPr>
          <w:rFonts w:cs="Arial"/>
          <w:i/>
          <w:iCs/>
          <w:color w:val="222222"/>
          <w:shd w:val="clear" w:color="auto" w:fill="FFFFFF"/>
        </w:rPr>
        <w:t>16</w:t>
      </w:r>
      <w:r w:rsidRPr="00D51C05">
        <w:rPr>
          <w:rFonts w:cs="Arial"/>
          <w:color w:val="222222"/>
          <w:shd w:val="clear" w:color="auto" w:fill="FFFFFF"/>
        </w:rPr>
        <w:t>(2), pp.332-341.</w:t>
      </w:r>
    </w:p>
    <w:p w14:paraId="3B8C298F" w14:textId="77777777" w:rsidR="00306AF5" w:rsidRPr="00D51C05" w:rsidRDefault="00306AF5" w:rsidP="00FB6FB3">
      <w:pPr>
        <w:rPr>
          <w:rFonts w:cs="Arial"/>
          <w:color w:val="222222"/>
          <w:shd w:val="clear" w:color="auto" w:fill="FFFFFF"/>
        </w:rPr>
      </w:pPr>
      <w:r w:rsidRPr="00D51C05">
        <w:rPr>
          <w:rFonts w:cs="Arial"/>
          <w:color w:val="222222"/>
          <w:shd w:val="clear" w:color="auto" w:fill="FFFFFF"/>
        </w:rPr>
        <w:t>Lambie</w:t>
      </w:r>
      <w:r w:rsidRPr="00D51C05">
        <w:rPr>
          <w:rFonts w:ascii="Cambria Math" w:hAnsi="Cambria Math" w:cs="Cambria Math"/>
          <w:color w:val="222222"/>
          <w:shd w:val="clear" w:color="auto" w:fill="FFFFFF"/>
        </w:rPr>
        <w:t>‐</w:t>
      </w:r>
      <w:r w:rsidRPr="00D51C05">
        <w:rPr>
          <w:rFonts w:cs="Arial"/>
          <w:color w:val="222222"/>
          <w:shd w:val="clear" w:color="auto" w:fill="FFFFFF"/>
        </w:rPr>
        <w:t xml:space="preserve">Mumford, H. and Kennedy, K., 2025. Corporations and the </w:t>
      </w:r>
      <w:proofErr w:type="gramStart"/>
      <w:r w:rsidRPr="00D51C05">
        <w:rPr>
          <w:rFonts w:cs="Arial"/>
          <w:color w:val="222222"/>
          <w:shd w:val="clear" w:color="auto" w:fill="FFFFFF"/>
        </w:rPr>
        <w:t>cost of living</w:t>
      </w:r>
      <w:proofErr w:type="gramEnd"/>
      <w:r w:rsidRPr="00D51C05">
        <w:rPr>
          <w:rFonts w:cs="Arial"/>
          <w:color w:val="222222"/>
          <w:shd w:val="clear" w:color="auto" w:fill="FFFFFF"/>
        </w:rPr>
        <w:t xml:space="preserve"> crisis: Corporate involvement in UK food charity. </w:t>
      </w:r>
      <w:r w:rsidRPr="00D51C05">
        <w:rPr>
          <w:rFonts w:cs="Arial"/>
          <w:i/>
          <w:iCs/>
          <w:color w:val="222222"/>
          <w:shd w:val="clear" w:color="auto" w:fill="FFFFFF"/>
        </w:rPr>
        <w:t>Social Policy &amp; Administration</w:t>
      </w:r>
      <w:r w:rsidRPr="00D51C05">
        <w:rPr>
          <w:rFonts w:cs="Arial"/>
          <w:color w:val="222222"/>
          <w:shd w:val="clear" w:color="auto" w:fill="FFFFFF"/>
        </w:rPr>
        <w:t>, </w:t>
      </w:r>
      <w:r w:rsidRPr="00D51C05">
        <w:rPr>
          <w:rFonts w:cs="Arial"/>
          <w:i/>
          <w:iCs/>
          <w:color w:val="222222"/>
          <w:shd w:val="clear" w:color="auto" w:fill="FFFFFF"/>
        </w:rPr>
        <w:t>59</w:t>
      </w:r>
      <w:r w:rsidRPr="00D51C05">
        <w:rPr>
          <w:rFonts w:cs="Arial"/>
          <w:color w:val="222222"/>
          <w:shd w:val="clear" w:color="auto" w:fill="FFFFFF"/>
        </w:rPr>
        <w:t>(2), pp.252-264.</w:t>
      </w:r>
    </w:p>
    <w:p w14:paraId="0B2335A2" w14:textId="77777777" w:rsidR="00306AF5" w:rsidRPr="00D51C05" w:rsidRDefault="00306AF5" w:rsidP="00FB6FB3">
      <w:pPr>
        <w:rPr>
          <w:rFonts w:cs="Arial"/>
          <w:color w:val="222222"/>
          <w:shd w:val="clear" w:color="auto" w:fill="FFFFFF"/>
        </w:rPr>
      </w:pPr>
      <w:r w:rsidRPr="00D51C05">
        <w:rPr>
          <w:rFonts w:cs="Arial"/>
          <w:color w:val="222222"/>
          <w:shd w:val="clear" w:color="auto" w:fill="FFFFFF"/>
        </w:rPr>
        <w:t>Mackenzie, S.C., Sainsbury, C.A. and Wake, D.J., 2024. Diabetes and artificial intelligence beyond the closed loop: a review of the landscape, promise and challenges. </w:t>
      </w:r>
      <w:r w:rsidRPr="00D51C05">
        <w:rPr>
          <w:rFonts w:cs="Arial"/>
          <w:i/>
          <w:iCs/>
          <w:color w:val="222222"/>
          <w:shd w:val="clear" w:color="auto" w:fill="FFFFFF"/>
        </w:rPr>
        <w:t>Diabetologia</w:t>
      </w:r>
      <w:r w:rsidRPr="00D51C05">
        <w:rPr>
          <w:rFonts w:cs="Arial"/>
          <w:color w:val="222222"/>
          <w:shd w:val="clear" w:color="auto" w:fill="FFFFFF"/>
        </w:rPr>
        <w:t>, </w:t>
      </w:r>
      <w:r w:rsidRPr="00D51C05">
        <w:rPr>
          <w:rFonts w:cs="Arial"/>
          <w:i/>
          <w:iCs/>
          <w:color w:val="222222"/>
          <w:shd w:val="clear" w:color="auto" w:fill="FFFFFF"/>
        </w:rPr>
        <w:t>67</w:t>
      </w:r>
      <w:r w:rsidRPr="00D51C05">
        <w:rPr>
          <w:rFonts w:cs="Arial"/>
          <w:color w:val="222222"/>
          <w:shd w:val="clear" w:color="auto" w:fill="FFFFFF"/>
        </w:rPr>
        <w:t>(2), pp.223-235.</w:t>
      </w:r>
    </w:p>
    <w:p w14:paraId="60CD43CB" w14:textId="77777777" w:rsidR="00306AF5" w:rsidRPr="00D51C05" w:rsidRDefault="00306AF5" w:rsidP="00FB6FB3">
      <w:pPr>
        <w:rPr>
          <w:rFonts w:cs="Arial"/>
          <w:color w:val="222222"/>
          <w:shd w:val="clear" w:color="auto" w:fill="FFFFFF"/>
        </w:rPr>
      </w:pPr>
      <w:r w:rsidRPr="00D51C05">
        <w:rPr>
          <w:rFonts w:cs="Arial"/>
          <w:color w:val="222222"/>
          <w:shd w:val="clear" w:color="auto" w:fill="FFFFFF"/>
        </w:rPr>
        <w:t>Madede, T., Mavume Mangunyane, E., Munguambe, K., Govo, V., Beran, D., Levitt, N. and Damasceno, A., 2024. Human resources challenges in the management of diabetes and hypertension in Mozambique. </w:t>
      </w:r>
      <w:r w:rsidRPr="00D51C05">
        <w:rPr>
          <w:rFonts w:cs="Arial"/>
          <w:i/>
          <w:iCs/>
          <w:color w:val="222222"/>
          <w:shd w:val="clear" w:color="auto" w:fill="FFFFFF"/>
        </w:rPr>
        <w:t>PLoS One</w:t>
      </w:r>
      <w:r w:rsidRPr="00D51C05">
        <w:rPr>
          <w:rFonts w:cs="Arial"/>
          <w:color w:val="222222"/>
          <w:shd w:val="clear" w:color="auto" w:fill="FFFFFF"/>
        </w:rPr>
        <w:t>, </w:t>
      </w:r>
      <w:r w:rsidRPr="00D51C05">
        <w:rPr>
          <w:rFonts w:cs="Arial"/>
          <w:i/>
          <w:iCs/>
          <w:color w:val="222222"/>
          <w:shd w:val="clear" w:color="auto" w:fill="FFFFFF"/>
        </w:rPr>
        <w:t>19</w:t>
      </w:r>
      <w:r w:rsidRPr="00D51C05">
        <w:rPr>
          <w:rFonts w:cs="Arial"/>
          <w:color w:val="222222"/>
          <w:shd w:val="clear" w:color="auto" w:fill="FFFFFF"/>
        </w:rPr>
        <w:t>(3), p.e0297676.</w:t>
      </w:r>
    </w:p>
    <w:p w14:paraId="3DAEA893" w14:textId="77777777" w:rsidR="00306AF5" w:rsidRPr="00D51C05" w:rsidRDefault="00306AF5" w:rsidP="00FB6FB3">
      <w:pPr>
        <w:rPr>
          <w:rFonts w:cs="Arial"/>
          <w:shd w:val="clear" w:color="auto" w:fill="FFFFFF"/>
        </w:rPr>
      </w:pPr>
      <w:r w:rsidRPr="00D51C05">
        <w:rPr>
          <w:rFonts w:cs="Arial"/>
          <w:shd w:val="clear" w:color="auto" w:fill="FFFFFF"/>
        </w:rPr>
        <w:t>Mendonça, L.B., 2025. The Impact of Green Human Resource Management Practices on Environmental and Economic Performance in the UK Retail Sector: The Human Resource Perspective (Doctoral dissertation, Dublin, National College of Ireland).</w:t>
      </w:r>
    </w:p>
    <w:p w14:paraId="7085E378" w14:textId="77777777" w:rsidR="00306AF5" w:rsidRPr="00D51C05" w:rsidRDefault="00306AF5" w:rsidP="00FB6FB3">
      <w:pPr>
        <w:rPr>
          <w:rFonts w:cs="Arial"/>
          <w:color w:val="222222"/>
          <w:shd w:val="clear" w:color="auto" w:fill="FFFFFF"/>
        </w:rPr>
      </w:pPr>
      <w:r w:rsidRPr="00D51C05">
        <w:rPr>
          <w:rFonts w:cs="Arial"/>
          <w:color w:val="222222"/>
          <w:shd w:val="clear" w:color="auto" w:fill="FFFFFF"/>
        </w:rPr>
        <w:lastRenderedPageBreak/>
        <w:t>Paranada, J.K., 2023. A path forward: Curating art &amp; climate change at the Sainsbury Centre, University of East Anglia. </w:t>
      </w:r>
      <w:r w:rsidRPr="00D51C05">
        <w:rPr>
          <w:rFonts w:cs="Arial"/>
          <w:i/>
          <w:iCs/>
          <w:color w:val="222222"/>
          <w:shd w:val="clear" w:color="auto" w:fill="FFFFFF"/>
        </w:rPr>
        <w:t>Museum International</w:t>
      </w:r>
      <w:r w:rsidRPr="00D51C05">
        <w:rPr>
          <w:rFonts w:cs="Arial"/>
          <w:color w:val="222222"/>
          <w:shd w:val="clear" w:color="auto" w:fill="FFFFFF"/>
        </w:rPr>
        <w:t>, </w:t>
      </w:r>
      <w:r w:rsidRPr="00D51C05">
        <w:rPr>
          <w:rFonts w:cs="Arial"/>
          <w:i/>
          <w:iCs/>
          <w:color w:val="222222"/>
          <w:shd w:val="clear" w:color="auto" w:fill="FFFFFF"/>
        </w:rPr>
        <w:t>75</w:t>
      </w:r>
      <w:r w:rsidRPr="00D51C05">
        <w:rPr>
          <w:rFonts w:cs="Arial"/>
          <w:color w:val="222222"/>
          <w:shd w:val="clear" w:color="auto" w:fill="FFFFFF"/>
        </w:rPr>
        <w:t>(1-4), pp.56-65.</w:t>
      </w:r>
    </w:p>
    <w:p w14:paraId="5B746B27" w14:textId="77777777" w:rsidR="00306AF5" w:rsidRPr="00D51C05" w:rsidRDefault="00306AF5" w:rsidP="00FB6FB3">
      <w:pPr>
        <w:rPr>
          <w:rFonts w:cs="Arial"/>
          <w:color w:val="222222"/>
          <w:shd w:val="clear" w:color="auto" w:fill="FFFFFF"/>
        </w:rPr>
      </w:pPr>
      <w:r w:rsidRPr="00D51C05">
        <w:rPr>
          <w:rFonts w:cs="Arial"/>
          <w:color w:val="222222"/>
          <w:shd w:val="clear" w:color="auto" w:fill="FFFFFF"/>
        </w:rPr>
        <w:t>Sainsbury, S., 2026. </w:t>
      </w:r>
      <w:r w:rsidRPr="00D51C05">
        <w:rPr>
          <w:rFonts w:cs="Arial"/>
          <w:i/>
          <w:iCs/>
          <w:color w:val="222222"/>
          <w:shd w:val="clear" w:color="auto" w:fill="FFFFFF"/>
        </w:rPr>
        <w:t>Deaf Worlds: A study of integration, segregation and disability</w:t>
      </w:r>
      <w:r w:rsidRPr="00D51C05">
        <w:rPr>
          <w:rFonts w:cs="Arial"/>
          <w:color w:val="222222"/>
          <w:shd w:val="clear" w:color="auto" w:fill="FFFFFF"/>
        </w:rPr>
        <w:t>. Taylor &amp; Francis.</w:t>
      </w:r>
    </w:p>
    <w:p w14:paraId="1C3F9B0D" w14:textId="77777777" w:rsidR="00306AF5" w:rsidRPr="00361D63" w:rsidRDefault="00306AF5" w:rsidP="00FB6FB3">
      <w:pPr>
        <w:rPr>
          <w:rFonts w:cs="Arial"/>
          <w:color w:val="222222"/>
          <w:sz w:val="20"/>
          <w:szCs w:val="20"/>
          <w:shd w:val="clear" w:color="auto" w:fill="FFFFFF"/>
        </w:rPr>
      </w:pPr>
      <w:r w:rsidRPr="00D51C05">
        <w:rPr>
          <w:rFonts w:cs="Arial"/>
          <w:color w:val="222222"/>
          <w:shd w:val="clear" w:color="auto" w:fill="FFFFFF"/>
        </w:rPr>
        <w:t>Winton, A., Howcroft, D. and Rubery, J., 2026. Sociotechnical change in British supermarkets: Examining the role of labour. </w:t>
      </w:r>
      <w:r w:rsidRPr="00D51C05">
        <w:rPr>
          <w:rFonts w:cs="Arial"/>
          <w:i/>
          <w:iCs/>
          <w:color w:val="222222"/>
          <w:shd w:val="clear" w:color="auto" w:fill="FFFFFF"/>
        </w:rPr>
        <w:t>New Technology, Work and Employment</w:t>
      </w:r>
      <w:r w:rsidRPr="00D51C05">
        <w:rPr>
          <w:rFonts w:cs="Arial"/>
          <w:color w:val="222222"/>
          <w:shd w:val="clear" w:color="auto" w:fill="FFFFFF"/>
        </w:rPr>
        <w:t>, </w:t>
      </w:r>
      <w:r w:rsidRPr="00D51C05">
        <w:rPr>
          <w:rFonts w:cs="Arial"/>
          <w:i/>
          <w:iCs/>
          <w:color w:val="222222"/>
          <w:shd w:val="clear" w:color="auto" w:fill="FFFFFF"/>
        </w:rPr>
        <w:t>41</w:t>
      </w:r>
      <w:r w:rsidRPr="00D51C05">
        <w:rPr>
          <w:rFonts w:cs="Arial"/>
          <w:color w:val="222222"/>
          <w:shd w:val="clear" w:color="auto" w:fill="FFFFFF"/>
        </w:rPr>
        <w:t>(1), pp.45-56</w:t>
      </w:r>
      <w:r w:rsidRPr="00361D63">
        <w:rPr>
          <w:rFonts w:cs="Arial"/>
          <w:color w:val="222222"/>
          <w:sz w:val="20"/>
          <w:szCs w:val="20"/>
          <w:shd w:val="clear" w:color="auto" w:fill="FFFFFF"/>
        </w:rPr>
        <w:t>.</w:t>
      </w:r>
    </w:p>
    <w:sectPr w:rsidR="00306AF5" w:rsidRPr="00361D6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80D06" w14:textId="77777777" w:rsidR="00514651" w:rsidRDefault="00514651" w:rsidP="00CA0E99">
      <w:pPr>
        <w:spacing w:after="0" w:line="240" w:lineRule="auto"/>
      </w:pPr>
      <w:r>
        <w:separator/>
      </w:r>
    </w:p>
  </w:endnote>
  <w:endnote w:type="continuationSeparator" w:id="0">
    <w:p w14:paraId="22EFB607" w14:textId="77777777" w:rsidR="00514651" w:rsidRDefault="00514651" w:rsidP="00CA0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5598364"/>
      <w:docPartObj>
        <w:docPartGallery w:val="Page Numbers (Bottom of Page)"/>
        <w:docPartUnique/>
      </w:docPartObj>
    </w:sdtPr>
    <w:sdtEndPr>
      <w:rPr>
        <w:noProof/>
      </w:rPr>
    </w:sdtEndPr>
    <w:sdtContent>
      <w:p w14:paraId="0932C682" w14:textId="2DF9BD12" w:rsidR="00CA0E99" w:rsidRDefault="00CA0E99">
        <w:pPr>
          <w:pStyle w:val="a9"/>
          <w:jc w:val="right"/>
        </w:pPr>
        <w:r>
          <w:fldChar w:fldCharType="begin"/>
        </w:r>
        <w:r>
          <w:instrText xml:space="preserve"> PAGE   \* MERGEFORMAT </w:instrText>
        </w:r>
        <w:r>
          <w:fldChar w:fldCharType="separate"/>
        </w:r>
        <w:r>
          <w:rPr>
            <w:noProof/>
          </w:rPr>
          <w:t>2</w:t>
        </w:r>
        <w:r>
          <w:rPr>
            <w:noProof/>
          </w:rPr>
          <w:fldChar w:fldCharType="end"/>
        </w:r>
      </w:p>
    </w:sdtContent>
  </w:sdt>
  <w:p w14:paraId="08692B31" w14:textId="77777777" w:rsidR="00CA0E99" w:rsidRDefault="00CA0E99">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0C6D0" w14:textId="77777777" w:rsidR="00514651" w:rsidRDefault="00514651" w:rsidP="00CA0E99">
      <w:pPr>
        <w:spacing w:after="0" w:line="240" w:lineRule="auto"/>
      </w:pPr>
      <w:r>
        <w:separator/>
      </w:r>
    </w:p>
  </w:footnote>
  <w:footnote w:type="continuationSeparator" w:id="0">
    <w:p w14:paraId="6BAA7892" w14:textId="77777777" w:rsidR="00514651" w:rsidRDefault="00514651" w:rsidP="00CA0E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105"/>
    <w:rsid w:val="00014993"/>
    <w:rsid w:val="00032B00"/>
    <w:rsid w:val="00056F97"/>
    <w:rsid w:val="00082378"/>
    <w:rsid w:val="00086F9E"/>
    <w:rsid w:val="000A05F8"/>
    <w:rsid w:val="000A16FB"/>
    <w:rsid w:val="000A497C"/>
    <w:rsid w:val="000A5616"/>
    <w:rsid w:val="000C6558"/>
    <w:rsid w:val="000D1070"/>
    <w:rsid w:val="000D5EBC"/>
    <w:rsid w:val="000F7B4D"/>
    <w:rsid w:val="00106E6B"/>
    <w:rsid w:val="0012439C"/>
    <w:rsid w:val="00136E6A"/>
    <w:rsid w:val="00143EC7"/>
    <w:rsid w:val="00150724"/>
    <w:rsid w:val="00183B7B"/>
    <w:rsid w:val="00186724"/>
    <w:rsid w:val="0019072C"/>
    <w:rsid w:val="001909C7"/>
    <w:rsid w:val="00194D85"/>
    <w:rsid w:val="001E282F"/>
    <w:rsid w:val="001E2C1B"/>
    <w:rsid w:val="001E4ABF"/>
    <w:rsid w:val="00202DD0"/>
    <w:rsid w:val="00203ACD"/>
    <w:rsid w:val="00204164"/>
    <w:rsid w:val="00212651"/>
    <w:rsid w:val="00213B58"/>
    <w:rsid w:val="002257D9"/>
    <w:rsid w:val="002557EC"/>
    <w:rsid w:val="002800E7"/>
    <w:rsid w:val="0028108A"/>
    <w:rsid w:val="0029563E"/>
    <w:rsid w:val="002A363C"/>
    <w:rsid w:val="002A4794"/>
    <w:rsid w:val="002A69CC"/>
    <w:rsid w:val="002D12D9"/>
    <w:rsid w:val="002D1A5E"/>
    <w:rsid w:val="002D6053"/>
    <w:rsid w:val="00306AF5"/>
    <w:rsid w:val="00311CEF"/>
    <w:rsid w:val="0031708C"/>
    <w:rsid w:val="0032081A"/>
    <w:rsid w:val="00322350"/>
    <w:rsid w:val="00326FEE"/>
    <w:rsid w:val="0032744E"/>
    <w:rsid w:val="00330AA7"/>
    <w:rsid w:val="00335D79"/>
    <w:rsid w:val="00341B83"/>
    <w:rsid w:val="003571FF"/>
    <w:rsid w:val="00361D63"/>
    <w:rsid w:val="003749A5"/>
    <w:rsid w:val="003A3D76"/>
    <w:rsid w:val="003A7F3F"/>
    <w:rsid w:val="003B3296"/>
    <w:rsid w:val="003C0811"/>
    <w:rsid w:val="003E0C5E"/>
    <w:rsid w:val="003E6E57"/>
    <w:rsid w:val="003F2BE3"/>
    <w:rsid w:val="003F7ACD"/>
    <w:rsid w:val="00411DAE"/>
    <w:rsid w:val="00437670"/>
    <w:rsid w:val="00445361"/>
    <w:rsid w:val="004526F1"/>
    <w:rsid w:val="004800F5"/>
    <w:rsid w:val="00481B97"/>
    <w:rsid w:val="004825D0"/>
    <w:rsid w:val="004C04CB"/>
    <w:rsid w:val="004D3102"/>
    <w:rsid w:val="004F34D9"/>
    <w:rsid w:val="00512BDB"/>
    <w:rsid w:val="00514651"/>
    <w:rsid w:val="005606E1"/>
    <w:rsid w:val="00564DAE"/>
    <w:rsid w:val="005714FC"/>
    <w:rsid w:val="00582EF3"/>
    <w:rsid w:val="00584AE8"/>
    <w:rsid w:val="005B16DD"/>
    <w:rsid w:val="005E21A3"/>
    <w:rsid w:val="005F01FE"/>
    <w:rsid w:val="005F7D26"/>
    <w:rsid w:val="00641FA9"/>
    <w:rsid w:val="00645337"/>
    <w:rsid w:val="00676F95"/>
    <w:rsid w:val="00686AAB"/>
    <w:rsid w:val="00690E34"/>
    <w:rsid w:val="006A4C9B"/>
    <w:rsid w:val="006E50FC"/>
    <w:rsid w:val="006F5AF1"/>
    <w:rsid w:val="006F6DB3"/>
    <w:rsid w:val="0072725C"/>
    <w:rsid w:val="007341F6"/>
    <w:rsid w:val="00745C69"/>
    <w:rsid w:val="00747942"/>
    <w:rsid w:val="007540BD"/>
    <w:rsid w:val="00761370"/>
    <w:rsid w:val="00771E6E"/>
    <w:rsid w:val="00782700"/>
    <w:rsid w:val="00783E3F"/>
    <w:rsid w:val="00795D11"/>
    <w:rsid w:val="007A0A30"/>
    <w:rsid w:val="007C2095"/>
    <w:rsid w:val="007E0B8F"/>
    <w:rsid w:val="007E2772"/>
    <w:rsid w:val="007F45CF"/>
    <w:rsid w:val="00805831"/>
    <w:rsid w:val="00812A92"/>
    <w:rsid w:val="00821B07"/>
    <w:rsid w:val="00827AAB"/>
    <w:rsid w:val="0089103B"/>
    <w:rsid w:val="00892D26"/>
    <w:rsid w:val="008B7F35"/>
    <w:rsid w:val="008C233D"/>
    <w:rsid w:val="008D1ABE"/>
    <w:rsid w:val="008E3C2D"/>
    <w:rsid w:val="008F28A7"/>
    <w:rsid w:val="00900E36"/>
    <w:rsid w:val="009155B1"/>
    <w:rsid w:val="009415A7"/>
    <w:rsid w:val="0096365A"/>
    <w:rsid w:val="00964E37"/>
    <w:rsid w:val="00982347"/>
    <w:rsid w:val="00983CC2"/>
    <w:rsid w:val="009927AF"/>
    <w:rsid w:val="00994F09"/>
    <w:rsid w:val="009A739E"/>
    <w:rsid w:val="009C280C"/>
    <w:rsid w:val="009E028B"/>
    <w:rsid w:val="00A40209"/>
    <w:rsid w:val="00A46ABA"/>
    <w:rsid w:val="00A502E2"/>
    <w:rsid w:val="00A66B8F"/>
    <w:rsid w:val="00A81615"/>
    <w:rsid w:val="00A91B26"/>
    <w:rsid w:val="00B04E5A"/>
    <w:rsid w:val="00B13090"/>
    <w:rsid w:val="00B1572F"/>
    <w:rsid w:val="00B25105"/>
    <w:rsid w:val="00B52B47"/>
    <w:rsid w:val="00B631AD"/>
    <w:rsid w:val="00B67DFA"/>
    <w:rsid w:val="00B75BC9"/>
    <w:rsid w:val="00B75E7D"/>
    <w:rsid w:val="00B82935"/>
    <w:rsid w:val="00B8471C"/>
    <w:rsid w:val="00BC2C86"/>
    <w:rsid w:val="00BD349D"/>
    <w:rsid w:val="00BD43F1"/>
    <w:rsid w:val="00C218A0"/>
    <w:rsid w:val="00C31077"/>
    <w:rsid w:val="00C37120"/>
    <w:rsid w:val="00C437FD"/>
    <w:rsid w:val="00C541ED"/>
    <w:rsid w:val="00C85A5F"/>
    <w:rsid w:val="00CA0E99"/>
    <w:rsid w:val="00CB22C9"/>
    <w:rsid w:val="00CD2DC2"/>
    <w:rsid w:val="00CE3254"/>
    <w:rsid w:val="00CF0A88"/>
    <w:rsid w:val="00D015DF"/>
    <w:rsid w:val="00D32CB0"/>
    <w:rsid w:val="00D37C69"/>
    <w:rsid w:val="00D51C05"/>
    <w:rsid w:val="00D76ED4"/>
    <w:rsid w:val="00D848E6"/>
    <w:rsid w:val="00D90768"/>
    <w:rsid w:val="00D9311C"/>
    <w:rsid w:val="00D95A86"/>
    <w:rsid w:val="00D96FE0"/>
    <w:rsid w:val="00DA44B4"/>
    <w:rsid w:val="00DB052A"/>
    <w:rsid w:val="00DB158E"/>
    <w:rsid w:val="00DD6CDA"/>
    <w:rsid w:val="00DE1FEA"/>
    <w:rsid w:val="00DF1C95"/>
    <w:rsid w:val="00DF56C0"/>
    <w:rsid w:val="00E1178D"/>
    <w:rsid w:val="00E15DB6"/>
    <w:rsid w:val="00E21C88"/>
    <w:rsid w:val="00E23A6C"/>
    <w:rsid w:val="00E23C76"/>
    <w:rsid w:val="00E61D2F"/>
    <w:rsid w:val="00E66BFC"/>
    <w:rsid w:val="00E729AC"/>
    <w:rsid w:val="00EB01AF"/>
    <w:rsid w:val="00EB5CFF"/>
    <w:rsid w:val="00EC6420"/>
    <w:rsid w:val="00EC683D"/>
    <w:rsid w:val="00EE6465"/>
    <w:rsid w:val="00EF3562"/>
    <w:rsid w:val="00F02022"/>
    <w:rsid w:val="00F024B3"/>
    <w:rsid w:val="00F05F86"/>
    <w:rsid w:val="00F321F3"/>
    <w:rsid w:val="00F50AE5"/>
    <w:rsid w:val="00F511D0"/>
    <w:rsid w:val="00F531F9"/>
    <w:rsid w:val="00F5500B"/>
    <w:rsid w:val="00F557F0"/>
    <w:rsid w:val="00F64AE8"/>
    <w:rsid w:val="00F66AB3"/>
    <w:rsid w:val="00F831D4"/>
    <w:rsid w:val="00FA7AF2"/>
    <w:rsid w:val="00FB1905"/>
    <w:rsid w:val="00FB4A33"/>
    <w:rsid w:val="00FB6FB3"/>
    <w:rsid w:val="00FD68BA"/>
    <w:rsid w:val="00FE21F1"/>
    <w:rsid w:val="00FF48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F42D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95A86"/>
    <w:pPr>
      <w:spacing w:line="360" w:lineRule="auto"/>
      <w:jc w:val="both"/>
    </w:pPr>
    <w:rPr>
      <w:rFonts w:ascii="Arial" w:hAnsi="Arial"/>
      <w:lang w:val="en-GB"/>
    </w:rPr>
  </w:style>
  <w:style w:type="paragraph" w:styleId="1">
    <w:name w:val="heading 1"/>
    <w:basedOn w:val="a"/>
    <w:link w:val="10"/>
    <w:autoRedefine/>
    <w:uiPriority w:val="9"/>
    <w:qFormat/>
    <w:rsid w:val="00EF3562"/>
    <w:pPr>
      <w:spacing w:before="100" w:beforeAutospacing="1" w:after="100" w:afterAutospacing="1"/>
      <w:outlineLvl w:val="0"/>
    </w:pPr>
    <w:rPr>
      <w:rFonts w:ascii="Times New Roman" w:eastAsia="Times New Roman" w:hAnsi="Times New Roman" w:cs="Times New Roman"/>
      <w:b/>
      <w:bCs/>
      <w:kern w:val="36"/>
      <w:sz w:val="28"/>
      <w:szCs w:val="48"/>
    </w:rPr>
  </w:style>
  <w:style w:type="paragraph" w:styleId="2">
    <w:name w:val="heading 2"/>
    <w:basedOn w:val="a"/>
    <w:link w:val="20"/>
    <w:autoRedefine/>
    <w:uiPriority w:val="9"/>
    <w:qFormat/>
    <w:rsid w:val="00B75E7D"/>
    <w:pPr>
      <w:spacing w:before="100" w:beforeAutospacing="1" w:after="100" w:afterAutospacing="1"/>
      <w:outlineLvl w:val="1"/>
    </w:pPr>
    <w:rPr>
      <w:rFonts w:ascii="Times New Roman" w:eastAsia="Times New Roman" w:hAnsi="Times New Roman" w:cs="Times New Roman"/>
      <w:b/>
      <w:bCs/>
      <w:sz w:val="26"/>
      <w:szCs w:val="28"/>
    </w:rPr>
  </w:style>
  <w:style w:type="paragraph" w:styleId="3">
    <w:name w:val="heading 3"/>
    <w:basedOn w:val="a"/>
    <w:link w:val="30"/>
    <w:autoRedefine/>
    <w:uiPriority w:val="9"/>
    <w:qFormat/>
    <w:rsid w:val="00B75E7D"/>
    <w:pPr>
      <w:spacing w:before="100" w:beforeAutospacing="1" w:after="100" w:afterAutospacing="1"/>
      <w:outlineLvl w:val="2"/>
    </w:pPr>
    <w:rPr>
      <w:rFonts w:eastAsia="Times New Roman" w:cs="Arial"/>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B75E7D"/>
    <w:rPr>
      <w:rFonts w:ascii="Times New Roman" w:eastAsia="Times New Roman" w:hAnsi="Times New Roman" w:cs="Times New Roman"/>
      <w:b/>
      <w:bCs/>
      <w:sz w:val="26"/>
      <w:szCs w:val="28"/>
    </w:rPr>
  </w:style>
  <w:style w:type="character" w:customStyle="1" w:styleId="10">
    <w:name w:val="Заглавие 1 Знак"/>
    <w:basedOn w:val="a0"/>
    <w:link w:val="1"/>
    <w:uiPriority w:val="9"/>
    <w:rsid w:val="00EF3562"/>
    <w:rPr>
      <w:rFonts w:ascii="Times New Roman" w:eastAsia="Times New Roman" w:hAnsi="Times New Roman" w:cs="Times New Roman"/>
      <w:b/>
      <w:bCs/>
      <w:kern w:val="36"/>
      <w:sz w:val="28"/>
      <w:szCs w:val="48"/>
    </w:rPr>
  </w:style>
  <w:style w:type="character" w:customStyle="1" w:styleId="30">
    <w:name w:val="Заглавие 3 Знак"/>
    <w:basedOn w:val="a0"/>
    <w:link w:val="3"/>
    <w:uiPriority w:val="9"/>
    <w:rsid w:val="00B75E7D"/>
    <w:rPr>
      <w:rFonts w:ascii="Arial" w:eastAsia="Times New Roman" w:hAnsi="Arial" w:cs="Arial"/>
      <w:b/>
      <w:bCs/>
      <w:sz w:val="24"/>
      <w:szCs w:val="24"/>
    </w:rPr>
  </w:style>
  <w:style w:type="paragraph" w:customStyle="1" w:styleId="isselectedend">
    <w:name w:val="isselectedend"/>
    <w:basedOn w:val="a"/>
    <w:rsid w:val="003E6E57"/>
    <w:pPr>
      <w:spacing w:before="100" w:beforeAutospacing="1" w:after="100" w:afterAutospacing="1" w:line="240" w:lineRule="auto"/>
    </w:pPr>
    <w:rPr>
      <w:rFonts w:ascii="Times New Roman" w:eastAsia="Times New Roman" w:hAnsi="Times New Roman" w:cs="Times New Roman"/>
      <w:sz w:val="24"/>
      <w:szCs w:val="24"/>
    </w:rPr>
  </w:style>
  <w:style w:type="paragraph" w:styleId="a3">
    <w:name w:val="Normal (Web)"/>
    <w:basedOn w:val="a"/>
    <w:uiPriority w:val="99"/>
    <w:semiHidden/>
    <w:unhideWhenUsed/>
    <w:rsid w:val="003E6E57"/>
    <w:pPr>
      <w:spacing w:before="100" w:beforeAutospacing="1" w:after="100" w:afterAutospacing="1" w:line="240" w:lineRule="auto"/>
    </w:pPr>
    <w:rPr>
      <w:rFonts w:ascii="Times New Roman" w:eastAsia="Times New Roman" w:hAnsi="Times New Roman" w:cs="Times New Roman"/>
      <w:sz w:val="24"/>
      <w:szCs w:val="24"/>
    </w:rPr>
  </w:style>
  <w:style w:type="paragraph" w:styleId="a4">
    <w:name w:val="TOC Heading"/>
    <w:basedOn w:val="1"/>
    <w:next w:val="a"/>
    <w:uiPriority w:val="39"/>
    <w:unhideWhenUsed/>
    <w:qFormat/>
    <w:rsid w:val="000F7B4D"/>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11">
    <w:name w:val="toc 1"/>
    <w:basedOn w:val="a"/>
    <w:next w:val="a"/>
    <w:autoRedefine/>
    <w:uiPriority w:val="39"/>
    <w:unhideWhenUsed/>
    <w:rsid w:val="000F7B4D"/>
    <w:pPr>
      <w:spacing w:after="100"/>
    </w:pPr>
  </w:style>
  <w:style w:type="paragraph" w:styleId="21">
    <w:name w:val="toc 2"/>
    <w:basedOn w:val="a"/>
    <w:next w:val="a"/>
    <w:autoRedefine/>
    <w:uiPriority w:val="39"/>
    <w:unhideWhenUsed/>
    <w:rsid w:val="000F7B4D"/>
    <w:pPr>
      <w:spacing w:after="100"/>
      <w:ind w:left="220"/>
    </w:pPr>
  </w:style>
  <w:style w:type="paragraph" w:styleId="31">
    <w:name w:val="toc 3"/>
    <w:basedOn w:val="a"/>
    <w:next w:val="a"/>
    <w:autoRedefine/>
    <w:uiPriority w:val="39"/>
    <w:unhideWhenUsed/>
    <w:rsid w:val="000F7B4D"/>
    <w:pPr>
      <w:spacing w:after="100"/>
      <w:ind w:left="440"/>
    </w:pPr>
  </w:style>
  <w:style w:type="character" w:styleId="a5">
    <w:name w:val="Hyperlink"/>
    <w:basedOn w:val="a0"/>
    <w:uiPriority w:val="99"/>
    <w:unhideWhenUsed/>
    <w:rsid w:val="000F7B4D"/>
    <w:rPr>
      <w:color w:val="0563C1" w:themeColor="hyperlink"/>
      <w:u w:val="single"/>
    </w:rPr>
  </w:style>
  <w:style w:type="paragraph" w:styleId="a6">
    <w:name w:val="List Paragraph"/>
    <w:basedOn w:val="a"/>
    <w:uiPriority w:val="34"/>
    <w:qFormat/>
    <w:rsid w:val="0072725C"/>
    <w:pPr>
      <w:ind w:left="720"/>
      <w:contextualSpacing/>
    </w:pPr>
  </w:style>
  <w:style w:type="paragraph" w:styleId="a7">
    <w:name w:val="header"/>
    <w:basedOn w:val="a"/>
    <w:link w:val="a8"/>
    <w:uiPriority w:val="99"/>
    <w:unhideWhenUsed/>
    <w:rsid w:val="00CA0E99"/>
    <w:pPr>
      <w:tabs>
        <w:tab w:val="center" w:pos="4680"/>
        <w:tab w:val="right" w:pos="9360"/>
      </w:tabs>
      <w:spacing w:after="0" w:line="240" w:lineRule="auto"/>
    </w:pPr>
  </w:style>
  <w:style w:type="character" w:customStyle="1" w:styleId="a8">
    <w:name w:val="Горен колонтитул Знак"/>
    <w:basedOn w:val="a0"/>
    <w:link w:val="a7"/>
    <w:uiPriority w:val="99"/>
    <w:rsid w:val="00CA0E99"/>
  </w:style>
  <w:style w:type="paragraph" w:styleId="a9">
    <w:name w:val="footer"/>
    <w:basedOn w:val="a"/>
    <w:link w:val="aa"/>
    <w:uiPriority w:val="99"/>
    <w:unhideWhenUsed/>
    <w:rsid w:val="00CA0E99"/>
    <w:pPr>
      <w:tabs>
        <w:tab w:val="center" w:pos="4680"/>
        <w:tab w:val="right" w:pos="9360"/>
      </w:tabs>
      <w:spacing w:after="0" w:line="240" w:lineRule="auto"/>
    </w:pPr>
  </w:style>
  <w:style w:type="character" w:customStyle="1" w:styleId="aa">
    <w:name w:val="Долен колонтитул Знак"/>
    <w:basedOn w:val="a0"/>
    <w:link w:val="a9"/>
    <w:uiPriority w:val="99"/>
    <w:rsid w:val="00CA0E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67045">
      <w:bodyDiv w:val="1"/>
      <w:marLeft w:val="0"/>
      <w:marRight w:val="0"/>
      <w:marTop w:val="0"/>
      <w:marBottom w:val="0"/>
      <w:divBdr>
        <w:top w:val="none" w:sz="0" w:space="0" w:color="auto"/>
        <w:left w:val="none" w:sz="0" w:space="0" w:color="auto"/>
        <w:bottom w:val="none" w:sz="0" w:space="0" w:color="auto"/>
        <w:right w:val="none" w:sz="0" w:space="0" w:color="auto"/>
      </w:divBdr>
    </w:div>
    <w:div w:id="917402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D69F9-12C5-4BD1-A837-DE2212EF0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2804</Words>
  <Characters>15984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2026-08-07T10:27:00Z</dcterms:created>
  <dcterms:modified xsi:type="dcterms:W3CDTF">2026-08-16T09:11:00Z</dcterms:modified>
</cp:coreProperties>
</file>