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DF1F9" w14:textId="77777777" w:rsidR="00B5487F" w:rsidRDefault="0046408D">
      <w:pPr>
        <w:spacing w:after="80"/>
      </w:pPr>
      <w:r>
        <w:rPr>
          <w:i/>
          <w:iCs/>
          <w:color w:val="999999"/>
          <w:sz w:val="20"/>
          <w:szCs w:val="20"/>
        </w:rPr>
        <w:t>LCDB</w:t>
      </w:r>
      <w:proofErr w:type="gramStart"/>
      <w:r>
        <w:rPr>
          <w:i/>
          <w:iCs/>
          <w:color w:val="999999"/>
          <w:sz w:val="20"/>
          <w:szCs w:val="20"/>
        </w:rPr>
        <w:t>7010  |</w:t>
      </w:r>
      <w:proofErr w:type="gramEnd"/>
      <w:r>
        <w:rPr>
          <w:i/>
          <w:iCs/>
          <w:color w:val="999999"/>
          <w:sz w:val="20"/>
          <w:szCs w:val="20"/>
        </w:rPr>
        <w:t xml:space="preserve">  DBA </w:t>
      </w:r>
      <w:proofErr w:type="gramStart"/>
      <w:r>
        <w:rPr>
          <w:i/>
          <w:iCs/>
          <w:color w:val="999999"/>
          <w:sz w:val="20"/>
          <w:szCs w:val="20"/>
        </w:rPr>
        <w:t>Programme  |</w:t>
      </w:r>
      <w:proofErr w:type="gramEnd"/>
      <w:r>
        <w:rPr>
          <w:i/>
          <w:iCs/>
          <w:color w:val="999999"/>
          <w:sz w:val="20"/>
          <w:szCs w:val="20"/>
        </w:rPr>
        <w:t xml:space="preserve">  UWTSD</w:t>
      </w:r>
    </w:p>
    <w:p w14:paraId="2138C469" w14:textId="77777777" w:rsidR="00B5487F" w:rsidRDefault="0046408D">
      <w:pPr>
        <w:spacing w:after="160"/>
      </w:pPr>
      <w:r>
        <w:rPr>
          <w:rFonts w:ascii="Georgia" w:eastAsia="Georgia" w:hAnsi="Georgia" w:cs="Georgia"/>
          <w:b/>
          <w:bCs/>
          <w:color w:val="6D2E46"/>
          <w:sz w:val="40"/>
          <w:szCs w:val="40"/>
        </w:rPr>
        <w:t>Citations and Reading List</w:t>
      </w:r>
    </w:p>
    <w:p w14:paraId="19D3B9A7" w14:textId="77777777" w:rsidR="00B5487F" w:rsidRDefault="0046408D">
      <w:pPr>
        <w:spacing w:after="80"/>
      </w:pPr>
      <w:r>
        <w:rPr>
          <w:rFonts w:ascii="Georgia" w:eastAsia="Georgia" w:hAnsi="Georgia" w:cs="Georgia"/>
          <w:b/>
          <w:bCs/>
          <w:color w:val="1E3A6B"/>
          <w:sz w:val="28"/>
          <w:szCs w:val="28"/>
        </w:rPr>
        <w:t>Writing the Literature Review for Your Pilot Study</w:t>
      </w:r>
    </w:p>
    <w:p w14:paraId="6A85F669" w14:textId="77777777" w:rsidR="00B5487F" w:rsidRDefault="0046408D">
      <w:pPr>
        <w:spacing w:after="80"/>
      </w:pPr>
      <w:r>
        <w:rPr>
          <w:color w:val="555555"/>
        </w:rPr>
        <w:t xml:space="preserve">Workshop </w:t>
      </w:r>
      <w:proofErr w:type="gramStart"/>
      <w:r>
        <w:rPr>
          <w:color w:val="555555"/>
        </w:rPr>
        <w:t>Presentation  |</w:t>
      </w:r>
      <w:proofErr w:type="gramEnd"/>
      <w:r>
        <w:rPr>
          <w:color w:val="555555"/>
        </w:rPr>
        <w:t xml:space="preserve">  LCDB7010 Converting Research into Practice</w:t>
      </w:r>
    </w:p>
    <w:p w14:paraId="304B0392" w14:textId="77777777" w:rsidR="00B5487F" w:rsidRDefault="00B5487F">
      <w:pPr>
        <w:spacing w:after="80"/>
      </w:pPr>
    </w:p>
    <w:p w14:paraId="48D4C152" w14:textId="32E1F644" w:rsidR="00B5487F" w:rsidRDefault="0046408D">
      <w:pPr>
        <w:spacing w:after="100"/>
      </w:pPr>
      <w:r>
        <w:rPr>
          <w:color w:val="555555"/>
        </w:rPr>
        <w:t xml:space="preserve">Dr Caroline Jawad  </w:t>
      </w:r>
    </w:p>
    <w:p w14:paraId="250932FE" w14:textId="77777777" w:rsidR="00B5487F" w:rsidRDefault="0046408D">
      <w:pPr>
        <w:spacing w:after="100"/>
      </w:pPr>
      <w:r>
        <w:rPr>
          <w:i/>
          <w:iCs/>
          <w:color w:val="555555"/>
        </w:rPr>
        <w:t>APA 7th edition throughout.</w:t>
      </w:r>
    </w:p>
    <w:p w14:paraId="6CF609B2" w14:textId="77777777" w:rsidR="00B5487F" w:rsidRDefault="00B5487F">
      <w:pPr>
        <w:pBdr>
          <w:bottom w:val="single" w:sz="4" w:space="0" w:color="6D2E46"/>
        </w:pBdr>
        <w:spacing w:after="160"/>
      </w:pPr>
    </w:p>
    <w:p w14:paraId="35DEE02F" w14:textId="77777777" w:rsidR="00B5487F" w:rsidRDefault="00B5487F">
      <w:pPr>
        <w:spacing w:after="1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5C2C9BDA"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6D2E46"/>
            <w:tcMar>
              <w:top w:w="100" w:type="dxa"/>
              <w:left w:w="160" w:type="dxa"/>
              <w:bottom w:w="100" w:type="dxa"/>
              <w:right w:w="120" w:type="dxa"/>
            </w:tcMar>
          </w:tcPr>
          <w:p w14:paraId="424B41EB" w14:textId="77777777" w:rsidR="00B5487F" w:rsidRDefault="0046408D">
            <w:r>
              <w:rPr>
                <w:rFonts w:ascii="Georgia" w:eastAsia="Georgia" w:hAnsi="Georgia" w:cs="Georgia"/>
                <w:b/>
                <w:bCs/>
                <w:color w:val="FFFFFF"/>
                <w:sz w:val="26"/>
                <w:szCs w:val="26"/>
              </w:rPr>
              <w:t>A Note on Illustrative Examples in the Presentation</w:t>
            </w:r>
          </w:p>
        </w:tc>
      </w:tr>
    </w:tbl>
    <w:p w14:paraId="3663DEFA" w14:textId="77777777" w:rsidR="00B5487F" w:rsidRDefault="00B5487F">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1DA238AD" w14:textId="77777777">
        <w:tblPrEx>
          <w:tblCellMar>
            <w:top w:w="0" w:type="dxa"/>
            <w:bottom w:w="0" w:type="dxa"/>
          </w:tblCellMar>
        </w:tblPrEx>
        <w:tc>
          <w:tcPr>
            <w:tcW w:w="9360" w:type="dxa"/>
            <w:tcBorders>
              <w:top w:val="single" w:sz="4" w:space="0" w:color="D4C4A8"/>
              <w:left w:val="thick" w:sz="12" w:space="0" w:color="6D2E46"/>
              <w:bottom w:val="single" w:sz="4" w:space="0" w:color="D4C4A8"/>
              <w:right w:val="single" w:sz="4" w:space="0" w:color="D4C4A8"/>
            </w:tcBorders>
            <w:shd w:val="clear" w:color="auto" w:fill="F0EDE8"/>
            <w:tcMar>
              <w:top w:w="100" w:type="dxa"/>
              <w:left w:w="160" w:type="dxa"/>
              <w:bottom w:w="100" w:type="dxa"/>
              <w:right w:w="120" w:type="dxa"/>
            </w:tcMar>
          </w:tcPr>
          <w:p w14:paraId="306DDC10" w14:textId="77777777" w:rsidR="00B5487F" w:rsidRDefault="0046408D">
            <w:pPr>
              <w:spacing w:after="80"/>
            </w:pPr>
            <w:r>
              <w:rPr>
                <w:i/>
                <w:iCs/>
                <w:color w:val="5E3E1B"/>
                <w:sz w:val="20"/>
                <w:szCs w:val="20"/>
              </w:rPr>
              <w:t>Note on fabricated examples</w:t>
            </w:r>
          </w:p>
          <w:p w14:paraId="01A010FB" w14:textId="77777777" w:rsidR="00B5487F" w:rsidRDefault="00B5487F">
            <w:pPr>
              <w:spacing w:after="80"/>
            </w:pPr>
          </w:p>
          <w:p w14:paraId="74B82560" w14:textId="77777777" w:rsidR="00B5487F" w:rsidRDefault="0046408D">
            <w:pPr>
              <w:spacing w:after="80"/>
            </w:pPr>
            <w:r>
              <w:rPr>
                <w:color w:val="5E3E1B"/>
                <w:sz w:val="20"/>
                <w:szCs w:val="20"/>
              </w:rPr>
              <w:t>Several citations in the workshop slides are illustrative examples created for teaching purposes only. They demonstrate descriptive versus critical writing and model a worked gap statement. They are NOT real published studies and must not be cited in your own work.</w:t>
            </w:r>
          </w:p>
          <w:p w14:paraId="577EDCEB" w14:textId="77777777" w:rsidR="00B5487F" w:rsidRDefault="00B5487F">
            <w:pPr>
              <w:spacing w:after="80"/>
            </w:pPr>
          </w:p>
          <w:p w14:paraId="38EE114B" w14:textId="77777777" w:rsidR="00B5487F" w:rsidRDefault="0046408D">
            <w:pPr>
              <w:spacing w:after="80"/>
            </w:pPr>
            <w:r>
              <w:rPr>
                <w:i/>
                <w:iCs/>
                <w:color w:val="5E3E1B"/>
                <w:sz w:val="20"/>
                <w:szCs w:val="20"/>
              </w:rPr>
              <w:t>These illustrative citations are:</w:t>
            </w:r>
          </w:p>
          <w:p w14:paraId="201A2FA2" w14:textId="318B5057" w:rsidR="00B5487F" w:rsidRDefault="0046408D">
            <w:pPr>
              <w:spacing w:after="80"/>
            </w:pPr>
            <w:r>
              <w:rPr>
                <w:color w:val="5E3E1B"/>
                <w:sz w:val="20"/>
                <w:szCs w:val="20"/>
              </w:rPr>
              <w:t xml:space="preserve">  •  Smith (2018, 2020), Jones (2019, 2021), Brown (2019, 2020), Williams (2021), Patel (2022)</w:t>
            </w:r>
            <w:r w:rsidR="00A127FA">
              <w:rPr>
                <w:color w:val="5E3E1B"/>
                <w:sz w:val="20"/>
                <w:szCs w:val="20"/>
              </w:rPr>
              <w:t xml:space="preserve">, </w:t>
            </w:r>
            <w:r>
              <w:rPr>
                <w:color w:val="5E3E1B"/>
                <w:sz w:val="20"/>
                <w:szCs w:val="20"/>
              </w:rPr>
              <w:t>leadership and engagement examples used in the 'writing the gap' and 'critical paragraph' slides</w:t>
            </w:r>
          </w:p>
          <w:p w14:paraId="27A214F9" w14:textId="77777777" w:rsidR="00B5487F" w:rsidRDefault="00B5487F">
            <w:pPr>
              <w:spacing w:after="80"/>
            </w:pPr>
          </w:p>
          <w:p w14:paraId="100B5400" w14:textId="77777777" w:rsidR="00B5487F" w:rsidRDefault="0046408D">
            <w:pPr>
              <w:spacing w:after="80"/>
            </w:pPr>
            <w:r>
              <w:rPr>
                <w:i/>
                <w:iCs/>
                <w:color w:val="5E3E1B"/>
                <w:sz w:val="20"/>
                <w:szCs w:val="20"/>
              </w:rPr>
              <w:t>All other citations in the presentation reference real published works and are listed in full below.</w:t>
            </w:r>
          </w:p>
        </w:tc>
      </w:tr>
    </w:tbl>
    <w:p w14:paraId="736512EC" w14:textId="77777777" w:rsidR="00B5487F" w:rsidRDefault="00B5487F">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4C02A44D"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6D2E46"/>
            <w:tcMar>
              <w:top w:w="100" w:type="dxa"/>
              <w:left w:w="160" w:type="dxa"/>
              <w:bottom w:w="100" w:type="dxa"/>
              <w:right w:w="120" w:type="dxa"/>
            </w:tcMar>
          </w:tcPr>
          <w:p w14:paraId="0793CBEB" w14:textId="3836B5CA" w:rsidR="00B5487F" w:rsidRDefault="0046408D">
            <w:r>
              <w:rPr>
                <w:rFonts w:ascii="Georgia" w:eastAsia="Georgia" w:hAnsi="Georgia" w:cs="Georgia"/>
                <w:b/>
                <w:bCs/>
                <w:color w:val="FFFFFF"/>
                <w:sz w:val="26"/>
                <w:szCs w:val="26"/>
              </w:rPr>
              <w:t>Section 1</w:t>
            </w:r>
            <w:r w:rsidR="00A127FA">
              <w:rPr>
                <w:rFonts w:ascii="Georgia" w:eastAsia="Georgia" w:hAnsi="Georgia" w:cs="Georgia"/>
                <w:b/>
                <w:bCs/>
                <w:color w:val="FFFFFF"/>
                <w:sz w:val="26"/>
                <w:szCs w:val="26"/>
              </w:rPr>
              <w:t xml:space="preserve">, </w:t>
            </w:r>
            <w:r>
              <w:rPr>
                <w:rFonts w:ascii="Georgia" w:eastAsia="Georgia" w:hAnsi="Georgia" w:cs="Georgia"/>
                <w:b/>
                <w:bCs/>
                <w:color w:val="FFFFFF"/>
                <w:sz w:val="26"/>
                <w:szCs w:val="26"/>
              </w:rPr>
              <w:t>Works Cited in the Presentation (APA 7th)</w:t>
            </w:r>
          </w:p>
        </w:tc>
      </w:tr>
    </w:tbl>
    <w:p w14:paraId="1C660514" w14:textId="77777777" w:rsidR="00B5487F" w:rsidRDefault="00B5487F">
      <w:pPr>
        <w:spacing w:after="80"/>
      </w:pPr>
    </w:p>
    <w:p w14:paraId="1CB7E5D6" w14:textId="77777777" w:rsidR="00B5487F" w:rsidRDefault="00B5487F">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57D36302" w14:textId="77777777">
        <w:tblPrEx>
          <w:tblCellMar>
            <w:top w:w="0" w:type="dxa"/>
            <w:bottom w:w="0" w:type="dxa"/>
          </w:tblCellMar>
        </w:tblPrEx>
        <w:tc>
          <w:tcPr>
            <w:tcW w:w="9360" w:type="dxa"/>
            <w:tcBorders>
              <w:top w:val="single" w:sz="6" w:space="0" w:color="6D2E46"/>
              <w:left w:val="thick" w:sz="16" w:space="0" w:color="6D2E46"/>
              <w:bottom w:val="single" w:sz="6" w:space="0" w:color="6D2E46"/>
              <w:right w:val="single" w:sz="6" w:space="0" w:color="6D2E46"/>
            </w:tcBorders>
            <w:shd w:val="clear" w:color="auto" w:fill="F5EEF2"/>
            <w:tcMar>
              <w:top w:w="100" w:type="dxa"/>
              <w:left w:w="160" w:type="dxa"/>
              <w:bottom w:w="100" w:type="dxa"/>
              <w:right w:w="120" w:type="dxa"/>
            </w:tcMar>
          </w:tcPr>
          <w:p w14:paraId="55F9068D" w14:textId="71BDDE93" w:rsidR="00B5487F" w:rsidRDefault="0046408D">
            <w:pPr>
              <w:spacing w:after="40"/>
            </w:pPr>
            <w:proofErr w:type="gramStart"/>
            <w:r>
              <w:rPr>
                <w:rFonts w:ascii="Georgia" w:eastAsia="Georgia" w:hAnsi="Georgia" w:cs="Georgia"/>
                <w:b/>
                <w:bCs/>
                <w:color w:val="6D2E46"/>
                <w:sz w:val="20"/>
                <w:szCs w:val="20"/>
              </w:rPr>
              <w:t>★  ESSENTIAL</w:t>
            </w:r>
            <w:proofErr w:type="gramEnd"/>
            <w:r w:rsidR="00A127FA">
              <w:rPr>
                <w:rFonts w:ascii="Georgia" w:eastAsia="Georgia" w:hAnsi="Georgia" w:cs="Georgia"/>
                <w:b/>
                <w:bCs/>
                <w:color w:val="6D2E46"/>
                <w:sz w:val="20"/>
                <w:szCs w:val="20"/>
              </w:rPr>
              <w:t xml:space="preserve">, </w:t>
            </w:r>
            <w:r>
              <w:rPr>
                <w:rFonts w:ascii="Georgia" w:eastAsia="Georgia" w:hAnsi="Georgia" w:cs="Georgia"/>
                <w:b/>
                <w:bCs/>
                <w:color w:val="6D2E46"/>
                <w:sz w:val="20"/>
                <w:szCs w:val="20"/>
              </w:rPr>
              <w:t>cited repeatedly throughout</w:t>
            </w:r>
          </w:p>
          <w:p w14:paraId="4D7D37D2" w14:textId="77777777" w:rsidR="00B5487F" w:rsidRDefault="0046408D">
            <w:r>
              <w:rPr>
                <w:color w:val="2C2C2C"/>
                <w:sz w:val="21"/>
                <w:szCs w:val="21"/>
              </w:rPr>
              <w:t xml:space="preserve">Rocco, T. S., &amp; </w:t>
            </w:r>
            <w:proofErr w:type="spellStart"/>
            <w:r>
              <w:rPr>
                <w:color w:val="2C2C2C"/>
                <w:sz w:val="21"/>
                <w:szCs w:val="21"/>
              </w:rPr>
              <w:t>Plakhotnik</w:t>
            </w:r>
            <w:proofErr w:type="spellEnd"/>
            <w:r>
              <w:rPr>
                <w:color w:val="2C2C2C"/>
                <w:sz w:val="21"/>
                <w:szCs w:val="21"/>
              </w:rPr>
              <w:t>, M. S. (2009). Literature reviews, conceptual frameworks, and theoretical frameworks: Terms, functions, and distinctions. Human Resource Development Review, 8(1), 120–130. https://doi.org/10.1177/1534484309332617</w:t>
            </w:r>
          </w:p>
        </w:tc>
      </w:tr>
    </w:tbl>
    <w:p w14:paraId="638A16E5" w14:textId="77777777" w:rsidR="00B5487F" w:rsidRDefault="00B5487F">
      <w:pPr>
        <w:spacing w:after="120"/>
      </w:pPr>
    </w:p>
    <w:p w14:paraId="439D40DC" w14:textId="77777777" w:rsidR="00B5487F" w:rsidRDefault="0046408D">
      <w:pPr>
        <w:spacing w:after="120"/>
        <w:ind w:left="720" w:hanging="720"/>
      </w:pPr>
      <w:r>
        <w:rPr>
          <w:color w:val="2C2C2C"/>
          <w:sz w:val="21"/>
          <w:szCs w:val="21"/>
        </w:rPr>
        <w:t>Bass, B. M. (2008). The Bass handbook of leadership: Theory, research, and managerial applications (4th ed.). Free Press.</w:t>
      </w:r>
    </w:p>
    <w:p w14:paraId="02CE0075" w14:textId="77777777" w:rsidR="00B5487F" w:rsidRDefault="0046408D">
      <w:pPr>
        <w:spacing w:after="120"/>
        <w:ind w:left="720" w:hanging="720"/>
      </w:pPr>
      <w:r>
        <w:rPr>
          <w:color w:val="2C2C2C"/>
          <w:sz w:val="21"/>
          <w:szCs w:val="21"/>
        </w:rPr>
        <w:t>Boote, D. N., &amp; Beile, P. (2005). Scholars before researchers: On the centrality of the dissertation literature review in research preparation. Educational Researcher, 34(6), 3–15.</w:t>
      </w:r>
      <w:r>
        <w:rPr>
          <w:sz w:val="21"/>
          <w:szCs w:val="21"/>
        </w:rPr>
        <w:t xml:space="preserve"> </w:t>
      </w:r>
      <w:hyperlink r:id="rId7" w:history="1">
        <w:r>
          <w:rPr>
            <w:color w:val="1155CC"/>
            <w:sz w:val="21"/>
            <w:szCs w:val="21"/>
            <w:u w:val="single"/>
          </w:rPr>
          <w:t>https://doi.org/10.3102/0013189X034006003</w:t>
        </w:r>
      </w:hyperlink>
    </w:p>
    <w:p w14:paraId="33F43563" w14:textId="77777777" w:rsidR="00B5487F" w:rsidRDefault="0046408D">
      <w:pPr>
        <w:spacing w:after="120"/>
        <w:ind w:left="720" w:hanging="720"/>
      </w:pPr>
      <w:r>
        <w:rPr>
          <w:color w:val="2C2C2C"/>
          <w:sz w:val="21"/>
          <w:szCs w:val="21"/>
        </w:rPr>
        <w:t xml:space="preserve">Creswell, J. W. (2014). Research design: Qualitative, quantitative, and mixed methods </w:t>
      </w:r>
      <w:proofErr w:type="gramStart"/>
      <w:r>
        <w:rPr>
          <w:color w:val="2C2C2C"/>
          <w:sz w:val="21"/>
          <w:szCs w:val="21"/>
        </w:rPr>
        <w:t>approaches</w:t>
      </w:r>
      <w:proofErr w:type="gramEnd"/>
      <w:r>
        <w:rPr>
          <w:color w:val="2C2C2C"/>
          <w:sz w:val="21"/>
          <w:szCs w:val="21"/>
        </w:rPr>
        <w:t xml:space="preserve"> (4th ed.). Sage.</w:t>
      </w:r>
    </w:p>
    <w:p w14:paraId="3AB0E93D" w14:textId="77777777" w:rsidR="00B5487F" w:rsidRDefault="0046408D">
      <w:pPr>
        <w:spacing w:after="120"/>
        <w:ind w:left="720" w:hanging="720"/>
      </w:pPr>
      <w:r>
        <w:rPr>
          <w:color w:val="2C2C2C"/>
          <w:sz w:val="21"/>
          <w:szCs w:val="21"/>
        </w:rPr>
        <w:lastRenderedPageBreak/>
        <w:t>DiMaggio, P. J., &amp; Powell, W. W. (1983). The iron cage revisited: Institutional isomorphism and collective rationality in organizations. American Sociological Review, 48(2), 147–160.</w:t>
      </w:r>
      <w:r>
        <w:rPr>
          <w:sz w:val="21"/>
          <w:szCs w:val="21"/>
        </w:rPr>
        <w:t xml:space="preserve"> </w:t>
      </w:r>
      <w:hyperlink r:id="rId8" w:history="1">
        <w:r>
          <w:rPr>
            <w:color w:val="1155CC"/>
            <w:sz w:val="21"/>
            <w:szCs w:val="21"/>
            <w:u w:val="single"/>
          </w:rPr>
          <w:t>https://doi.org/10.2307/2095101</w:t>
        </w:r>
      </w:hyperlink>
    </w:p>
    <w:p w14:paraId="2FF0A493" w14:textId="77777777" w:rsidR="00B5487F" w:rsidRDefault="0046408D">
      <w:pPr>
        <w:spacing w:after="120"/>
        <w:ind w:left="720" w:hanging="720"/>
      </w:pPr>
      <w:r>
        <w:rPr>
          <w:color w:val="2C2C2C"/>
          <w:sz w:val="21"/>
          <w:szCs w:val="21"/>
        </w:rPr>
        <w:t xml:space="preserve">Edmondson, A. (1999). Psychological safety and learning </w:t>
      </w:r>
      <w:proofErr w:type="spellStart"/>
      <w:r>
        <w:rPr>
          <w:color w:val="2C2C2C"/>
          <w:sz w:val="21"/>
          <w:szCs w:val="21"/>
        </w:rPr>
        <w:t>behavior</w:t>
      </w:r>
      <w:proofErr w:type="spellEnd"/>
      <w:r>
        <w:rPr>
          <w:color w:val="2C2C2C"/>
          <w:sz w:val="21"/>
          <w:szCs w:val="21"/>
        </w:rPr>
        <w:t xml:space="preserve"> in work teams. Administrative Science Quarterly, 44(2), 350–383.</w:t>
      </w:r>
      <w:r>
        <w:rPr>
          <w:sz w:val="21"/>
          <w:szCs w:val="21"/>
        </w:rPr>
        <w:t xml:space="preserve"> </w:t>
      </w:r>
      <w:hyperlink r:id="rId9" w:history="1">
        <w:r>
          <w:rPr>
            <w:color w:val="1155CC"/>
            <w:sz w:val="21"/>
            <w:szCs w:val="21"/>
            <w:u w:val="single"/>
          </w:rPr>
          <w:t>https://doi.org/10.2307/2666999</w:t>
        </w:r>
      </w:hyperlink>
    </w:p>
    <w:p w14:paraId="3DE665F5" w14:textId="77777777" w:rsidR="00B5487F" w:rsidRDefault="0046408D">
      <w:pPr>
        <w:spacing w:after="120"/>
        <w:ind w:left="720" w:hanging="720"/>
      </w:pPr>
      <w:r>
        <w:rPr>
          <w:color w:val="2C2C2C"/>
          <w:sz w:val="21"/>
          <w:szCs w:val="21"/>
        </w:rPr>
        <w:t>Foucault, M. (1976). The history of sexuality, volume 1: An introduction (R. Hurley, Trans.). Penguin. (Original work published 1976)</w:t>
      </w:r>
    </w:p>
    <w:p w14:paraId="4AE23794" w14:textId="77777777" w:rsidR="00B5487F" w:rsidRDefault="0046408D">
      <w:pPr>
        <w:spacing w:after="120"/>
        <w:ind w:left="720" w:hanging="720"/>
      </w:pPr>
      <w:r>
        <w:rPr>
          <w:color w:val="2C2C2C"/>
          <w:sz w:val="21"/>
          <w:szCs w:val="21"/>
        </w:rPr>
        <w:t>Freeman, R. E. (1984). Strategic management: A stakeholder approach. Pitman.</w:t>
      </w:r>
    </w:p>
    <w:p w14:paraId="637AFEDB" w14:textId="77777777" w:rsidR="00B5487F" w:rsidRDefault="0046408D">
      <w:pPr>
        <w:spacing w:after="120"/>
        <w:ind w:left="720" w:hanging="720"/>
      </w:pPr>
      <w:r>
        <w:rPr>
          <w:color w:val="2C2C2C"/>
          <w:sz w:val="21"/>
          <w:szCs w:val="21"/>
        </w:rPr>
        <w:t>Friedman, M. (1970, September 13). The social responsibility of business is to increase its profits. The New York Times Magazine, 32–33.</w:t>
      </w:r>
    </w:p>
    <w:p w14:paraId="00900C73" w14:textId="77777777" w:rsidR="00B5487F" w:rsidRDefault="0046408D">
      <w:pPr>
        <w:spacing w:after="120"/>
        <w:ind w:left="720" w:hanging="720"/>
      </w:pPr>
      <w:r>
        <w:rPr>
          <w:color w:val="2C2C2C"/>
          <w:sz w:val="21"/>
          <w:szCs w:val="21"/>
        </w:rPr>
        <w:t>Gioia, D. A., Corley, K. G., &amp; Hamilton, A. L. (2013). Seeking qualitative rigor in inductive research: Notes on the Gioia methodology. Organizational Research Methods, 16(1), 15–31.</w:t>
      </w:r>
      <w:r>
        <w:rPr>
          <w:sz w:val="21"/>
          <w:szCs w:val="21"/>
        </w:rPr>
        <w:t xml:space="preserve"> </w:t>
      </w:r>
      <w:hyperlink r:id="rId10" w:history="1">
        <w:r>
          <w:rPr>
            <w:color w:val="1155CC"/>
            <w:sz w:val="21"/>
            <w:szCs w:val="21"/>
            <w:u w:val="single"/>
          </w:rPr>
          <w:t>https://doi.org/10.1177/1094428112452151</w:t>
        </w:r>
      </w:hyperlink>
    </w:p>
    <w:p w14:paraId="313A590B" w14:textId="77777777" w:rsidR="00B5487F" w:rsidRDefault="0046408D">
      <w:pPr>
        <w:spacing w:after="120"/>
        <w:ind w:left="720" w:hanging="720"/>
      </w:pPr>
      <w:r>
        <w:rPr>
          <w:color w:val="2C2C2C"/>
          <w:sz w:val="21"/>
          <w:szCs w:val="21"/>
        </w:rPr>
        <w:t>Hart, C. (1998). Doing a literature review: Releasing the research imagination. Sage.</w:t>
      </w:r>
    </w:p>
    <w:p w14:paraId="2676B67E" w14:textId="77777777" w:rsidR="00B5487F" w:rsidRDefault="0046408D">
      <w:pPr>
        <w:spacing w:after="120"/>
        <w:ind w:left="720" w:hanging="720"/>
      </w:pPr>
      <w:r>
        <w:rPr>
          <w:color w:val="2C2C2C"/>
          <w:sz w:val="21"/>
          <w:szCs w:val="21"/>
        </w:rPr>
        <w:t xml:space="preserve">Majid, U., </w:t>
      </w:r>
      <w:proofErr w:type="spellStart"/>
      <w:r>
        <w:rPr>
          <w:color w:val="2C2C2C"/>
          <w:sz w:val="21"/>
          <w:szCs w:val="21"/>
        </w:rPr>
        <w:t>Sudagar</w:t>
      </w:r>
      <w:proofErr w:type="spellEnd"/>
      <w:r>
        <w:rPr>
          <w:color w:val="2C2C2C"/>
          <w:sz w:val="21"/>
          <w:szCs w:val="21"/>
        </w:rPr>
        <w:t>, A., &amp; Ennis, J. (2017). Piloting for interviews in qualitative research: Operationalizing validity and reliability. International Journal of Applied Research in Business and Social Science, 7(4), 1073–1080.</w:t>
      </w:r>
      <w:r>
        <w:rPr>
          <w:sz w:val="21"/>
          <w:szCs w:val="21"/>
        </w:rPr>
        <w:t xml:space="preserve"> </w:t>
      </w:r>
      <w:hyperlink r:id="rId11" w:history="1">
        <w:r>
          <w:rPr>
            <w:color w:val="1155CC"/>
            <w:sz w:val="21"/>
            <w:szCs w:val="21"/>
            <w:u w:val="single"/>
          </w:rPr>
          <w:t>https://doi.org/10.6007/IJARBSS/v7-i4/2916</w:t>
        </w:r>
      </w:hyperlink>
    </w:p>
    <w:p w14:paraId="3343C74B" w14:textId="77777777" w:rsidR="00B5487F" w:rsidRDefault="0046408D">
      <w:pPr>
        <w:spacing w:after="120"/>
        <w:ind w:left="720" w:hanging="720"/>
      </w:pPr>
      <w:r>
        <w:rPr>
          <w:color w:val="2C2C2C"/>
          <w:sz w:val="21"/>
          <w:szCs w:val="21"/>
        </w:rPr>
        <w:t>Merriam, S. B. (2001). Qualitative research and case study applications in education (2nd ed.). Jossey-Bass.</w:t>
      </w:r>
    </w:p>
    <w:p w14:paraId="4A415D54" w14:textId="77777777" w:rsidR="00B5487F" w:rsidRDefault="0046408D">
      <w:pPr>
        <w:spacing w:after="120"/>
        <w:ind w:left="720" w:hanging="720"/>
      </w:pPr>
      <w:r>
        <w:rPr>
          <w:color w:val="2C2C2C"/>
          <w:sz w:val="21"/>
          <w:szCs w:val="21"/>
        </w:rPr>
        <w:t>Nambisan, S. (2017). Digital entrepreneurship: Toward a digital technology perspective of entrepreneurship. Entrepreneurship Theory and Practice, 41(6), 1029–1055.</w:t>
      </w:r>
      <w:r>
        <w:rPr>
          <w:sz w:val="21"/>
          <w:szCs w:val="21"/>
        </w:rPr>
        <w:t xml:space="preserve"> </w:t>
      </w:r>
      <w:hyperlink r:id="rId12" w:history="1">
        <w:r>
          <w:rPr>
            <w:color w:val="1155CC"/>
            <w:sz w:val="21"/>
            <w:szCs w:val="21"/>
            <w:u w:val="single"/>
          </w:rPr>
          <w:t>https://doi.org/10.1111/etap.12254</w:t>
        </w:r>
      </w:hyperlink>
    </w:p>
    <w:p w14:paraId="48A62FE0" w14:textId="77777777" w:rsidR="00B5487F" w:rsidRDefault="0046408D">
      <w:pPr>
        <w:spacing w:after="120"/>
        <w:ind w:left="720" w:hanging="720"/>
      </w:pPr>
      <w:r>
        <w:rPr>
          <w:color w:val="2C2C2C"/>
          <w:sz w:val="21"/>
          <w:szCs w:val="21"/>
        </w:rPr>
        <w:t>Ridley, D. (2012). The literature review: A step-by-step guide for students (2nd ed.). Sage.</w:t>
      </w:r>
    </w:p>
    <w:p w14:paraId="2A878A21" w14:textId="77777777" w:rsidR="00B5487F" w:rsidRDefault="0046408D">
      <w:pPr>
        <w:spacing w:after="120"/>
        <w:ind w:left="720" w:hanging="720"/>
      </w:pPr>
      <w:r>
        <w:rPr>
          <w:color w:val="2C2C2C"/>
          <w:sz w:val="21"/>
          <w:szCs w:val="21"/>
        </w:rPr>
        <w:t xml:space="preserve">Rocco, T. S., &amp; </w:t>
      </w:r>
      <w:proofErr w:type="spellStart"/>
      <w:r>
        <w:rPr>
          <w:color w:val="2C2C2C"/>
          <w:sz w:val="21"/>
          <w:szCs w:val="21"/>
        </w:rPr>
        <w:t>Plakhotnik</w:t>
      </w:r>
      <w:proofErr w:type="spellEnd"/>
      <w:r>
        <w:rPr>
          <w:color w:val="2C2C2C"/>
          <w:sz w:val="21"/>
          <w:szCs w:val="21"/>
        </w:rPr>
        <w:t>, M. S. (2009). Literature reviews, conceptual frameworks, and theoretical frameworks: Terms, functions, and distinctions. Human Resource Development Review, 8(1), 120–130.</w:t>
      </w:r>
      <w:r>
        <w:rPr>
          <w:sz w:val="21"/>
          <w:szCs w:val="21"/>
        </w:rPr>
        <w:t xml:space="preserve"> </w:t>
      </w:r>
      <w:hyperlink r:id="rId13" w:history="1">
        <w:r>
          <w:rPr>
            <w:color w:val="1155CC"/>
            <w:sz w:val="21"/>
            <w:szCs w:val="21"/>
            <w:u w:val="single"/>
          </w:rPr>
          <w:t>https://doi.org/10.1177/1534484309332617</w:t>
        </w:r>
      </w:hyperlink>
    </w:p>
    <w:p w14:paraId="2CCAE117" w14:textId="77777777" w:rsidR="00B5487F" w:rsidRDefault="0046408D">
      <w:pPr>
        <w:spacing w:after="120"/>
        <w:ind w:left="720" w:hanging="720"/>
      </w:pPr>
      <w:r>
        <w:rPr>
          <w:color w:val="2C2C2C"/>
          <w:sz w:val="21"/>
          <w:szCs w:val="21"/>
        </w:rPr>
        <w:t>Torraco, R. J. (2005). Writing integrative literature reviews: Guidelines and examples. Human Resource Development Review, 4(3), 356–367.</w:t>
      </w:r>
      <w:r>
        <w:rPr>
          <w:sz w:val="21"/>
          <w:szCs w:val="21"/>
        </w:rPr>
        <w:t xml:space="preserve"> </w:t>
      </w:r>
      <w:hyperlink r:id="rId14" w:history="1">
        <w:r>
          <w:rPr>
            <w:color w:val="1155CC"/>
            <w:sz w:val="21"/>
            <w:szCs w:val="21"/>
            <w:u w:val="single"/>
          </w:rPr>
          <w:t>https://doi.org/10.1177/1534484305278283</w:t>
        </w:r>
      </w:hyperlink>
    </w:p>
    <w:p w14:paraId="7E2A05AB" w14:textId="77777777" w:rsidR="00B5487F" w:rsidRDefault="0046408D">
      <w:pPr>
        <w:spacing w:after="120"/>
        <w:ind w:left="720" w:hanging="720"/>
      </w:pPr>
      <w:r>
        <w:rPr>
          <w:color w:val="2C2C2C"/>
          <w:sz w:val="21"/>
          <w:szCs w:val="21"/>
        </w:rPr>
        <w:t xml:space="preserve">Webster, J., &amp; Watson, R. T. (2002). </w:t>
      </w:r>
      <w:proofErr w:type="spellStart"/>
      <w:r>
        <w:rPr>
          <w:color w:val="2C2C2C"/>
          <w:sz w:val="21"/>
          <w:szCs w:val="21"/>
        </w:rPr>
        <w:t>Analyzing</w:t>
      </w:r>
      <w:proofErr w:type="spellEnd"/>
      <w:r>
        <w:rPr>
          <w:color w:val="2C2C2C"/>
          <w:sz w:val="21"/>
          <w:szCs w:val="21"/>
        </w:rPr>
        <w:t xml:space="preserve"> the past to prepare for the future: Writing a literature review. MIS Quarterly, 26(2), xiii–xxiii.</w:t>
      </w:r>
      <w:r>
        <w:rPr>
          <w:sz w:val="21"/>
          <w:szCs w:val="21"/>
        </w:rPr>
        <w:t xml:space="preserve"> </w:t>
      </w:r>
      <w:hyperlink r:id="rId15" w:history="1">
        <w:r>
          <w:rPr>
            <w:color w:val="1155CC"/>
            <w:sz w:val="21"/>
            <w:szCs w:val="21"/>
            <w:u w:val="single"/>
          </w:rPr>
          <w:t>https://doi.org/10.2307/4132319</w:t>
        </w:r>
      </w:hyperlink>
    </w:p>
    <w:p w14:paraId="2D287AEA" w14:textId="77777777" w:rsidR="00B5487F" w:rsidRDefault="00B5487F">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75649FEA"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6D2E46"/>
            <w:tcMar>
              <w:top w:w="100" w:type="dxa"/>
              <w:left w:w="160" w:type="dxa"/>
              <w:bottom w:w="100" w:type="dxa"/>
              <w:right w:w="120" w:type="dxa"/>
            </w:tcMar>
          </w:tcPr>
          <w:p w14:paraId="05003E59" w14:textId="45CFD144" w:rsidR="00B5487F" w:rsidRDefault="0046408D">
            <w:r>
              <w:rPr>
                <w:rFonts w:ascii="Georgia" w:eastAsia="Georgia" w:hAnsi="Georgia" w:cs="Georgia"/>
                <w:b/>
                <w:bCs/>
                <w:color w:val="FFFFFF"/>
                <w:sz w:val="26"/>
                <w:szCs w:val="26"/>
              </w:rPr>
              <w:t>Section 2</w:t>
            </w:r>
            <w:r w:rsidR="00A127FA">
              <w:rPr>
                <w:rFonts w:ascii="Georgia" w:eastAsia="Georgia" w:hAnsi="Georgia" w:cs="Georgia"/>
                <w:b/>
                <w:bCs/>
                <w:color w:val="FFFFFF"/>
                <w:sz w:val="26"/>
                <w:szCs w:val="26"/>
              </w:rPr>
              <w:t xml:space="preserve">, </w:t>
            </w:r>
            <w:r>
              <w:rPr>
                <w:rFonts w:ascii="Georgia" w:eastAsia="Georgia" w:hAnsi="Georgia" w:cs="Georgia"/>
                <w:b/>
                <w:bCs/>
                <w:color w:val="FFFFFF"/>
                <w:sz w:val="26"/>
                <w:szCs w:val="26"/>
              </w:rPr>
              <w:t>The Three Exemplar Literature Reviews Shown in the Presentation</w:t>
            </w:r>
          </w:p>
        </w:tc>
      </w:tr>
    </w:tbl>
    <w:p w14:paraId="3057CE11" w14:textId="77777777" w:rsidR="00B5487F" w:rsidRDefault="00B5487F">
      <w:pPr>
        <w:spacing w:after="80"/>
      </w:pPr>
    </w:p>
    <w:p w14:paraId="338937F8" w14:textId="77777777" w:rsidR="00B5487F" w:rsidRDefault="0046408D">
      <w:pPr>
        <w:spacing w:after="100"/>
      </w:pPr>
      <w:r>
        <w:rPr>
          <w:i/>
          <w:iCs/>
          <w:color w:val="555555"/>
        </w:rPr>
        <w:t>The presentation introduces three different types of literature review and directs students to read one example of each. Full references and notes on what to look for in each are below.</w:t>
      </w:r>
    </w:p>
    <w:p w14:paraId="3234FE1C" w14:textId="77777777" w:rsidR="00B5487F" w:rsidRDefault="00B5487F">
      <w:pPr>
        <w:spacing w:after="160"/>
      </w:pPr>
    </w:p>
    <w:p w14:paraId="360549EB" w14:textId="0B90F45E" w:rsidR="00B5487F" w:rsidRDefault="0046408D">
      <w:pPr>
        <w:pStyle w:val="Heading2"/>
      </w:pPr>
      <w:r>
        <w:rPr>
          <w:color w:val="6D2E46"/>
        </w:rPr>
        <w:t>Type A</w:t>
      </w:r>
      <w:r w:rsidR="00A127FA">
        <w:rPr>
          <w:color w:val="6D2E46"/>
        </w:rPr>
        <w:t xml:space="preserve">, </w:t>
      </w:r>
      <w:r>
        <w:rPr>
          <w:color w:val="6D2E46"/>
        </w:rPr>
        <w:t>Thesis-style broad narrative LR</w:t>
      </w:r>
    </w:p>
    <w:p w14:paraId="03F19CBC" w14:textId="77777777" w:rsidR="00B5487F" w:rsidRDefault="0046408D">
      <w:pPr>
        <w:spacing w:after="100"/>
      </w:pPr>
      <w:r>
        <w:rPr>
          <w:color w:val="2C2C2C"/>
        </w:rPr>
        <w:t>A full Chapter 2 style review: thematic, wide-ranging, and designed to map an entire field before identifying a gap. Read the literature review section to see thematic rather than author-by-author organisation, and how the gap is built across multiple paragraphs.</w:t>
      </w:r>
    </w:p>
    <w:p w14:paraId="67167C09" w14:textId="77777777" w:rsidR="00B5487F" w:rsidRDefault="00B5487F">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3E68DBE3" w14:textId="77777777">
        <w:tblPrEx>
          <w:tblCellMar>
            <w:top w:w="0" w:type="dxa"/>
            <w:bottom w:w="0" w:type="dxa"/>
          </w:tblCellMar>
        </w:tblPrEx>
        <w:tc>
          <w:tcPr>
            <w:tcW w:w="9360" w:type="dxa"/>
            <w:tcBorders>
              <w:top w:val="single" w:sz="6" w:space="0" w:color="6D2E46"/>
              <w:left w:val="thick" w:sz="16" w:space="0" w:color="6D2E46"/>
              <w:bottom w:val="single" w:sz="6" w:space="0" w:color="6D2E46"/>
              <w:right w:val="single" w:sz="6" w:space="0" w:color="6D2E46"/>
            </w:tcBorders>
            <w:shd w:val="clear" w:color="auto" w:fill="F5EEF2"/>
            <w:tcMar>
              <w:top w:w="100" w:type="dxa"/>
              <w:left w:w="160" w:type="dxa"/>
              <w:bottom w:w="100" w:type="dxa"/>
              <w:right w:w="120" w:type="dxa"/>
            </w:tcMar>
          </w:tcPr>
          <w:p w14:paraId="64A157C2" w14:textId="77777777" w:rsidR="00B5487F" w:rsidRDefault="0046408D">
            <w:pPr>
              <w:spacing w:after="40"/>
            </w:pPr>
            <w:proofErr w:type="gramStart"/>
            <w:r>
              <w:rPr>
                <w:rFonts w:ascii="Georgia" w:eastAsia="Georgia" w:hAnsi="Georgia" w:cs="Georgia"/>
                <w:b/>
                <w:bCs/>
                <w:color w:val="6D2E46"/>
                <w:sz w:val="20"/>
                <w:szCs w:val="20"/>
              </w:rPr>
              <w:t>★  TYPE</w:t>
            </w:r>
            <w:proofErr w:type="gramEnd"/>
            <w:r>
              <w:rPr>
                <w:rFonts w:ascii="Georgia" w:eastAsia="Georgia" w:hAnsi="Georgia" w:cs="Georgia"/>
                <w:b/>
                <w:bCs/>
                <w:color w:val="6D2E46"/>
                <w:sz w:val="20"/>
                <w:szCs w:val="20"/>
              </w:rPr>
              <w:t xml:space="preserve"> A EXEMPLAR</w:t>
            </w:r>
          </w:p>
          <w:p w14:paraId="1CB09C4C" w14:textId="14B1AD64" w:rsidR="00B5487F" w:rsidRDefault="0046408D">
            <w:r>
              <w:rPr>
                <w:color w:val="2C2C2C"/>
                <w:sz w:val="21"/>
                <w:szCs w:val="21"/>
              </w:rPr>
              <w:lastRenderedPageBreak/>
              <w:t xml:space="preserve">Gioia, D. A., Corley, K. G., &amp; Hamilton, A. L. (2013). Seeking qualitative rigor in inductive research: Notes on the Gioia methodology. Organizational Research Methods, 16(1), 15–31. </w:t>
            </w:r>
            <w:proofErr w:type="gramStart"/>
            <w:r>
              <w:rPr>
                <w:color w:val="2C2C2C"/>
                <w:sz w:val="21"/>
                <w:szCs w:val="21"/>
              </w:rPr>
              <w:t>https://doi.org/10.1177/1094428112452151  What</w:t>
            </w:r>
            <w:proofErr w:type="gramEnd"/>
            <w:r>
              <w:rPr>
                <w:color w:val="2C2C2C"/>
                <w:sz w:val="21"/>
                <w:szCs w:val="21"/>
              </w:rPr>
              <w:t xml:space="preserve"> to notice: The LR is compact but thematic</w:t>
            </w:r>
            <w:r w:rsidR="00A127FA">
              <w:rPr>
                <w:color w:val="2C2C2C"/>
                <w:sz w:val="21"/>
                <w:szCs w:val="21"/>
              </w:rPr>
              <w:t xml:space="preserve">, </w:t>
            </w:r>
            <w:r>
              <w:rPr>
                <w:color w:val="2C2C2C"/>
                <w:sz w:val="21"/>
                <w:szCs w:val="21"/>
              </w:rPr>
              <w:t>not organised by author. Each paragraph makes an argument, not a list. The gap is implicit in every sentence, building to the rationale for the methodology.</w:t>
            </w:r>
          </w:p>
        </w:tc>
      </w:tr>
    </w:tbl>
    <w:p w14:paraId="57C869DB" w14:textId="77777777" w:rsidR="00B5487F" w:rsidRDefault="00B5487F">
      <w:pPr>
        <w:spacing w:after="80"/>
      </w:pPr>
    </w:p>
    <w:p w14:paraId="3E91E0F5" w14:textId="77777777" w:rsidR="00B5487F" w:rsidRDefault="0046408D">
      <w:pPr>
        <w:spacing w:after="100"/>
      </w:pPr>
      <w:r>
        <w:rPr>
          <w:color w:val="2C2C2C"/>
        </w:rPr>
        <w:t>Additional reading for Type A LRs:</w:t>
      </w:r>
    </w:p>
    <w:p w14:paraId="7D6FEE24" w14:textId="77777777" w:rsidR="00B5487F" w:rsidRDefault="0046408D">
      <w:pPr>
        <w:spacing w:after="120"/>
        <w:ind w:left="720" w:hanging="720"/>
      </w:pPr>
      <w:r>
        <w:rPr>
          <w:color w:val="2C2C2C"/>
          <w:sz w:val="21"/>
          <w:szCs w:val="21"/>
        </w:rPr>
        <w:t>Crossan, M. M., &amp; Apaydin, M. (2010). A multi-dimensional framework of organizational innovation: A systematic review of the literature. Journal of Management Studies, 47(6), 1154–1191.</w:t>
      </w:r>
      <w:r>
        <w:rPr>
          <w:sz w:val="21"/>
          <w:szCs w:val="21"/>
        </w:rPr>
        <w:t xml:space="preserve"> </w:t>
      </w:r>
      <w:hyperlink r:id="rId16" w:history="1">
        <w:r>
          <w:rPr>
            <w:color w:val="1155CC"/>
            <w:sz w:val="21"/>
            <w:szCs w:val="21"/>
            <w:u w:val="single"/>
          </w:rPr>
          <w:t>https://doi.org/10.1111/j.1467-6486.2009.00890.x</w:t>
        </w:r>
      </w:hyperlink>
    </w:p>
    <w:p w14:paraId="4A0FE4CC" w14:textId="77777777" w:rsidR="00B5487F" w:rsidRDefault="0046408D">
      <w:pPr>
        <w:spacing w:after="120"/>
        <w:ind w:left="720" w:hanging="720"/>
      </w:pPr>
      <w:r>
        <w:rPr>
          <w:color w:val="2C2C2C"/>
          <w:sz w:val="21"/>
          <w:szCs w:val="21"/>
        </w:rPr>
        <w:t>Hitt, M. A., Beamish, P. W., Jackson, S. E., &amp; Mathieu, J. E. (2007). Building theoretical and empirical bridges across levels: Multilevel research in management. Academy of Management Journal, 50(6), 1385–1399.</w:t>
      </w:r>
      <w:r>
        <w:rPr>
          <w:sz w:val="21"/>
          <w:szCs w:val="21"/>
        </w:rPr>
        <w:t xml:space="preserve"> </w:t>
      </w:r>
      <w:hyperlink r:id="rId17" w:history="1">
        <w:r>
          <w:rPr>
            <w:color w:val="1155CC"/>
            <w:sz w:val="21"/>
            <w:szCs w:val="21"/>
            <w:u w:val="single"/>
          </w:rPr>
          <w:t>https://doi.org/10.5465/amj.2007.28166219</w:t>
        </w:r>
      </w:hyperlink>
    </w:p>
    <w:p w14:paraId="5EC93A8D" w14:textId="77777777" w:rsidR="00B5487F" w:rsidRDefault="00B5487F">
      <w:pPr>
        <w:spacing w:after="140"/>
      </w:pPr>
    </w:p>
    <w:p w14:paraId="68D82842" w14:textId="1290146E" w:rsidR="00B5487F" w:rsidRDefault="0046408D">
      <w:pPr>
        <w:pStyle w:val="Heading2"/>
      </w:pPr>
      <w:r>
        <w:rPr>
          <w:color w:val="6D2E46"/>
        </w:rPr>
        <w:t>Type B</w:t>
      </w:r>
      <w:r w:rsidR="00A127FA">
        <w:rPr>
          <w:color w:val="6D2E46"/>
        </w:rPr>
        <w:t xml:space="preserve">, </w:t>
      </w:r>
      <w:r>
        <w:rPr>
          <w:color w:val="6D2E46"/>
        </w:rPr>
        <w:t>Journal article integrative LR</w:t>
      </w:r>
    </w:p>
    <w:p w14:paraId="478D618A" w14:textId="77777777" w:rsidR="00B5487F" w:rsidRDefault="0046408D">
      <w:pPr>
        <w:spacing w:after="100"/>
      </w:pPr>
      <w:r>
        <w:rPr>
          <w:color w:val="2C2C2C"/>
        </w:rPr>
        <w:t xml:space="preserve">Shorter than a thesis </w:t>
      </w:r>
      <w:proofErr w:type="gramStart"/>
      <w:r>
        <w:rPr>
          <w:color w:val="2C2C2C"/>
        </w:rPr>
        <w:t>chapter, but</w:t>
      </w:r>
      <w:proofErr w:type="gramEnd"/>
      <w:r>
        <w:rPr>
          <w:color w:val="2C2C2C"/>
        </w:rPr>
        <w:t xml:space="preserve"> still builds a coherent argument from the literature. The gap is usually stated explicitly in the final paragraphs of the LR and leads directly into the methodology.</w:t>
      </w:r>
    </w:p>
    <w:p w14:paraId="15E3C4C0" w14:textId="77777777" w:rsidR="00B5487F" w:rsidRDefault="00B5487F">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30D8ABDB" w14:textId="77777777">
        <w:tblPrEx>
          <w:tblCellMar>
            <w:top w:w="0" w:type="dxa"/>
            <w:bottom w:w="0" w:type="dxa"/>
          </w:tblCellMar>
        </w:tblPrEx>
        <w:tc>
          <w:tcPr>
            <w:tcW w:w="9360" w:type="dxa"/>
            <w:tcBorders>
              <w:top w:val="single" w:sz="6" w:space="0" w:color="6D2E46"/>
              <w:left w:val="thick" w:sz="16" w:space="0" w:color="6D2E46"/>
              <w:bottom w:val="single" w:sz="6" w:space="0" w:color="6D2E46"/>
              <w:right w:val="single" w:sz="6" w:space="0" w:color="6D2E46"/>
            </w:tcBorders>
            <w:shd w:val="clear" w:color="auto" w:fill="F5EEF2"/>
            <w:tcMar>
              <w:top w:w="100" w:type="dxa"/>
              <w:left w:w="160" w:type="dxa"/>
              <w:bottom w:w="100" w:type="dxa"/>
              <w:right w:w="120" w:type="dxa"/>
            </w:tcMar>
          </w:tcPr>
          <w:p w14:paraId="5DFFB684" w14:textId="77777777" w:rsidR="00B5487F" w:rsidRDefault="0046408D">
            <w:pPr>
              <w:spacing w:after="40"/>
            </w:pPr>
            <w:proofErr w:type="gramStart"/>
            <w:r>
              <w:rPr>
                <w:rFonts w:ascii="Georgia" w:eastAsia="Georgia" w:hAnsi="Georgia" w:cs="Georgia"/>
                <w:b/>
                <w:bCs/>
                <w:color w:val="6D2E46"/>
                <w:sz w:val="20"/>
                <w:szCs w:val="20"/>
              </w:rPr>
              <w:t>★  TYPE</w:t>
            </w:r>
            <w:proofErr w:type="gramEnd"/>
            <w:r>
              <w:rPr>
                <w:rFonts w:ascii="Georgia" w:eastAsia="Georgia" w:hAnsi="Georgia" w:cs="Georgia"/>
                <w:b/>
                <w:bCs/>
                <w:color w:val="6D2E46"/>
                <w:sz w:val="20"/>
                <w:szCs w:val="20"/>
              </w:rPr>
              <w:t xml:space="preserve"> B EXEMPLAR</w:t>
            </w:r>
          </w:p>
          <w:p w14:paraId="3609CBB5" w14:textId="3F0602EB" w:rsidR="00B5487F" w:rsidRDefault="0046408D">
            <w:r>
              <w:rPr>
                <w:color w:val="2C2C2C"/>
                <w:sz w:val="21"/>
                <w:szCs w:val="21"/>
              </w:rPr>
              <w:t xml:space="preserve">Edmondson, A. (1999). Psychological safety and learning </w:t>
            </w:r>
            <w:proofErr w:type="spellStart"/>
            <w:r>
              <w:rPr>
                <w:color w:val="2C2C2C"/>
                <w:sz w:val="21"/>
                <w:szCs w:val="21"/>
              </w:rPr>
              <w:t>behavior</w:t>
            </w:r>
            <w:proofErr w:type="spellEnd"/>
            <w:r>
              <w:rPr>
                <w:color w:val="2C2C2C"/>
                <w:sz w:val="21"/>
                <w:szCs w:val="21"/>
              </w:rPr>
              <w:t xml:space="preserve"> in work teams. Administrative Science Quarterly, 44(2), 350–383. </w:t>
            </w:r>
            <w:proofErr w:type="gramStart"/>
            <w:r>
              <w:rPr>
                <w:color w:val="2C2C2C"/>
                <w:sz w:val="21"/>
                <w:szCs w:val="21"/>
              </w:rPr>
              <w:t>https://doi.org/10.2307/2666999  What</w:t>
            </w:r>
            <w:proofErr w:type="gramEnd"/>
            <w:r>
              <w:rPr>
                <w:color w:val="2C2C2C"/>
                <w:sz w:val="21"/>
                <w:szCs w:val="21"/>
              </w:rPr>
              <w:t xml:space="preserve"> to notice: The opening LR integrates social psychology and organisational learning literatures</w:t>
            </w:r>
            <w:r w:rsidR="00A127FA">
              <w:rPr>
                <w:color w:val="2C2C2C"/>
                <w:sz w:val="21"/>
                <w:szCs w:val="21"/>
              </w:rPr>
              <w:t xml:space="preserve">, </w:t>
            </w:r>
            <w:r>
              <w:rPr>
                <w:color w:val="2C2C2C"/>
                <w:sz w:val="21"/>
                <w:szCs w:val="21"/>
              </w:rPr>
              <w:t>two fields</w:t>
            </w:r>
            <w:r w:rsidR="00A127FA">
              <w:rPr>
                <w:color w:val="2C2C2C"/>
                <w:sz w:val="21"/>
                <w:szCs w:val="21"/>
              </w:rPr>
              <w:t xml:space="preserve">, </w:t>
            </w:r>
            <w:r>
              <w:rPr>
                <w:color w:val="2C2C2C"/>
                <w:sz w:val="21"/>
                <w:szCs w:val="21"/>
              </w:rPr>
              <w:t>into a single coherent argument. Notice how Edmondson evaluates each body of work before connecting them, and how the gap she identifies is precise enough to generate a specific hypothesis.</w:t>
            </w:r>
          </w:p>
        </w:tc>
      </w:tr>
    </w:tbl>
    <w:p w14:paraId="0345C6E1" w14:textId="77777777" w:rsidR="00B5487F" w:rsidRDefault="00B5487F">
      <w:pPr>
        <w:spacing w:after="80"/>
      </w:pPr>
    </w:p>
    <w:p w14:paraId="26EB62CF" w14:textId="77777777" w:rsidR="00B5487F" w:rsidRDefault="0046408D">
      <w:pPr>
        <w:spacing w:after="100"/>
      </w:pPr>
      <w:r>
        <w:rPr>
          <w:color w:val="2C2C2C"/>
        </w:rPr>
        <w:t>Additional reading for Type B LRs:</w:t>
      </w:r>
    </w:p>
    <w:p w14:paraId="2F3A541A" w14:textId="77777777" w:rsidR="00B5487F" w:rsidRDefault="0046408D">
      <w:pPr>
        <w:spacing w:after="120"/>
        <w:ind w:left="720" w:hanging="720"/>
      </w:pPr>
      <w:r>
        <w:rPr>
          <w:color w:val="2C2C2C"/>
          <w:sz w:val="21"/>
          <w:szCs w:val="21"/>
        </w:rPr>
        <w:t>Avolio, B. J., Walumbwa, F. O., &amp; Weber, T. J. (2009). Leadership: Current theories, research, and future directions. Annual Review of Psychology, 60, 421–449.</w:t>
      </w:r>
      <w:r>
        <w:rPr>
          <w:sz w:val="21"/>
          <w:szCs w:val="21"/>
        </w:rPr>
        <w:t xml:space="preserve"> </w:t>
      </w:r>
      <w:hyperlink r:id="rId18" w:history="1">
        <w:r>
          <w:rPr>
            <w:color w:val="1155CC"/>
            <w:sz w:val="21"/>
            <w:szCs w:val="21"/>
            <w:u w:val="single"/>
          </w:rPr>
          <w:t>https://doi.org/10.1146/annurev.psych.60.110707.163621</w:t>
        </w:r>
      </w:hyperlink>
    </w:p>
    <w:p w14:paraId="6BB93D10" w14:textId="77777777" w:rsidR="00B5487F" w:rsidRDefault="0046408D">
      <w:pPr>
        <w:spacing w:after="120"/>
        <w:ind w:left="720" w:hanging="720"/>
      </w:pPr>
      <w:r>
        <w:rPr>
          <w:color w:val="2C2C2C"/>
          <w:sz w:val="21"/>
          <w:szCs w:val="21"/>
        </w:rPr>
        <w:t xml:space="preserve">Brodie, R. J., </w:t>
      </w:r>
      <w:proofErr w:type="spellStart"/>
      <w:r>
        <w:rPr>
          <w:color w:val="2C2C2C"/>
          <w:sz w:val="21"/>
          <w:szCs w:val="21"/>
        </w:rPr>
        <w:t>Hollebeek</w:t>
      </w:r>
      <w:proofErr w:type="spellEnd"/>
      <w:r>
        <w:rPr>
          <w:color w:val="2C2C2C"/>
          <w:sz w:val="21"/>
          <w:szCs w:val="21"/>
        </w:rPr>
        <w:t>, L. D., Jurić, B., &amp; Ilić, A. (2011). Customer engagement: Conceptual domain, fundamental propositions, and implications for research. Journal of Service Research, 14(3), 252–271.</w:t>
      </w:r>
      <w:r>
        <w:rPr>
          <w:sz w:val="21"/>
          <w:szCs w:val="21"/>
        </w:rPr>
        <w:t xml:space="preserve"> </w:t>
      </w:r>
      <w:hyperlink r:id="rId19" w:history="1">
        <w:r>
          <w:rPr>
            <w:color w:val="1155CC"/>
            <w:sz w:val="21"/>
            <w:szCs w:val="21"/>
            <w:u w:val="single"/>
          </w:rPr>
          <w:t>https://doi.org/10.1177/1094670511411703</w:t>
        </w:r>
      </w:hyperlink>
    </w:p>
    <w:p w14:paraId="3C6883ED" w14:textId="77777777" w:rsidR="00B5487F" w:rsidRDefault="00B5487F">
      <w:pPr>
        <w:spacing w:after="140"/>
      </w:pPr>
    </w:p>
    <w:p w14:paraId="1099F158" w14:textId="052EE038" w:rsidR="00B5487F" w:rsidRDefault="0046408D">
      <w:pPr>
        <w:pStyle w:val="Heading2"/>
      </w:pPr>
      <w:r>
        <w:rPr>
          <w:color w:val="6D2E46"/>
        </w:rPr>
        <w:t>Type C</w:t>
      </w:r>
      <w:r w:rsidR="00A127FA">
        <w:rPr>
          <w:color w:val="6D2E46"/>
        </w:rPr>
        <w:t xml:space="preserve">, </w:t>
      </w:r>
      <w:r>
        <w:rPr>
          <w:color w:val="6D2E46"/>
        </w:rPr>
        <w:t>Pilot study focused short LR</w:t>
      </w:r>
    </w:p>
    <w:p w14:paraId="7CCC7310" w14:textId="31C7D44C" w:rsidR="00B5487F" w:rsidRDefault="0046408D">
      <w:pPr>
        <w:spacing w:after="100"/>
      </w:pPr>
      <w:r>
        <w:rPr>
          <w:color w:val="2C2C2C"/>
        </w:rPr>
        <w:t xml:space="preserve">The type </w:t>
      </w:r>
      <w:r w:rsidR="00A127FA">
        <w:rPr>
          <w:color w:val="2C2C2C"/>
        </w:rPr>
        <w:t xml:space="preserve">you </w:t>
      </w:r>
      <w:r>
        <w:rPr>
          <w:color w:val="2C2C2C"/>
        </w:rPr>
        <w:t>are writing. Compressed, purposeful, and explicitly connected to methodology. Every sentence earns its place. Read this example to see how much ground a well-written 1,500–</w:t>
      </w:r>
      <w:proofErr w:type="gramStart"/>
      <w:r>
        <w:rPr>
          <w:color w:val="2C2C2C"/>
        </w:rPr>
        <w:t>2,500 word</w:t>
      </w:r>
      <w:proofErr w:type="gramEnd"/>
      <w:r>
        <w:rPr>
          <w:color w:val="2C2C2C"/>
        </w:rPr>
        <w:t xml:space="preserve"> LR can cover.</w:t>
      </w:r>
    </w:p>
    <w:p w14:paraId="4A67328F" w14:textId="77777777" w:rsidR="00B5487F" w:rsidRDefault="00B5487F">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11FDD594" w14:textId="77777777">
        <w:tblPrEx>
          <w:tblCellMar>
            <w:top w:w="0" w:type="dxa"/>
            <w:bottom w:w="0" w:type="dxa"/>
          </w:tblCellMar>
        </w:tblPrEx>
        <w:tc>
          <w:tcPr>
            <w:tcW w:w="9360" w:type="dxa"/>
            <w:tcBorders>
              <w:top w:val="single" w:sz="6" w:space="0" w:color="6D2E46"/>
              <w:left w:val="thick" w:sz="16" w:space="0" w:color="6D2E46"/>
              <w:bottom w:val="single" w:sz="6" w:space="0" w:color="6D2E46"/>
              <w:right w:val="single" w:sz="6" w:space="0" w:color="6D2E46"/>
            </w:tcBorders>
            <w:shd w:val="clear" w:color="auto" w:fill="F5EEF2"/>
            <w:tcMar>
              <w:top w:w="100" w:type="dxa"/>
              <w:left w:w="160" w:type="dxa"/>
              <w:bottom w:w="100" w:type="dxa"/>
              <w:right w:w="120" w:type="dxa"/>
            </w:tcMar>
          </w:tcPr>
          <w:p w14:paraId="740B7AA0" w14:textId="77777777" w:rsidR="00B5487F" w:rsidRDefault="0046408D">
            <w:pPr>
              <w:spacing w:after="40"/>
            </w:pPr>
            <w:proofErr w:type="gramStart"/>
            <w:r>
              <w:rPr>
                <w:rFonts w:ascii="Georgia" w:eastAsia="Georgia" w:hAnsi="Georgia" w:cs="Georgia"/>
                <w:b/>
                <w:bCs/>
                <w:color w:val="6D2E46"/>
                <w:sz w:val="20"/>
                <w:szCs w:val="20"/>
              </w:rPr>
              <w:t>★  TYPE</w:t>
            </w:r>
            <w:proofErr w:type="gramEnd"/>
            <w:r>
              <w:rPr>
                <w:rFonts w:ascii="Georgia" w:eastAsia="Georgia" w:hAnsi="Georgia" w:cs="Georgia"/>
                <w:b/>
                <w:bCs/>
                <w:color w:val="6D2E46"/>
                <w:sz w:val="20"/>
                <w:szCs w:val="20"/>
              </w:rPr>
              <w:t xml:space="preserve"> C EXEMPLAR</w:t>
            </w:r>
          </w:p>
          <w:p w14:paraId="776C54CB" w14:textId="5FA16E24" w:rsidR="00B5487F" w:rsidRDefault="0046408D">
            <w:r>
              <w:rPr>
                <w:color w:val="2C2C2C"/>
                <w:sz w:val="21"/>
                <w:szCs w:val="21"/>
              </w:rPr>
              <w:t xml:space="preserve">Majid, U., </w:t>
            </w:r>
            <w:proofErr w:type="spellStart"/>
            <w:r>
              <w:rPr>
                <w:color w:val="2C2C2C"/>
                <w:sz w:val="21"/>
                <w:szCs w:val="21"/>
              </w:rPr>
              <w:t>Sudagar</w:t>
            </w:r>
            <w:proofErr w:type="spellEnd"/>
            <w:r>
              <w:rPr>
                <w:color w:val="2C2C2C"/>
                <w:sz w:val="21"/>
                <w:szCs w:val="21"/>
              </w:rPr>
              <w:t xml:space="preserve">, A., &amp; Ennis, J. (2017). Piloting for interviews in qualitative research: Operationalizing validity and reliability. International Journal of Applied Research in Business and Social Science, 7(4), 1073–1080. </w:t>
            </w:r>
            <w:proofErr w:type="gramStart"/>
            <w:r>
              <w:rPr>
                <w:color w:val="2C2C2C"/>
                <w:sz w:val="21"/>
                <w:szCs w:val="21"/>
              </w:rPr>
              <w:t>https://doi.org/10.6007/IJARBSS/v7-i4/2916  What</w:t>
            </w:r>
            <w:proofErr w:type="gramEnd"/>
            <w:r>
              <w:rPr>
                <w:color w:val="2C2C2C"/>
                <w:sz w:val="21"/>
                <w:szCs w:val="21"/>
              </w:rPr>
              <w:t xml:space="preserve"> to notice: The LR is short but does not </w:t>
            </w:r>
            <w:r>
              <w:rPr>
                <w:color w:val="2C2C2C"/>
                <w:sz w:val="21"/>
                <w:szCs w:val="21"/>
              </w:rPr>
              <w:lastRenderedPageBreak/>
              <w:t>sacrifice intellectual rigour. It identifies the gap, positions the study, and connects directly to the methodology</w:t>
            </w:r>
            <w:r w:rsidR="00A127FA">
              <w:rPr>
                <w:color w:val="2C2C2C"/>
                <w:sz w:val="21"/>
                <w:szCs w:val="21"/>
              </w:rPr>
              <w:t xml:space="preserve">, </w:t>
            </w:r>
            <w:r>
              <w:rPr>
                <w:color w:val="2C2C2C"/>
                <w:sz w:val="21"/>
                <w:szCs w:val="21"/>
              </w:rPr>
              <w:t>all within a few paragraphs. This is the discipline your pilot LR requires.</w:t>
            </w:r>
          </w:p>
        </w:tc>
      </w:tr>
    </w:tbl>
    <w:p w14:paraId="51F73C8C" w14:textId="77777777" w:rsidR="00B5487F" w:rsidRDefault="00B5487F">
      <w:pPr>
        <w:spacing w:after="80"/>
      </w:pPr>
    </w:p>
    <w:p w14:paraId="14DAA007" w14:textId="7F86442C" w:rsidR="00B5487F" w:rsidRDefault="0046408D">
      <w:pPr>
        <w:spacing w:after="100"/>
      </w:pPr>
      <w:r>
        <w:rPr>
          <w:color w:val="2C2C2C"/>
        </w:rPr>
        <w:t>Additional Type C exemplars</w:t>
      </w:r>
      <w:r w:rsidR="00A127FA">
        <w:rPr>
          <w:color w:val="2C2C2C"/>
        </w:rPr>
        <w:t xml:space="preserve">, </w:t>
      </w:r>
      <w:r>
        <w:rPr>
          <w:color w:val="2C2C2C"/>
        </w:rPr>
        <w:t>further reading:</w:t>
      </w:r>
    </w:p>
    <w:p w14:paraId="2239E5DE" w14:textId="77777777" w:rsidR="00B5487F" w:rsidRDefault="0046408D">
      <w:pPr>
        <w:spacing w:after="120"/>
        <w:ind w:left="720" w:hanging="720"/>
      </w:pPr>
      <w:r>
        <w:rPr>
          <w:color w:val="2C2C2C"/>
          <w:sz w:val="21"/>
          <w:szCs w:val="21"/>
        </w:rPr>
        <w:t>Nambisan, S. (2017). Digital entrepreneurship: Toward a digital technology perspective of entrepreneurship. Entrepreneurship Theory and Practice, 41(6), 1029–1055.</w:t>
      </w:r>
      <w:r>
        <w:rPr>
          <w:sz w:val="21"/>
          <w:szCs w:val="21"/>
        </w:rPr>
        <w:t xml:space="preserve"> </w:t>
      </w:r>
      <w:hyperlink r:id="rId20" w:history="1">
        <w:r>
          <w:rPr>
            <w:color w:val="1155CC"/>
            <w:sz w:val="21"/>
            <w:szCs w:val="21"/>
            <w:u w:val="single"/>
          </w:rPr>
          <w:t>https://doi.org/10.1111/etap.12254</w:t>
        </w:r>
      </w:hyperlink>
    </w:p>
    <w:p w14:paraId="22342767" w14:textId="77777777" w:rsidR="00B5487F" w:rsidRDefault="0046408D">
      <w:pPr>
        <w:spacing w:after="120"/>
        <w:ind w:left="720" w:hanging="720"/>
      </w:pPr>
      <w:r>
        <w:rPr>
          <w:color w:val="2C2C2C"/>
          <w:sz w:val="21"/>
          <w:szCs w:val="21"/>
        </w:rPr>
        <w:t>Doody, O., &amp; Doody, C. M. (2015). Conducting a pilot study: Case study of a novice researcher. British Journal of Nursing, 24(21), 1074–1078.</w:t>
      </w:r>
      <w:r>
        <w:rPr>
          <w:sz w:val="21"/>
          <w:szCs w:val="21"/>
        </w:rPr>
        <w:t xml:space="preserve"> </w:t>
      </w:r>
      <w:hyperlink r:id="rId21" w:history="1">
        <w:r>
          <w:rPr>
            <w:color w:val="1155CC"/>
            <w:sz w:val="21"/>
            <w:szCs w:val="21"/>
            <w:u w:val="single"/>
          </w:rPr>
          <w:t>https://doi.org/10.12968/bjon.2015.24.21.1074</w:t>
        </w:r>
      </w:hyperlink>
    </w:p>
    <w:p w14:paraId="45D86545" w14:textId="77777777" w:rsidR="00B5487F" w:rsidRDefault="00B5487F">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5AD7D48F"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6D2E46"/>
            <w:tcMar>
              <w:top w:w="100" w:type="dxa"/>
              <w:left w:w="160" w:type="dxa"/>
              <w:bottom w:w="100" w:type="dxa"/>
              <w:right w:w="120" w:type="dxa"/>
            </w:tcMar>
          </w:tcPr>
          <w:p w14:paraId="19B1F384" w14:textId="56A0DC57" w:rsidR="00B5487F" w:rsidRDefault="0046408D">
            <w:r>
              <w:rPr>
                <w:rFonts w:ascii="Georgia" w:eastAsia="Georgia" w:hAnsi="Georgia" w:cs="Georgia"/>
                <w:b/>
                <w:bCs/>
                <w:color w:val="FFFFFF"/>
                <w:sz w:val="26"/>
                <w:szCs w:val="26"/>
              </w:rPr>
              <w:t>Section 3</w:t>
            </w:r>
            <w:r w:rsidR="00A127FA">
              <w:rPr>
                <w:rFonts w:ascii="Georgia" w:eastAsia="Georgia" w:hAnsi="Georgia" w:cs="Georgia"/>
                <w:b/>
                <w:bCs/>
                <w:color w:val="FFFFFF"/>
                <w:sz w:val="26"/>
                <w:szCs w:val="26"/>
              </w:rPr>
              <w:t xml:space="preserve">, </w:t>
            </w:r>
            <w:r>
              <w:rPr>
                <w:rFonts w:ascii="Georgia" w:eastAsia="Georgia" w:hAnsi="Georgia" w:cs="Georgia"/>
                <w:b/>
                <w:bCs/>
                <w:color w:val="FFFFFF"/>
                <w:sz w:val="26"/>
                <w:szCs w:val="26"/>
              </w:rPr>
              <w:t>Theoretical Works Referenced in the Presentation</w:t>
            </w:r>
          </w:p>
        </w:tc>
      </w:tr>
    </w:tbl>
    <w:p w14:paraId="25026856" w14:textId="77777777" w:rsidR="00B5487F" w:rsidRDefault="00B5487F">
      <w:pPr>
        <w:spacing w:after="80"/>
      </w:pPr>
    </w:p>
    <w:p w14:paraId="686984C8" w14:textId="77777777" w:rsidR="00B5487F" w:rsidRDefault="0046408D">
      <w:pPr>
        <w:spacing w:after="100"/>
      </w:pPr>
      <w:r>
        <w:rPr>
          <w:i/>
          <w:iCs/>
          <w:color w:val="555555"/>
        </w:rPr>
        <w:t>The presentation names several theories as examples of what a 'theory' looks like in business and management research. These are the foundational works in each case.</w:t>
      </w:r>
    </w:p>
    <w:p w14:paraId="3317C8D2" w14:textId="77777777" w:rsidR="00B5487F" w:rsidRDefault="00B5487F">
      <w:pPr>
        <w:spacing w:after="160"/>
      </w:pPr>
    </w:p>
    <w:p w14:paraId="327FE3CD" w14:textId="77777777" w:rsidR="00B5487F" w:rsidRDefault="0046408D">
      <w:pPr>
        <w:pStyle w:val="Heading2"/>
      </w:pPr>
      <w:r>
        <w:t>Institutional Theory</w:t>
      </w:r>
    </w:p>
    <w:p w14:paraId="6F52FC32" w14:textId="77777777" w:rsidR="00B5487F" w:rsidRDefault="0046408D">
      <w:pPr>
        <w:spacing w:after="120"/>
        <w:ind w:left="720" w:hanging="720"/>
      </w:pPr>
      <w:r>
        <w:rPr>
          <w:color w:val="2C2C2C"/>
          <w:sz w:val="21"/>
          <w:szCs w:val="21"/>
        </w:rPr>
        <w:t>DiMaggio, P. J., &amp; Powell, W. W. (1983). The iron cage revisited: Institutional isomorphism and collective rationality in organizations. American Sociological Review, 48(2), 147–160.</w:t>
      </w:r>
      <w:r>
        <w:rPr>
          <w:sz w:val="21"/>
          <w:szCs w:val="21"/>
        </w:rPr>
        <w:t xml:space="preserve"> </w:t>
      </w:r>
      <w:hyperlink r:id="rId22" w:history="1">
        <w:r>
          <w:rPr>
            <w:color w:val="1155CC"/>
            <w:sz w:val="21"/>
            <w:szCs w:val="21"/>
            <w:u w:val="single"/>
          </w:rPr>
          <w:t>https://doi.org/10.2307/2095101</w:t>
        </w:r>
      </w:hyperlink>
    </w:p>
    <w:p w14:paraId="5DA20A5D" w14:textId="77777777" w:rsidR="00B5487F" w:rsidRDefault="0046408D">
      <w:pPr>
        <w:spacing w:after="120"/>
        <w:ind w:left="720" w:hanging="720"/>
      </w:pPr>
      <w:r>
        <w:rPr>
          <w:color w:val="2C2C2C"/>
          <w:sz w:val="21"/>
          <w:szCs w:val="21"/>
        </w:rPr>
        <w:t>Meyer, J. W., &amp; Rowan, B. (1977). Institutionalized organizations: Formal structure as myth and ceremony. American Journal of Sociology, 83(2), 340–363.</w:t>
      </w:r>
      <w:r>
        <w:rPr>
          <w:sz w:val="21"/>
          <w:szCs w:val="21"/>
        </w:rPr>
        <w:t xml:space="preserve"> </w:t>
      </w:r>
      <w:hyperlink r:id="rId23" w:history="1">
        <w:r>
          <w:rPr>
            <w:color w:val="1155CC"/>
            <w:sz w:val="21"/>
            <w:szCs w:val="21"/>
            <w:u w:val="single"/>
          </w:rPr>
          <w:t>https://doi.org/10.1086/226550</w:t>
        </w:r>
      </w:hyperlink>
    </w:p>
    <w:p w14:paraId="2C7489E6" w14:textId="77777777" w:rsidR="00B5487F" w:rsidRDefault="00B5487F">
      <w:pPr>
        <w:spacing w:after="100"/>
      </w:pPr>
    </w:p>
    <w:p w14:paraId="0DDAF68D" w14:textId="77777777" w:rsidR="00B5487F" w:rsidRDefault="0046408D">
      <w:pPr>
        <w:pStyle w:val="Heading2"/>
      </w:pPr>
      <w:r>
        <w:t>Stakeholder Theory</w:t>
      </w:r>
    </w:p>
    <w:p w14:paraId="24314954" w14:textId="77777777" w:rsidR="00B5487F" w:rsidRDefault="0046408D">
      <w:pPr>
        <w:spacing w:after="120"/>
        <w:ind w:left="720" w:hanging="720"/>
      </w:pPr>
      <w:r>
        <w:rPr>
          <w:color w:val="2C2C2C"/>
          <w:sz w:val="21"/>
          <w:szCs w:val="21"/>
        </w:rPr>
        <w:t>Freeman, R. E. (1984). Strategic management: A stakeholder approach. Pitman.</w:t>
      </w:r>
    </w:p>
    <w:p w14:paraId="11D6E7A5" w14:textId="77777777" w:rsidR="00B5487F" w:rsidRDefault="0046408D">
      <w:pPr>
        <w:spacing w:after="120"/>
        <w:ind w:left="720" w:hanging="720"/>
      </w:pPr>
      <w:r>
        <w:rPr>
          <w:color w:val="2C2C2C"/>
          <w:sz w:val="21"/>
          <w:szCs w:val="21"/>
        </w:rPr>
        <w:t>Freeman, R. E., Harrison, J. S., &amp; Wicks, A. C. (2007). Managing for stakeholders: Survival, reputation, and success. Yale University Press.</w:t>
      </w:r>
    </w:p>
    <w:p w14:paraId="7C816D65" w14:textId="77777777" w:rsidR="00B5487F" w:rsidRDefault="00B5487F">
      <w:pPr>
        <w:spacing w:after="100"/>
      </w:pPr>
    </w:p>
    <w:p w14:paraId="0C4EAE56" w14:textId="77777777" w:rsidR="00B5487F" w:rsidRDefault="0046408D">
      <w:pPr>
        <w:pStyle w:val="Heading2"/>
      </w:pPr>
      <w:r>
        <w:t>Stockholder Theory</w:t>
      </w:r>
    </w:p>
    <w:p w14:paraId="4182C96C" w14:textId="77777777" w:rsidR="00B5487F" w:rsidRDefault="0046408D">
      <w:pPr>
        <w:spacing w:after="120"/>
        <w:ind w:left="720" w:hanging="720"/>
      </w:pPr>
      <w:r>
        <w:rPr>
          <w:color w:val="2C2C2C"/>
          <w:sz w:val="21"/>
          <w:szCs w:val="21"/>
        </w:rPr>
        <w:t>Friedman, M. (1970, September 13). The social responsibility of business is to increase its profits. The New York Times Magazine, 32–33.</w:t>
      </w:r>
    </w:p>
    <w:p w14:paraId="51760635" w14:textId="77777777" w:rsidR="00B5487F" w:rsidRDefault="00B5487F">
      <w:pPr>
        <w:spacing w:after="100"/>
      </w:pPr>
    </w:p>
    <w:p w14:paraId="37D8EE27" w14:textId="77777777" w:rsidR="00B5487F" w:rsidRDefault="0046408D">
      <w:pPr>
        <w:pStyle w:val="Heading2"/>
      </w:pPr>
      <w:r>
        <w:t>Governmentality</w:t>
      </w:r>
    </w:p>
    <w:p w14:paraId="18353246" w14:textId="77777777" w:rsidR="00B5487F" w:rsidRDefault="0046408D">
      <w:pPr>
        <w:spacing w:after="120"/>
        <w:ind w:left="720" w:hanging="720"/>
      </w:pPr>
      <w:r>
        <w:rPr>
          <w:color w:val="2C2C2C"/>
          <w:sz w:val="21"/>
          <w:szCs w:val="21"/>
        </w:rPr>
        <w:t>Foucault, M. (1991). Governmentality. In G. Burchell, C. Gordon, &amp; P. Miller (Eds.), The Foucault effect: Studies in governmentality (pp. 87–104). University of Chicago Press.</w:t>
      </w:r>
    </w:p>
    <w:p w14:paraId="4BD674AE" w14:textId="77777777" w:rsidR="00B5487F" w:rsidRDefault="0046408D">
      <w:pPr>
        <w:spacing w:after="120"/>
        <w:ind w:left="720" w:hanging="720"/>
      </w:pPr>
      <w:r>
        <w:rPr>
          <w:color w:val="2C2C2C"/>
          <w:sz w:val="21"/>
          <w:szCs w:val="21"/>
        </w:rPr>
        <w:t>McKinlay, A., &amp; Starkey, K. (Eds.). (1998). Foucault, management and organization theory. Sage.</w:t>
      </w:r>
    </w:p>
    <w:p w14:paraId="7D471B76" w14:textId="77777777" w:rsidR="00B5487F" w:rsidRDefault="00B5487F">
      <w:pPr>
        <w:spacing w:after="100"/>
      </w:pPr>
    </w:p>
    <w:p w14:paraId="2BF57F6B" w14:textId="34D386E4" w:rsidR="00B5487F" w:rsidRDefault="0046408D">
      <w:pPr>
        <w:pStyle w:val="Heading2"/>
      </w:pPr>
      <w:r>
        <w:t>Leadership</w:t>
      </w:r>
      <w:r w:rsidR="00A127FA">
        <w:t xml:space="preserve">, </w:t>
      </w:r>
      <w:r>
        <w:t>for Bass (2008) reference</w:t>
      </w:r>
    </w:p>
    <w:p w14:paraId="042607F6" w14:textId="77777777" w:rsidR="00B5487F" w:rsidRDefault="0046408D">
      <w:pPr>
        <w:spacing w:after="120"/>
        <w:ind w:left="720" w:hanging="720"/>
      </w:pPr>
      <w:r>
        <w:rPr>
          <w:color w:val="2C2C2C"/>
          <w:sz w:val="21"/>
          <w:szCs w:val="21"/>
        </w:rPr>
        <w:t>Bass, B. M. (2008). The Bass handbook of leadership: Theory, research, and managerial applications (4th ed.). Free Press.</w:t>
      </w:r>
    </w:p>
    <w:p w14:paraId="420C24E9" w14:textId="77777777" w:rsidR="00B5487F" w:rsidRDefault="0046408D">
      <w:pPr>
        <w:spacing w:after="120"/>
        <w:ind w:left="720" w:hanging="720"/>
      </w:pPr>
      <w:r>
        <w:rPr>
          <w:color w:val="2C2C2C"/>
          <w:sz w:val="21"/>
          <w:szCs w:val="21"/>
        </w:rPr>
        <w:lastRenderedPageBreak/>
        <w:t>Burns, J. M. (1978). Leadership. Harper &amp; Row.</w:t>
      </w:r>
    </w:p>
    <w:p w14:paraId="66F0CF7D" w14:textId="77777777" w:rsidR="00B5487F" w:rsidRDefault="00B5487F">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5487F" w14:paraId="38446F5B"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6D2E46"/>
            <w:tcMar>
              <w:top w:w="100" w:type="dxa"/>
              <w:left w:w="160" w:type="dxa"/>
              <w:bottom w:w="100" w:type="dxa"/>
              <w:right w:w="120" w:type="dxa"/>
            </w:tcMar>
          </w:tcPr>
          <w:p w14:paraId="3F54EE3D" w14:textId="11AD34A0" w:rsidR="00B5487F" w:rsidRDefault="0046408D">
            <w:r>
              <w:rPr>
                <w:rFonts w:ascii="Georgia" w:eastAsia="Georgia" w:hAnsi="Georgia" w:cs="Georgia"/>
                <w:b/>
                <w:bCs/>
                <w:color w:val="FFFFFF"/>
                <w:sz w:val="26"/>
                <w:szCs w:val="26"/>
              </w:rPr>
              <w:t>Section 4</w:t>
            </w:r>
            <w:r w:rsidR="00A127FA">
              <w:rPr>
                <w:rFonts w:ascii="Georgia" w:eastAsia="Georgia" w:hAnsi="Georgia" w:cs="Georgia"/>
                <w:b/>
                <w:bCs/>
                <w:color w:val="FFFFFF"/>
                <w:sz w:val="26"/>
                <w:szCs w:val="26"/>
              </w:rPr>
              <w:t xml:space="preserve">, </w:t>
            </w:r>
            <w:r>
              <w:rPr>
                <w:rFonts w:ascii="Georgia" w:eastAsia="Georgia" w:hAnsi="Georgia" w:cs="Georgia"/>
                <w:b/>
                <w:bCs/>
                <w:color w:val="FFFFFF"/>
                <w:sz w:val="26"/>
                <w:szCs w:val="26"/>
              </w:rPr>
              <w:t>Further Reading by Workshop Theme</w:t>
            </w:r>
          </w:p>
        </w:tc>
      </w:tr>
    </w:tbl>
    <w:p w14:paraId="3470BDB1" w14:textId="77777777" w:rsidR="00B5487F" w:rsidRDefault="00B5487F">
      <w:pPr>
        <w:spacing w:after="80"/>
      </w:pPr>
    </w:p>
    <w:p w14:paraId="6429FBA7" w14:textId="77777777" w:rsidR="00B5487F" w:rsidRDefault="0046408D">
      <w:pPr>
        <w:spacing w:after="100"/>
      </w:pPr>
      <w:r>
        <w:rPr>
          <w:i/>
          <w:iCs/>
          <w:color w:val="555555"/>
        </w:rPr>
        <w:t>The workshop covers seven key themes across its slides. The following reading extends each theme for students who want to go deeper.</w:t>
      </w:r>
    </w:p>
    <w:p w14:paraId="39A81308" w14:textId="77777777" w:rsidR="00B5487F" w:rsidRDefault="00B5487F">
      <w:pPr>
        <w:spacing w:after="160"/>
      </w:pPr>
    </w:p>
    <w:p w14:paraId="7FEED9D1" w14:textId="77777777" w:rsidR="00B5487F" w:rsidRDefault="0046408D">
      <w:pPr>
        <w:pStyle w:val="Heading2"/>
      </w:pPr>
      <w:r>
        <w:rPr>
          <w:color w:val="6D2E46"/>
        </w:rPr>
        <w:t>What a literature review is and does</w:t>
      </w:r>
    </w:p>
    <w:p w14:paraId="092724CF" w14:textId="77777777" w:rsidR="00B5487F" w:rsidRDefault="0046408D">
      <w:pPr>
        <w:spacing w:after="120"/>
        <w:ind w:left="720" w:hanging="720"/>
      </w:pPr>
      <w:r>
        <w:rPr>
          <w:color w:val="2C2C2C"/>
          <w:sz w:val="21"/>
          <w:szCs w:val="21"/>
        </w:rPr>
        <w:t>Boote, D. N., &amp; Beile, P. (2005). Scholars before researchers: On the centrality of the dissertation literature review in research preparation. Educational Researcher, 34(6), 3–15.</w:t>
      </w:r>
      <w:r>
        <w:rPr>
          <w:sz w:val="21"/>
          <w:szCs w:val="21"/>
        </w:rPr>
        <w:t xml:space="preserve"> </w:t>
      </w:r>
      <w:hyperlink r:id="rId24" w:history="1">
        <w:r>
          <w:rPr>
            <w:color w:val="1155CC"/>
            <w:sz w:val="21"/>
            <w:szCs w:val="21"/>
            <w:u w:val="single"/>
          </w:rPr>
          <w:t>https://doi.org/10.3102/0013189X034006003</w:t>
        </w:r>
      </w:hyperlink>
    </w:p>
    <w:p w14:paraId="3DBBD2AB" w14:textId="77777777" w:rsidR="00B5487F" w:rsidRDefault="0046408D">
      <w:pPr>
        <w:spacing w:after="120"/>
        <w:ind w:left="720" w:hanging="720"/>
      </w:pPr>
      <w:r>
        <w:rPr>
          <w:color w:val="2C2C2C"/>
          <w:sz w:val="21"/>
          <w:szCs w:val="21"/>
        </w:rPr>
        <w:t>Hart, C. (1998). Doing a literature review: Releasing the research imagination. Sage.</w:t>
      </w:r>
    </w:p>
    <w:p w14:paraId="698DD02C" w14:textId="77777777" w:rsidR="00B5487F" w:rsidRDefault="0046408D">
      <w:pPr>
        <w:spacing w:after="120"/>
        <w:ind w:left="720" w:hanging="720"/>
      </w:pPr>
      <w:r>
        <w:rPr>
          <w:color w:val="2C2C2C"/>
          <w:sz w:val="21"/>
          <w:szCs w:val="21"/>
        </w:rPr>
        <w:t>Ridley, D. (2012). The literature review: A step-by-step guide for students (2nd ed.). Sage.</w:t>
      </w:r>
    </w:p>
    <w:p w14:paraId="007810F7" w14:textId="77777777" w:rsidR="00B5487F" w:rsidRDefault="0046408D">
      <w:pPr>
        <w:spacing w:after="120"/>
        <w:ind w:left="720" w:hanging="720"/>
      </w:pPr>
      <w:r>
        <w:rPr>
          <w:color w:val="2C2C2C"/>
          <w:sz w:val="21"/>
          <w:szCs w:val="21"/>
        </w:rPr>
        <w:t>Torraco, R. J. (2005). Writing integrative literature reviews: Guidelines and examples. Human Resource Development Review, 4(3), 356–367.</w:t>
      </w:r>
      <w:r>
        <w:rPr>
          <w:sz w:val="21"/>
          <w:szCs w:val="21"/>
        </w:rPr>
        <w:t xml:space="preserve"> </w:t>
      </w:r>
      <w:hyperlink r:id="rId25" w:history="1">
        <w:r>
          <w:rPr>
            <w:color w:val="1155CC"/>
            <w:sz w:val="21"/>
            <w:szCs w:val="21"/>
            <w:u w:val="single"/>
          </w:rPr>
          <w:t>https://doi.org/10.1177/1534484305278283</w:t>
        </w:r>
      </w:hyperlink>
    </w:p>
    <w:p w14:paraId="192F7334" w14:textId="77777777" w:rsidR="00B5487F" w:rsidRDefault="00B5487F">
      <w:pPr>
        <w:spacing w:after="140"/>
      </w:pPr>
    </w:p>
    <w:p w14:paraId="4C635075" w14:textId="77777777" w:rsidR="00B5487F" w:rsidRDefault="0046408D">
      <w:pPr>
        <w:pStyle w:val="Heading2"/>
      </w:pPr>
      <w:r>
        <w:rPr>
          <w:color w:val="6D2E46"/>
        </w:rPr>
        <w:t>The five functions of the literature review</w:t>
      </w:r>
    </w:p>
    <w:p w14:paraId="1912712F" w14:textId="77777777" w:rsidR="00B5487F" w:rsidRDefault="0046408D">
      <w:pPr>
        <w:spacing w:after="100"/>
      </w:pPr>
      <w:r>
        <w:rPr>
          <w:color w:val="2C2C2C"/>
        </w:rPr>
        <w:t xml:space="preserve">The five functions discussed in the presentation are drawn from Rocco and </w:t>
      </w:r>
      <w:proofErr w:type="spellStart"/>
      <w:r>
        <w:rPr>
          <w:color w:val="2C2C2C"/>
        </w:rPr>
        <w:t>Plakhotnik</w:t>
      </w:r>
      <w:proofErr w:type="spellEnd"/>
      <w:r>
        <w:rPr>
          <w:color w:val="2C2C2C"/>
        </w:rPr>
        <w:t xml:space="preserve"> (2009), who in turn cite Merriam and Simpson (2000):</w:t>
      </w:r>
    </w:p>
    <w:p w14:paraId="738CDD9B" w14:textId="77777777" w:rsidR="00B5487F" w:rsidRDefault="00B5487F">
      <w:pPr>
        <w:spacing w:after="60"/>
      </w:pPr>
    </w:p>
    <w:p w14:paraId="7E1E72B9" w14:textId="77777777" w:rsidR="00B5487F" w:rsidRDefault="0046408D">
      <w:pPr>
        <w:spacing w:after="120"/>
        <w:ind w:left="720" w:hanging="720"/>
      </w:pPr>
      <w:r>
        <w:rPr>
          <w:color w:val="2C2C2C"/>
          <w:sz w:val="21"/>
          <w:szCs w:val="21"/>
        </w:rPr>
        <w:t>Merriam, S. B. (2001). Qualitative research and case study applications in education (2nd ed.). Jossey-Bass.</w:t>
      </w:r>
    </w:p>
    <w:p w14:paraId="7124274E" w14:textId="77777777" w:rsidR="00B5487F" w:rsidRDefault="0046408D">
      <w:pPr>
        <w:spacing w:after="120"/>
        <w:ind w:left="720" w:hanging="720"/>
      </w:pPr>
      <w:r>
        <w:rPr>
          <w:color w:val="2C2C2C"/>
          <w:sz w:val="21"/>
          <w:szCs w:val="21"/>
        </w:rPr>
        <w:t xml:space="preserve">Rocco, T. S., &amp; </w:t>
      </w:r>
      <w:proofErr w:type="spellStart"/>
      <w:r>
        <w:rPr>
          <w:color w:val="2C2C2C"/>
          <w:sz w:val="21"/>
          <w:szCs w:val="21"/>
        </w:rPr>
        <w:t>Plakhotnik</w:t>
      </w:r>
      <w:proofErr w:type="spellEnd"/>
      <w:r>
        <w:rPr>
          <w:color w:val="2C2C2C"/>
          <w:sz w:val="21"/>
          <w:szCs w:val="21"/>
        </w:rPr>
        <w:t>, M. S. (2009). Literature reviews, conceptual frameworks, and theoretical frameworks: Terms, functions, and distinctions. Human Resource Development Review, 8(1), 120–130.</w:t>
      </w:r>
      <w:r>
        <w:rPr>
          <w:sz w:val="21"/>
          <w:szCs w:val="21"/>
        </w:rPr>
        <w:t xml:space="preserve"> </w:t>
      </w:r>
      <w:hyperlink r:id="rId26" w:history="1">
        <w:r>
          <w:rPr>
            <w:color w:val="1155CC"/>
            <w:sz w:val="21"/>
            <w:szCs w:val="21"/>
            <w:u w:val="single"/>
          </w:rPr>
          <w:t>https://doi.org/10.1177/1534484309332617</w:t>
        </w:r>
      </w:hyperlink>
    </w:p>
    <w:p w14:paraId="1304BE2B" w14:textId="77777777" w:rsidR="00B5487F" w:rsidRDefault="00B5487F">
      <w:pPr>
        <w:spacing w:after="140"/>
      </w:pPr>
    </w:p>
    <w:p w14:paraId="38004193" w14:textId="77777777" w:rsidR="00B5487F" w:rsidRDefault="0046408D">
      <w:pPr>
        <w:pStyle w:val="Heading2"/>
      </w:pPr>
      <w:r>
        <w:rPr>
          <w:color w:val="6D2E46"/>
        </w:rPr>
        <w:t>How the LR differs by research paradigm</w:t>
      </w:r>
    </w:p>
    <w:p w14:paraId="7CE088F4" w14:textId="77777777" w:rsidR="00B5487F" w:rsidRDefault="0046408D">
      <w:pPr>
        <w:spacing w:after="120"/>
        <w:ind w:left="720" w:hanging="720"/>
      </w:pPr>
      <w:r>
        <w:rPr>
          <w:color w:val="2C2C2C"/>
          <w:sz w:val="21"/>
          <w:szCs w:val="21"/>
        </w:rPr>
        <w:t>Burrell, G., &amp; Morgan, G. (1979). Sociological paradigms and organisational analysis. Heinemann.</w:t>
      </w:r>
    </w:p>
    <w:p w14:paraId="4CF2EFB4" w14:textId="77777777" w:rsidR="00B5487F" w:rsidRDefault="0046408D">
      <w:pPr>
        <w:spacing w:after="120"/>
        <w:ind w:left="720" w:hanging="720"/>
      </w:pPr>
      <w:r>
        <w:rPr>
          <w:color w:val="2C2C2C"/>
          <w:sz w:val="21"/>
          <w:szCs w:val="21"/>
        </w:rPr>
        <w:t xml:space="preserve">Creswell, J. W., &amp; Creswell, J. D. (2023). Research design: Qualitative, quantitative, and mixed methods </w:t>
      </w:r>
      <w:proofErr w:type="gramStart"/>
      <w:r>
        <w:rPr>
          <w:color w:val="2C2C2C"/>
          <w:sz w:val="21"/>
          <w:szCs w:val="21"/>
        </w:rPr>
        <w:t>approaches</w:t>
      </w:r>
      <w:proofErr w:type="gramEnd"/>
      <w:r>
        <w:rPr>
          <w:color w:val="2C2C2C"/>
          <w:sz w:val="21"/>
          <w:szCs w:val="21"/>
        </w:rPr>
        <w:t xml:space="preserve"> (6th ed.). Sage.</w:t>
      </w:r>
    </w:p>
    <w:p w14:paraId="1EE297FF" w14:textId="77777777" w:rsidR="00B5487F" w:rsidRDefault="0046408D">
      <w:pPr>
        <w:spacing w:after="120"/>
        <w:ind w:left="720" w:hanging="720"/>
      </w:pPr>
      <w:r>
        <w:rPr>
          <w:color w:val="2C2C2C"/>
          <w:sz w:val="21"/>
          <w:szCs w:val="21"/>
        </w:rPr>
        <w:t>Guba, E. G., &amp; Lincoln, Y. S. (1994). Competing paradigms in qualitative research. In N. K. Denzin &amp; Y. S. Lincoln (Eds.), Handbook of qualitative research (pp. 105–117). Sage.</w:t>
      </w:r>
    </w:p>
    <w:p w14:paraId="75EDCFAD" w14:textId="77777777" w:rsidR="00B5487F" w:rsidRDefault="0046408D">
      <w:pPr>
        <w:spacing w:after="120"/>
        <w:ind w:left="720" w:hanging="720"/>
      </w:pPr>
      <w:r>
        <w:rPr>
          <w:color w:val="2C2C2C"/>
          <w:sz w:val="21"/>
          <w:szCs w:val="21"/>
        </w:rPr>
        <w:t>Saunders, M., Lewis, P., &amp; Thornhill, A. (2023). Research methods for business students (9th ed.). Pearson.</w:t>
      </w:r>
    </w:p>
    <w:p w14:paraId="3F4508F9" w14:textId="77777777" w:rsidR="00B5487F" w:rsidRDefault="00B5487F">
      <w:pPr>
        <w:spacing w:after="140"/>
      </w:pPr>
    </w:p>
    <w:p w14:paraId="56760C4D" w14:textId="77777777" w:rsidR="00B5487F" w:rsidRDefault="0046408D">
      <w:pPr>
        <w:pStyle w:val="Heading2"/>
      </w:pPr>
      <w:r>
        <w:rPr>
          <w:color w:val="6D2E46"/>
        </w:rPr>
        <w:t>Theory, theoretical framework, and conceptual framework</w:t>
      </w:r>
    </w:p>
    <w:p w14:paraId="09C2C9A2" w14:textId="77777777" w:rsidR="00B5487F" w:rsidRDefault="0046408D">
      <w:pPr>
        <w:spacing w:after="120"/>
        <w:ind w:left="720" w:hanging="720"/>
      </w:pPr>
      <w:proofErr w:type="spellStart"/>
      <w:r>
        <w:rPr>
          <w:color w:val="2C2C2C"/>
          <w:sz w:val="21"/>
          <w:szCs w:val="21"/>
        </w:rPr>
        <w:t>Anfara</w:t>
      </w:r>
      <w:proofErr w:type="spellEnd"/>
      <w:r>
        <w:rPr>
          <w:color w:val="2C2C2C"/>
          <w:sz w:val="21"/>
          <w:szCs w:val="21"/>
        </w:rPr>
        <w:t>, V. A., &amp; Mertz, N. T. (Eds.). (2015). Theoretical frameworks in qualitative research (2nd ed.). Sage.</w:t>
      </w:r>
    </w:p>
    <w:p w14:paraId="10BDEF4C" w14:textId="77777777" w:rsidR="00B5487F" w:rsidRDefault="0046408D">
      <w:pPr>
        <w:spacing w:after="120"/>
        <w:ind w:left="720" w:hanging="720"/>
      </w:pPr>
      <w:proofErr w:type="spellStart"/>
      <w:r>
        <w:rPr>
          <w:color w:val="2C2C2C"/>
          <w:sz w:val="21"/>
          <w:szCs w:val="21"/>
        </w:rPr>
        <w:t>Jabareen</w:t>
      </w:r>
      <w:proofErr w:type="spellEnd"/>
      <w:r>
        <w:rPr>
          <w:color w:val="2C2C2C"/>
          <w:sz w:val="21"/>
          <w:szCs w:val="21"/>
        </w:rPr>
        <w:t>, Y. (2009). Building a conceptual framework: Philosophy, definitions, and procedure. International Journal of Qualitative Methods, 8(4), 49–62.</w:t>
      </w:r>
      <w:r>
        <w:rPr>
          <w:sz w:val="21"/>
          <w:szCs w:val="21"/>
        </w:rPr>
        <w:t xml:space="preserve"> </w:t>
      </w:r>
      <w:hyperlink r:id="rId27" w:history="1">
        <w:r>
          <w:rPr>
            <w:color w:val="1155CC"/>
            <w:sz w:val="21"/>
            <w:szCs w:val="21"/>
            <w:u w:val="single"/>
          </w:rPr>
          <w:t>https://doi.org/10.1177/160940690900800406</w:t>
        </w:r>
      </w:hyperlink>
    </w:p>
    <w:p w14:paraId="6191E6DD" w14:textId="77777777" w:rsidR="00B5487F" w:rsidRDefault="0046408D">
      <w:pPr>
        <w:spacing w:after="120"/>
        <w:ind w:left="720" w:hanging="720"/>
      </w:pPr>
      <w:r>
        <w:rPr>
          <w:color w:val="2C2C2C"/>
          <w:sz w:val="21"/>
          <w:szCs w:val="21"/>
        </w:rPr>
        <w:t>Maxwell, J. A. (2012). Qualitative research design: An interactive approach (3rd ed.). Sage.</w:t>
      </w:r>
    </w:p>
    <w:p w14:paraId="3552853A" w14:textId="77777777" w:rsidR="00B5487F" w:rsidRDefault="0046408D">
      <w:pPr>
        <w:spacing w:after="120"/>
        <w:ind w:left="720" w:hanging="720"/>
      </w:pPr>
      <w:r>
        <w:rPr>
          <w:color w:val="2C2C2C"/>
          <w:sz w:val="21"/>
          <w:szCs w:val="21"/>
        </w:rPr>
        <w:t>Merriam, S. B. (2001). Qualitative research and case study applications in education (2nd ed.). Jossey-Bass.</w:t>
      </w:r>
    </w:p>
    <w:p w14:paraId="39CDCCD9" w14:textId="77777777" w:rsidR="00B5487F" w:rsidRDefault="0046408D">
      <w:pPr>
        <w:spacing w:after="120"/>
        <w:ind w:left="720" w:hanging="720"/>
      </w:pPr>
      <w:r>
        <w:rPr>
          <w:color w:val="2C2C2C"/>
          <w:sz w:val="21"/>
          <w:szCs w:val="21"/>
        </w:rPr>
        <w:lastRenderedPageBreak/>
        <w:t xml:space="preserve">Rocco, T. S., &amp; </w:t>
      </w:r>
      <w:proofErr w:type="spellStart"/>
      <w:r>
        <w:rPr>
          <w:color w:val="2C2C2C"/>
          <w:sz w:val="21"/>
          <w:szCs w:val="21"/>
        </w:rPr>
        <w:t>Plakhotnik</w:t>
      </w:r>
      <w:proofErr w:type="spellEnd"/>
      <w:r>
        <w:rPr>
          <w:color w:val="2C2C2C"/>
          <w:sz w:val="21"/>
          <w:szCs w:val="21"/>
        </w:rPr>
        <w:t>, M. S. (2009). Literature reviews, conceptual frameworks, and theoretical frameworks: Terms, functions, and distinctions. Human Resource Development Review, 8(1), 120–130.</w:t>
      </w:r>
      <w:r>
        <w:rPr>
          <w:sz w:val="21"/>
          <w:szCs w:val="21"/>
        </w:rPr>
        <w:t xml:space="preserve"> </w:t>
      </w:r>
      <w:hyperlink r:id="rId28" w:history="1">
        <w:r>
          <w:rPr>
            <w:color w:val="1155CC"/>
            <w:sz w:val="21"/>
            <w:szCs w:val="21"/>
            <w:u w:val="single"/>
          </w:rPr>
          <w:t>https://doi.org/10.1177/1534484309332617</w:t>
        </w:r>
      </w:hyperlink>
    </w:p>
    <w:p w14:paraId="27388550" w14:textId="77777777" w:rsidR="00B5487F" w:rsidRDefault="00B5487F">
      <w:pPr>
        <w:spacing w:after="140"/>
      </w:pPr>
    </w:p>
    <w:p w14:paraId="3E5F17CB" w14:textId="77777777" w:rsidR="00B5487F" w:rsidRDefault="0046408D">
      <w:pPr>
        <w:pStyle w:val="Heading2"/>
      </w:pPr>
      <w:r>
        <w:rPr>
          <w:color w:val="6D2E46"/>
        </w:rPr>
        <w:t>How the pilot study LR differs from a full thesis LR</w:t>
      </w:r>
    </w:p>
    <w:p w14:paraId="61209665" w14:textId="77777777" w:rsidR="00B5487F" w:rsidRDefault="0046408D">
      <w:pPr>
        <w:spacing w:after="120"/>
        <w:ind w:left="720" w:hanging="720"/>
      </w:pPr>
      <w:r>
        <w:rPr>
          <w:color w:val="2C2C2C"/>
          <w:sz w:val="21"/>
          <w:szCs w:val="21"/>
        </w:rPr>
        <w:t xml:space="preserve">Creswell, J. W., &amp; </w:t>
      </w:r>
      <w:proofErr w:type="spellStart"/>
      <w:r>
        <w:rPr>
          <w:color w:val="2C2C2C"/>
          <w:sz w:val="21"/>
          <w:szCs w:val="21"/>
        </w:rPr>
        <w:t>Poth</w:t>
      </w:r>
      <w:proofErr w:type="spellEnd"/>
      <w:r>
        <w:rPr>
          <w:color w:val="2C2C2C"/>
          <w:sz w:val="21"/>
          <w:szCs w:val="21"/>
        </w:rPr>
        <w:t>, C. N. (2018). Qualitative inquiry and research design: Choosing among five approaches (4th ed.). Sage.</w:t>
      </w:r>
    </w:p>
    <w:p w14:paraId="3A367DC1" w14:textId="77777777" w:rsidR="00B5487F" w:rsidRDefault="0046408D">
      <w:pPr>
        <w:spacing w:after="120"/>
        <w:ind w:left="720" w:hanging="720"/>
      </w:pPr>
      <w:r>
        <w:rPr>
          <w:color w:val="2C2C2C"/>
          <w:sz w:val="21"/>
          <w:szCs w:val="21"/>
        </w:rPr>
        <w:t>Lancaster, G. A., Dodd, S., &amp; Williamson, P. R. (2004). Design and analysis of pilot studies: Recommendations for good practice. Journal of Evaluation in Clinical Practice, 10(2), 307–312.</w:t>
      </w:r>
      <w:r>
        <w:rPr>
          <w:sz w:val="21"/>
          <w:szCs w:val="21"/>
        </w:rPr>
        <w:t xml:space="preserve"> </w:t>
      </w:r>
      <w:hyperlink r:id="rId29" w:history="1">
        <w:r>
          <w:rPr>
            <w:color w:val="1155CC"/>
            <w:sz w:val="21"/>
            <w:szCs w:val="21"/>
            <w:u w:val="single"/>
          </w:rPr>
          <w:t>https://doi.org/10.1111/j..2002.384.doc.x</w:t>
        </w:r>
      </w:hyperlink>
    </w:p>
    <w:p w14:paraId="57831F84" w14:textId="77777777" w:rsidR="00B5487F" w:rsidRDefault="0046408D">
      <w:pPr>
        <w:spacing w:after="120"/>
        <w:ind w:left="720" w:hanging="720"/>
      </w:pPr>
      <w:r>
        <w:rPr>
          <w:color w:val="2C2C2C"/>
          <w:sz w:val="21"/>
          <w:szCs w:val="21"/>
        </w:rPr>
        <w:t xml:space="preserve">Thabane, L., Ma, J., Chu, R., Cheng, J., Ismaila, A., Rios, L. P., Robson, R., Thabane, M., Giangregorio, L., &amp; Goldsmith, C. H. (2010). A tutorial on pilot studies: </w:t>
      </w:r>
      <w:proofErr w:type="gramStart"/>
      <w:r>
        <w:rPr>
          <w:color w:val="2C2C2C"/>
          <w:sz w:val="21"/>
          <w:szCs w:val="21"/>
        </w:rPr>
        <w:t>The what</w:t>
      </w:r>
      <w:proofErr w:type="gramEnd"/>
      <w:r>
        <w:rPr>
          <w:color w:val="2C2C2C"/>
          <w:sz w:val="21"/>
          <w:szCs w:val="21"/>
        </w:rPr>
        <w:t>, why and how. BMC Medical Research Methodology, 10(1), Article 1.</w:t>
      </w:r>
      <w:r>
        <w:rPr>
          <w:sz w:val="21"/>
          <w:szCs w:val="21"/>
        </w:rPr>
        <w:t xml:space="preserve"> </w:t>
      </w:r>
      <w:hyperlink r:id="rId30" w:history="1">
        <w:r>
          <w:rPr>
            <w:color w:val="1155CC"/>
            <w:sz w:val="21"/>
            <w:szCs w:val="21"/>
            <w:u w:val="single"/>
          </w:rPr>
          <w:t>https://doi.org/10.1186/1471-2288-10-1</w:t>
        </w:r>
      </w:hyperlink>
    </w:p>
    <w:p w14:paraId="5C5CF2F4" w14:textId="77777777" w:rsidR="00B5487F" w:rsidRDefault="00B5487F">
      <w:pPr>
        <w:spacing w:after="140"/>
      </w:pPr>
    </w:p>
    <w:p w14:paraId="74E158F9" w14:textId="77777777" w:rsidR="00B5487F" w:rsidRDefault="0046408D">
      <w:pPr>
        <w:pStyle w:val="Heading2"/>
      </w:pPr>
      <w:r>
        <w:rPr>
          <w:color w:val="6D2E46"/>
        </w:rPr>
        <w:t>Thematic structure and the five writing moves</w:t>
      </w:r>
    </w:p>
    <w:p w14:paraId="041F3C9A" w14:textId="77777777" w:rsidR="00B5487F" w:rsidRDefault="0046408D">
      <w:pPr>
        <w:spacing w:after="120"/>
        <w:ind w:left="720" w:hanging="720"/>
      </w:pPr>
      <w:r>
        <w:rPr>
          <w:color w:val="2C2C2C"/>
          <w:sz w:val="21"/>
          <w:szCs w:val="21"/>
        </w:rPr>
        <w:t xml:space="preserve">Booth, W. C., Colomb, G. G., Williams, J. M., </w:t>
      </w:r>
      <w:proofErr w:type="spellStart"/>
      <w:r>
        <w:rPr>
          <w:color w:val="2C2C2C"/>
          <w:sz w:val="21"/>
          <w:szCs w:val="21"/>
        </w:rPr>
        <w:t>Bizup</w:t>
      </w:r>
      <w:proofErr w:type="spellEnd"/>
      <w:r>
        <w:rPr>
          <w:color w:val="2C2C2C"/>
          <w:sz w:val="21"/>
          <w:szCs w:val="21"/>
        </w:rPr>
        <w:t>, J., &amp; FitzGerald, W. T. (2016). The craft of research (4th ed.). University of Chicago Press.</w:t>
      </w:r>
    </w:p>
    <w:p w14:paraId="3D64820A" w14:textId="77777777" w:rsidR="00B5487F" w:rsidRDefault="0046408D">
      <w:pPr>
        <w:spacing w:after="120"/>
        <w:ind w:left="720" w:hanging="720"/>
      </w:pPr>
      <w:r>
        <w:rPr>
          <w:color w:val="2C2C2C"/>
          <w:sz w:val="21"/>
          <w:szCs w:val="21"/>
        </w:rPr>
        <w:t>Machi, L. A., &amp; McEvoy, B. T. (2021). The literature review: Six steps to success (4th ed.). Corwin.</w:t>
      </w:r>
    </w:p>
    <w:p w14:paraId="53DD85E9" w14:textId="77777777" w:rsidR="00B5487F" w:rsidRDefault="0046408D">
      <w:pPr>
        <w:spacing w:after="120"/>
        <w:ind w:left="720" w:hanging="720"/>
      </w:pPr>
      <w:r>
        <w:rPr>
          <w:color w:val="2C2C2C"/>
          <w:sz w:val="21"/>
          <w:szCs w:val="21"/>
        </w:rPr>
        <w:t xml:space="preserve">Webster, J., &amp; Watson, R. T. (2002). </w:t>
      </w:r>
      <w:proofErr w:type="spellStart"/>
      <w:r>
        <w:rPr>
          <w:color w:val="2C2C2C"/>
          <w:sz w:val="21"/>
          <w:szCs w:val="21"/>
        </w:rPr>
        <w:t>Analyzing</w:t>
      </w:r>
      <w:proofErr w:type="spellEnd"/>
      <w:r>
        <w:rPr>
          <w:color w:val="2C2C2C"/>
          <w:sz w:val="21"/>
          <w:szCs w:val="21"/>
        </w:rPr>
        <w:t xml:space="preserve"> the past to prepare for the future: Writing a literature review. MIS Quarterly, 26(2), xiii–xxiii.</w:t>
      </w:r>
      <w:r>
        <w:rPr>
          <w:sz w:val="21"/>
          <w:szCs w:val="21"/>
        </w:rPr>
        <w:t xml:space="preserve"> </w:t>
      </w:r>
      <w:hyperlink r:id="rId31" w:history="1">
        <w:r>
          <w:rPr>
            <w:color w:val="1155CC"/>
            <w:sz w:val="21"/>
            <w:szCs w:val="21"/>
            <w:u w:val="single"/>
          </w:rPr>
          <w:t>https://doi.org/10.2307/4132319</w:t>
        </w:r>
      </w:hyperlink>
    </w:p>
    <w:p w14:paraId="74671209" w14:textId="77777777" w:rsidR="00B5487F" w:rsidRDefault="00B5487F">
      <w:pPr>
        <w:spacing w:after="140"/>
      </w:pPr>
    </w:p>
    <w:p w14:paraId="312BCDAB" w14:textId="77777777" w:rsidR="00B5487F" w:rsidRDefault="0046408D">
      <w:pPr>
        <w:pStyle w:val="Heading2"/>
      </w:pPr>
      <w:r>
        <w:rPr>
          <w:color w:val="6D2E46"/>
        </w:rPr>
        <w:t>Writing critically and constructing the gap</w:t>
      </w:r>
    </w:p>
    <w:p w14:paraId="787DF042" w14:textId="77777777" w:rsidR="00B5487F" w:rsidRDefault="0046408D">
      <w:pPr>
        <w:spacing w:after="120"/>
        <w:ind w:left="720" w:hanging="720"/>
      </w:pPr>
      <w:r>
        <w:rPr>
          <w:color w:val="2C2C2C"/>
          <w:sz w:val="21"/>
          <w:szCs w:val="21"/>
        </w:rPr>
        <w:t>Cottrell, S. (2023). Critical thinking skills: Effective analysis, argument and reflection (4th ed.). Bloomsbury Academic.</w:t>
      </w:r>
    </w:p>
    <w:p w14:paraId="12771DB3" w14:textId="77777777" w:rsidR="00B5487F" w:rsidRDefault="0046408D">
      <w:pPr>
        <w:spacing w:after="120"/>
        <w:ind w:left="720" w:hanging="720"/>
      </w:pPr>
      <w:r>
        <w:rPr>
          <w:color w:val="2C2C2C"/>
          <w:sz w:val="21"/>
          <w:szCs w:val="21"/>
        </w:rPr>
        <w:t>Torraco, R. J. (2016). Writing integrative literature reviews: Using the past and present to explore the future. Human Resource Development Review, 15(4), 404–428.</w:t>
      </w:r>
      <w:r>
        <w:rPr>
          <w:sz w:val="21"/>
          <w:szCs w:val="21"/>
        </w:rPr>
        <w:t xml:space="preserve"> </w:t>
      </w:r>
      <w:hyperlink r:id="rId32" w:history="1">
        <w:r>
          <w:rPr>
            <w:color w:val="1155CC"/>
            <w:sz w:val="21"/>
            <w:szCs w:val="21"/>
            <w:u w:val="single"/>
          </w:rPr>
          <w:t>https://doi.org/10.1177/1534484316671606</w:t>
        </w:r>
      </w:hyperlink>
    </w:p>
    <w:p w14:paraId="7EBB0A1B" w14:textId="77777777" w:rsidR="00B5487F" w:rsidRDefault="0046408D">
      <w:pPr>
        <w:spacing w:after="120"/>
        <w:ind w:left="720" w:hanging="720"/>
      </w:pPr>
      <w:proofErr w:type="spellStart"/>
      <w:r>
        <w:rPr>
          <w:color w:val="2C2C2C"/>
          <w:sz w:val="21"/>
          <w:szCs w:val="21"/>
        </w:rPr>
        <w:t>Tranfield</w:t>
      </w:r>
      <w:proofErr w:type="spellEnd"/>
      <w:r>
        <w:rPr>
          <w:color w:val="2C2C2C"/>
          <w:sz w:val="21"/>
          <w:szCs w:val="21"/>
        </w:rPr>
        <w:t>, D., Denyer, D., &amp; Smart, P. (2003). Towards a methodology for developing evidence-informed management knowledge by means of systematic review. British Journal of Management, 14(3), 207–222.</w:t>
      </w:r>
      <w:r>
        <w:rPr>
          <w:sz w:val="21"/>
          <w:szCs w:val="21"/>
        </w:rPr>
        <w:t xml:space="preserve"> </w:t>
      </w:r>
      <w:hyperlink r:id="rId33" w:history="1">
        <w:r>
          <w:rPr>
            <w:color w:val="1155CC"/>
            <w:sz w:val="21"/>
            <w:szCs w:val="21"/>
            <w:u w:val="single"/>
          </w:rPr>
          <w:t>https://doi.org/10.1111/1467-8551.00375</w:t>
        </w:r>
      </w:hyperlink>
    </w:p>
    <w:p w14:paraId="687FA2D8" w14:textId="77777777" w:rsidR="00B5487F" w:rsidRDefault="00B5487F">
      <w:pPr>
        <w:spacing w:after="200"/>
      </w:pPr>
    </w:p>
    <w:p w14:paraId="03972E2F" w14:textId="77777777" w:rsidR="00B5487F" w:rsidRDefault="00B5487F">
      <w:pPr>
        <w:pBdr>
          <w:bottom w:val="single" w:sz="4" w:space="0" w:color="6D2E46"/>
        </w:pBdr>
        <w:spacing w:after="160"/>
      </w:pPr>
    </w:p>
    <w:p w14:paraId="59D38243" w14:textId="77777777" w:rsidR="00B5487F" w:rsidRDefault="00B5487F">
      <w:pPr>
        <w:spacing w:after="80"/>
      </w:pPr>
    </w:p>
    <w:p w14:paraId="22391F3B" w14:textId="790D2A01" w:rsidR="00B5487F" w:rsidRDefault="0046408D">
      <w:pPr>
        <w:spacing w:after="80"/>
      </w:pPr>
      <w:r>
        <w:rPr>
          <w:b/>
          <w:bCs/>
          <w:color w:val="555555"/>
          <w:sz w:val="21"/>
          <w:szCs w:val="21"/>
        </w:rPr>
        <w:t xml:space="preserve">Using this list.  </w:t>
      </w:r>
      <w:r>
        <w:rPr>
          <w:i/>
          <w:iCs/>
          <w:color w:val="555555"/>
          <w:sz w:val="21"/>
          <w:szCs w:val="21"/>
        </w:rPr>
        <w:t>The three exemplar LRs in Section 2 are the most important starting point</w:t>
      </w:r>
      <w:r w:rsidR="00A127FA">
        <w:rPr>
          <w:i/>
          <w:iCs/>
          <w:color w:val="555555"/>
          <w:sz w:val="21"/>
          <w:szCs w:val="21"/>
        </w:rPr>
        <w:t xml:space="preserve">, </w:t>
      </w:r>
      <w:r>
        <w:rPr>
          <w:i/>
          <w:iCs/>
          <w:color w:val="555555"/>
          <w:sz w:val="21"/>
          <w:szCs w:val="21"/>
        </w:rPr>
        <w:t xml:space="preserve">read at least one before drafting your own. The Rocco and </w:t>
      </w:r>
      <w:proofErr w:type="spellStart"/>
      <w:r>
        <w:rPr>
          <w:i/>
          <w:iCs/>
          <w:color w:val="555555"/>
          <w:sz w:val="21"/>
          <w:szCs w:val="21"/>
        </w:rPr>
        <w:t>Plakhotnik</w:t>
      </w:r>
      <w:proofErr w:type="spellEnd"/>
      <w:r>
        <w:rPr>
          <w:i/>
          <w:iCs/>
          <w:color w:val="555555"/>
          <w:sz w:val="21"/>
          <w:szCs w:val="21"/>
        </w:rPr>
        <w:t xml:space="preserve"> (2009) paper </w:t>
      </w:r>
      <w:proofErr w:type="gramStart"/>
      <w:r>
        <w:rPr>
          <w:i/>
          <w:iCs/>
          <w:color w:val="555555"/>
          <w:sz w:val="21"/>
          <w:szCs w:val="21"/>
        </w:rPr>
        <w:t>is</w:t>
      </w:r>
      <w:proofErr w:type="gramEnd"/>
      <w:r>
        <w:rPr>
          <w:i/>
          <w:iCs/>
          <w:color w:val="555555"/>
          <w:sz w:val="21"/>
          <w:szCs w:val="21"/>
        </w:rPr>
        <w:t xml:space="preserve"> essential reading for all students. Everything else in Sections 3 and 4 is for depth and context as your writing develops.</w:t>
      </w:r>
    </w:p>
    <w:p w14:paraId="046FDA94" w14:textId="77777777" w:rsidR="00B5487F" w:rsidRDefault="00B5487F">
      <w:pPr>
        <w:spacing w:after="80"/>
      </w:pPr>
    </w:p>
    <w:p w14:paraId="5220FF76" w14:textId="006056CC" w:rsidR="00B5487F" w:rsidRDefault="0046408D">
      <w:pPr>
        <w:spacing w:after="100"/>
      </w:pPr>
      <w:r>
        <w:rPr>
          <w:color w:val="999999"/>
        </w:rPr>
        <w:t xml:space="preserve">Dr Caroline Jawad </w:t>
      </w:r>
      <w:proofErr w:type="gramStart"/>
      <w:r>
        <w:rPr>
          <w:color w:val="999999"/>
        </w:rPr>
        <w:t>|  LCDB7010  |</w:t>
      </w:r>
      <w:proofErr w:type="gramEnd"/>
      <w:r>
        <w:rPr>
          <w:color w:val="999999"/>
        </w:rPr>
        <w:t xml:space="preserve">  UWTSD</w:t>
      </w:r>
    </w:p>
    <w:sectPr w:rsidR="00B5487F">
      <w:footerReference w:type="default" r:id="rId34"/>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AEF9E" w14:textId="77777777" w:rsidR="0046408D" w:rsidRDefault="0046408D">
      <w:r>
        <w:separator/>
      </w:r>
    </w:p>
  </w:endnote>
  <w:endnote w:type="continuationSeparator" w:id="0">
    <w:p w14:paraId="287AE2EB" w14:textId="77777777" w:rsidR="0046408D" w:rsidRDefault="00464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8CE54" w14:textId="77777777" w:rsidR="00B5487F" w:rsidRDefault="0046408D">
    <w:pPr>
      <w:jc w:val="right"/>
    </w:pPr>
    <w:r>
      <w:rPr>
        <w:color w:val="999999"/>
        <w:sz w:val="18"/>
        <w:szCs w:val="18"/>
      </w:rPr>
      <w:t xml:space="preserve">LCDB7010 Workshop </w:t>
    </w:r>
    <w:proofErr w:type="gramStart"/>
    <w:r>
      <w:rPr>
        <w:color w:val="999999"/>
        <w:sz w:val="18"/>
        <w:szCs w:val="18"/>
      </w:rPr>
      <w:t>Citations  |</w:t>
    </w:r>
    <w:proofErr w:type="gramEnd"/>
    <w:r>
      <w:rPr>
        <w:color w:val="999999"/>
        <w:sz w:val="18"/>
        <w:szCs w:val="18"/>
      </w:rPr>
      <w:t xml:space="preserve">  Page </w:t>
    </w:r>
    <w:r>
      <w:rPr>
        <w:color w:val="999999"/>
        <w:sz w:val="18"/>
        <w:szCs w:val="18"/>
      </w:rPr>
      <w:fldChar w:fldCharType="begin"/>
    </w:r>
    <w:r>
      <w:rPr>
        <w:color w:val="999999"/>
        <w:sz w:val="18"/>
        <w:szCs w:val="18"/>
      </w:rPr>
      <w:instrText>PAGE</w:instrText>
    </w:r>
    <w:r>
      <w:rPr>
        <w:color w:val="999999"/>
        <w:sz w:val="18"/>
        <w:szCs w:val="18"/>
      </w:rPr>
      <w:fldChar w:fldCharType="separate"/>
    </w:r>
    <w:r w:rsidR="00A127FA">
      <w:rPr>
        <w:noProof/>
        <w:color w:val="999999"/>
        <w:sz w:val="18"/>
        <w:szCs w:val="18"/>
      </w:rPr>
      <w:t>1</w:t>
    </w:r>
    <w:r>
      <w:rPr>
        <w:color w:val="99999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119D8" w14:textId="77777777" w:rsidR="0046408D" w:rsidRDefault="0046408D">
      <w:r>
        <w:separator/>
      </w:r>
    </w:p>
  </w:footnote>
  <w:footnote w:type="continuationSeparator" w:id="0">
    <w:p w14:paraId="49B579F1" w14:textId="77777777" w:rsidR="0046408D" w:rsidRDefault="00464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D0DB1"/>
    <w:multiLevelType w:val="hybridMultilevel"/>
    <w:tmpl w:val="F4E21E94"/>
    <w:lvl w:ilvl="0" w:tplc="5DAE79E2">
      <w:start w:val="1"/>
      <w:numFmt w:val="bullet"/>
      <w:lvlText w:val="●"/>
      <w:lvlJc w:val="left"/>
      <w:pPr>
        <w:ind w:left="720" w:hanging="360"/>
      </w:pPr>
    </w:lvl>
    <w:lvl w:ilvl="1" w:tplc="3BBE710E">
      <w:start w:val="1"/>
      <w:numFmt w:val="bullet"/>
      <w:lvlText w:val="○"/>
      <w:lvlJc w:val="left"/>
      <w:pPr>
        <w:ind w:left="1440" w:hanging="360"/>
      </w:pPr>
    </w:lvl>
    <w:lvl w:ilvl="2" w:tplc="851E5C70">
      <w:start w:val="1"/>
      <w:numFmt w:val="bullet"/>
      <w:lvlText w:val="■"/>
      <w:lvlJc w:val="left"/>
      <w:pPr>
        <w:ind w:left="2160" w:hanging="360"/>
      </w:pPr>
    </w:lvl>
    <w:lvl w:ilvl="3" w:tplc="C53AB4DE">
      <w:start w:val="1"/>
      <w:numFmt w:val="bullet"/>
      <w:lvlText w:val="●"/>
      <w:lvlJc w:val="left"/>
      <w:pPr>
        <w:ind w:left="2880" w:hanging="360"/>
      </w:pPr>
    </w:lvl>
    <w:lvl w:ilvl="4" w:tplc="21EEEE5A">
      <w:start w:val="1"/>
      <w:numFmt w:val="bullet"/>
      <w:lvlText w:val="○"/>
      <w:lvlJc w:val="left"/>
      <w:pPr>
        <w:ind w:left="3600" w:hanging="360"/>
      </w:pPr>
    </w:lvl>
    <w:lvl w:ilvl="5" w:tplc="BAA8584C">
      <w:start w:val="1"/>
      <w:numFmt w:val="bullet"/>
      <w:lvlText w:val="■"/>
      <w:lvlJc w:val="left"/>
      <w:pPr>
        <w:ind w:left="4320" w:hanging="360"/>
      </w:pPr>
    </w:lvl>
    <w:lvl w:ilvl="6" w:tplc="F56CB7BE">
      <w:start w:val="1"/>
      <w:numFmt w:val="bullet"/>
      <w:lvlText w:val="●"/>
      <w:lvlJc w:val="left"/>
      <w:pPr>
        <w:ind w:left="5040" w:hanging="360"/>
      </w:pPr>
    </w:lvl>
    <w:lvl w:ilvl="7" w:tplc="8C309302">
      <w:start w:val="1"/>
      <w:numFmt w:val="bullet"/>
      <w:lvlText w:val="●"/>
      <w:lvlJc w:val="left"/>
      <w:pPr>
        <w:ind w:left="5760" w:hanging="360"/>
      </w:pPr>
    </w:lvl>
    <w:lvl w:ilvl="8" w:tplc="40AA1328">
      <w:start w:val="1"/>
      <w:numFmt w:val="bullet"/>
      <w:lvlText w:val="●"/>
      <w:lvlJc w:val="left"/>
      <w:pPr>
        <w:ind w:left="6480" w:hanging="360"/>
      </w:pPr>
    </w:lvl>
  </w:abstractNum>
  <w:num w:numId="1" w16cid:durableId="3547756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7F"/>
    <w:rsid w:val="001A6E09"/>
    <w:rsid w:val="0046408D"/>
    <w:rsid w:val="00A127FA"/>
    <w:rsid w:val="00B5487F"/>
    <w:rsid w:val="00E147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4AE2"/>
  <w15:docId w15:val="{82B5DB60-1D80-4FC4-8FC3-7A44F6F2A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rFonts w:ascii="Georgia" w:eastAsia="Georgia" w:hAnsi="Georgia" w:cs="Georgia"/>
      <w:b/>
      <w:bCs/>
      <w:color w:val="6D2E46"/>
      <w:sz w:val="30"/>
      <w:szCs w:val="30"/>
    </w:rPr>
  </w:style>
  <w:style w:type="paragraph" w:styleId="Heading2">
    <w:name w:val="heading 2"/>
    <w:uiPriority w:val="9"/>
    <w:unhideWhenUsed/>
    <w:qFormat/>
    <w:pPr>
      <w:spacing w:before="240" w:after="80"/>
      <w:outlineLvl w:val="1"/>
    </w:pPr>
    <w:rPr>
      <w:rFonts w:ascii="Georgia" w:eastAsia="Georgia" w:hAnsi="Georgia" w:cs="Georgia"/>
      <w:b/>
      <w:bCs/>
      <w:color w:val="1E3A6B"/>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1534484309332617" TargetMode="External"/><Relationship Id="rId18" Type="http://schemas.openxmlformats.org/officeDocument/2006/relationships/hyperlink" Target="https://doi.org/10.1146/annurev.psych.60.110707.163621" TargetMode="External"/><Relationship Id="rId26" Type="http://schemas.openxmlformats.org/officeDocument/2006/relationships/hyperlink" Target="https://doi.org/10.1177/1534484309332617" TargetMode="External"/><Relationship Id="rId3" Type="http://schemas.openxmlformats.org/officeDocument/2006/relationships/settings" Target="settings.xml"/><Relationship Id="rId21" Type="http://schemas.openxmlformats.org/officeDocument/2006/relationships/hyperlink" Target="https://doi.org/10.12968/bjon.2015.24.21.1074" TargetMode="External"/><Relationship Id="rId34" Type="http://schemas.openxmlformats.org/officeDocument/2006/relationships/footer" Target="footer1.xml"/><Relationship Id="rId7" Type="http://schemas.openxmlformats.org/officeDocument/2006/relationships/hyperlink" Target="https://doi.org/10.3102/0013189X034006003" TargetMode="External"/><Relationship Id="rId12" Type="http://schemas.openxmlformats.org/officeDocument/2006/relationships/hyperlink" Target="https://doi.org/10.1111/etap.12254" TargetMode="External"/><Relationship Id="rId17" Type="http://schemas.openxmlformats.org/officeDocument/2006/relationships/hyperlink" Target="https://doi.org/10.5465/amj.2007.28166219" TargetMode="External"/><Relationship Id="rId25" Type="http://schemas.openxmlformats.org/officeDocument/2006/relationships/hyperlink" Target="https://doi.org/10.1177/1534484305278283" TargetMode="External"/><Relationship Id="rId33" Type="http://schemas.openxmlformats.org/officeDocument/2006/relationships/hyperlink" Target="https://doi.org/10.1111/1467-8551.00375" TargetMode="External"/><Relationship Id="rId2" Type="http://schemas.openxmlformats.org/officeDocument/2006/relationships/styles" Target="styles.xml"/><Relationship Id="rId16" Type="http://schemas.openxmlformats.org/officeDocument/2006/relationships/hyperlink" Target="https://doi.org/10.1111/j.1467-6486.2009.00890.x" TargetMode="External"/><Relationship Id="rId20" Type="http://schemas.openxmlformats.org/officeDocument/2006/relationships/hyperlink" Target="https://doi.org/10.1111/etap.12254" TargetMode="External"/><Relationship Id="rId29" Type="http://schemas.openxmlformats.org/officeDocument/2006/relationships/hyperlink" Target="https://doi.org/10.1111/j..2002.384.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007/IJARBSS/v7-i4/2916" TargetMode="External"/><Relationship Id="rId24" Type="http://schemas.openxmlformats.org/officeDocument/2006/relationships/hyperlink" Target="https://doi.org/10.3102/0013189X034006003" TargetMode="External"/><Relationship Id="rId32" Type="http://schemas.openxmlformats.org/officeDocument/2006/relationships/hyperlink" Target="https://doi.org/10.1177/1534484316671606" TargetMode="External"/><Relationship Id="rId5" Type="http://schemas.openxmlformats.org/officeDocument/2006/relationships/footnotes" Target="footnotes.xml"/><Relationship Id="rId15" Type="http://schemas.openxmlformats.org/officeDocument/2006/relationships/hyperlink" Target="https://doi.org/10.2307/4132319" TargetMode="External"/><Relationship Id="rId23" Type="http://schemas.openxmlformats.org/officeDocument/2006/relationships/hyperlink" Target="https://doi.org/10.1086/226550" TargetMode="External"/><Relationship Id="rId28" Type="http://schemas.openxmlformats.org/officeDocument/2006/relationships/hyperlink" Target="https://doi.org/10.1177/1534484309332617" TargetMode="External"/><Relationship Id="rId36" Type="http://schemas.openxmlformats.org/officeDocument/2006/relationships/theme" Target="theme/theme1.xml"/><Relationship Id="rId10" Type="http://schemas.openxmlformats.org/officeDocument/2006/relationships/hyperlink" Target="https://doi.org/10.1177/1094428112452151" TargetMode="External"/><Relationship Id="rId19" Type="http://schemas.openxmlformats.org/officeDocument/2006/relationships/hyperlink" Target="https://doi.org/10.1177/1094670511411703" TargetMode="External"/><Relationship Id="rId31" Type="http://schemas.openxmlformats.org/officeDocument/2006/relationships/hyperlink" Target="https://doi.org/10.2307/4132319" TargetMode="External"/><Relationship Id="rId4" Type="http://schemas.openxmlformats.org/officeDocument/2006/relationships/webSettings" Target="webSettings.xml"/><Relationship Id="rId9" Type="http://schemas.openxmlformats.org/officeDocument/2006/relationships/hyperlink" Target="https://doi.org/10.2307/2666999" TargetMode="External"/><Relationship Id="rId14" Type="http://schemas.openxmlformats.org/officeDocument/2006/relationships/hyperlink" Target="https://doi.org/10.1177/1534484305278283" TargetMode="External"/><Relationship Id="rId22" Type="http://schemas.openxmlformats.org/officeDocument/2006/relationships/hyperlink" Target="https://doi.org/10.2307/2095101" TargetMode="External"/><Relationship Id="rId27" Type="http://schemas.openxmlformats.org/officeDocument/2006/relationships/hyperlink" Target="https://doi.org/10.1177/160940690900800406" TargetMode="External"/><Relationship Id="rId30" Type="http://schemas.openxmlformats.org/officeDocument/2006/relationships/hyperlink" Target="https://doi.org/10.1186/1471-2288-10-1" TargetMode="External"/><Relationship Id="rId35" Type="http://schemas.openxmlformats.org/officeDocument/2006/relationships/fontTable" Target="fontTable.xml"/><Relationship Id="rId8" Type="http://schemas.openxmlformats.org/officeDocument/2006/relationships/hyperlink" Target="https://doi.org/10.2307/2095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2009</Words>
  <Characters>13829</Characters>
  <Application>Microsoft Office Word</Application>
  <DocSecurity>0</DocSecurity>
  <Lines>209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Caroline Jawad</cp:lastModifiedBy>
  <cp:revision>2</cp:revision>
  <dcterms:created xsi:type="dcterms:W3CDTF">2026-02-23T18:57:00Z</dcterms:created>
  <dcterms:modified xsi:type="dcterms:W3CDTF">2026-02-23T18:57:00Z</dcterms:modified>
</cp:coreProperties>
</file>