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2EFDAA61" w14:textId="77777777" w:rsidR="00AE2976" w:rsidRDefault="00AE2976" w:rsidP="00AE2976">
      <w:pPr>
        <w:pStyle w:val="NormalWeb"/>
        <w:spacing w:before="0" w:beforeAutospacing="0" w:after="0" w:afterAutospacing="0"/>
        <w:ind w:left="-180" w:right="-334"/>
        <w:rPr>
          <w:rFonts w:ascii="Trebuchet MS" w:hAnsi="Trebuchet MS" w:cs="Tahoma"/>
          <w:sz w:val="24"/>
          <w:szCs w:val="24"/>
        </w:rPr>
      </w:pPr>
      <w:bookmarkStart w:id="0" w:name="h.tqybii77xzqg" w:colFirst="0" w:colLast="0"/>
      <w:bookmarkEnd w:id="0"/>
      <w:r>
        <w:rPr>
          <w:noProof/>
          <w:lang w:val="en-US" w:eastAsia="en-US"/>
        </w:rPr>
        <w:drawing>
          <wp:inline distT="0" distB="0" distL="0" distR="0" wp14:anchorId="40F34AF5" wp14:editId="508F6E7F">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47E18DD" w14:textId="77777777" w:rsidR="00AE2976" w:rsidRDefault="00AE2976" w:rsidP="00AE2976">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048CB706" w14:textId="77777777" w:rsidR="00AE2976" w:rsidRDefault="00AE2976" w:rsidP="00AE2976">
      <w:pPr>
        <w:jc w:val="center"/>
        <w:rPr>
          <w:b/>
          <w:lang w:val="cy-GB"/>
        </w:rPr>
      </w:pPr>
      <w:r>
        <w:rPr>
          <w:b/>
          <w:lang w:val="cy-GB"/>
        </w:rPr>
        <w:t>(to be completed by marker)</w:t>
      </w:r>
    </w:p>
    <w:p w14:paraId="25560167" w14:textId="77777777" w:rsidR="00AE2976" w:rsidRPr="00AE2976" w:rsidRDefault="00AE2976" w:rsidP="00AE2976">
      <w:pPr>
        <w:jc w:val="center"/>
        <w:rPr>
          <w:b/>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E2976" w:rsidRPr="0065654E" w14:paraId="67DA5EC5" w14:textId="7777777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F8083F0" w14:textId="77777777" w:rsidR="00AE2976" w:rsidRPr="00AE2976" w:rsidRDefault="00AE2976" w:rsidP="00877FC6">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 xml:space="preserve">me: </w:t>
            </w:r>
            <w:r w:rsidR="00B829C9">
              <w:rPr>
                <w:rFonts w:ascii="Calibri" w:hAnsi="Calibri" w:cs="Tahoma"/>
                <w:sz w:val="24"/>
                <w:szCs w:val="24"/>
              </w:rPr>
              <w:t>XXXXXXXXX</w:t>
            </w:r>
          </w:p>
          <w:p w14:paraId="30527EE2" w14:textId="77777777" w:rsidR="00AE2976" w:rsidRPr="0065654E" w:rsidRDefault="00AE2976" w:rsidP="00877FC6">
            <w:pPr>
              <w:pStyle w:val="NormalWeb"/>
              <w:spacing w:before="0" w:beforeAutospacing="0" w:after="0" w:afterAutospacing="0"/>
              <w:ind w:right="34"/>
              <w:rPr>
                <w:rFonts w:ascii="Calibri" w:hAnsi="Calibri" w:cs="Tahoma"/>
                <w:i/>
                <w:sz w:val="24"/>
                <w:szCs w:val="24"/>
              </w:rPr>
            </w:pPr>
          </w:p>
        </w:tc>
      </w:tr>
      <w:tr w:rsidR="00AE2976" w:rsidRPr="0065654E" w14:paraId="4D76A4F5" w14:textId="7777777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F728E06" w14:textId="77777777" w:rsidR="00AE2976" w:rsidRPr="00AE2976" w:rsidRDefault="00AE2976" w:rsidP="00187024">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sz w:val="24"/>
                <w:szCs w:val="24"/>
              </w:rPr>
              <w:t xml:space="preserve">Women </w:t>
            </w:r>
            <w:r w:rsidR="00187024">
              <w:rPr>
                <w:rFonts w:ascii="Calibri" w:hAnsi="Calibri" w:cs="Tahoma"/>
                <w:sz w:val="24"/>
                <w:szCs w:val="24"/>
              </w:rPr>
              <w:t>and Religion</w:t>
            </w:r>
          </w:p>
        </w:tc>
        <w:tc>
          <w:tcPr>
            <w:tcW w:w="3967" w:type="dxa"/>
            <w:gridSpan w:val="2"/>
            <w:tcBorders>
              <w:top w:val="single" w:sz="4" w:space="0" w:color="auto"/>
              <w:left w:val="single" w:sz="4" w:space="0" w:color="auto"/>
              <w:bottom w:val="single" w:sz="4" w:space="0" w:color="auto"/>
              <w:right w:val="single" w:sz="4" w:space="0" w:color="auto"/>
            </w:tcBorders>
          </w:tcPr>
          <w:p w14:paraId="28BF4995" w14:textId="77777777" w:rsidR="00AE2976" w:rsidRPr="00AE2976" w:rsidRDefault="00AE2976" w:rsidP="00B829C9">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rsidR="00B829C9">
              <w:rPr>
                <w:rFonts w:ascii="Calibri" w:hAnsi="Calibri" w:cs="Tahoma"/>
                <w:sz w:val="24"/>
                <w:szCs w:val="24"/>
              </w:rPr>
              <w:t>XXXXX</w:t>
            </w:r>
          </w:p>
        </w:tc>
      </w:tr>
      <w:tr w:rsidR="00AE2976" w:rsidRPr="0065654E" w14:paraId="35741348" w14:textId="7777777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BA31DF3" w14:textId="77777777" w:rsidR="00AE2976" w:rsidRPr="0065654E" w:rsidRDefault="00AE2976" w:rsidP="00877FC6">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1BC0D00B" w14:textId="77777777" w:rsidR="00AE2976" w:rsidRDefault="00AE2976" w:rsidP="00877FC6">
            <w:pPr>
              <w:pStyle w:val="NormalWeb"/>
              <w:rPr>
                <w:rFonts w:ascii="Calibri" w:hAnsi="Calibri" w:cs="Tahoma"/>
                <w:i/>
                <w:sz w:val="24"/>
                <w:szCs w:val="24"/>
              </w:rPr>
            </w:pPr>
            <w:r w:rsidRPr="0065654E">
              <w:rPr>
                <w:rFonts w:ascii="Calibri" w:hAnsi="Calibri" w:cs="Tahoma"/>
                <w:i/>
                <w:sz w:val="24"/>
                <w:szCs w:val="24"/>
              </w:rPr>
              <w:t>Comments:</w:t>
            </w:r>
          </w:p>
          <w:p w14:paraId="4EF9E487" w14:textId="77777777" w:rsidR="00AE2976" w:rsidRPr="0043139D" w:rsidRDefault="0043139D" w:rsidP="0043139D">
            <w:pPr>
              <w:pStyle w:val="NormalWeb"/>
              <w:jc w:val="both"/>
              <w:rPr>
                <w:rFonts w:ascii="Calibri" w:hAnsi="Calibri" w:cs="Tahoma"/>
                <w:sz w:val="24"/>
                <w:szCs w:val="24"/>
              </w:rPr>
            </w:pPr>
            <w:r>
              <w:rPr>
                <w:rFonts w:ascii="Calibri" w:hAnsi="Calibri" w:cs="Tahoma"/>
                <w:sz w:val="24"/>
                <w:szCs w:val="24"/>
              </w:rPr>
              <w:t xml:space="preserve">This is a particularly informative and well-structured examination of the origins and significance of ‘Wisdom’ in biblical and later Jewish traditions. You have used a wide range of secondary literature to good effect and, throughout the assignment, </w:t>
            </w:r>
            <w:r w:rsidR="00187024">
              <w:rPr>
                <w:rFonts w:ascii="Calibri" w:hAnsi="Calibri" w:cs="Tahoma"/>
                <w:sz w:val="24"/>
                <w:szCs w:val="24"/>
              </w:rPr>
              <w:t xml:space="preserve">you </w:t>
            </w:r>
            <w:r>
              <w:rPr>
                <w:rFonts w:ascii="Calibri" w:hAnsi="Calibri" w:cs="Tahoma"/>
                <w:sz w:val="24"/>
                <w:szCs w:val="24"/>
              </w:rPr>
              <w:t xml:space="preserve">have sought to present the material to an ‘uninformed reader’, as one would expect to find in an encyclopaedia article. You make clear and apposite distinctions between the application of wisdom motifs in earlier and later material, particularly in the Qumran writings. The piece would have benefited from a few concluding sentences to draw various threads together, and you will note from my comments that footnotes and </w:t>
            </w:r>
            <w:proofErr w:type="spellStart"/>
            <w:r>
              <w:rPr>
                <w:rFonts w:ascii="Calibri" w:hAnsi="Calibri" w:cs="Tahoma"/>
                <w:sz w:val="24"/>
                <w:szCs w:val="24"/>
              </w:rPr>
              <w:t>bibligraphical</w:t>
            </w:r>
            <w:proofErr w:type="spellEnd"/>
            <w:r>
              <w:rPr>
                <w:rFonts w:ascii="Calibri" w:hAnsi="Calibri" w:cs="Tahoma"/>
                <w:sz w:val="24"/>
                <w:szCs w:val="24"/>
              </w:rPr>
              <w:t xml:space="preserve"> entries require a full stop at the end. </w:t>
            </w:r>
            <w:r w:rsidR="00187024">
              <w:rPr>
                <w:rFonts w:ascii="Calibri" w:hAnsi="Calibri" w:cs="Tahoma"/>
                <w:sz w:val="24"/>
                <w:szCs w:val="24"/>
              </w:rPr>
              <w:t xml:space="preserve">Although, in an encyclopaedia article, one is more likely to use the Harvard referencing system (e.g., Smith 2004: 319) rather than footnotes. </w:t>
            </w:r>
            <w:r>
              <w:rPr>
                <w:rFonts w:ascii="Calibri" w:hAnsi="Calibri" w:cs="Tahoma"/>
                <w:sz w:val="24"/>
                <w:szCs w:val="24"/>
              </w:rPr>
              <w:t xml:space="preserve">The relevant pages of articles and book chapters also need to be included in the bibliography. </w:t>
            </w:r>
          </w:p>
          <w:p w14:paraId="63C0E12A" w14:textId="77777777" w:rsidR="00AE2976" w:rsidRDefault="00AE2976" w:rsidP="00877FC6">
            <w:pPr>
              <w:pStyle w:val="NormalWeb"/>
              <w:rPr>
                <w:rFonts w:ascii="Calibri" w:hAnsi="Calibri" w:cs="Tahoma"/>
                <w:i/>
                <w:sz w:val="24"/>
                <w:szCs w:val="24"/>
              </w:rPr>
            </w:pPr>
          </w:p>
          <w:p w14:paraId="798AE517" w14:textId="77777777" w:rsidR="00AE2976" w:rsidRDefault="00AE2976" w:rsidP="00877FC6">
            <w:pPr>
              <w:pStyle w:val="NormalWeb"/>
              <w:rPr>
                <w:rFonts w:ascii="Calibri" w:hAnsi="Calibri" w:cs="Tahoma"/>
                <w:i/>
                <w:sz w:val="24"/>
                <w:szCs w:val="24"/>
              </w:rPr>
            </w:pPr>
          </w:p>
          <w:p w14:paraId="6083A594" w14:textId="77777777" w:rsidR="00AE2976" w:rsidRPr="0065654E" w:rsidRDefault="00AE2976" w:rsidP="00877FC6">
            <w:pPr>
              <w:pStyle w:val="NormalWeb"/>
              <w:rPr>
                <w:rFonts w:ascii="Calibri" w:hAnsi="Calibri" w:cs="Tahoma"/>
                <w:i/>
                <w:sz w:val="24"/>
                <w:szCs w:val="24"/>
              </w:rPr>
            </w:pPr>
          </w:p>
        </w:tc>
      </w:tr>
      <w:tr w:rsidR="00AE2976" w:rsidRPr="0065654E" w14:paraId="3D8AB6D0" w14:textId="77777777">
        <w:trPr>
          <w:trHeight w:val="492"/>
        </w:trPr>
        <w:tc>
          <w:tcPr>
            <w:tcW w:w="6768" w:type="dxa"/>
            <w:gridSpan w:val="2"/>
            <w:tcBorders>
              <w:top w:val="single" w:sz="4" w:space="0" w:color="auto"/>
            </w:tcBorders>
            <w:vAlign w:val="center"/>
          </w:tcPr>
          <w:p w14:paraId="411475F1" w14:textId="77777777" w:rsidR="00AE2976" w:rsidRPr="00877FC6" w:rsidRDefault="00AE2976" w:rsidP="00877FC6">
            <w:pPr>
              <w:pStyle w:val="NormalWeb"/>
              <w:ind w:left="142" w:right="34"/>
              <w:rPr>
                <w:rFonts w:ascii="Calibri" w:hAnsi="Calibri" w:cs="Tahoma"/>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r w:rsidR="00877FC6">
              <w:rPr>
                <w:rFonts w:ascii="Calibri" w:hAnsi="Calibri" w:cs="Tahoma"/>
                <w:i/>
                <w:sz w:val="24"/>
                <w:szCs w:val="24"/>
              </w:rPr>
              <w:t xml:space="preserve"> </w:t>
            </w:r>
            <w:r w:rsidR="00877FC6">
              <w:rPr>
                <w:rFonts w:ascii="Calibri" w:hAnsi="Calibri" w:cs="Tahoma"/>
                <w:sz w:val="24"/>
                <w:szCs w:val="24"/>
              </w:rPr>
              <w:t>Catrin H Williams</w:t>
            </w:r>
          </w:p>
        </w:tc>
        <w:tc>
          <w:tcPr>
            <w:tcW w:w="1987" w:type="dxa"/>
            <w:tcBorders>
              <w:top w:val="single" w:sz="4" w:space="0" w:color="auto"/>
            </w:tcBorders>
            <w:vAlign w:val="center"/>
          </w:tcPr>
          <w:p w14:paraId="48FD6EA6" w14:textId="77777777" w:rsidR="00AE2976" w:rsidRPr="00877FC6" w:rsidRDefault="00AE2976" w:rsidP="00B829C9">
            <w:pPr>
              <w:pStyle w:val="NormalWeb"/>
              <w:spacing w:after="0"/>
              <w:ind w:left="142" w:right="34"/>
              <w:rPr>
                <w:rFonts w:ascii="Calibri" w:hAnsi="Calibri" w:cs="Tahoma"/>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r w:rsidR="00877FC6">
              <w:rPr>
                <w:rFonts w:ascii="Calibri" w:hAnsi="Calibri" w:cs="Tahoma"/>
                <w:i/>
                <w:sz w:val="24"/>
                <w:szCs w:val="24"/>
              </w:rPr>
              <w:t xml:space="preserve"> </w:t>
            </w:r>
          </w:p>
        </w:tc>
      </w:tr>
      <w:tr w:rsidR="00AE2976" w:rsidRPr="0065654E" w14:paraId="7386765E" w14:textId="77777777">
        <w:tc>
          <w:tcPr>
            <w:tcW w:w="8755" w:type="dxa"/>
            <w:gridSpan w:val="3"/>
            <w:vAlign w:val="center"/>
          </w:tcPr>
          <w:p w14:paraId="0D94219B" w14:textId="77777777" w:rsidR="00AE2976" w:rsidRDefault="00AE2976" w:rsidP="00877FC6">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06D9FB33" w14:textId="77777777" w:rsidR="00AE2976" w:rsidRPr="0043139D" w:rsidRDefault="00AE2976" w:rsidP="00877FC6">
            <w:pPr>
              <w:pStyle w:val="NormalWeb"/>
              <w:spacing w:before="0" w:beforeAutospacing="0" w:after="0" w:afterAutospacing="0"/>
              <w:ind w:left="142" w:right="34"/>
              <w:rPr>
                <w:rFonts w:ascii="Calibri" w:hAnsi="Calibri" w:cs="Tahoma"/>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r w:rsidR="0043139D">
              <w:rPr>
                <w:rFonts w:ascii="Calibri" w:hAnsi="Calibri" w:cs="Tahoma"/>
                <w:i/>
                <w:sz w:val="24"/>
                <w:szCs w:val="24"/>
              </w:rPr>
              <w:t xml:space="preserve"> </w:t>
            </w:r>
            <w:r w:rsidR="0043139D">
              <w:rPr>
                <w:rFonts w:ascii="Calibri" w:hAnsi="Calibri" w:cs="Tahoma"/>
                <w:sz w:val="24"/>
                <w:szCs w:val="24"/>
              </w:rPr>
              <w:t>71%</w:t>
            </w:r>
          </w:p>
        </w:tc>
      </w:tr>
    </w:tbl>
    <w:p w14:paraId="0877DFC0" w14:textId="77777777" w:rsidR="00AE2976" w:rsidRPr="0065654E" w:rsidRDefault="00AE2976" w:rsidP="00AE2976">
      <w:pPr>
        <w:pStyle w:val="NormalWeb"/>
        <w:spacing w:before="0" w:beforeAutospacing="0" w:after="0" w:afterAutospacing="0"/>
        <w:ind w:right="-334"/>
        <w:rPr>
          <w:rFonts w:ascii="Trebuchet MS" w:hAnsi="Trebuchet MS" w:cs="Tahoma"/>
          <w:b/>
          <w:bCs/>
          <w:sz w:val="24"/>
          <w:szCs w:val="24"/>
        </w:rPr>
      </w:pPr>
    </w:p>
    <w:p w14:paraId="79CF75EE" w14:textId="77777777" w:rsidR="00187024" w:rsidRDefault="00187024">
      <w:pPr>
        <w:pStyle w:val="Title"/>
        <w:jc w:val="center"/>
        <w:rPr>
          <w:rFonts w:asciiTheme="minorHAnsi" w:hAnsiTheme="minorHAnsi"/>
          <w:b/>
          <w:sz w:val="40"/>
          <w:szCs w:val="40"/>
        </w:rPr>
      </w:pPr>
    </w:p>
    <w:p w14:paraId="26EC199B" w14:textId="77777777" w:rsidR="00DE5E50" w:rsidRPr="00083956" w:rsidRDefault="002B3722">
      <w:pPr>
        <w:pStyle w:val="Title"/>
        <w:jc w:val="center"/>
        <w:rPr>
          <w:rFonts w:asciiTheme="minorHAnsi" w:hAnsiTheme="minorHAnsi"/>
          <w:b/>
          <w:sz w:val="40"/>
          <w:szCs w:val="40"/>
        </w:rPr>
      </w:pPr>
      <w:r w:rsidRPr="00083956">
        <w:rPr>
          <w:rFonts w:asciiTheme="minorHAnsi" w:hAnsiTheme="minorHAnsi"/>
          <w:b/>
          <w:sz w:val="40"/>
          <w:szCs w:val="40"/>
        </w:rPr>
        <w:lastRenderedPageBreak/>
        <w:t>Wisdom</w:t>
      </w:r>
    </w:p>
    <w:p w14:paraId="4A9F29BF" w14:textId="77777777" w:rsidR="00083956" w:rsidRDefault="002B3722" w:rsidP="00083956">
      <w:pPr>
        <w:rPr>
          <w:rFonts w:asciiTheme="minorHAnsi" w:hAnsiTheme="minorHAnsi"/>
          <w:sz w:val="24"/>
          <w:szCs w:val="24"/>
        </w:rPr>
      </w:pPr>
      <w:r w:rsidRPr="00083956">
        <w:rPr>
          <w:rFonts w:asciiTheme="minorHAnsi" w:hAnsiTheme="minorHAnsi"/>
          <w:sz w:val="24"/>
          <w:szCs w:val="24"/>
        </w:rPr>
        <w:t xml:space="preserve">The primary biblical texts concerning wisdom are the books of Job, Proverbs, Ecclesiastes, the book of Wisdom, and the Wisdom of Jesus ben </w:t>
      </w:r>
      <w:commentRangeStart w:id="1"/>
      <w:r w:rsidRPr="00083956">
        <w:rPr>
          <w:rFonts w:asciiTheme="minorHAnsi" w:hAnsiTheme="minorHAnsi"/>
          <w:sz w:val="24"/>
          <w:szCs w:val="24"/>
        </w:rPr>
        <w:t>Sirach</w:t>
      </w:r>
      <w:commentRangeEnd w:id="1"/>
      <w:r w:rsidR="00877FC6">
        <w:rPr>
          <w:rStyle w:val="CommentReference"/>
          <w:vanish/>
        </w:rPr>
        <w:commentReference w:id="1"/>
      </w:r>
      <w:r w:rsidRPr="00083956">
        <w:rPr>
          <w:rFonts w:asciiTheme="minorHAnsi" w:hAnsiTheme="minorHAnsi"/>
          <w:sz w:val="24"/>
          <w:szCs w:val="24"/>
        </w:rPr>
        <w:t xml:space="preserve">. In Proverbs and the Wisdom of Solomon (and, to a lesser extent Job and the Wisdom of Jesus ben Sirach), wisdom is personified as an enigmatic female figure (dubbed “Woman Wisdom”). Both the Greek and Hebrew gendered nouns for wisdom (Sophia and </w:t>
      </w:r>
      <w:proofErr w:type="spellStart"/>
      <w:r w:rsidRPr="00083956">
        <w:rPr>
          <w:rFonts w:asciiTheme="minorHAnsi" w:hAnsiTheme="minorHAnsi"/>
          <w:sz w:val="24"/>
          <w:szCs w:val="24"/>
        </w:rPr>
        <w:t>Hokma</w:t>
      </w:r>
      <w:r w:rsidR="00877FC6">
        <w:rPr>
          <w:rFonts w:asciiTheme="minorHAnsi" w:hAnsiTheme="minorHAnsi"/>
          <w:sz w:val="24"/>
          <w:szCs w:val="24"/>
        </w:rPr>
        <w:t>h</w:t>
      </w:r>
      <w:proofErr w:type="spellEnd"/>
      <w:r w:rsidRPr="00083956">
        <w:rPr>
          <w:rFonts w:asciiTheme="minorHAnsi" w:hAnsiTheme="minorHAnsi"/>
          <w:sz w:val="24"/>
          <w:szCs w:val="24"/>
        </w:rPr>
        <w:t xml:space="preserve"> respectively) are female. Wisdom, in the Hebrew sense, more or less equates to “skill”, or having the skills to lead a successful life, which is in turn associated with leading a disciplined life</w:t>
      </w:r>
      <w:commentRangeStart w:id="2"/>
      <w:r w:rsidRPr="00083956">
        <w:rPr>
          <w:rFonts w:asciiTheme="minorHAnsi" w:hAnsiTheme="minorHAnsi"/>
          <w:sz w:val="24"/>
          <w:szCs w:val="24"/>
        </w:rPr>
        <w:t>.</w:t>
      </w:r>
      <w:r w:rsidRPr="00083956">
        <w:rPr>
          <w:rFonts w:asciiTheme="minorHAnsi" w:hAnsiTheme="minorHAnsi"/>
          <w:sz w:val="24"/>
          <w:szCs w:val="24"/>
          <w:vertAlign w:val="superscript"/>
        </w:rPr>
        <w:footnoteReference w:id="1"/>
      </w:r>
      <w:bookmarkStart w:id="6" w:name="h.k54ne8wb60t9" w:colFirst="0" w:colLast="0"/>
      <w:bookmarkEnd w:id="6"/>
      <w:commentRangeEnd w:id="2"/>
      <w:r w:rsidR="00877FC6">
        <w:rPr>
          <w:rStyle w:val="CommentReference"/>
          <w:vanish/>
        </w:rPr>
        <w:commentReference w:id="2"/>
      </w:r>
    </w:p>
    <w:p w14:paraId="57116771" w14:textId="77777777" w:rsidR="00083956" w:rsidRDefault="00083956" w:rsidP="00083956">
      <w:pPr>
        <w:rPr>
          <w:rFonts w:asciiTheme="minorHAnsi" w:hAnsiTheme="minorHAnsi"/>
          <w:sz w:val="24"/>
          <w:szCs w:val="24"/>
        </w:rPr>
      </w:pPr>
    </w:p>
    <w:p w14:paraId="51BA38D6" w14:textId="77777777" w:rsidR="00DE5E50" w:rsidRPr="00083956" w:rsidRDefault="002B3722" w:rsidP="00083956">
      <w:pPr>
        <w:rPr>
          <w:rFonts w:asciiTheme="minorHAnsi" w:hAnsiTheme="minorHAnsi"/>
          <w:b/>
          <w:sz w:val="24"/>
          <w:szCs w:val="24"/>
        </w:rPr>
      </w:pPr>
      <w:r w:rsidRPr="00083956">
        <w:rPr>
          <w:rFonts w:asciiTheme="minorHAnsi" w:hAnsiTheme="minorHAnsi"/>
          <w:b/>
          <w:sz w:val="24"/>
          <w:szCs w:val="24"/>
        </w:rPr>
        <w:t>Wisdom in the Canonical Texts</w:t>
      </w:r>
    </w:p>
    <w:p w14:paraId="70233AF6" w14:textId="77777777" w:rsidR="00DE5E50" w:rsidRPr="00083956" w:rsidRDefault="002B3722">
      <w:pPr>
        <w:rPr>
          <w:rFonts w:asciiTheme="minorHAnsi" w:hAnsiTheme="minorHAnsi"/>
          <w:sz w:val="24"/>
          <w:szCs w:val="24"/>
        </w:rPr>
      </w:pPr>
      <w:r w:rsidRPr="00083956">
        <w:rPr>
          <w:rFonts w:asciiTheme="minorHAnsi" w:hAnsiTheme="minorHAnsi"/>
          <w:sz w:val="24"/>
          <w:szCs w:val="24"/>
        </w:rPr>
        <w:t>In Proverbs traditional female roles such as wife, sister, and mother are associated with wisdom,</w:t>
      </w:r>
      <w:r w:rsidRPr="00083956">
        <w:rPr>
          <w:rFonts w:asciiTheme="minorHAnsi" w:hAnsiTheme="minorHAnsi"/>
          <w:sz w:val="24"/>
          <w:szCs w:val="24"/>
          <w:vertAlign w:val="superscript"/>
        </w:rPr>
        <w:footnoteReference w:id="2"/>
      </w:r>
      <w:r w:rsidRPr="00083956">
        <w:rPr>
          <w:rFonts w:asciiTheme="minorHAnsi" w:hAnsiTheme="minorHAnsi"/>
          <w:sz w:val="24"/>
          <w:szCs w:val="24"/>
        </w:rPr>
        <w:t xml:space="preserve"> however her language is also </w:t>
      </w:r>
      <w:commentRangeStart w:id="12"/>
      <w:r w:rsidRPr="00083956">
        <w:rPr>
          <w:rFonts w:asciiTheme="minorHAnsi" w:hAnsiTheme="minorHAnsi"/>
          <w:sz w:val="24"/>
          <w:szCs w:val="24"/>
        </w:rPr>
        <w:t>prophetic</w:t>
      </w:r>
      <w:commentRangeEnd w:id="12"/>
      <w:r w:rsidR="00AF3840">
        <w:rPr>
          <w:rStyle w:val="CommentReference"/>
          <w:vanish/>
        </w:rPr>
        <w:commentReference w:id="12"/>
      </w:r>
      <w:ins w:id="13" w:author="Catrin Williams" w:date="2013-04-09T12:30:00Z">
        <w:r w:rsidR="00AF3840">
          <w:rPr>
            <w:rFonts w:asciiTheme="minorHAnsi" w:hAnsiTheme="minorHAnsi"/>
            <w:sz w:val="24"/>
            <w:szCs w:val="24"/>
          </w:rPr>
          <w:t>;</w:t>
        </w:r>
        <w:r w:rsidR="00AF3840" w:rsidRPr="00083956">
          <w:rPr>
            <w:rFonts w:asciiTheme="minorHAnsi" w:hAnsiTheme="minorHAnsi"/>
            <w:sz w:val="24"/>
            <w:szCs w:val="24"/>
          </w:rPr>
          <w:t xml:space="preserve"> </w:t>
        </w:r>
      </w:ins>
      <w:r w:rsidRPr="00083956">
        <w:rPr>
          <w:rFonts w:asciiTheme="minorHAnsi" w:hAnsiTheme="minorHAnsi"/>
          <w:sz w:val="24"/>
          <w:szCs w:val="24"/>
        </w:rPr>
        <w:t>in Proverbs 1 she “calls”, “stretches out her hand”, needs to be “sought” and “found”.</w:t>
      </w:r>
      <w:r w:rsidRPr="00083956">
        <w:rPr>
          <w:rFonts w:asciiTheme="minorHAnsi" w:hAnsiTheme="minorHAnsi"/>
          <w:sz w:val="24"/>
          <w:szCs w:val="24"/>
          <w:vertAlign w:val="superscript"/>
        </w:rPr>
        <w:footnoteReference w:id="3"/>
      </w:r>
      <w:r w:rsidRPr="00083956">
        <w:rPr>
          <w:rFonts w:asciiTheme="minorHAnsi" w:hAnsiTheme="minorHAnsi"/>
          <w:sz w:val="24"/>
          <w:szCs w:val="24"/>
        </w:rPr>
        <w:t xml:space="preserve"> The prophetic voice of wisdom implies she has divine authority and to deny her is to deny God.</w:t>
      </w:r>
      <w:r w:rsidRPr="00083956">
        <w:rPr>
          <w:rFonts w:asciiTheme="minorHAnsi" w:hAnsiTheme="minorHAnsi"/>
          <w:sz w:val="24"/>
          <w:szCs w:val="24"/>
          <w:vertAlign w:val="superscript"/>
        </w:rPr>
        <w:footnoteReference w:id="4"/>
      </w:r>
      <w:r w:rsidRPr="00083956">
        <w:rPr>
          <w:rFonts w:asciiTheme="minorHAnsi" w:hAnsiTheme="minorHAnsi"/>
          <w:sz w:val="24"/>
          <w:szCs w:val="24"/>
        </w:rPr>
        <w:t xml:space="preserve"> In her great speech in Proverbs 8, Woman Wisdom claims to have a role in creation: she was “created” by God before creation </w:t>
      </w:r>
      <w:del w:id="16" w:author="Catrin Williams" w:date="2013-04-09T12:31:00Z">
        <w:r w:rsidRPr="00083956" w:rsidDel="00AF3840">
          <w:rPr>
            <w:rFonts w:asciiTheme="minorHAnsi" w:hAnsiTheme="minorHAnsi"/>
            <w:sz w:val="24"/>
            <w:szCs w:val="24"/>
          </w:rPr>
          <w:delText xml:space="preserve">was </w:delText>
        </w:r>
      </w:del>
      <w:r w:rsidRPr="00083956">
        <w:rPr>
          <w:rFonts w:asciiTheme="minorHAnsi" w:hAnsiTheme="minorHAnsi"/>
          <w:sz w:val="24"/>
          <w:szCs w:val="24"/>
        </w:rPr>
        <w:t>(Pr. 8:22-29) and was beside him as a “master worker” (Pr. 8:30). There is a great deal of ambiguity about the passage; commentators note that it could be interpreted in terms of God “giving birth” to wisdom or having to “acquire her at the beginning of his way”.</w:t>
      </w:r>
      <w:r w:rsidRPr="00083956">
        <w:rPr>
          <w:rFonts w:asciiTheme="minorHAnsi" w:hAnsiTheme="minorHAnsi"/>
          <w:sz w:val="24"/>
          <w:szCs w:val="24"/>
          <w:vertAlign w:val="superscript"/>
        </w:rPr>
        <w:footnoteReference w:id="5"/>
      </w:r>
      <w:r w:rsidR="00083956">
        <w:rPr>
          <w:rFonts w:asciiTheme="minorHAnsi" w:hAnsiTheme="minorHAnsi"/>
          <w:sz w:val="24"/>
          <w:szCs w:val="24"/>
        </w:rPr>
        <w:t xml:space="preserve"> In Proverbs Woman Wisdom</w:t>
      </w:r>
      <w:r w:rsidRPr="00083956">
        <w:rPr>
          <w:rFonts w:asciiTheme="minorHAnsi" w:hAnsiTheme="minorHAnsi"/>
          <w:sz w:val="24"/>
          <w:szCs w:val="24"/>
        </w:rPr>
        <w:t xml:space="preserve"> is often identified in opposition to the loose/strange/foreign woman. By contrast to Woman Wisdom, the “master worker” who rejoiced b</w:t>
      </w:r>
      <w:r w:rsidR="00187024">
        <w:rPr>
          <w:rFonts w:asciiTheme="minorHAnsi" w:hAnsiTheme="minorHAnsi"/>
          <w:sz w:val="24"/>
          <w:szCs w:val="24"/>
        </w:rPr>
        <w:t>efore God (Pr. 8:30), we are</w:t>
      </w:r>
      <w:r w:rsidRPr="00083956">
        <w:rPr>
          <w:rFonts w:asciiTheme="minorHAnsi" w:hAnsiTheme="minorHAnsi"/>
          <w:sz w:val="24"/>
          <w:szCs w:val="24"/>
        </w:rPr>
        <w:t xml:space="preserve"> warned of the loose woman, whose house is “the way to </w:t>
      </w:r>
      <w:proofErr w:type="spellStart"/>
      <w:r w:rsidRPr="00083956">
        <w:rPr>
          <w:rFonts w:asciiTheme="minorHAnsi" w:hAnsiTheme="minorHAnsi"/>
          <w:sz w:val="24"/>
          <w:szCs w:val="24"/>
        </w:rPr>
        <w:t>Sheol</w:t>
      </w:r>
      <w:proofErr w:type="spellEnd"/>
      <w:r w:rsidRPr="00083956">
        <w:rPr>
          <w:rFonts w:asciiTheme="minorHAnsi" w:hAnsiTheme="minorHAnsi"/>
          <w:sz w:val="24"/>
          <w:szCs w:val="24"/>
        </w:rPr>
        <w:t>” (Pr. 7:27).</w:t>
      </w:r>
    </w:p>
    <w:p w14:paraId="1299EBAD" w14:textId="77777777" w:rsidR="00DE5E50" w:rsidRPr="00083956" w:rsidRDefault="00DE5E50">
      <w:pPr>
        <w:rPr>
          <w:rFonts w:asciiTheme="minorHAnsi" w:hAnsiTheme="minorHAnsi"/>
          <w:sz w:val="24"/>
          <w:szCs w:val="24"/>
        </w:rPr>
      </w:pPr>
    </w:p>
    <w:p w14:paraId="35F30C83" w14:textId="77777777" w:rsidR="00DE5E50" w:rsidRPr="00083956" w:rsidRDefault="002B3722">
      <w:pPr>
        <w:rPr>
          <w:rFonts w:asciiTheme="minorHAnsi" w:hAnsiTheme="minorHAnsi"/>
          <w:sz w:val="24"/>
          <w:szCs w:val="24"/>
        </w:rPr>
      </w:pPr>
      <w:r w:rsidRPr="00083956">
        <w:rPr>
          <w:rFonts w:asciiTheme="minorHAnsi" w:hAnsiTheme="minorHAnsi"/>
          <w:sz w:val="24"/>
          <w:szCs w:val="24"/>
        </w:rPr>
        <w:t xml:space="preserve">In Job, wisdom is not personified or given any female traits, </w:t>
      </w:r>
      <w:proofErr w:type="gramStart"/>
      <w:r w:rsidRPr="00083956">
        <w:rPr>
          <w:rFonts w:asciiTheme="minorHAnsi" w:hAnsiTheme="minorHAnsi"/>
          <w:sz w:val="24"/>
          <w:szCs w:val="24"/>
        </w:rPr>
        <w:t>however  it</w:t>
      </w:r>
      <w:proofErr w:type="gramEnd"/>
      <w:r w:rsidRPr="00083956">
        <w:rPr>
          <w:rFonts w:asciiTheme="minorHAnsi" w:hAnsiTheme="minorHAnsi"/>
          <w:sz w:val="24"/>
          <w:szCs w:val="24"/>
        </w:rPr>
        <w:t xml:space="preserve"> is associated with God and is seen, established and sought out by God (Jb. 28:27) and equated with “the fear of the Lord” (Jb. 28:28)</w:t>
      </w:r>
      <w:ins w:id="18" w:author="Catrin Williams" w:date="2013-04-09T12:34:00Z">
        <w:r w:rsidR="00AF3840">
          <w:rPr>
            <w:rFonts w:asciiTheme="minorHAnsi" w:hAnsiTheme="minorHAnsi"/>
            <w:sz w:val="24"/>
            <w:szCs w:val="24"/>
          </w:rPr>
          <w:t>.</w:t>
        </w:r>
      </w:ins>
    </w:p>
    <w:p w14:paraId="4833CE10" w14:textId="77777777" w:rsidR="00DE5E50" w:rsidRPr="00083956" w:rsidRDefault="00DE5E50">
      <w:pPr>
        <w:rPr>
          <w:rFonts w:asciiTheme="minorHAnsi" w:hAnsiTheme="minorHAnsi"/>
          <w:sz w:val="24"/>
          <w:szCs w:val="24"/>
        </w:rPr>
      </w:pPr>
    </w:p>
    <w:p w14:paraId="067518CD" w14:textId="77777777" w:rsidR="00DE5E50" w:rsidRPr="00083956" w:rsidRDefault="002B3722">
      <w:pPr>
        <w:rPr>
          <w:rFonts w:asciiTheme="minorHAnsi" w:hAnsiTheme="minorHAnsi"/>
          <w:sz w:val="24"/>
          <w:szCs w:val="24"/>
        </w:rPr>
      </w:pPr>
      <w:proofErr w:type="spellStart"/>
      <w:r w:rsidRPr="00083956">
        <w:rPr>
          <w:rFonts w:asciiTheme="minorHAnsi" w:hAnsiTheme="minorHAnsi"/>
          <w:sz w:val="24"/>
          <w:szCs w:val="24"/>
        </w:rPr>
        <w:lastRenderedPageBreak/>
        <w:t>Athalya</w:t>
      </w:r>
      <w:proofErr w:type="spellEnd"/>
      <w:r w:rsidRPr="00083956">
        <w:rPr>
          <w:rFonts w:asciiTheme="minorHAnsi" w:hAnsiTheme="minorHAnsi"/>
          <w:sz w:val="24"/>
          <w:szCs w:val="24"/>
        </w:rPr>
        <w:t xml:space="preserve"> Brenner argues that the Joseph story cycle found in Gen. 37-47 represents a working example of wisdom;</w:t>
      </w:r>
      <w:r w:rsidRPr="00083956">
        <w:rPr>
          <w:rFonts w:asciiTheme="minorHAnsi" w:hAnsiTheme="minorHAnsi"/>
          <w:sz w:val="24"/>
          <w:szCs w:val="24"/>
          <w:vertAlign w:val="superscript"/>
        </w:rPr>
        <w:footnoteReference w:id="6"/>
      </w:r>
      <w:r w:rsidRPr="00083956">
        <w:rPr>
          <w:rFonts w:asciiTheme="minorHAnsi" w:hAnsiTheme="minorHAnsi"/>
          <w:sz w:val="24"/>
          <w:szCs w:val="24"/>
        </w:rPr>
        <w:t xml:space="preserve"> the story follows Joseph </w:t>
      </w:r>
      <w:del w:id="21" w:author="Catrin Williams" w:date="2013-04-09T12:34:00Z">
        <w:r w:rsidRPr="00083956" w:rsidDel="00AF3840">
          <w:rPr>
            <w:rFonts w:asciiTheme="minorHAnsi" w:hAnsiTheme="minorHAnsi"/>
            <w:sz w:val="24"/>
            <w:szCs w:val="24"/>
          </w:rPr>
          <w:delText>h</w:delText>
        </w:r>
      </w:del>
      <w:r w:rsidRPr="00083956">
        <w:rPr>
          <w:rFonts w:asciiTheme="minorHAnsi" w:hAnsiTheme="minorHAnsi"/>
          <w:sz w:val="24"/>
          <w:szCs w:val="24"/>
        </w:rPr>
        <w:t xml:space="preserve">as he travels from a state of youthful naivety to maturity, acquiring the skills for a successful life. The strange woman of Proverbs makes an appearance in the form of Potiphar's wife who seeks to seduce Joseph (Gen. 39:7-18), interaction with her leads to </w:t>
      </w:r>
      <w:proofErr w:type="spellStart"/>
      <w:r w:rsidRPr="00083956">
        <w:rPr>
          <w:rFonts w:asciiTheme="minorHAnsi" w:hAnsiTheme="minorHAnsi"/>
          <w:sz w:val="24"/>
          <w:szCs w:val="24"/>
        </w:rPr>
        <w:t>Sheol</w:t>
      </w:r>
      <w:proofErr w:type="spellEnd"/>
      <w:r w:rsidRPr="00083956">
        <w:rPr>
          <w:rFonts w:asciiTheme="minorHAnsi" w:hAnsiTheme="minorHAnsi"/>
          <w:sz w:val="24"/>
          <w:szCs w:val="24"/>
        </w:rPr>
        <w:t xml:space="preserve"> (or prison</w:t>
      </w:r>
      <w:ins w:id="22" w:author="Catrin Williams" w:date="2013-04-09T12:34:00Z">
        <w:r w:rsidR="00AF3840">
          <w:rPr>
            <w:rFonts w:asciiTheme="minorHAnsi" w:hAnsiTheme="minorHAnsi"/>
            <w:sz w:val="24"/>
            <w:szCs w:val="24"/>
          </w:rPr>
          <w:t>:</w:t>
        </w:r>
      </w:ins>
      <w:r w:rsidRPr="00083956">
        <w:rPr>
          <w:rFonts w:asciiTheme="minorHAnsi" w:hAnsiTheme="minorHAnsi"/>
          <w:sz w:val="24"/>
          <w:szCs w:val="24"/>
        </w:rPr>
        <w:t xml:space="preserve"> Gen. 39: 21), but because of Joseph’s uprightness he thrives and leads a successful </w:t>
      </w:r>
      <w:commentRangeStart w:id="23"/>
      <w:r w:rsidRPr="00083956">
        <w:rPr>
          <w:rFonts w:asciiTheme="minorHAnsi" w:hAnsiTheme="minorHAnsi"/>
          <w:sz w:val="24"/>
          <w:szCs w:val="24"/>
        </w:rPr>
        <w:t>life</w:t>
      </w:r>
      <w:commentRangeEnd w:id="23"/>
      <w:r w:rsidR="00AF3840">
        <w:rPr>
          <w:rStyle w:val="CommentReference"/>
          <w:vanish/>
        </w:rPr>
        <w:commentReference w:id="23"/>
      </w:r>
      <w:r w:rsidRPr="00083956">
        <w:rPr>
          <w:rFonts w:asciiTheme="minorHAnsi" w:hAnsiTheme="minorHAnsi"/>
          <w:sz w:val="24"/>
          <w:szCs w:val="24"/>
        </w:rPr>
        <w:t>.</w:t>
      </w:r>
    </w:p>
    <w:p w14:paraId="554533E8" w14:textId="77777777" w:rsidR="00DE5E50" w:rsidRPr="00083956" w:rsidRDefault="00DE5E50">
      <w:pPr>
        <w:rPr>
          <w:rFonts w:asciiTheme="minorHAnsi" w:hAnsiTheme="minorHAnsi"/>
          <w:sz w:val="24"/>
          <w:szCs w:val="24"/>
        </w:rPr>
      </w:pPr>
    </w:p>
    <w:p w14:paraId="5AE53767" w14:textId="77777777" w:rsidR="00083956" w:rsidRDefault="002B3722">
      <w:pPr>
        <w:rPr>
          <w:rFonts w:asciiTheme="minorHAnsi" w:hAnsiTheme="minorHAnsi"/>
          <w:sz w:val="24"/>
          <w:szCs w:val="24"/>
        </w:rPr>
      </w:pPr>
      <w:r w:rsidRPr="00083956">
        <w:rPr>
          <w:rFonts w:asciiTheme="minorHAnsi" w:hAnsiTheme="minorHAnsi"/>
          <w:sz w:val="24"/>
          <w:szCs w:val="24"/>
        </w:rPr>
        <w:t xml:space="preserve">In the New Testament the most explicit mention of wisdom can be found in the teachings of Jesus in the </w:t>
      </w:r>
      <w:r w:rsidR="00187024">
        <w:rPr>
          <w:rFonts w:asciiTheme="minorHAnsi" w:hAnsiTheme="minorHAnsi"/>
          <w:sz w:val="24"/>
          <w:szCs w:val="24"/>
        </w:rPr>
        <w:t>G</w:t>
      </w:r>
      <w:r w:rsidRPr="00083956">
        <w:rPr>
          <w:rFonts w:asciiTheme="minorHAnsi" w:hAnsiTheme="minorHAnsi"/>
          <w:sz w:val="24"/>
          <w:szCs w:val="24"/>
        </w:rPr>
        <w:t xml:space="preserve">ospel of Matthew (and their counterpart in the Gospel of Luke). The material is from the Q </w:t>
      </w:r>
      <w:commentRangeStart w:id="24"/>
      <w:r w:rsidRPr="00083956">
        <w:rPr>
          <w:rFonts w:asciiTheme="minorHAnsi" w:hAnsiTheme="minorHAnsi"/>
          <w:sz w:val="24"/>
          <w:szCs w:val="24"/>
        </w:rPr>
        <w:t>document</w:t>
      </w:r>
      <w:commentRangeEnd w:id="24"/>
      <w:r w:rsidR="00AF3840">
        <w:rPr>
          <w:rStyle w:val="CommentReference"/>
          <w:vanish/>
        </w:rPr>
        <w:commentReference w:id="24"/>
      </w:r>
      <w:r w:rsidRPr="00083956">
        <w:rPr>
          <w:rFonts w:asciiTheme="minorHAnsi" w:hAnsiTheme="minorHAnsi"/>
          <w:sz w:val="24"/>
          <w:szCs w:val="24"/>
        </w:rPr>
        <w:t xml:space="preserve"> which Matthew and Luke share</w:t>
      </w:r>
      <w:r w:rsidRPr="00083956">
        <w:rPr>
          <w:rFonts w:asciiTheme="minorHAnsi" w:hAnsiTheme="minorHAnsi"/>
          <w:sz w:val="24"/>
          <w:szCs w:val="24"/>
          <w:vertAlign w:val="superscript"/>
        </w:rPr>
        <w:footnoteReference w:id="7"/>
      </w:r>
      <w:r w:rsidRPr="00083956">
        <w:rPr>
          <w:rFonts w:asciiTheme="minorHAnsi" w:hAnsiTheme="minorHAnsi"/>
          <w:sz w:val="24"/>
          <w:szCs w:val="24"/>
        </w:rPr>
        <w:t xml:space="preserve"> and in it wisdom is “v</w:t>
      </w:r>
      <w:r w:rsidR="00083956">
        <w:rPr>
          <w:rFonts w:asciiTheme="minorHAnsi" w:hAnsiTheme="minorHAnsi"/>
          <w:sz w:val="24"/>
          <w:szCs w:val="24"/>
        </w:rPr>
        <w:t>indicated by her deeds” (Mt. 11:</w:t>
      </w:r>
      <w:r w:rsidRPr="00083956">
        <w:rPr>
          <w:rFonts w:asciiTheme="minorHAnsi" w:hAnsiTheme="minorHAnsi"/>
          <w:sz w:val="24"/>
          <w:szCs w:val="24"/>
        </w:rPr>
        <w:t>19) as a mother is by her children (</w:t>
      </w:r>
      <w:proofErr w:type="spellStart"/>
      <w:r w:rsidRPr="00083956">
        <w:rPr>
          <w:rFonts w:asciiTheme="minorHAnsi" w:hAnsiTheme="minorHAnsi"/>
          <w:sz w:val="24"/>
          <w:szCs w:val="24"/>
        </w:rPr>
        <w:t>Lk</w:t>
      </w:r>
      <w:proofErr w:type="spellEnd"/>
      <w:r w:rsidRPr="00083956">
        <w:rPr>
          <w:rFonts w:asciiTheme="minorHAnsi" w:hAnsiTheme="minorHAnsi"/>
          <w:sz w:val="24"/>
          <w:szCs w:val="24"/>
        </w:rPr>
        <w:t>. 7:</w:t>
      </w:r>
      <w:commentRangeStart w:id="26"/>
      <w:r w:rsidRPr="00083956">
        <w:rPr>
          <w:rFonts w:asciiTheme="minorHAnsi" w:hAnsiTheme="minorHAnsi"/>
          <w:sz w:val="24"/>
          <w:szCs w:val="24"/>
        </w:rPr>
        <w:t>35</w:t>
      </w:r>
      <w:commentRangeEnd w:id="26"/>
      <w:r w:rsidR="00AF3840">
        <w:rPr>
          <w:rStyle w:val="CommentReference"/>
          <w:vanish/>
        </w:rPr>
        <w:commentReference w:id="26"/>
      </w:r>
      <w:r w:rsidRPr="00083956">
        <w:rPr>
          <w:rFonts w:asciiTheme="minorHAnsi" w:hAnsiTheme="minorHAnsi"/>
          <w:sz w:val="24"/>
          <w:szCs w:val="24"/>
        </w:rPr>
        <w:t xml:space="preserve">). </w:t>
      </w:r>
    </w:p>
    <w:p w14:paraId="268B4861" w14:textId="77777777" w:rsidR="00083956" w:rsidRDefault="00083956">
      <w:pPr>
        <w:rPr>
          <w:rFonts w:asciiTheme="minorHAnsi" w:hAnsiTheme="minorHAnsi"/>
          <w:sz w:val="24"/>
          <w:szCs w:val="24"/>
        </w:rPr>
      </w:pPr>
    </w:p>
    <w:p w14:paraId="48648289" w14:textId="77777777" w:rsidR="00DE5E50" w:rsidRPr="00083956" w:rsidRDefault="002B3722">
      <w:pPr>
        <w:rPr>
          <w:rFonts w:asciiTheme="minorHAnsi" w:hAnsiTheme="minorHAnsi"/>
          <w:sz w:val="24"/>
          <w:szCs w:val="24"/>
        </w:rPr>
      </w:pPr>
      <w:r w:rsidRPr="00083956">
        <w:rPr>
          <w:rFonts w:asciiTheme="minorHAnsi" w:hAnsiTheme="minorHAnsi"/>
          <w:b/>
          <w:sz w:val="24"/>
          <w:szCs w:val="24"/>
        </w:rPr>
        <w:t>Wi</w:t>
      </w:r>
      <w:r w:rsidRPr="00083956">
        <w:rPr>
          <w:rFonts w:asciiTheme="minorHAnsi" w:eastAsia="Trebuchet MS" w:hAnsiTheme="minorHAnsi" w:cs="Trebuchet MS"/>
          <w:b/>
          <w:sz w:val="24"/>
          <w:szCs w:val="24"/>
        </w:rPr>
        <w:t>sdom in the Deuterocanonical Texts</w:t>
      </w:r>
      <w:r w:rsidRPr="00083956">
        <w:rPr>
          <w:rFonts w:asciiTheme="minorHAnsi" w:hAnsiTheme="minorHAnsi"/>
          <w:sz w:val="24"/>
          <w:szCs w:val="24"/>
        </w:rPr>
        <w:br/>
        <w:t xml:space="preserve">The book of Wisdom </w:t>
      </w:r>
      <w:r w:rsidR="00083956" w:rsidRPr="00083956">
        <w:rPr>
          <w:rFonts w:asciiTheme="minorHAnsi" w:hAnsiTheme="minorHAnsi"/>
          <w:sz w:val="24"/>
          <w:szCs w:val="24"/>
        </w:rPr>
        <w:t>defines</w:t>
      </w:r>
      <w:r w:rsidRPr="00083956">
        <w:rPr>
          <w:rFonts w:asciiTheme="minorHAnsi" w:hAnsiTheme="minorHAnsi"/>
          <w:sz w:val="24"/>
          <w:szCs w:val="24"/>
        </w:rPr>
        <w:t xml:space="preserve"> Woman Wisdom in much the same way as Pr. 8:22-30; in Ws. 7:25-26 she is described as “a breath of the power of God”, a “pure emanation” from him, and “an image of his goodness”. In Ws. 9:27 Woman Wisdom saves people, despite being distinct from God (Ws. 8:3).</w:t>
      </w:r>
      <w:r w:rsidRPr="00083956">
        <w:rPr>
          <w:rFonts w:asciiTheme="minorHAnsi" w:hAnsiTheme="minorHAnsi"/>
          <w:sz w:val="24"/>
          <w:szCs w:val="24"/>
          <w:vertAlign w:val="superscript"/>
        </w:rPr>
        <w:footnoteReference w:id="8"/>
      </w:r>
      <w:r w:rsidRPr="00083956">
        <w:rPr>
          <w:rFonts w:asciiTheme="minorHAnsi" w:hAnsiTheme="minorHAnsi"/>
          <w:sz w:val="24"/>
          <w:szCs w:val="24"/>
        </w:rPr>
        <w:t xml:space="preserve"> </w:t>
      </w:r>
    </w:p>
    <w:p w14:paraId="52F09EAE" w14:textId="77777777" w:rsidR="00DE5E50" w:rsidRPr="00083956" w:rsidRDefault="00DE5E50">
      <w:pPr>
        <w:rPr>
          <w:rFonts w:asciiTheme="minorHAnsi" w:hAnsiTheme="minorHAnsi"/>
          <w:sz w:val="24"/>
          <w:szCs w:val="24"/>
        </w:rPr>
      </w:pPr>
    </w:p>
    <w:p w14:paraId="74045C0A" w14:textId="77777777" w:rsidR="00DE5E50" w:rsidRPr="00083956" w:rsidRDefault="002B3722">
      <w:pPr>
        <w:rPr>
          <w:rFonts w:asciiTheme="minorHAnsi" w:hAnsiTheme="minorHAnsi"/>
          <w:sz w:val="24"/>
          <w:szCs w:val="24"/>
        </w:rPr>
      </w:pPr>
      <w:r w:rsidRPr="00083956">
        <w:rPr>
          <w:rFonts w:asciiTheme="minorHAnsi" w:hAnsiTheme="minorHAnsi"/>
          <w:sz w:val="24"/>
          <w:szCs w:val="24"/>
        </w:rPr>
        <w:t>In the Wisdom of Jesus ben Sirach, Woman Wisdom is identified with the Torah;</w:t>
      </w:r>
      <w:r w:rsidRPr="00083956">
        <w:rPr>
          <w:rFonts w:asciiTheme="minorHAnsi" w:hAnsiTheme="minorHAnsi"/>
          <w:sz w:val="24"/>
          <w:szCs w:val="24"/>
          <w:vertAlign w:val="superscript"/>
        </w:rPr>
        <w:footnoteReference w:id="9"/>
      </w:r>
      <w:r w:rsidRPr="00083956">
        <w:rPr>
          <w:rFonts w:asciiTheme="minorHAnsi" w:hAnsiTheme="minorHAnsi"/>
          <w:sz w:val="24"/>
          <w:szCs w:val="24"/>
        </w:rPr>
        <w:t xml:space="preserve"> she “compassed the vault of heaven” (Si. 24:5) and searches for a home before being directed by God to the people of Israel so that they may “receive (her) inheritance” (Si. 24:8). Elsewhere Woman Wisdom is associated with the human metaphors of teacher (Si. 4:11), bride (Si. 15:1-2), and mother (Si. 15:1-2).</w:t>
      </w:r>
    </w:p>
    <w:p w14:paraId="664BDBE0" w14:textId="77777777" w:rsidR="00DE5E50" w:rsidRPr="00083956" w:rsidRDefault="00DE5E50">
      <w:pPr>
        <w:rPr>
          <w:rFonts w:asciiTheme="minorHAnsi" w:hAnsiTheme="minorHAnsi"/>
          <w:sz w:val="24"/>
          <w:szCs w:val="24"/>
        </w:rPr>
      </w:pPr>
    </w:p>
    <w:p w14:paraId="073EFE1D" w14:textId="77777777" w:rsidR="00083956" w:rsidRDefault="002B3722" w:rsidP="00083956">
      <w:pPr>
        <w:rPr>
          <w:rFonts w:asciiTheme="minorHAnsi" w:hAnsiTheme="minorHAnsi"/>
          <w:sz w:val="24"/>
          <w:szCs w:val="24"/>
        </w:rPr>
      </w:pPr>
      <w:r w:rsidRPr="00083956">
        <w:rPr>
          <w:rFonts w:asciiTheme="minorHAnsi" w:hAnsiTheme="minorHAnsi"/>
          <w:sz w:val="24"/>
          <w:szCs w:val="24"/>
        </w:rPr>
        <w:t xml:space="preserve">Though Woman </w:t>
      </w:r>
      <w:r w:rsidR="00080761">
        <w:rPr>
          <w:rFonts w:asciiTheme="minorHAnsi" w:hAnsiTheme="minorHAnsi"/>
          <w:sz w:val="24"/>
          <w:szCs w:val="24"/>
        </w:rPr>
        <w:t xml:space="preserve">Wisdom is not mentioned in the </w:t>
      </w:r>
      <w:del w:id="30" w:author="Catrin Williams" w:date="2013-04-09T12:39:00Z">
        <w:r w:rsidR="00080761" w:rsidDel="00CB2E51">
          <w:rPr>
            <w:rFonts w:asciiTheme="minorHAnsi" w:hAnsiTheme="minorHAnsi"/>
            <w:sz w:val="24"/>
            <w:szCs w:val="24"/>
          </w:rPr>
          <w:delText>T</w:delText>
        </w:r>
        <w:r w:rsidRPr="00083956" w:rsidDel="00CB2E51">
          <w:rPr>
            <w:rFonts w:asciiTheme="minorHAnsi" w:hAnsiTheme="minorHAnsi"/>
            <w:sz w:val="24"/>
            <w:szCs w:val="24"/>
          </w:rPr>
          <w:delText xml:space="preserve">he </w:delText>
        </w:r>
      </w:del>
      <w:r w:rsidRPr="00083956">
        <w:rPr>
          <w:rFonts w:asciiTheme="minorHAnsi" w:hAnsiTheme="minorHAnsi"/>
          <w:sz w:val="24"/>
          <w:szCs w:val="24"/>
        </w:rPr>
        <w:t>Song of Solomon, some commentators have identified her with the female lover.</w:t>
      </w:r>
      <w:r w:rsidRPr="00083956">
        <w:rPr>
          <w:rFonts w:asciiTheme="minorHAnsi" w:hAnsiTheme="minorHAnsi"/>
          <w:sz w:val="24"/>
          <w:szCs w:val="24"/>
          <w:vertAlign w:val="superscript"/>
        </w:rPr>
        <w:footnoteReference w:id="10"/>
      </w:r>
      <w:r w:rsidRPr="00083956">
        <w:rPr>
          <w:rFonts w:asciiTheme="minorHAnsi" w:hAnsiTheme="minorHAnsi"/>
          <w:sz w:val="24"/>
          <w:szCs w:val="24"/>
        </w:rPr>
        <w:t xml:space="preserve"> </w:t>
      </w:r>
      <w:commentRangeStart w:id="32"/>
      <w:r w:rsidRPr="00083956">
        <w:rPr>
          <w:rFonts w:asciiTheme="minorHAnsi" w:hAnsiTheme="minorHAnsi"/>
          <w:sz w:val="24"/>
          <w:szCs w:val="24"/>
        </w:rPr>
        <w:t xml:space="preserve">O’Connor </w:t>
      </w:r>
      <w:commentRangeEnd w:id="32"/>
      <w:r w:rsidR="00CB2E51">
        <w:rPr>
          <w:rStyle w:val="CommentReference"/>
          <w:vanish/>
        </w:rPr>
        <w:commentReference w:id="32"/>
      </w:r>
      <w:r w:rsidRPr="00083956">
        <w:rPr>
          <w:rFonts w:asciiTheme="minorHAnsi" w:hAnsiTheme="minorHAnsi"/>
          <w:sz w:val="24"/>
          <w:szCs w:val="24"/>
        </w:rPr>
        <w:t>notes that if this is so, another layer is added to wisdom traditions; to live with wisdom is to enter into a love affair with her à la</w:t>
      </w:r>
      <w:r w:rsidR="00080761">
        <w:rPr>
          <w:rFonts w:asciiTheme="minorHAnsi" w:hAnsiTheme="minorHAnsi"/>
          <w:sz w:val="24"/>
          <w:szCs w:val="24"/>
        </w:rPr>
        <w:t xml:space="preserve"> the relationship described in </w:t>
      </w:r>
      <w:ins w:id="33" w:author="Catrin Williams" w:date="2013-04-09T12:40:00Z">
        <w:r w:rsidR="00CB2E51">
          <w:rPr>
            <w:rFonts w:asciiTheme="minorHAnsi" w:hAnsiTheme="minorHAnsi"/>
            <w:sz w:val="24"/>
            <w:szCs w:val="24"/>
          </w:rPr>
          <w:t>t</w:t>
        </w:r>
        <w:r w:rsidR="00CB2E51" w:rsidRPr="00083956">
          <w:rPr>
            <w:rFonts w:asciiTheme="minorHAnsi" w:hAnsiTheme="minorHAnsi"/>
            <w:sz w:val="24"/>
            <w:szCs w:val="24"/>
          </w:rPr>
          <w:t xml:space="preserve">he </w:t>
        </w:r>
      </w:ins>
      <w:r w:rsidRPr="00083956">
        <w:rPr>
          <w:rFonts w:asciiTheme="minorHAnsi" w:hAnsiTheme="minorHAnsi"/>
          <w:sz w:val="24"/>
          <w:szCs w:val="24"/>
        </w:rPr>
        <w:t>Song of Solomon</w:t>
      </w:r>
      <w:r w:rsidRPr="00083956">
        <w:rPr>
          <w:rFonts w:asciiTheme="minorHAnsi" w:hAnsiTheme="minorHAnsi"/>
          <w:sz w:val="24"/>
          <w:szCs w:val="24"/>
          <w:vertAlign w:val="superscript"/>
        </w:rPr>
        <w:footnoteReference w:id="11"/>
      </w:r>
      <w:r w:rsidRPr="00083956">
        <w:rPr>
          <w:rFonts w:asciiTheme="minorHAnsi" w:hAnsiTheme="minorHAnsi"/>
          <w:sz w:val="24"/>
          <w:szCs w:val="24"/>
        </w:rPr>
        <w:t>.</w:t>
      </w:r>
      <w:bookmarkStart w:id="35" w:name="h.kj44i5pubfoy" w:colFirst="0" w:colLast="0"/>
      <w:bookmarkEnd w:id="35"/>
    </w:p>
    <w:p w14:paraId="16A75AEE" w14:textId="77777777" w:rsidR="00083956" w:rsidRDefault="00083956" w:rsidP="00083956">
      <w:pPr>
        <w:rPr>
          <w:rFonts w:asciiTheme="minorHAnsi" w:hAnsiTheme="minorHAnsi"/>
          <w:sz w:val="24"/>
          <w:szCs w:val="24"/>
        </w:rPr>
      </w:pPr>
    </w:p>
    <w:p w14:paraId="2D581F60" w14:textId="77777777" w:rsidR="00DE5E50" w:rsidRPr="00083956" w:rsidRDefault="002B3722" w:rsidP="00083956">
      <w:pPr>
        <w:rPr>
          <w:rFonts w:asciiTheme="minorHAnsi" w:hAnsiTheme="minorHAnsi"/>
          <w:b/>
          <w:sz w:val="24"/>
          <w:szCs w:val="24"/>
        </w:rPr>
      </w:pPr>
      <w:r w:rsidRPr="00083956">
        <w:rPr>
          <w:rFonts w:asciiTheme="minorHAnsi" w:hAnsiTheme="minorHAnsi"/>
          <w:b/>
          <w:sz w:val="24"/>
          <w:szCs w:val="24"/>
        </w:rPr>
        <w:t>Wisdom at Qumran</w:t>
      </w:r>
    </w:p>
    <w:p w14:paraId="28B86138" w14:textId="77777777" w:rsidR="00DE5E50" w:rsidRPr="00083956" w:rsidRDefault="002B3722">
      <w:pPr>
        <w:rPr>
          <w:rFonts w:asciiTheme="minorHAnsi" w:hAnsiTheme="minorHAnsi"/>
          <w:sz w:val="24"/>
          <w:szCs w:val="24"/>
        </w:rPr>
      </w:pPr>
      <w:r w:rsidRPr="00083956">
        <w:rPr>
          <w:rFonts w:asciiTheme="minorHAnsi" w:hAnsiTheme="minorHAnsi"/>
          <w:sz w:val="24"/>
          <w:szCs w:val="24"/>
        </w:rPr>
        <w:t xml:space="preserve">There are three Qumran texts (4Q184, 4Q185, and 4Q525) which speak of personified wisdom; in them are found the same themes which are present in the </w:t>
      </w:r>
      <w:r w:rsidR="00187024">
        <w:rPr>
          <w:rFonts w:asciiTheme="minorHAnsi" w:hAnsiTheme="minorHAnsi"/>
          <w:sz w:val="24"/>
          <w:szCs w:val="24"/>
        </w:rPr>
        <w:t>c</w:t>
      </w:r>
      <w:r w:rsidRPr="00083956">
        <w:rPr>
          <w:rFonts w:asciiTheme="minorHAnsi" w:hAnsiTheme="minorHAnsi"/>
          <w:sz w:val="24"/>
          <w:szCs w:val="24"/>
        </w:rPr>
        <w:t>anonical and deuterocanonical literature.</w:t>
      </w:r>
      <w:r w:rsidRPr="00083956">
        <w:rPr>
          <w:rFonts w:asciiTheme="minorHAnsi" w:hAnsiTheme="minorHAnsi"/>
          <w:sz w:val="24"/>
          <w:szCs w:val="24"/>
          <w:vertAlign w:val="superscript"/>
        </w:rPr>
        <w:footnoteReference w:id="12"/>
      </w:r>
      <w:r w:rsidRPr="00083956">
        <w:rPr>
          <w:rFonts w:asciiTheme="minorHAnsi" w:hAnsiTheme="minorHAnsi"/>
          <w:sz w:val="24"/>
          <w:szCs w:val="24"/>
        </w:rPr>
        <w:t xml:space="preserve"> In 4Q184 Lady Wisdom is given by God to her seekers</w:t>
      </w:r>
      <w:ins w:id="36" w:author="Catrin Williams" w:date="2013-04-09T12:40:00Z">
        <w:r w:rsidR="00CB2E51">
          <w:rPr>
            <w:rFonts w:asciiTheme="minorHAnsi" w:hAnsiTheme="minorHAnsi"/>
            <w:sz w:val="24"/>
            <w:szCs w:val="24"/>
          </w:rPr>
          <w:t>;</w:t>
        </w:r>
        <w:r w:rsidR="00CB2E51" w:rsidRPr="00083956">
          <w:rPr>
            <w:rFonts w:asciiTheme="minorHAnsi" w:hAnsiTheme="minorHAnsi"/>
            <w:sz w:val="24"/>
            <w:szCs w:val="24"/>
          </w:rPr>
          <w:t xml:space="preserve"> </w:t>
        </w:r>
      </w:ins>
      <w:r w:rsidRPr="00083956">
        <w:rPr>
          <w:rFonts w:asciiTheme="minorHAnsi" w:hAnsiTheme="minorHAnsi"/>
          <w:sz w:val="24"/>
          <w:szCs w:val="24"/>
        </w:rPr>
        <w:t>the lines in the Qumran text resemble those of Proverbs which expound the riches which come with wisdom and the happiness which results (Pr. 3:13-18).</w:t>
      </w:r>
      <w:r w:rsidRPr="00083956">
        <w:rPr>
          <w:rFonts w:asciiTheme="minorHAnsi" w:hAnsiTheme="minorHAnsi"/>
          <w:sz w:val="24"/>
          <w:szCs w:val="24"/>
          <w:vertAlign w:val="superscript"/>
        </w:rPr>
        <w:footnoteReference w:id="13"/>
      </w:r>
      <w:r w:rsidRPr="00083956">
        <w:rPr>
          <w:rFonts w:asciiTheme="minorHAnsi" w:hAnsiTheme="minorHAnsi"/>
          <w:sz w:val="24"/>
          <w:szCs w:val="24"/>
        </w:rPr>
        <w:t xml:space="preserve"> Lady Wisdom in 4Q184 is not an active figure, she is given and received but does not act</w:t>
      </w:r>
      <w:del w:id="37" w:author="Catrin Williams" w:date="2013-04-09T12:43:00Z">
        <w:r w:rsidRPr="00083956" w:rsidDel="00CB2E51">
          <w:rPr>
            <w:rFonts w:asciiTheme="minorHAnsi" w:hAnsiTheme="minorHAnsi"/>
            <w:sz w:val="24"/>
            <w:szCs w:val="24"/>
          </w:rPr>
          <w:delText xml:space="preserve">, </w:delText>
        </w:r>
      </w:del>
      <w:ins w:id="38" w:author="Catrin Williams" w:date="2013-04-09T12:43:00Z">
        <w:r w:rsidR="00CB2E51">
          <w:rPr>
            <w:rFonts w:asciiTheme="minorHAnsi" w:hAnsiTheme="minorHAnsi"/>
            <w:sz w:val="24"/>
            <w:szCs w:val="24"/>
          </w:rPr>
          <w:t>;</w:t>
        </w:r>
        <w:r w:rsidR="00CB2E51" w:rsidRPr="00083956">
          <w:rPr>
            <w:rFonts w:asciiTheme="minorHAnsi" w:hAnsiTheme="minorHAnsi"/>
            <w:sz w:val="24"/>
            <w:szCs w:val="24"/>
          </w:rPr>
          <w:t xml:space="preserve"> </w:t>
        </w:r>
      </w:ins>
      <w:r w:rsidRPr="00083956">
        <w:rPr>
          <w:rFonts w:asciiTheme="minorHAnsi" w:hAnsiTheme="minorHAnsi"/>
          <w:sz w:val="24"/>
          <w:szCs w:val="24"/>
        </w:rPr>
        <w:t xml:space="preserve">in this way she more </w:t>
      </w:r>
      <w:ins w:id="39" w:author="Catrin Williams" w:date="2013-04-09T12:43:00Z">
        <w:r w:rsidR="00CB2E51">
          <w:rPr>
            <w:rFonts w:asciiTheme="minorHAnsi" w:hAnsiTheme="minorHAnsi"/>
            <w:sz w:val="24"/>
            <w:szCs w:val="24"/>
          </w:rPr>
          <w:t xml:space="preserve">closely </w:t>
        </w:r>
      </w:ins>
      <w:r w:rsidRPr="00083956">
        <w:rPr>
          <w:rFonts w:asciiTheme="minorHAnsi" w:hAnsiTheme="minorHAnsi"/>
          <w:sz w:val="24"/>
          <w:szCs w:val="24"/>
        </w:rPr>
        <w:t>resembles the wisdom of Job.</w:t>
      </w:r>
      <w:r w:rsidRPr="00083956">
        <w:rPr>
          <w:rFonts w:asciiTheme="minorHAnsi" w:hAnsiTheme="minorHAnsi"/>
          <w:sz w:val="24"/>
          <w:szCs w:val="24"/>
          <w:vertAlign w:val="superscript"/>
        </w:rPr>
        <w:footnoteReference w:id="14"/>
      </w:r>
      <w:r w:rsidRPr="00083956">
        <w:rPr>
          <w:rFonts w:asciiTheme="minorHAnsi" w:hAnsiTheme="minorHAnsi"/>
          <w:sz w:val="24"/>
          <w:szCs w:val="24"/>
        </w:rPr>
        <w:t xml:space="preserve"> </w:t>
      </w:r>
    </w:p>
    <w:p w14:paraId="447675CA" w14:textId="77777777" w:rsidR="00DE5E50" w:rsidRPr="00083956" w:rsidRDefault="00DE5E50">
      <w:pPr>
        <w:rPr>
          <w:rFonts w:asciiTheme="minorHAnsi" w:hAnsiTheme="minorHAnsi"/>
          <w:sz w:val="24"/>
          <w:szCs w:val="24"/>
        </w:rPr>
      </w:pPr>
    </w:p>
    <w:p w14:paraId="0F919510" w14:textId="77777777" w:rsidR="00083956" w:rsidRDefault="002B3722" w:rsidP="00083956">
      <w:pPr>
        <w:rPr>
          <w:rFonts w:asciiTheme="minorHAnsi" w:hAnsiTheme="minorHAnsi"/>
          <w:sz w:val="24"/>
          <w:szCs w:val="24"/>
        </w:rPr>
      </w:pPr>
      <w:r w:rsidRPr="00083956">
        <w:rPr>
          <w:rFonts w:asciiTheme="minorHAnsi" w:hAnsiTheme="minorHAnsi"/>
          <w:sz w:val="24"/>
          <w:szCs w:val="24"/>
        </w:rPr>
        <w:t>In 4Q185 and 4Q525 (the later also called 4QBeatitudes) wisdom resembles the wisdom of the Wisdom of Jesus Ben Sirach in that it is given to the Israelites and equated with the law of Moses, and indirectly, the Torah.</w:t>
      </w:r>
      <w:r w:rsidRPr="00083956">
        <w:rPr>
          <w:rFonts w:asciiTheme="minorHAnsi" w:hAnsiTheme="minorHAnsi"/>
          <w:sz w:val="24"/>
          <w:szCs w:val="24"/>
          <w:vertAlign w:val="superscript"/>
        </w:rPr>
        <w:footnoteReference w:id="15"/>
      </w:r>
      <w:bookmarkStart w:id="40" w:name="h.pockxsmeoypr" w:colFirst="0" w:colLast="0"/>
      <w:bookmarkEnd w:id="40"/>
    </w:p>
    <w:p w14:paraId="5F102FA6" w14:textId="77777777" w:rsidR="00083956" w:rsidRDefault="00083956" w:rsidP="00083956">
      <w:pPr>
        <w:rPr>
          <w:rFonts w:asciiTheme="minorHAnsi" w:hAnsiTheme="minorHAnsi"/>
          <w:sz w:val="24"/>
          <w:szCs w:val="24"/>
        </w:rPr>
      </w:pPr>
    </w:p>
    <w:p w14:paraId="0B00CCEC" w14:textId="77777777" w:rsidR="00DE5E50" w:rsidRPr="00083956" w:rsidRDefault="002B3722" w:rsidP="00083956">
      <w:pPr>
        <w:rPr>
          <w:rFonts w:asciiTheme="minorHAnsi" w:hAnsiTheme="minorHAnsi"/>
          <w:b/>
          <w:sz w:val="24"/>
          <w:szCs w:val="24"/>
        </w:rPr>
      </w:pPr>
      <w:r w:rsidRPr="00083956">
        <w:rPr>
          <w:rFonts w:asciiTheme="minorHAnsi" w:hAnsiTheme="minorHAnsi"/>
          <w:b/>
          <w:sz w:val="24"/>
          <w:szCs w:val="24"/>
        </w:rPr>
        <w:t>The Origins of Lady Wisdom</w:t>
      </w:r>
    </w:p>
    <w:p w14:paraId="38C23681" w14:textId="77777777" w:rsidR="00DE5E50" w:rsidRPr="00083956" w:rsidRDefault="002B3722">
      <w:pPr>
        <w:rPr>
          <w:rFonts w:asciiTheme="minorHAnsi" w:hAnsiTheme="minorHAnsi"/>
          <w:sz w:val="24"/>
          <w:szCs w:val="24"/>
        </w:rPr>
      </w:pPr>
      <w:r w:rsidRPr="00083956">
        <w:rPr>
          <w:rFonts w:asciiTheme="minorHAnsi" w:hAnsiTheme="minorHAnsi"/>
          <w:sz w:val="24"/>
          <w:szCs w:val="24"/>
        </w:rPr>
        <w:t xml:space="preserve">Sections of Proverbs, especially those which </w:t>
      </w:r>
      <w:commentRangeStart w:id="41"/>
      <w:r w:rsidRPr="00083956">
        <w:rPr>
          <w:rFonts w:asciiTheme="minorHAnsi" w:hAnsiTheme="minorHAnsi"/>
          <w:sz w:val="24"/>
          <w:szCs w:val="24"/>
        </w:rPr>
        <w:t>deify</w:t>
      </w:r>
      <w:commentRangeEnd w:id="41"/>
      <w:r w:rsidR="00CB2E51">
        <w:rPr>
          <w:rStyle w:val="CommentReference"/>
          <w:vanish/>
        </w:rPr>
        <w:commentReference w:id="41"/>
      </w:r>
      <w:r w:rsidRPr="00083956">
        <w:rPr>
          <w:rFonts w:asciiTheme="minorHAnsi" w:hAnsiTheme="minorHAnsi"/>
          <w:sz w:val="24"/>
          <w:szCs w:val="24"/>
        </w:rPr>
        <w:t xml:space="preserve"> Lady Wisdom, call to mind the goddess worship of religions surrounding the ancient Israelites. Scholars have identified Lady Wisdom as being a possible disguise for the Egyptian goddesses </w:t>
      </w:r>
      <w:proofErr w:type="spellStart"/>
      <w:r w:rsidRPr="00083956">
        <w:rPr>
          <w:rFonts w:asciiTheme="minorHAnsi" w:hAnsiTheme="minorHAnsi"/>
          <w:sz w:val="24"/>
          <w:szCs w:val="24"/>
        </w:rPr>
        <w:t>Ma’at</w:t>
      </w:r>
      <w:proofErr w:type="spellEnd"/>
      <w:r w:rsidRPr="00083956">
        <w:rPr>
          <w:rFonts w:asciiTheme="minorHAnsi" w:hAnsiTheme="minorHAnsi"/>
          <w:sz w:val="24"/>
          <w:szCs w:val="24"/>
        </w:rPr>
        <w:t xml:space="preserve"> and Isis, as well as the Sumerian goddess Inanna, and the related Babylonian Ishtar/Canaanite Astarte. In Proverbs wisdom is described as having “long life (is) in her right hand; in her left hand are riches and honour” (Pr. 3:16), a description which calls to mind the Egyptian goddess </w:t>
      </w:r>
      <w:proofErr w:type="spellStart"/>
      <w:r w:rsidRPr="00083956">
        <w:rPr>
          <w:rFonts w:asciiTheme="minorHAnsi" w:hAnsiTheme="minorHAnsi"/>
          <w:sz w:val="24"/>
          <w:szCs w:val="24"/>
        </w:rPr>
        <w:t>Ma’at</w:t>
      </w:r>
      <w:proofErr w:type="spellEnd"/>
      <w:r w:rsidRPr="00083956">
        <w:rPr>
          <w:rFonts w:asciiTheme="minorHAnsi" w:hAnsiTheme="minorHAnsi"/>
          <w:sz w:val="24"/>
          <w:szCs w:val="24"/>
        </w:rPr>
        <w:t xml:space="preserve"> who is often portrayed holding the symbols of long life riches. Another resemblance to </w:t>
      </w:r>
      <w:proofErr w:type="spellStart"/>
      <w:r w:rsidRPr="00083956">
        <w:rPr>
          <w:rFonts w:asciiTheme="minorHAnsi" w:hAnsiTheme="minorHAnsi"/>
          <w:sz w:val="24"/>
          <w:szCs w:val="24"/>
        </w:rPr>
        <w:t>Ma’at</w:t>
      </w:r>
      <w:proofErr w:type="spellEnd"/>
      <w:r w:rsidRPr="00083956">
        <w:rPr>
          <w:rFonts w:asciiTheme="minorHAnsi" w:hAnsiTheme="minorHAnsi"/>
          <w:sz w:val="24"/>
          <w:szCs w:val="24"/>
        </w:rPr>
        <w:t xml:space="preserve"> is found in Proverbs 8 where Woman Wisdom makes clear her relationship with political power: “By me kings reign, and rulers decree what is just; by me rulers rule, and nobles, all who govern rightly” (Pr. 8:15-16). The relationship between Woman Wisdom and political power is similar to that between </w:t>
      </w:r>
      <w:proofErr w:type="spellStart"/>
      <w:r w:rsidRPr="00083956">
        <w:rPr>
          <w:rFonts w:asciiTheme="minorHAnsi" w:hAnsiTheme="minorHAnsi"/>
          <w:sz w:val="24"/>
          <w:szCs w:val="24"/>
        </w:rPr>
        <w:t>Ma’at</w:t>
      </w:r>
      <w:proofErr w:type="spellEnd"/>
      <w:r w:rsidRPr="00083956">
        <w:rPr>
          <w:rFonts w:asciiTheme="minorHAnsi" w:hAnsiTheme="minorHAnsi"/>
          <w:sz w:val="24"/>
          <w:szCs w:val="24"/>
        </w:rPr>
        <w:t xml:space="preserve"> and the Pharaoh, whose throne she is </w:t>
      </w:r>
      <w:del w:id="42" w:author="Catrin Williams" w:date="2013-04-09T12:46:00Z">
        <w:r w:rsidRPr="00083956" w:rsidDel="00CB2E51">
          <w:rPr>
            <w:rFonts w:asciiTheme="minorHAnsi" w:hAnsiTheme="minorHAnsi"/>
            <w:sz w:val="24"/>
            <w:szCs w:val="24"/>
          </w:rPr>
          <w:delText xml:space="preserve">the </w:delText>
        </w:r>
      </w:del>
      <w:r w:rsidRPr="00083956">
        <w:rPr>
          <w:rFonts w:asciiTheme="minorHAnsi" w:hAnsiTheme="minorHAnsi"/>
          <w:sz w:val="24"/>
          <w:szCs w:val="24"/>
        </w:rPr>
        <w:t>underpinning.</w:t>
      </w:r>
      <w:r w:rsidRPr="00083956">
        <w:rPr>
          <w:rFonts w:asciiTheme="minorHAnsi" w:hAnsiTheme="minorHAnsi"/>
          <w:sz w:val="24"/>
          <w:szCs w:val="24"/>
          <w:vertAlign w:val="superscript"/>
        </w:rPr>
        <w:footnoteReference w:id="16"/>
      </w:r>
      <w:r w:rsidRPr="00083956">
        <w:rPr>
          <w:rFonts w:asciiTheme="minorHAnsi" w:hAnsiTheme="minorHAnsi"/>
          <w:sz w:val="24"/>
          <w:szCs w:val="24"/>
        </w:rPr>
        <w:t xml:space="preserve"> In Pr. 3:18 Woman Wisdom is likened to a tree: “she is a tree of lif</w:t>
      </w:r>
      <w:r w:rsidR="00080761">
        <w:rPr>
          <w:rFonts w:asciiTheme="minorHAnsi" w:hAnsiTheme="minorHAnsi"/>
          <w:sz w:val="24"/>
          <w:szCs w:val="24"/>
        </w:rPr>
        <w:t>e to those who lay hold of her”</w:t>
      </w:r>
      <w:r w:rsidRPr="00083956">
        <w:rPr>
          <w:rFonts w:asciiTheme="minorHAnsi" w:hAnsiTheme="minorHAnsi"/>
          <w:sz w:val="24"/>
          <w:szCs w:val="24"/>
        </w:rPr>
        <w:t xml:space="preserve">, a metaphor which calls to mind Genesis, but which may also have roots in </w:t>
      </w:r>
      <w:del w:id="43" w:author="Catrin Williams" w:date="2013-04-09T12:46:00Z">
        <w:r w:rsidRPr="00083956" w:rsidDel="00CB2E51">
          <w:rPr>
            <w:rFonts w:asciiTheme="minorHAnsi" w:hAnsiTheme="minorHAnsi"/>
            <w:sz w:val="24"/>
            <w:szCs w:val="24"/>
          </w:rPr>
          <w:delText xml:space="preserve">near </w:delText>
        </w:r>
      </w:del>
      <w:ins w:id="44" w:author="Catrin Williams" w:date="2013-04-09T12:46:00Z">
        <w:r w:rsidR="00CB2E51">
          <w:rPr>
            <w:rFonts w:asciiTheme="minorHAnsi" w:hAnsiTheme="minorHAnsi"/>
            <w:sz w:val="24"/>
            <w:szCs w:val="24"/>
          </w:rPr>
          <w:t>N</w:t>
        </w:r>
        <w:r w:rsidR="00CB2E51" w:rsidRPr="00083956">
          <w:rPr>
            <w:rFonts w:asciiTheme="minorHAnsi" w:hAnsiTheme="minorHAnsi"/>
            <w:sz w:val="24"/>
            <w:szCs w:val="24"/>
          </w:rPr>
          <w:t xml:space="preserve">ear </w:t>
        </w:r>
      </w:ins>
      <w:del w:id="45" w:author="Catrin Williams" w:date="2013-04-09T12:46:00Z">
        <w:r w:rsidRPr="00083956" w:rsidDel="00CB2E51">
          <w:rPr>
            <w:rFonts w:asciiTheme="minorHAnsi" w:hAnsiTheme="minorHAnsi"/>
            <w:sz w:val="24"/>
            <w:szCs w:val="24"/>
          </w:rPr>
          <w:delText xml:space="preserve">eastern </w:delText>
        </w:r>
      </w:del>
      <w:ins w:id="46" w:author="Catrin Williams" w:date="2013-04-09T12:46:00Z">
        <w:r w:rsidR="00CB2E51">
          <w:rPr>
            <w:rFonts w:asciiTheme="minorHAnsi" w:hAnsiTheme="minorHAnsi"/>
            <w:sz w:val="24"/>
            <w:szCs w:val="24"/>
          </w:rPr>
          <w:t>E</w:t>
        </w:r>
        <w:r w:rsidR="00CB2E51" w:rsidRPr="00083956">
          <w:rPr>
            <w:rFonts w:asciiTheme="minorHAnsi" w:hAnsiTheme="minorHAnsi"/>
            <w:sz w:val="24"/>
            <w:szCs w:val="24"/>
          </w:rPr>
          <w:t xml:space="preserve">astern </w:t>
        </w:r>
      </w:ins>
      <w:r w:rsidRPr="00083956">
        <w:rPr>
          <w:rFonts w:asciiTheme="minorHAnsi" w:hAnsiTheme="minorHAnsi"/>
          <w:sz w:val="24"/>
          <w:szCs w:val="24"/>
        </w:rPr>
        <w:t>vegetation goddess worship.</w:t>
      </w:r>
      <w:r w:rsidRPr="00083956">
        <w:rPr>
          <w:rFonts w:asciiTheme="minorHAnsi" w:hAnsiTheme="minorHAnsi"/>
          <w:sz w:val="24"/>
          <w:szCs w:val="24"/>
          <w:vertAlign w:val="superscript"/>
        </w:rPr>
        <w:footnoteReference w:id="17"/>
      </w:r>
      <w:r w:rsidRPr="00083956">
        <w:rPr>
          <w:rFonts w:asciiTheme="minorHAnsi" w:hAnsiTheme="minorHAnsi"/>
          <w:sz w:val="24"/>
          <w:szCs w:val="24"/>
        </w:rPr>
        <w:t xml:space="preserve"> Finally it has been noted that the book of Proverbs bears similarities to Egyptian texts used in the education of royal princes and state officials; there were perhaps court schools in ancient </w:t>
      </w:r>
      <w:r w:rsidRPr="00083956">
        <w:rPr>
          <w:rFonts w:asciiTheme="minorHAnsi" w:hAnsiTheme="minorHAnsi"/>
          <w:sz w:val="24"/>
          <w:szCs w:val="24"/>
        </w:rPr>
        <w:lastRenderedPageBreak/>
        <w:t>Israel and Proverbs could be an adaptation of Egyptian wisdom literature.</w:t>
      </w:r>
      <w:r w:rsidRPr="00083956">
        <w:rPr>
          <w:rFonts w:asciiTheme="minorHAnsi" w:hAnsiTheme="minorHAnsi"/>
          <w:sz w:val="24"/>
          <w:szCs w:val="24"/>
          <w:vertAlign w:val="superscript"/>
        </w:rPr>
        <w:footnoteReference w:id="18"/>
      </w:r>
      <w:r w:rsidRPr="00083956">
        <w:rPr>
          <w:rFonts w:asciiTheme="minorHAnsi" w:hAnsiTheme="minorHAnsi"/>
          <w:sz w:val="24"/>
          <w:szCs w:val="24"/>
        </w:rPr>
        <w:t xml:space="preserve"> It is therefore not ridiculous</w:t>
      </w:r>
      <w:ins w:id="47" w:author="Catrin Williams" w:date="2013-04-09T12:46:00Z">
        <w:r w:rsidR="00CB2E51">
          <w:rPr>
            <w:rFonts w:asciiTheme="minorHAnsi" w:hAnsiTheme="minorHAnsi"/>
            <w:sz w:val="24"/>
            <w:szCs w:val="24"/>
          </w:rPr>
          <w:t>(?)</w:t>
        </w:r>
      </w:ins>
      <w:r w:rsidRPr="00083956">
        <w:rPr>
          <w:rFonts w:asciiTheme="minorHAnsi" w:hAnsiTheme="minorHAnsi"/>
          <w:sz w:val="24"/>
          <w:szCs w:val="24"/>
        </w:rPr>
        <w:t xml:space="preserve"> to postulate that some of the goddess worship of Egypt could have found its way into the book of Proverbs via its Egyptian heritage.</w:t>
      </w:r>
    </w:p>
    <w:p w14:paraId="0DB1B242" w14:textId="77777777" w:rsidR="00DE5E50" w:rsidRPr="00083956" w:rsidRDefault="00DE5E50">
      <w:pPr>
        <w:rPr>
          <w:rFonts w:asciiTheme="minorHAnsi" w:hAnsiTheme="minorHAnsi"/>
          <w:sz w:val="24"/>
          <w:szCs w:val="24"/>
        </w:rPr>
      </w:pPr>
    </w:p>
    <w:p w14:paraId="751034B6" w14:textId="77777777" w:rsidR="00DE5E50" w:rsidRPr="00083956" w:rsidRDefault="002B3722">
      <w:pPr>
        <w:rPr>
          <w:rFonts w:asciiTheme="minorHAnsi" w:hAnsiTheme="minorHAnsi"/>
          <w:sz w:val="24"/>
          <w:szCs w:val="24"/>
        </w:rPr>
      </w:pPr>
      <w:r w:rsidRPr="00083956">
        <w:rPr>
          <w:rFonts w:asciiTheme="minorHAnsi" w:hAnsiTheme="minorHAnsi"/>
          <w:sz w:val="24"/>
          <w:szCs w:val="24"/>
        </w:rPr>
        <w:t xml:space="preserve">Egyptian influences are also found in the book of </w:t>
      </w:r>
      <w:proofErr w:type="gramStart"/>
      <w:r w:rsidRPr="00083956">
        <w:rPr>
          <w:rFonts w:asciiTheme="minorHAnsi" w:hAnsiTheme="minorHAnsi"/>
          <w:sz w:val="24"/>
          <w:szCs w:val="24"/>
        </w:rPr>
        <w:t>Wisdom,</w:t>
      </w:r>
      <w:proofErr w:type="gramEnd"/>
      <w:r w:rsidRPr="00083956">
        <w:rPr>
          <w:rFonts w:asciiTheme="minorHAnsi" w:hAnsiTheme="minorHAnsi"/>
          <w:sz w:val="24"/>
          <w:szCs w:val="24"/>
        </w:rPr>
        <w:t xml:space="preserve"> whose author assumes the identity of </w:t>
      </w:r>
      <w:r w:rsidR="00083956" w:rsidRPr="00083956">
        <w:rPr>
          <w:rFonts w:asciiTheme="minorHAnsi" w:hAnsiTheme="minorHAnsi"/>
          <w:sz w:val="24"/>
          <w:szCs w:val="24"/>
        </w:rPr>
        <w:t>King</w:t>
      </w:r>
      <w:r w:rsidRPr="00083956">
        <w:rPr>
          <w:rFonts w:asciiTheme="minorHAnsi" w:hAnsiTheme="minorHAnsi"/>
          <w:sz w:val="24"/>
          <w:szCs w:val="24"/>
        </w:rPr>
        <w:t xml:space="preserve"> Solomon. The female personification of wisdom resembles the </w:t>
      </w:r>
      <w:r w:rsidR="00080761" w:rsidRPr="00083956">
        <w:rPr>
          <w:rFonts w:asciiTheme="minorHAnsi" w:hAnsiTheme="minorHAnsi"/>
          <w:sz w:val="24"/>
          <w:szCs w:val="24"/>
        </w:rPr>
        <w:t>Hellenistic</w:t>
      </w:r>
      <w:r w:rsidRPr="00083956">
        <w:rPr>
          <w:rFonts w:asciiTheme="minorHAnsi" w:hAnsiTheme="minorHAnsi"/>
          <w:sz w:val="24"/>
          <w:szCs w:val="24"/>
        </w:rPr>
        <w:t xml:space="preserve"> goddess of fertility, Isis, who was also important in the royal ideology of Egypt.</w:t>
      </w:r>
      <w:r w:rsidRPr="00083956">
        <w:rPr>
          <w:rFonts w:asciiTheme="minorHAnsi" w:hAnsiTheme="minorHAnsi"/>
          <w:sz w:val="24"/>
          <w:szCs w:val="24"/>
          <w:vertAlign w:val="superscript"/>
        </w:rPr>
        <w:footnoteReference w:id="19"/>
      </w:r>
      <w:r w:rsidRPr="00083956">
        <w:rPr>
          <w:rFonts w:asciiTheme="minorHAnsi" w:hAnsiTheme="minorHAnsi"/>
          <w:sz w:val="24"/>
          <w:szCs w:val="24"/>
        </w:rPr>
        <w:t xml:space="preserve"> The relationship in the book of Wisdom between Solomon, God and Woman Wisdom is similar to that in Egyptian religion between the sun </w:t>
      </w:r>
      <w:r w:rsidR="00083956">
        <w:rPr>
          <w:rFonts w:asciiTheme="minorHAnsi" w:hAnsiTheme="minorHAnsi"/>
          <w:sz w:val="24"/>
          <w:szCs w:val="24"/>
        </w:rPr>
        <w:t>god Re, Isis and the human king</w:t>
      </w:r>
      <w:r w:rsidRPr="00083956">
        <w:rPr>
          <w:rFonts w:asciiTheme="minorHAnsi" w:hAnsiTheme="minorHAnsi"/>
          <w:sz w:val="24"/>
          <w:szCs w:val="24"/>
        </w:rPr>
        <w:t xml:space="preserve">, </w:t>
      </w:r>
      <w:proofErr w:type="spellStart"/>
      <w:r w:rsidRPr="00083956">
        <w:rPr>
          <w:rFonts w:asciiTheme="minorHAnsi" w:hAnsiTheme="minorHAnsi"/>
          <w:sz w:val="24"/>
          <w:szCs w:val="24"/>
        </w:rPr>
        <w:t>Orsis</w:t>
      </w:r>
      <w:proofErr w:type="spellEnd"/>
      <w:r w:rsidRPr="00083956">
        <w:rPr>
          <w:rFonts w:asciiTheme="minorHAnsi" w:hAnsiTheme="minorHAnsi"/>
          <w:sz w:val="24"/>
          <w:szCs w:val="24"/>
        </w:rPr>
        <w:t>.</w:t>
      </w:r>
      <w:r w:rsidRPr="00083956">
        <w:rPr>
          <w:rFonts w:asciiTheme="minorHAnsi" w:hAnsiTheme="minorHAnsi"/>
          <w:sz w:val="24"/>
          <w:szCs w:val="24"/>
          <w:vertAlign w:val="superscript"/>
        </w:rPr>
        <w:footnoteReference w:id="20"/>
      </w:r>
    </w:p>
    <w:p w14:paraId="09C326CD" w14:textId="77777777" w:rsidR="00DE5E50" w:rsidRPr="00083956" w:rsidRDefault="00DE5E50">
      <w:pPr>
        <w:rPr>
          <w:rFonts w:asciiTheme="minorHAnsi" w:hAnsiTheme="minorHAnsi"/>
          <w:sz w:val="24"/>
          <w:szCs w:val="24"/>
        </w:rPr>
      </w:pPr>
    </w:p>
    <w:p w14:paraId="1EB4438B" w14:textId="77777777" w:rsidR="00083956" w:rsidRDefault="002B3722" w:rsidP="00083956">
      <w:pPr>
        <w:rPr>
          <w:rFonts w:asciiTheme="minorHAnsi" w:hAnsiTheme="minorHAnsi"/>
          <w:sz w:val="24"/>
          <w:szCs w:val="24"/>
        </w:rPr>
      </w:pPr>
      <w:r w:rsidRPr="00083956">
        <w:rPr>
          <w:rFonts w:asciiTheme="minorHAnsi" w:hAnsiTheme="minorHAnsi"/>
          <w:sz w:val="24"/>
          <w:szCs w:val="24"/>
        </w:rPr>
        <w:t xml:space="preserve">Recent </w:t>
      </w:r>
      <w:r w:rsidR="00083956" w:rsidRPr="00083956">
        <w:rPr>
          <w:rFonts w:asciiTheme="minorHAnsi" w:hAnsiTheme="minorHAnsi"/>
          <w:sz w:val="24"/>
          <w:szCs w:val="24"/>
        </w:rPr>
        <w:t>archaeological</w:t>
      </w:r>
      <w:r w:rsidRPr="00083956">
        <w:rPr>
          <w:rFonts w:asciiTheme="minorHAnsi" w:hAnsiTheme="minorHAnsi"/>
          <w:sz w:val="24"/>
          <w:szCs w:val="24"/>
        </w:rPr>
        <w:t xml:space="preserve"> evidence suggests Israelite worship of the Canaanite goddess Astarte alongside worship of YHWH well into the monarchic period,</w:t>
      </w:r>
      <w:r w:rsidRPr="00083956">
        <w:rPr>
          <w:rFonts w:asciiTheme="minorHAnsi" w:hAnsiTheme="minorHAnsi"/>
          <w:sz w:val="24"/>
          <w:szCs w:val="24"/>
          <w:vertAlign w:val="superscript"/>
        </w:rPr>
        <w:footnoteReference w:id="21"/>
      </w:r>
      <w:r w:rsidRPr="00083956">
        <w:rPr>
          <w:rFonts w:asciiTheme="minorHAnsi" w:hAnsiTheme="minorHAnsi"/>
          <w:sz w:val="24"/>
          <w:szCs w:val="24"/>
        </w:rPr>
        <w:t xml:space="preserve"> a fact which has prompted several commentators</w:t>
      </w:r>
      <w:r w:rsidR="00083956">
        <w:rPr>
          <w:rFonts w:asciiTheme="minorHAnsi" w:hAnsiTheme="minorHAnsi"/>
          <w:sz w:val="24"/>
          <w:szCs w:val="24"/>
        </w:rPr>
        <w:t xml:space="preserve"> to conclude that Woman Wisdom </w:t>
      </w:r>
      <w:r w:rsidRPr="00083956">
        <w:rPr>
          <w:rFonts w:asciiTheme="minorHAnsi" w:hAnsiTheme="minorHAnsi"/>
          <w:sz w:val="24"/>
          <w:szCs w:val="24"/>
        </w:rPr>
        <w:t>represents either a period of convergence with Canaanite religion (wherein YHWH took on attributes of Astarte and the worship of that goddess was suppressed),</w:t>
      </w:r>
      <w:r w:rsidRPr="00083956">
        <w:rPr>
          <w:rFonts w:asciiTheme="minorHAnsi" w:hAnsiTheme="minorHAnsi"/>
          <w:sz w:val="24"/>
          <w:szCs w:val="24"/>
          <w:vertAlign w:val="superscript"/>
        </w:rPr>
        <w:footnoteReference w:id="22"/>
      </w:r>
      <w:r w:rsidRPr="00083956">
        <w:rPr>
          <w:rFonts w:asciiTheme="minorHAnsi" w:hAnsiTheme="minorHAnsi"/>
          <w:sz w:val="24"/>
          <w:szCs w:val="24"/>
        </w:rPr>
        <w:t xml:space="preserve"> or merely a remnant of goddess worship in ancient Israel.</w:t>
      </w:r>
      <w:r w:rsidRPr="00083956">
        <w:rPr>
          <w:rFonts w:asciiTheme="minorHAnsi" w:hAnsiTheme="minorHAnsi"/>
          <w:sz w:val="24"/>
          <w:szCs w:val="24"/>
          <w:vertAlign w:val="superscript"/>
        </w:rPr>
        <w:footnoteReference w:id="23"/>
      </w:r>
      <w:r w:rsidRPr="00083956">
        <w:rPr>
          <w:rFonts w:asciiTheme="minorHAnsi" w:hAnsiTheme="minorHAnsi"/>
          <w:sz w:val="24"/>
          <w:szCs w:val="24"/>
        </w:rPr>
        <w:t xml:space="preserve"> </w:t>
      </w:r>
      <w:bookmarkStart w:id="48" w:name="h.uizml8rewiwu" w:colFirst="0" w:colLast="0"/>
      <w:bookmarkStart w:id="49" w:name="h.t6smqve6uf4c" w:colFirst="0" w:colLast="0"/>
      <w:bookmarkEnd w:id="48"/>
      <w:bookmarkEnd w:id="49"/>
    </w:p>
    <w:p w14:paraId="048FE066" w14:textId="77777777" w:rsidR="00083956" w:rsidRDefault="00083956" w:rsidP="00083956">
      <w:pPr>
        <w:rPr>
          <w:rFonts w:asciiTheme="minorHAnsi" w:hAnsiTheme="minorHAnsi"/>
          <w:sz w:val="24"/>
          <w:szCs w:val="24"/>
        </w:rPr>
      </w:pPr>
    </w:p>
    <w:p w14:paraId="1EA065AD" w14:textId="77777777" w:rsidR="00DE5E50" w:rsidRPr="00083956" w:rsidRDefault="002B3722" w:rsidP="00083956">
      <w:pPr>
        <w:rPr>
          <w:rFonts w:asciiTheme="minorHAnsi" w:hAnsiTheme="minorHAnsi"/>
          <w:b/>
          <w:sz w:val="24"/>
          <w:szCs w:val="24"/>
        </w:rPr>
      </w:pPr>
      <w:r w:rsidRPr="00083956">
        <w:rPr>
          <w:rFonts w:asciiTheme="minorHAnsi" w:hAnsiTheme="minorHAnsi"/>
          <w:b/>
          <w:sz w:val="24"/>
          <w:szCs w:val="24"/>
        </w:rPr>
        <w:t xml:space="preserve">How to Interpret Woman </w:t>
      </w:r>
      <w:proofErr w:type="gramStart"/>
      <w:r w:rsidRPr="00083956">
        <w:rPr>
          <w:rFonts w:asciiTheme="minorHAnsi" w:hAnsiTheme="minorHAnsi"/>
          <w:b/>
          <w:sz w:val="24"/>
          <w:szCs w:val="24"/>
        </w:rPr>
        <w:t>Wisdom</w:t>
      </w:r>
      <w:proofErr w:type="gramEnd"/>
    </w:p>
    <w:p w14:paraId="0A694F4E" w14:textId="77777777" w:rsidR="00DE5E50" w:rsidRPr="00083956" w:rsidRDefault="002B3722">
      <w:pPr>
        <w:rPr>
          <w:rFonts w:asciiTheme="minorHAnsi" w:hAnsiTheme="minorHAnsi"/>
          <w:sz w:val="24"/>
          <w:szCs w:val="24"/>
        </w:rPr>
      </w:pPr>
      <w:r w:rsidRPr="00083956">
        <w:rPr>
          <w:rFonts w:asciiTheme="minorHAnsi" w:hAnsiTheme="minorHAnsi"/>
          <w:sz w:val="24"/>
          <w:szCs w:val="24"/>
        </w:rPr>
        <w:t xml:space="preserve">Woman Wisdom presents something of an enigma to biblical interpreters; why, in such an otherwise androcentric society, is Wisdom feminised? Why, in Proverbs, are the most and least positive </w:t>
      </w:r>
      <w:del w:id="50" w:author="Catrin Williams" w:date="2013-04-09T12:47:00Z">
        <w:r w:rsidRPr="00083956" w:rsidDel="00CB2E51">
          <w:rPr>
            <w:rFonts w:asciiTheme="minorHAnsi" w:hAnsiTheme="minorHAnsi"/>
            <w:sz w:val="24"/>
            <w:szCs w:val="24"/>
          </w:rPr>
          <w:delText xml:space="preserve">and </w:delText>
        </w:r>
      </w:del>
      <w:r w:rsidRPr="00083956">
        <w:rPr>
          <w:rFonts w:asciiTheme="minorHAnsi" w:hAnsiTheme="minorHAnsi"/>
          <w:sz w:val="24"/>
          <w:szCs w:val="24"/>
        </w:rPr>
        <w:t>aspects of humanity personified in women? Modern commentators have dealt with these questions in numerous ways. Von Rad interprets Wisdom as “an attribute of the world, signifying something like ‘meaning’ implemented by God in creation”.</w:t>
      </w:r>
      <w:r w:rsidRPr="00083956">
        <w:rPr>
          <w:rFonts w:asciiTheme="minorHAnsi" w:hAnsiTheme="minorHAnsi"/>
          <w:sz w:val="24"/>
          <w:szCs w:val="24"/>
          <w:vertAlign w:val="superscript"/>
        </w:rPr>
        <w:footnoteReference w:id="24"/>
      </w:r>
      <w:r w:rsidRPr="00083956">
        <w:rPr>
          <w:rFonts w:asciiTheme="minorHAnsi" w:hAnsiTheme="minorHAnsi"/>
          <w:sz w:val="24"/>
          <w:szCs w:val="24"/>
        </w:rPr>
        <w:t xml:space="preserve"> Carol Newsom believes that in Proverbs the best and worst of humanity is embodied in women because women is that which is “other” than man and therefore comes to represent that </w:t>
      </w:r>
      <w:ins w:id="51" w:author="Catrin Williams" w:date="2013-04-09T12:48:00Z">
        <w:r w:rsidR="00CB2E51">
          <w:rPr>
            <w:rFonts w:asciiTheme="minorHAnsi" w:hAnsiTheme="minorHAnsi"/>
            <w:sz w:val="24"/>
            <w:szCs w:val="24"/>
          </w:rPr>
          <w:t xml:space="preserve">which </w:t>
        </w:r>
      </w:ins>
      <w:r w:rsidRPr="00083956">
        <w:rPr>
          <w:rFonts w:asciiTheme="minorHAnsi" w:hAnsiTheme="minorHAnsi"/>
          <w:sz w:val="24"/>
          <w:szCs w:val="24"/>
        </w:rPr>
        <w:t>is superior and inferior to him.</w:t>
      </w:r>
      <w:r w:rsidRPr="00083956">
        <w:rPr>
          <w:rFonts w:asciiTheme="minorHAnsi" w:hAnsiTheme="minorHAnsi"/>
          <w:sz w:val="24"/>
          <w:szCs w:val="24"/>
          <w:vertAlign w:val="superscript"/>
        </w:rPr>
        <w:footnoteReference w:id="25"/>
      </w:r>
      <w:r w:rsidRPr="00083956">
        <w:rPr>
          <w:rFonts w:asciiTheme="minorHAnsi" w:hAnsiTheme="minorHAnsi"/>
          <w:sz w:val="24"/>
          <w:szCs w:val="24"/>
        </w:rPr>
        <w:t xml:space="preserve"> Other commentators interpret Woman Wisdom as an amalgamation of all the positive roles played by wives, mothers, daughters, and teachers in Israelite society.</w:t>
      </w:r>
      <w:r w:rsidRPr="00083956">
        <w:rPr>
          <w:rFonts w:asciiTheme="minorHAnsi" w:hAnsiTheme="minorHAnsi"/>
          <w:sz w:val="24"/>
          <w:szCs w:val="24"/>
          <w:vertAlign w:val="superscript"/>
        </w:rPr>
        <w:footnoteReference w:id="26"/>
      </w:r>
      <w:r w:rsidRPr="00083956">
        <w:rPr>
          <w:rFonts w:asciiTheme="minorHAnsi" w:hAnsiTheme="minorHAnsi"/>
          <w:sz w:val="24"/>
          <w:szCs w:val="24"/>
        </w:rPr>
        <w:t xml:space="preserve"> In </w:t>
      </w:r>
      <w:del w:id="52" w:author="Catrin Williams" w:date="2013-04-09T12:48:00Z">
        <w:r w:rsidRPr="00083956" w:rsidDel="00CB2E51">
          <w:rPr>
            <w:rFonts w:asciiTheme="minorHAnsi" w:hAnsiTheme="minorHAnsi"/>
            <w:sz w:val="24"/>
            <w:szCs w:val="24"/>
          </w:rPr>
          <w:delText>the modern Church</w:delText>
        </w:r>
      </w:del>
      <w:ins w:id="53" w:author="Catrin Williams" w:date="2013-04-09T12:48:00Z">
        <w:r w:rsidR="00CB2E51">
          <w:rPr>
            <w:rFonts w:asciiTheme="minorHAnsi" w:hAnsiTheme="minorHAnsi"/>
            <w:sz w:val="24"/>
            <w:szCs w:val="24"/>
          </w:rPr>
          <w:t>Christianity</w:t>
        </w:r>
      </w:ins>
      <w:r w:rsidRPr="00083956">
        <w:rPr>
          <w:rFonts w:asciiTheme="minorHAnsi" w:hAnsiTheme="minorHAnsi"/>
          <w:sz w:val="24"/>
          <w:szCs w:val="24"/>
        </w:rPr>
        <w:t>, wisdom has come to be associated with the doctrine of the Trinity; the introduction to the wisdom books in the New Jerusalem Bible reads:</w:t>
      </w:r>
    </w:p>
    <w:p w14:paraId="05141252" w14:textId="77777777" w:rsidR="00DE5E50" w:rsidRPr="00083956" w:rsidRDefault="00DE5E50">
      <w:pPr>
        <w:rPr>
          <w:rFonts w:asciiTheme="minorHAnsi" w:hAnsiTheme="minorHAnsi"/>
          <w:sz w:val="24"/>
          <w:szCs w:val="24"/>
        </w:rPr>
      </w:pPr>
    </w:p>
    <w:p w14:paraId="6E0F82FE" w14:textId="77777777" w:rsidR="00DE5E50" w:rsidRPr="00083956" w:rsidRDefault="002B3722">
      <w:pPr>
        <w:ind w:left="270" w:right="720"/>
        <w:rPr>
          <w:rFonts w:asciiTheme="minorHAnsi" w:hAnsiTheme="minorHAnsi"/>
          <w:sz w:val="24"/>
          <w:szCs w:val="24"/>
        </w:rPr>
      </w:pPr>
      <w:r w:rsidRPr="00083956">
        <w:rPr>
          <w:rFonts w:asciiTheme="minorHAnsi" w:hAnsiTheme="minorHAnsi"/>
          <w:sz w:val="24"/>
          <w:szCs w:val="24"/>
        </w:rPr>
        <w:lastRenderedPageBreak/>
        <w:t>“</w:t>
      </w:r>
      <w:r w:rsidR="00083956" w:rsidRPr="00083956">
        <w:rPr>
          <w:rFonts w:asciiTheme="minorHAnsi" w:hAnsiTheme="minorHAnsi"/>
          <w:sz w:val="24"/>
          <w:szCs w:val="24"/>
        </w:rPr>
        <w:t>Personified</w:t>
      </w:r>
      <w:r w:rsidRPr="00083956">
        <w:rPr>
          <w:rFonts w:asciiTheme="minorHAnsi" w:hAnsiTheme="minorHAnsi"/>
          <w:sz w:val="24"/>
          <w:szCs w:val="24"/>
        </w:rPr>
        <w:t xml:space="preserve"> wisdom is seen as the agent of divine activity in the world, and eventually as participating in the divine nature itself. This prepares for the Christian understanding of the doctrine of the Trinity”</w:t>
      </w:r>
      <w:ins w:id="54" w:author="Catrin Williams" w:date="2013-04-09T12:49:00Z">
        <w:r w:rsidR="00CB2E51">
          <w:rPr>
            <w:rFonts w:asciiTheme="minorHAnsi" w:hAnsiTheme="minorHAnsi"/>
            <w:sz w:val="24"/>
            <w:szCs w:val="24"/>
          </w:rPr>
          <w:t>.</w:t>
        </w:r>
      </w:ins>
      <w:r w:rsidRPr="00083956">
        <w:rPr>
          <w:rFonts w:asciiTheme="minorHAnsi" w:hAnsiTheme="minorHAnsi"/>
          <w:sz w:val="24"/>
          <w:szCs w:val="24"/>
          <w:vertAlign w:val="superscript"/>
        </w:rPr>
        <w:footnoteReference w:id="27"/>
      </w:r>
      <w:ins w:id="55" w:author="Catrin Williams" w:date="2013-04-09T12:49:00Z">
        <w:r w:rsidR="00CB2E51">
          <w:rPr>
            <w:rFonts w:asciiTheme="minorHAnsi" w:hAnsiTheme="minorHAnsi"/>
            <w:sz w:val="24"/>
            <w:szCs w:val="24"/>
          </w:rPr>
          <w:t xml:space="preserve"> Some concluding sentences?</w:t>
        </w:r>
      </w:ins>
    </w:p>
    <w:p w14:paraId="642134BF" w14:textId="77777777" w:rsidR="00DE5E50" w:rsidRPr="00083956" w:rsidRDefault="00DE5E50">
      <w:pPr>
        <w:rPr>
          <w:rFonts w:asciiTheme="minorHAnsi" w:hAnsiTheme="minorHAnsi"/>
          <w:sz w:val="24"/>
          <w:szCs w:val="24"/>
        </w:rPr>
      </w:pPr>
    </w:p>
    <w:p w14:paraId="68F16192" w14:textId="77777777" w:rsidR="00083956" w:rsidRDefault="00083956" w:rsidP="00CB2E51">
      <w:pPr>
        <w:pStyle w:val="Title"/>
        <w:rPr>
          <w:rFonts w:asciiTheme="minorHAnsi" w:hAnsiTheme="minorHAnsi"/>
          <w:b/>
          <w:sz w:val="40"/>
          <w:szCs w:val="40"/>
        </w:rPr>
      </w:pPr>
      <w:bookmarkStart w:id="56" w:name="h.breg3u342j0w" w:colFirst="0" w:colLast="0"/>
      <w:bookmarkStart w:id="57" w:name="h.e958c1f537vj" w:colFirst="0" w:colLast="0"/>
      <w:bookmarkEnd w:id="56"/>
      <w:bookmarkEnd w:id="57"/>
    </w:p>
    <w:p w14:paraId="0F39043F" w14:textId="77777777" w:rsidR="00DE5E50" w:rsidRPr="00083956" w:rsidRDefault="002B3722">
      <w:pPr>
        <w:pStyle w:val="Title"/>
        <w:jc w:val="center"/>
        <w:rPr>
          <w:rFonts w:asciiTheme="minorHAnsi" w:hAnsiTheme="minorHAnsi"/>
          <w:b/>
          <w:sz w:val="40"/>
          <w:szCs w:val="40"/>
        </w:rPr>
      </w:pPr>
      <w:r w:rsidRPr="00083956">
        <w:rPr>
          <w:rFonts w:asciiTheme="minorHAnsi" w:hAnsiTheme="minorHAnsi"/>
          <w:b/>
          <w:sz w:val="40"/>
          <w:szCs w:val="40"/>
        </w:rPr>
        <w:t>Bibliography</w:t>
      </w:r>
    </w:p>
    <w:p w14:paraId="19648F13" w14:textId="77777777" w:rsidR="00DE5E50" w:rsidRPr="00083956" w:rsidRDefault="00DE5E50">
      <w:pPr>
        <w:rPr>
          <w:rFonts w:asciiTheme="minorHAnsi" w:hAnsiTheme="minorHAnsi"/>
          <w:sz w:val="24"/>
          <w:szCs w:val="24"/>
        </w:rPr>
      </w:pPr>
    </w:p>
    <w:p w14:paraId="41D1897E" w14:textId="77777777" w:rsidR="00DE5E50" w:rsidRPr="00083956" w:rsidRDefault="002B3722">
      <w:pPr>
        <w:rPr>
          <w:rFonts w:asciiTheme="minorHAnsi" w:hAnsiTheme="minorHAnsi"/>
          <w:sz w:val="24"/>
          <w:szCs w:val="24"/>
        </w:rPr>
      </w:pPr>
      <w:r w:rsidRPr="00083956">
        <w:rPr>
          <w:rFonts w:asciiTheme="minorHAnsi" w:hAnsiTheme="minorHAnsi"/>
          <w:sz w:val="24"/>
          <w:szCs w:val="24"/>
        </w:rPr>
        <w:t>Aitken</w:t>
      </w:r>
      <w:r w:rsidR="00B829C9">
        <w:rPr>
          <w:rFonts w:asciiTheme="minorHAnsi" w:hAnsiTheme="minorHAnsi"/>
          <w:sz w:val="24"/>
          <w:szCs w:val="24"/>
        </w:rPr>
        <w:t>,</w:t>
      </w:r>
      <w:r w:rsidRPr="00083956">
        <w:rPr>
          <w:rFonts w:asciiTheme="minorHAnsi" w:hAnsiTheme="minorHAnsi"/>
          <w:sz w:val="24"/>
          <w:szCs w:val="24"/>
        </w:rPr>
        <w:t xml:space="preserve"> K. T</w:t>
      </w:r>
      <w:r w:rsidR="00B829C9">
        <w:rPr>
          <w:rFonts w:asciiTheme="minorHAnsi" w:hAnsiTheme="minorHAnsi"/>
          <w:sz w:val="24"/>
          <w:szCs w:val="24"/>
        </w:rPr>
        <w:t>.</w:t>
      </w:r>
      <w:r w:rsidRPr="00083956">
        <w:rPr>
          <w:rFonts w:asciiTheme="minorHAnsi" w:hAnsiTheme="minorHAnsi"/>
          <w:sz w:val="24"/>
          <w:szCs w:val="24"/>
        </w:rPr>
        <w:t xml:space="preserve">, ‘Proverbs’, in </w:t>
      </w:r>
      <w:r w:rsidRPr="00083956">
        <w:rPr>
          <w:rFonts w:asciiTheme="minorHAnsi" w:hAnsiTheme="minorHAnsi"/>
          <w:i/>
          <w:sz w:val="24"/>
          <w:szCs w:val="24"/>
        </w:rPr>
        <w:t xml:space="preserve">The Oxford Bible Commentary, </w:t>
      </w:r>
      <w:r w:rsidRPr="00083956">
        <w:rPr>
          <w:rFonts w:asciiTheme="minorHAnsi" w:hAnsiTheme="minorHAnsi"/>
          <w:sz w:val="24"/>
          <w:szCs w:val="24"/>
        </w:rPr>
        <w:t xml:space="preserve">ed. by John Barton and John </w:t>
      </w:r>
      <w:proofErr w:type="spellStart"/>
      <w:r w:rsidRPr="00083956">
        <w:rPr>
          <w:rFonts w:asciiTheme="minorHAnsi" w:hAnsiTheme="minorHAnsi"/>
          <w:sz w:val="24"/>
          <w:szCs w:val="24"/>
        </w:rPr>
        <w:t>Muddiman</w:t>
      </w:r>
      <w:proofErr w:type="spellEnd"/>
      <w:r w:rsidRPr="00083956">
        <w:rPr>
          <w:rFonts w:asciiTheme="minorHAnsi" w:hAnsiTheme="minorHAnsi"/>
          <w:sz w:val="24"/>
          <w:szCs w:val="24"/>
        </w:rPr>
        <w:t xml:space="preserve"> (Oxford: Oxford University Press, 2001)</w:t>
      </w:r>
      <w:ins w:id="58" w:author="Catrin Williams" w:date="2013-04-09T12:50:00Z">
        <w:r w:rsidR="00CB2E51">
          <w:rPr>
            <w:rFonts w:asciiTheme="minorHAnsi" w:hAnsiTheme="minorHAnsi"/>
            <w:sz w:val="24"/>
            <w:szCs w:val="24"/>
          </w:rPr>
          <w:t>, pages also required.</w:t>
        </w:r>
      </w:ins>
    </w:p>
    <w:p w14:paraId="1E948C74" w14:textId="77777777" w:rsidR="00DE5E50" w:rsidRPr="00083956" w:rsidRDefault="00DE5E50">
      <w:pPr>
        <w:rPr>
          <w:rFonts w:asciiTheme="minorHAnsi" w:hAnsiTheme="minorHAnsi"/>
          <w:sz w:val="24"/>
          <w:szCs w:val="24"/>
        </w:rPr>
      </w:pPr>
    </w:p>
    <w:p w14:paraId="43DD0446" w14:textId="77777777" w:rsidR="00DE5E50" w:rsidRPr="00083956" w:rsidRDefault="002B3722">
      <w:pPr>
        <w:rPr>
          <w:rFonts w:asciiTheme="minorHAnsi" w:hAnsiTheme="minorHAnsi"/>
          <w:sz w:val="24"/>
          <w:szCs w:val="24"/>
        </w:rPr>
      </w:pPr>
      <w:proofErr w:type="spellStart"/>
      <w:r w:rsidRPr="00083956">
        <w:rPr>
          <w:rFonts w:asciiTheme="minorHAnsi" w:hAnsiTheme="minorHAnsi"/>
          <w:sz w:val="24"/>
          <w:szCs w:val="24"/>
        </w:rPr>
        <w:t>Bellis</w:t>
      </w:r>
      <w:proofErr w:type="spellEnd"/>
      <w:r w:rsidR="00B829C9">
        <w:rPr>
          <w:rFonts w:asciiTheme="minorHAnsi" w:hAnsiTheme="minorHAnsi"/>
          <w:sz w:val="24"/>
          <w:szCs w:val="24"/>
        </w:rPr>
        <w:t>,</w:t>
      </w:r>
      <w:r w:rsidRPr="00083956">
        <w:rPr>
          <w:rFonts w:asciiTheme="minorHAnsi" w:hAnsiTheme="minorHAnsi"/>
          <w:sz w:val="24"/>
          <w:szCs w:val="24"/>
        </w:rPr>
        <w:t xml:space="preserve"> Alice Ogden, </w:t>
      </w:r>
      <w:r w:rsidRPr="00083956">
        <w:rPr>
          <w:rFonts w:asciiTheme="minorHAnsi" w:hAnsiTheme="minorHAnsi"/>
          <w:i/>
          <w:sz w:val="24"/>
          <w:szCs w:val="24"/>
        </w:rPr>
        <w:t xml:space="preserve">Helpmates, Harlots, and Heroes </w:t>
      </w:r>
      <w:r w:rsidRPr="00083956">
        <w:rPr>
          <w:rFonts w:asciiTheme="minorHAnsi" w:hAnsiTheme="minorHAnsi"/>
          <w:sz w:val="24"/>
          <w:szCs w:val="24"/>
        </w:rPr>
        <w:t>(Westminster: John Knox Press, 1994)</w:t>
      </w:r>
      <w:ins w:id="59" w:author="Catrin Williams" w:date="2013-04-09T12:50:00Z">
        <w:r w:rsidR="00CB2E51">
          <w:rPr>
            <w:rFonts w:asciiTheme="minorHAnsi" w:hAnsiTheme="minorHAnsi"/>
            <w:sz w:val="24"/>
            <w:szCs w:val="24"/>
          </w:rPr>
          <w:t>.</w:t>
        </w:r>
      </w:ins>
    </w:p>
    <w:p w14:paraId="10F9CBDF" w14:textId="77777777" w:rsidR="00DE5E50" w:rsidRPr="00083956" w:rsidRDefault="00DE5E50">
      <w:pPr>
        <w:rPr>
          <w:rFonts w:asciiTheme="minorHAnsi" w:hAnsiTheme="minorHAnsi"/>
          <w:sz w:val="24"/>
          <w:szCs w:val="24"/>
        </w:rPr>
      </w:pPr>
    </w:p>
    <w:p w14:paraId="5A0EE6B4" w14:textId="77777777" w:rsidR="00DE5E50" w:rsidRPr="00083956" w:rsidRDefault="002B3722">
      <w:pPr>
        <w:rPr>
          <w:rFonts w:asciiTheme="minorHAnsi" w:hAnsiTheme="minorHAnsi"/>
          <w:sz w:val="24"/>
          <w:szCs w:val="24"/>
        </w:rPr>
      </w:pPr>
      <w:r w:rsidRPr="00083956">
        <w:rPr>
          <w:rFonts w:asciiTheme="minorHAnsi" w:hAnsiTheme="minorHAnsi"/>
          <w:sz w:val="24"/>
          <w:szCs w:val="24"/>
        </w:rPr>
        <w:t>Brenner</w:t>
      </w:r>
      <w:r w:rsidR="00B829C9">
        <w:rPr>
          <w:rFonts w:asciiTheme="minorHAnsi" w:hAnsiTheme="minorHAnsi"/>
          <w:sz w:val="24"/>
          <w:szCs w:val="24"/>
        </w:rPr>
        <w:t>,</w:t>
      </w:r>
      <w:r w:rsidRPr="00083956">
        <w:rPr>
          <w:rFonts w:asciiTheme="minorHAnsi" w:hAnsiTheme="minorHAnsi"/>
          <w:sz w:val="24"/>
          <w:szCs w:val="24"/>
        </w:rPr>
        <w:t xml:space="preserve"> </w:t>
      </w:r>
      <w:proofErr w:type="spellStart"/>
      <w:r w:rsidRPr="00083956">
        <w:rPr>
          <w:rFonts w:asciiTheme="minorHAnsi" w:hAnsiTheme="minorHAnsi"/>
          <w:sz w:val="24"/>
          <w:szCs w:val="24"/>
        </w:rPr>
        <w:t>Athalya</w:t>
      </w:r>
      <w:proofErr w:type="spellEnd"/>
      <w:r w:rsidRPr="00083956">
        <w:rPr>
          <w:rFonts w:asciiTheme="minorHAnsi" w:hAnsiTheme="minorHAnsi"/>
          <w:sz w:val="24"/>
          <w:szCs w:val="24"/>
        </w:rPr>
        <w:t xml:space="preserve">, ‘Some Observations on the Figuration of Women in Wisdom Literature’, in </w:t>
      </w:r>
      <w:r w:rsidRPr="00083956">
        <w:rPr>
          <w:rFonts w:asciiTheme="minorHAnsi" w:hAnsiTheme="minorHAnsi"/>
          <w:i/>
          <w:sz w:val="24"/>
          <w:szCs w:val="24"/>
        </w:rPr>
        <w:t xml:space="preserve">Feminist Companion to Wisdom Literature, </w:t>
      </w:r>
      <w:r w:rsidRPr="00083956">
        <w:rPr>
          <w:rFonts w:asciiTheme="minorHAnsi" w:hAnsiTheme="minorHAnsi"/>
          <w:sz w:val="24"/>
          <w:szCs w:val="24"/>
        </w:rPr>
        <w:t xml:space="preserve">ed. by </w:t>
      </w:r>
      <w:proofErr w:type="spellStart"/>
      <w:r w:rsidRPr="00083956">
        <w:rPr>
          <w:rFonts w:asciiTheme="minorHAnsi" w:hAnsiTheme="minorHAnsi"/>
          <w:sz w:val="24"/>
          <w:szCs w:val="24"/>
        </w:rPr>
        <w:t>Athalya</w:t>
      </w:r>
      <w:proofErr w:type="spellEnd"/>
      <w:r w:rsidRPr="00083956">
        <w:rPr>
          <w:rFonts w:asciiTheme="minorHAnsi" w:hAnsiTheme="minorHAnsi"/>
          <w:sz w:val="24"/>
          <w:szCs w:val="24"/>
        </w:rPr>
        <w:t xml:space="preserve"> Brenner (Sheffield: Sheffield Academic Press, 1995)</w:t>
      </w:r>
      <w:ins w:id="60" w:author="Catrin Williams" w:date="2013-04-09T12:50:00Z">
        <w:r w:rsidR="00CB2E51">
          <w:rPr>
            <w:rFonts w:asciiTheme="minorHAnsi" w:hAnsiTheme="minorHAnsi"/>
            <w:sz w:val="24"/>
            <w:szCs w:val="24"/>
          </w:rPr>
          <w:t xml:space="preserve">. Pages? Again, as in footnotes, a full stop </w:t>
        </w:r>
      </w:ins>
      <w:r w:rsidR="002F6FFF">
        <w:rPr>
          <w:rFonts w:asciiTheme="minorHAnsi" w:hAnsiTheme="minorHAnsi"/>
          <w:sz w:val="24"/>
          <w:szCs w:val="24"/>
        </w:rPr>
        <w:t xml:space="preserve">is </w:t>
      </w:r>
      <w:ins w:id="61" w:author="Catrin Williams" w:date="2013-04-09T12:50:00Z">
        <w:r w:rsidR="00CB2E51">
          <w:rPr>
            <w:rFonts w:asciiTheme="minorHAnsi" w:hAnsiTheme="minorHAnsi"/>
            <w:sz w:val="24"/>
            <w:szCs w:val="24"/>
          </w:rPr>
          <w:t>required at the end.</w:t>
        </w:r>
      </w:ins>
    </w:p>
    <w:p w14:paraId="08B5662E" w14:textId="77777777" w:rsidR="00DE5E50" w:rsidRPr="00083956" w:rsidRDefault="00DE5E50">
      <w:pPr>
        <w:rPr>
          <w:rFonts w:asciiTheme="minorHAnsi" w:hAnsiTheme="minorHAnsi"/>
          <w:sz w:val="24"/>
          <w:szCs w:val="24"/>
        </w:rPr>
      </w:pPr>
    </w:p>
    <w:p w14:paraId="321D9D92" w14:textId="77777777" w:rsidR="00DE5E50" w:rsidRPr="00083956" w:rsidRDefault="002B3722">
      <w:pPr>
        <w:rPr>
          <w:rFonts w:asciiTheme="minorHAnsi" w:hAnsiTheme="minorHAnsi"/>
          <w:sz w:val="24"/>
          <w:szCs w:val="24"/>
        </w:rPr>
      </w:pPr>
      <w:r w:rsidRPr="00083956">
        <w:rPr>
          <w:rFonts w:asciiTheme="minorHAnsi" w:hAnsiTheme="minorHAnsi"/>
          <w:sz w:val="24"/>
          <w:szCs w:val="24"/>
        </w:rPr>
        <w:t>Crawford</w:t>
      </w:r>
      <w:r w:rsidR="00B829C9">
        <w:rPr>
          <w:rFonts w:asciiTheme="minorHAnsi" w:hAnsiTheme="minorHAnsi"/>
          <w:sz w:val="24"/>
          <w:szCs w:val="24"/>
        </w:rPr>
        <w:t>,</w:t>
      </w:r>
      <w:r w:rsidRPr="00083956">
        <w:rPr>
          <w:rFonts w:asciiTheme="minorHAnsi" w:hAnsiTheme="minorHAnsi"/>
          <w:sz w:val="24"/>
          <w:szCs w:val="24"/>
        </w:rPr>
        <w:t xml:space="preserve"> </w:t>
      </w:r>
      <w:proofErr w:type="spellStart"/>
      <w:r w:rsidRPr="00083956">
        <w:rPr>
          <w:rFonts w:asciiTheme="minorHAnsi" w:hAnsiTheme="minorHAnsi"/>
          <w:sz w:val="24"/>
          <w:szCs w:val="24"/>
        </w:rPr>
        <w:t>Sidnie</w:t>
      </w:r>
      <w:proofErr w:type="spellEnd"/>
      <w:r w:rsidRPr="00083956">
        <w:rPr>
          <w:rFonts w:asciiTheme="minorHAnsi" w:hAnsiTheme="minorHAnsi"/>
          <w:sz w:val="24"/>
          <w:szCs w:val="24"/>
        </w:rPr>
        <w:t xml:space="preserve"> White, ‘Lady Wisdom and Dame Folly at Qumran’, </w:t>
      </w:r>
      <w:r w:rsidRPr="00083956">
        <w:rPr>
          <w:rFonts w:asciiTheme="minorHAnsi" w:hAnsiTheme="minorHAnsi"/>
          <w:i/>
          <w:sz w:val="24"/>
          <w:szCs w:val="24"/>
        </w:rPr>
        <w:t>Dead Sea Discoveries,</w:t>
      </w:r>
      <w:r w:rsidRPr="00083956">
        <w:rPr>
          <w:rFonts w:asciiTheme="minorHAnsi" w:hAnsiTheme="minorHAnsi"/>
          <w:sz w:val="24"/>
          <w:szCs w:val="24"/>
        </w:rPr>
        <w:t xml:space="preserve"> 5, No. 3 (1998), 205-217</w:t>
      </w:r>
      <w:r w:rsidR="005D3FC7">
        <w:rPr>
          <w:rFonts w:asciiTheme="minorHAnsi" w:hAnsiTheme="minorHAnsi"/>
          <w:sz w:val="24"/>
          <w:szCs w:val="24"/>
        </w:rPr>
        <w:t>.</w:t>
      </w:r>
    </w:p>
    <w:p w14:paraId="3532BFFC" w14:textId="77777777" w:rsidR="00DE5E50" w:rsidRPr="00083956" w:rsidRDefault="00DE5E50">
      <w:pPr>
        <w:rPr>
          <w:rFonts w:asciiTheme="minorHAnsi" w:hAnsiTheme="minorHAnsi"/>
          <w:sz w:val="24"/>
          <w:szCs w:val="24"/>
        </w:rPr>
      </w:pPr>
    </w:p>
    <w:p w14:paraId="76FBE722" w14:textId="77777777" w:rsidR="00DE5E50" w:rsidRPr="00083956" w:rsidRDefault="002B3722">
      <w:pPr>
        <w:rPr>
          <w:rFonts w:asciiTheme="minorHAnsi" w:hAnsiTheme="minorHAnsi"/>
          <w:sz w:val="24"/>
          <w:szCs w:val="24"/>
        </w:rPr>
      </w:pPr>
      <w:r w:rsidRPr="00083956">
        <w:rPr>
          <w:rFonts w:asciiTheme="minorHAnsi" w:hAnsiTheme="minorHAnsi"/>
          <w:sz w:val="24"/>
          <w:szCs w:val="24"/>
        </w:rPr>
        <w:t>Fontaine</w:t>
      </w:r>
      <w:r w:rsidR="00B829C9">
        <w:rPr>
          <w:rFonts w:asciiTheme="minorHAnsi" w:hAnsiTheme="minorHAnsi"/>
          <w:sz w:val="24"/>
          <w:szCs w:val="24"/>
        </w:rPr>
        <w:t>,</w:t>
      </w:r>
      <w:r w:rsidRPr="00083956">
        <w:rPr>
          <w:rFonts w:asciiTheme="minorHAnsi" w:hAnsiTheme="minorHAnsi"/>
          <w:sz w:val="24"/>
          <w:szCs w:val="24"/>
        </w:rPr>
        <w:t xml:space="preserve"> Carol, ‘Proverbs’, in </w:t>
      </w:r>
      <w:r w:rsidRPr="00083956">
        <w:rPr>
          <w:rFonts w:asciiTheme="minorHAnsi" w:hAnsiTheme="minorHAnsi"/>
          <w:i/>
          <w:sz w:val="24"/>
          <w:szCs w:val="24"/>
        </w:rPr>
        <w:t xml:space="preserve">The Woman’s Bible Commentary, </w:t>
      </w:r>
      <w:r w:rsidRPr="00083956">
        <w:rPr>
          <w:rFonts w:asciiTheme="minorHAnsi" w:hAnsiTheme="minorHAnsi"/>
          <w:sz w:val="24"/>
          <w:szCs w:val="24"/>
        </w:rPr>
        <w:t xml:space="preserve">ed. by Carol Newsom and Sharon </w:t>
      </w:r>
      <w:proofErr w:type="spellStart"/>
      <w:r w:rsidRPr="00083956">
        <w:rPr>
          <w:rFonts w:asciiTheme="minorHAnsi" w:hAnsiTheme="minorHAnsi"/>
          <w:sz w:val="24"/>
          <w:szCs w:val="24"/>
        </w:rPr>
        <w:t>Ringe</w:t>
      </w:r>
      <w:proofErr w:type="spellEnd"/>
      <w:r w:rsidRPr="00083956">
        <w:rPr>
          <w:rFonts w:asciiTheme="minorHAnsi" w:hAnsiTheme="minorHAnsi"/>
          <w:sz w:val="24"/>
          <w:szCs w:val="24"/>
        </w:rPr>
        <w:t xml:space="preserve"> (London: SPCK, 1992)</w:t>
      </w:r>
      <w:ins w:id="62" w:author="Catrin Williams" w:date="2013-04-09T12:52:00Z">
        <w:r w:rsidR="002F6FFF">
          <w:rPr>
            <w:rFonts w:asciiTheme="minorHAnsi" w:hAnsiTheme="minorHAnsi"/>
            <w:sz w:val="24"/>
            <w:szCs w:val="24"/>
          </w:rPr>
          <w:t>, pages?</w:t>
        </w:r>
      </w:ins>
    </w:p>
    <w:p w14:paraId="38DEF338" w14:textId="77777777" w:rsidR="00DE5E50" w:rsidRPr="00083956" w:rsidRDefault="00DE5E50">
      <w:pPr>
        <w:rPr>
          <w:rFonts w:asciiTheme="minorHAnsi" w:hAnsiTheme="minorHAnsi"/>
          <w:sz w:val="24"/>
          <w:szCs w:val="24"/>
        </w:rPr>
      </w:pPr>
    </w:p>
    <w:p w14:paraId="5C258C86" w14:textId="77777777" w:rsidR="00DE5E50" w:rsidRPr="00083956" w:rsidRDefault="002B3722">
      <w:pPr>
        <w:rPr>
          <w:rFonts w:asciiTheme="minorHAnsi" w:hAnsiTheme="minorHAnsi"/>
          <w:sz w:val="24"/>
          <w:szCs w:val="24"/>
        </w:rPr>
      </w:pPr>
      <w:r w:rsidRPr="00083956">
        <w:rPr>
          <w:rFonts w:asciiTheme="minorHAnsi" w:hAnsiTheme="minorHAnsi"/>
          <w:sz w:val="24"/>
          <w:szCs w:val="24"/>
        </w:rPr>
        <w:t>McGuire</w:t>
      </w:r>
      <w:r w:rsidR="00B829C9">
        <w:rPr>
          <w:rFonts w:asciiTheme="minorHAnsi" w:hAnsiTheme="minorHAnsi"/>
          <w:sz w:val="24"/>
          <w:szCs w:val="24"/>
        </w:rPr>
        <w:t>,</w:t>
      </w:r>
      <w:r w:rsidRPr="00083956">
        <w:rPr>
          <w:rFonts w:asciiTheme="minorHAnsi" w:hAnsiTheme="minorHAnsi"/>
          <w:sz w:val="24"/>
          <w:szCs w:val="24"/>
        </w:rPr>
        <w:t xml:space="preserve"> Anne, ‘Woman Wisdom in the New Testament’, in </w:t>
      </w:r>
      <w:r w:rsidRPr="00083956">
        <w:rPr>
          <w:rFonts w:asciiTheme="minorHAnsi" w:hAnsiTheme="minorHAnsi"/>
          <w:i/>
          <w:sz w:val="24"/>
          <w:szCs w:val="24"/>
        </w:rPr>
        <w:t>Women in Scripture: A Dictionary of Named and Unnamed Women in the Hebrew Bible,</w:t>
      </w:r>
      <w:r w:rsidRPr="00083956">
        <w:rPr>
          <w:rFonts w:asciiTheme="minorHAnsi" w:hAnsiTheme="minorHAnsi"/>
          <w:sz w:val="24"/>
          <w:szCs w:val="24"/>
        </w:rPr>
        <w:t xml:space="preserve"> ed. by Carol Meyers, Toni Craven, and S. Kraemer (Michigan: Wm. B. </w:t>
      </w:r>
      <w:proofErr w:type="spellStart"/>
      <w:r w:rsidRPr="00083956">
        <w:rPr>
          <w:rFonts w:asciiTheme="minorHAnsi" w:hAnsiTheme="minorHAnsi"/>
          <w:sz w:val="24"/>
          <w:szCs w:val="24"/>
        </w:rPr>
        <w:t>Eerdman’s</w:t>
      </w:r>
      <w:proofErr w:type="spellEnd"/>
      <w:r w:rsidRPr="00083956">
        <w:rPr>
          <w:rFonts w:asciiTheme="minorHAnsi" w:hAnsiTheme="minorHAnsi"/>
          <w:sz w:val="24"/>
          <w:szCs w:val="24"/>
        </w:rPr>
        <w:t xml:space="preserve"> Publishing Co, 2001)</w:t>
      </w:r>
      <w:r w:rsidR="005D3FC7">
        <w:rPr>
          <w:rFonts w:asciiTheme="minorHAnsi" w:hAnsiTheme="minorHAnsi"/>
          <w:sz w:val="24"/>
          <w:szCs w:val="24"/>
        </w:rPr>
        <w:t>.</w:t>
      </w:r>
    </w:p>
    <w:p w14:paraId="278CE113" w14:textId="77777777" w:rsidR="00DE5E50" w:rsidRPr="00083956" w:rsidRDefault="00DE5E50">
      <w:pPr>
        <w:rPr>
          <w:rFonts w:asciiTheme="minorHAnsi" w:hAnsiTheme="minorHAnsi"/>
          <w:sz w:val="24"/>
          <w:szCs w:val="24"/>
        </w:rPr>
      </w:pPr>
    </w:p>
    <w:p w14:paraId="62A35B0F" w14:textId="77777777" w:rsidR="00DE5E50" w:rsidRPr="00083956" w:rsidRDefault="002B3722">
      <w:pPr>
        <w:rPr>
          <w:rFonts w:asciiTheme="minorHAnsi" w:hAnsiTheme="minorHAnsi"/>
          <w:sz w:val="24"/>
          <w:szCs w:val="24"/>
        </w:rPr>
      </w:pPr>
      <w:proofErr w:type="spellStart"/>
      <w:r w:rsidRPr="00083956">
        <w:rPr>
          <w:rFonts w:asciiTheme="minorHAnsi" w:hAnsiTheme="minorHAnsi"/>
          <w:sz w:val="24"/>
          <w:szCs w:val="24"/>
        </w:rPr>
        <w:t>Schuller</w:t>
      </w:r>
      <w:proofErr w:type="spellEnd"/>
      <w:r w:rsidR="00B829C9">
        <w:rPr>
          <w:rFonts w:asciiTheme="minorHAnsi" w:hAnsiTheme="minorHAnsi"/>
          <w:sz w:val="24"/>
          <w:szCs w:val="24"/>
        </w:rPr>
        <w:t>,</w:t>
      </w:r>
      <w:r w:rsidRPr="00083956">
        <w:rPr>
          <w:rFonts w:asciiTheme="minorHAnsi" w:hAnsiTheme="minorHAnsi"/>
          <w:sz w:val="24"/>
          <w:szCs w:val="24"/>
        </w:rPr>
        <w:t xml:space="preserve"> Eileen, ‘The Apocrypha’, in </w:t>
      </w:r>
      <w:r w:rsidRPr="00083956">
        <w:rPr>
          <w:rFonts w:asciiTheme="minorHAnsi" w:hAnsiTheme="minorHAnsi"/>
          <w:i/>
          <w:sz w:val="24"/>
          <w:szCs w:val="24"/>
        </w:rPr>
        <w:t xml:space="preserve">The Woman’s Bible Commentary, </w:t>
      </w:r>
      <w:r w:rsidRPr="00083956">
        <w:rPr>
          <w:rFonts w:asciiTheme="minorHAnsi" w:hAnsiTheme="minorHAnsi"/>
          <w:sz w:val="24"/>
          <w:szCs w:val="24"/>
        </w:rPr>
        <w:t xml:space="preserve">ed. by Carol Newsom and Sharon </w:t>
      </w:r>
      <w:proofErr w:type="spellStart"/>
      <w:r w:rsidRPr="00083956">
        <w:rPr>
          <w:rFonts w:asciiTheme="minorHAnsi" w:hAnsiTheme="minorHAnsi"/>
          <w:sz w:val="24"/>
          <w:szCs w:val="24"/>
        </w:rPr>
        <w:t>Ringe</w:t>
      </w:r>
      <w:proofErr w:type="spellEnd"/>
      <w:r w:rsidRPr="00083956">
        <w:rPr>
          <w:rFonts w:asciiTheme="minorHAnsi" w:hAnsiTheme="minorHAnsi"/>
          <w:sz w:val="24"/>
          <w:szCs w:val="24"/>
        </w:rPr>
        <w:t xml:space="preserve"> (London: SPCK, 1992)</w:t>
      </w:r>
      <w:r w:rsidR="005D3FC7">
        <w:rPr>
          <w:rFonts w:asciiTheme="minorHAnsi" w:hAnsiTheme="minorHAnsi"/>
          <w:sz w:val="24"/>
          <w:szCs w:val="24"/>
        </w:rPr>
        <w:t>.</w:t>
      </w:r>
    </w:p>
    <w:p w14:paraId="2FE94164" w14:textId="77777777" w:rsidR="00DE5E50" w:rsidRPr="00083956" w:rsidRDefault="00DE5E50">
      <w:pPr>
        <w:rPr>
          <w:rFonts w:asciiTheme="minorHAnsi" w:hAnsiTheme="minorHAnsi"/>
          <w:sz w:val="24"/>
          <w:szCs w:val="24"/>
        </w:rPr>
      </w:pPr>
    </w:p>
    <w:p w14:paraId="227E653C" w14:textId="77777777" w:rsidR="00DE5E50" w:rsidRPr="00083956" w:rsidRDefault="002B3722">
      <w:pPr>
        <w:rPr>
          <w:rFonts w:asciiTheme="minorHAnsi" w:hAnsiTheme="minorHAnsi"/>
          <w:sz w:val="24"/>
          <w:szCs w:val="24"/>
        </w:rPr>
      </w:pPr>
      <w:r w:rsidRPr="00083956">
        <w:rPr>
          <w:rFonts w:asciiTheme="minorHAnsi" w:hAnsiTheme="minorHAnsi"/>
          <w:i/>
          <w:sz w:val="24"/>
          <w:szCs w:val="24"/>
        </w:rPr>
        <w:t xml:space="preserve">The New Jerusalem Bible: Reader’s Edition </w:t>
      </w:r>
      <w:r w:rsidRPr="00083956">
        <w:rPr>
          <w:rFonts w:asciiTheme="minorHAnsi" w:hAnsiTheme="minorHAnsi"/>
          <w:sz w:val="24"/>
          <w:szCs w:val="24"/>
        </w:rPr>
        <w:t xml:space="preserve">(London: </w:t>
      </w:r>
      <w:proofErr w:type="spellStart"/>
      <w:r w:rsidRPr="00083956">
        <w:rPr>
          <w:rFonts w:asciiTheme="minorHAnsi" w:hAnsiTheme="minorHAnsi"/>
          <w:sz w:val="24"/>
          <w:szCs w:val="24"/>
        </w:rPr>
        <w:t>Darton</w:t>
      </w:r>
      <w:proofErr w:type="spellEnd"/>
      <w:r w:rsidRPr="00083956">
        <w:rPr>
          <w:rFonts w:asciiTheme="minorHAnsi" w:hAnsiTheme="minorHAnsi"/>
          <w:sz w:val="24"/>
          <w:szCs w:val="24"/>
        </w:rPr>
        <w:t>, Longman and Todd Ltd, 1990)</w:t>
      </w:r>
      <w:r w:rsidR="00B829C9">
        <w:rPr>
          <w:rFonts w:asciiTheme="minorHAnsi" w:hAnsiTheme="minorHAnsi"/>
          <w:i/>
          <w:sz w:val="24"/>
          <w:szCs w:val="24"/>
        </w:rPr>
        <w:t>.</w:t>
      </w:r>
    </w:p>
    <w:p w14:paraId="65FE6258" w14:textId="77777777" w:rsidR="00DE5E50" w:rsidRPr="00083956" w:rsidRDefault="00DE5E50">
      <w:pPr>
        <w:rPr>
          <w:rFonts w:asciiTheme="minorHAnsi" w:hAnsiTheme="minorHAnsi"/>
          <w:sz w:val="24"/>
          <w:szCs w:val="24"/>
        </w:rPr>
      </w:pPr>
    </w:p>
    <w:p w14:paraId="6B0FC8F8" w14:textId="77777777" w:rsidR="00DE5E50" w:rsidRPr="00083956" w:rsidRDefault="002B3722">
      <w:pPr>
        <w:rPr>
          <w:rFonts w:asciiTheme="minorHAnsi" w:hAnsiTheme="minorHAnsi"/>
          <w:sz w:val="24"/>
          <w:szCs w:val="24"/>
        </w:rPr>
      </w:pPr>
      <w:r w:rsidRPr="00083956">
        <w:rPr>
          <w:rFonts w:asciiTheme="minorHAnsi" w:hAnsiTheme="minorHAnsi"/>
          <w:sz w:val="24"/>
          <w:szCs w:val="24"/>
        </w:rPr>
        <w:t>Van Camp</w:t>
      </w:r>
      <w:r w:rsidR="00B829C9">
        <w:rPr>
          <w:rFonts w:asciiTheme="minorHAnsi" w:hAnsiTheme="minorHAnsi"/>
          <w:sz w:val="24"/>
          <w:szCs w:val="24"/>
        </w:rPr>
        <w:t>,</w:t>
      </w:r>
      <w:r w:rsidRPr="00083956">
        <w:rPr>
          <w:rFonts w:asciiTheme="minorHAnsi" w:hAnsiTheme="minorHAnsi"/>
          <w:sz w:val="24"/>
          <w:szCs w:val="24"/>
        </w:rPr>
        <w:t xml:space="preserve"> Claudia, ‘Woman Wisdom in the Hebrew Bible’, in </w:t>
      </w:r>
      <w:r w:rsidRPr="00083956">
        <w:rPr>
          <w:rFonts w:asciiTheme="minorHAnsi" w:hAnsiTheme="minorHAnsi"/>
          <w:i/>
          <w:sz w:val="24"/>
          <w:szCs w:val="24"/>
        </w:rPr>
        <w:t>Women in Scripture: A Dictionary of Named and Unnamed Women in the Hebrew Bible,</w:t>
      </w:r>
      <w:r w:rsidRPr="00083956">
        <w:rPr>
          <w:rFonts w:asciiTheme="minorHAnsi" w:hAnsiTheme="minorHAnsi"/>
          <w:sz w:val="24"/>
          <w:szCs w:val="24"/>
        </w:rPr>
        <w:t xml:space="preserve"> ed. by Carol Meyers, Toni Craven, and S. Kraemer (Michigan: Wm. B. </w:t>
      </w:r>
      <w:proofErr w:type="spellStart"/>
      <w:r w:rsidRPr="00083956">
        <w:rPr>
          <w:rFonts w:asciiTheme="minorHAnsi" w:hAnsiTheme="minorHAnsi"/>
          <w:sz w:val="24"/>
          <w:szCs w:val="24"/>
        </w:rPr>
        <w:t>Eerdman’s</w:t>
      </w:r>
      <w:proofErr w:type="spellEnd"/>
      <w:r w:rsidRPr="00083956">
        <w:rPr>
          <w:rFonts w:asciiTheme="minorHAnsi" w:hAnsiTheme="minorHAnsi"/>
          <w:sz w:val="24"/>
          <w:szCs w:val="24"/>
        </w:rPr>
        <w:t xml:space="preserve"> Publishing Co, 2001)</w:t>
      </w:r>
      <w:r w:rsidR="00B829C9">
        <w:rPr>
          <w:rFonts w:asciiTheme="minorHAnsi" w:hAnsiTheme="minorHAnsi"/>
          <w:i/>
          <w:sz w:val="24"/>
          <w:szCs w:val="24"/>
        </w:rPr>
        <w:t>.</w:t>
      </w:r>
    </w:p>
    <w:p w14:paraId="579DCDB9" w14:textId="77777777" w:rsidR="00DE5E50" w:rsidRPr="00083956" w:rsidRDefault="00DE5E50">
      <w:pPr>
        <w:rPr>
          <w:rFonts w:asciiTheme="minorHAnsi" w:hAnsiTheme="minorHAnsi"/>
          <w:sz w:val="24"/>
          <w:szCs w:val="24"/>
        </w:rPr>
      </w:pPr>
    </w:p>
    <w:p w14:paraId="5BEA2752" w14:textId="77777777" w:rsidR="00DE5E50" w:rsidRPr="00083956" w:rsidRDefault="002B3722">
      <w:pPr>
        <w:rPr>
          <w:rFonts w:asciiTheme="minorHAnsi" w:hAnsiTheme="minorHAnsi"/>
          <w:sz w:val="24"/>
          <w:szCs w:val="24"/>
        </w:rPr>
      </w:pPr>
      <w:r w:rsidRPr="00083956">
        <w:rPr>
          <w:rFonts w:asciiTheme="minorHAnsi" w:hAnsiTheme="minorHAnsi"/>
          <w:sz w:val="24"/>
          <w:szCs w:val="24"/>
        </w:rPr>
        <w:t>Van Camp</w:t>
      </w:r>
      <w:r w:rsidR="00B829C9">
        <w:rPr>
          <w:rFonts w:asciiTheme="minorHAnsi" w:hAnsiTheme="minorHAnsi"/>
          <w:sz w:val="24"/>
          <w:szCs w:val="24"/>
        </w:rPr>
        <w:t>,</w:t>
      </w:r>
      <w:r w:rsidRPr="00083956">
        <w:rPr>
          <w:rFonts w:asciiTheme="minorHAnsi" w:hAnsiTheme="minorHAnsi"/>
          <w:sz w:val="24"/>
          <w:szCs w:val="24"/>
        </w:rPr>
        <w:t xml:space="preserve"> Claudia, ‘Woman Wisdom in the Apocryphal/Deuterocanonical Books’, in </w:t>
      </w:r>
      <w:r w:rsidRPr="00083956">
        <w:rPr>
          <w:rFonts w:asciiTheme="minorHAnsi" w:hAnsiTheme="minorHAnsi"/>
          <w:i/>
          <w:sz w:val="24"/>
          <w:szCs w:val="24"/>
        </w:rPr>
        <w:t>Women in Scripture: A Dictionary of Named and Unnamed Women in the Hebrew Bible,</w:t>
      </w:r>
      <w:r w:rsidRPr="00083956">
        <w:rPr>
          <w:rFonts w:asciiTheme="minorHAnsi" w:hAnsiTheme="minorHAnsi"/>
          <w:sz w:val="24"/>
          <w:szCs w:val="24"/>
        </w:rPr>
        <w:t xml:space="preserve"> ed. by Carol </w:t>
      </w:r>
      <w:bookmarkStart w:id="63" w:name="_GoBack"/>
      <w:bookmarkEnd w:id="63"/>
      <w:r w:rsidRPr="00083956">
        <w:rPr>
          <w:rFonts w:asciiTheme="minorHAnsi" w:hAnsiTheme="minorHAnsi"/>
          <w:sz w:val="24"/>
          <w:szCs w:val="24"/>
        </w:rPr>
        <w:t xml:space="preserve">Meyers, Toni Craven, and S. Kraemer (Michigan: Wm. B. </w:t>
      </w:r>
      <w:proofErr w:type="spellStart"/>
      <w:r w:rsidRPr="00083956">
        <w:rPr>
          <w:rFonts w:asciiTheme="minorHAnsi" w:hAnsiTheme="minorHAnsi"/>
          <w:sz w:val="24"/>
          <w:szCs w:val="24"/>
        </w:rPr>
        <w:t>Eerdman’s</w:t>
      </w:r>
      <w:proofErr w:type="spellEnd"/>
      <w:r w:rsidRPr="00083956">
        <w:rPr>
          <w:rFonts w:asciiTheme="minorHAnsi" w:hAnsiTheme="minorHAnsi"/>
          <w:sz w:val="24"/>
          <w:szCs w:val="24"/>
        </w:rPr>
        <w:t xml:space="preserve"> Publishing Co, 2001)</w:t>
      </w:r>
    </w:p>
    <w:sectPr w:rsidR="00DE5E50" w:rsidRPr="00083956" w:rsidSect="00EA01C3">
      <w:headerReference w:type="default" r:id="rId9"/>
      <w:footerReference w:type="default" r:id="rId10"/>
      <w:pgSz w:w="12240" w:h="15840"/>
      <w:pgMar w:top="1440" w:right="1440" w:bottom="1440" w:left="1440" w:header="720" w:footer="720" w:gutter="0"/>
      <w:cols w:space="72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Catrin Williams" w:date="2013-04-09T12:26:00Z" w:initials="CW">
    <w:p w14:paraId="298EE1A5" w14:textId="77777777" w:rsidR="002F6FFF" w:rsidRDefault="002F6FFF">
      <w:pPr>
        <w:pStyle w:val="CommentText"/>
      </w:pPr>
      <w:r>
        <w:rPr>
          <w:rStyle w:val="CommentReference"/>
        </w:rPr>
        <w:annotationRef/>
      </w:r>
      <w:r>
        <w:t xml:space="preserve">Although technically </w:t>
      </w:r>
      <w:proofErr w:type="spellStart"/>
      <w:r>
        <w:t>spekaing</w:t>
      </w:r>
      <w:proofErr w:type="spellEnd"/>
      <w:r>
        <w:t>, the latter two are not biblical texts but apocryphal texts.</w:t>
      </w:r>
    </w:p>
  </w:comment>
  <w:comment w:id="2" w:author="Catrin Williams" w:date="2014-11-01T20:59:00Z" w:initials="CW">
    <w:p w14:paraId="697332CF" w14:textId="77777777" w:rsidR="002F6FFF" w:rsidRDefault="002F6FFF">
      <w:pPr>
        <w:pStyle w:val="CommentText"/>
      </w:pPr>
      <w:r>
        <w:rPr>
          <w:rStyle w:val="CommentReference"/>
        </w:rPr>
        <w:annotationRef/>
      </w:r>
      <w:r w:rsidR="00187024">
        <w:t>Apposite introduction for an encyclopaedia article.</w:t>
      </w:r>
    </w:p>
  </w:comment>
  <w:comment w:id="12" w:author="Catrin Williams" w:date="2013-04-09T12:31:00Z" w:initials="CW">
    <w:p w14:paraId="03710E10" w14:textId="77777777" w:rsidR="002F6FFF" w:rsidRDefault="002F6FFF">
      <w:pPr>
        <w:pStyle w:val="CommentText"/>
      </w:pPr>
      <w:r>
        <w:rPr>
          <w:rStyle w:val="CommentReference"/>
        </w:rPr>
        <w:annotationRef/>
      </w:r>
      <w:r>
        <w:t>Explain in what sense ‘prophetic’.</w:t>
      </w:r>
    </w:p>
  </w:comment>
  <w:comment w:id="23" w:author="Catrin Williams" w:date="2013-04-09T12:35:00Z" w:initials="CW">
    <w:p w14:paraId="23352DA4" w14:textId="77777777" w:rsidR="002F6FFF" w:rsidRDefault="002F6FFF">
      <w:pPr>
        <w:pStyle w:val="CommentText"/>
      </w:pPr>
      <w:r>
        <w:rPr>
          <w:rStyle w:val="CommentReference"/>
        </w:rPr>
        <w:annotationRef/>
      </w:r>
      <w:r>
        <w:t>The same could be said of Samson’s female companions, where there are greater verbal affinities with wisdom traditions.</w:t>
      </w:r>
    </w:p>
  </w:comment>
  <w:comment w:id="24" w:author="Catrin Williams" w:date="2013-04-09T12:36:00Z" w:initials="CW">
    <w:p w14:paraId="4A24BE66" w14:textId="77777777" w:rsidR="002F6FFF" w:rsidRDefault="002F6FFF">
      <w:pPr>
        <w:pStyle w:val="CommentText"/>
      </w:pPr>
      <w:r>
        <w:rPr>
          <w:rStyle w:val="CommentReference"/>
        </w:rPr>
        <w:annotationRef/>
      </w:r>
      <w:r>
        <w:t>or source</w:t>
      </w:r>
    </w:p>
  </w:comment>
  <w:comment w:id="26" w:author="Catrin Williams" w:date="2013-04-09T12:36:00Z" w:initials="CW">
    <w:p w14:paraId="7EA93661" w14:textId="77777777" w:rsidR="002F6FFF" w:rsidRDefault="002F6FFF">
      <w:pPr>
        <w:pStyle w:val="CommentText"/>
      </w:pPr>
      <w:r>
        <w:rPr>
          <w:rStyle w:val="CommentReference"/>
        </w:rPr>
        <w:annotationRef/>
      </w:r>
      <w:r>
        <w:t>How does wisdom in Q relate to earlier traditions?</w:t>
      </w:r>
    </w:p>
  </w:comment>
  <w:comment w:id="32" w:author="Catrin Williams" w:date="2013-04-09T12:40:00Z" w:initials="CW">
    <w:p w14:paraId="3C981396" w14:textId="77777777" w:rsidR="002F6FFF" w:rsidRDefault="002F6FFF">
      <w:pPr>
        <w:pStyle w:val="CommentText"/>
      </w:pPr>
      <w:r>
        <w:rPr>
          <w:rStyle w:val="CommentReference"/>
        </w:rPr>
        <w:annotationRef/>
      </w:r>
      <w:r>
        <w:t>Footnote reference to O’Connor?</w:t>
      </w:r>
    </w:p>
  </w:comment>
  <w:comment w:id="41" w:author="Catrin Williams" w:date="2013-04-09T12:45:00Z" w:initials="CW">
    <w:p w14:paraId="31342E25" w14:textId="77777777" w:rsidR="002F6FFF" w:rsidRDefault="002F6FFF">
      <w:pPr>
        <w:pStyle w:val="CommentText"/>
      </w:pPr>
      <w:r>
        <w:rPr>
          <w:rStyle w:val="CommentReference"/>
        </w:rPr>
        <w:annotationRef/>
      </w:r>
      <w:r>
        <w:t>Is this the most appropriate word?</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98EE1A5" w15:done="0"/>
  <w15:commentEx w15:paraId="697332CF" w15:done="0"/>
  <w15:commentEx w15:paraId="03710E10" w15:done="0"/>
  <w15:commentEx w15:paraId="23352DA4" w15:done="0"/>
  <w15:commentEx w15:paraId="4A24BE66" w15:done="0"/>
  <w15:commentEx w15:paraId="7EA93661" w15:done="0"/>
  <w15:commentEx w15:paraId="3C981396" w15:done="0"/>
  <w15:commentEx w15:paraId="31342E25"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CE6151" w14:textId="77777777" w:rsidR="00A419BB" w:rsidRDefault="00A419BB">
      <w:pPr>
        <w:spacing w:line="240" w:lineRule="auto"/>
      </w:pPr>
      <w:r>
        <w:separator/>
      </w:r>
    </w:p>
  </w:endnote>
  <w:endnote w:type="continuationSeparator" w:id="0">
    <w:p w14:paraId="6AFEDB4D" w14:textId="77777777" w:rsidR="00A419BB" w:rsidRDefault="00A419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Georgia">
    <w:panose1 w:val="02040502050405020303"/>
    <w:charset w:val="00"/>
    <w:family w:val="auto"/>
    <w:pitch w:val="variable"/>
    <w:sig w:usb0="00000287" w:usb1="00000000" w:usb2="00000000" w:usb3="00000000" w:csb0="0000009F" w:csb1="00000000"/>
  </w:font>
  <w:font w:name="SimSun">
    <w:panose1 w:val="02010600030101010101"/>
    <w:charset w:val="86"/>
    <w:family w:val="auto"/>
    <w:pitch w:val="variable"/>
    <w:sig w:usb0="00000003" w:usb1="288F0000" w:usb2="00000016" w:usb3="00000000" w:csb0="00040001"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09D240" w14:textId="77777777" w:rsidR="002F6FFF" w:rsidRDefault="002F6FFF">
    <w:pPr>
      <w:pStyle w:val="Footer"/>
    </w:pPr>
    <w:r>
      <w:tab/>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E0CDD9" w14:textId="77777777" w:rsidR="00A419BB" w:rsidRDefault="00A419BB">
      <w:pPr>
        <w:spacing w:line="240" w:lineRule="auto"/>
      </w:pPr>
      <w:r>
        <w:separator/>
      </w:r>
    </w:p>
  </w:footnote>
  <w:footnote w:type="continuationSeparator" w:id="0">
    <w:p w14:paraId="58A0E7FA" w14:textId="77777777" w:rsidR="00A419BB" w:rsidRDefault="00A419BB">
      <w:pPr>
        <w:spacing w:line="240" w:lineRule="auto"/>
      </w:pPr>
      <w:r>
        <w:continuationSeparator/>
      </w:r>
    </w:p>
  </w:footnote>
  <w:footnote w:id="1">
    <w:p w14:paraId="21905EF1"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K. T. Aitken, ‘Proverbs’, in </w:t>
      </w:r>
      <w:r w:rsidRPr="00AE2976">
        <w:rPr>
          <w:rFonts w:asciiTheme="minorHAnsi" w:hAnsiTheme="minorHAnsi"/>
          <w:i/>
          <w:sz w:val="20"/>
          <w:szCs w:val="20"/>
        </w:rPr>
        <w:t xml:space="preserve">The Oxford Bible Commentary, </w:t>
      </w:r>
      <w:r w:rsidRPr="00AE2976">
        <w:rPr>
          <w:rFonts w:asciiTheme="minorHAnsi" w:hAnsiTheme="minorHAnsi"/>
          <w:sz w:val="20"/>
          <w:szCs w:val="20"/>
        </w:rPr>
        <w:t xml:space="preserve">ed. by John Barton and John </w:t>
      </w:r>
      <w:proofErr w:type="spellStart"/>
      <w:r w:rsidRPr="00AE2976">
        <w:rPr>
          <w:rFonts w:asciiTheme="minorHAnsi" w:hAnsiTheme="minorHAnsi"/>
          <w:sz w:val="20"/>
          <w:szCs w:val="20"/>
        </w:rPr>
        <w:t>Muddiman</w:t>
      </w:r>
      <w:proofErr w:type="spellEnd"/>
      <w:r w:rsidRPr="00AE2976">
        <w:rPr>
          <w:rFonts w:asciiTheme="minorHAnsi" w:hAnsiTheme="minorHAnsi"/>
          <w:sz w:val="20"/>
          <w:szCs w:val="20"/>
        </w:rPr>
        <w:t xml:space="preserve"> (Oxford: Oxford University Press, 2001), p. 406</w:t>
      </w:r>
      <w:ins w:id="3" w:author="Catrin Williams" w:date="2013-04-09T12:27:00Z">
        <w:r>
          <w:rPr>
            <w:rFonts w:asciiTheme="minorHAnsi" w:hAnsiTheme="minorHAnsi"/>
            <w:sz w:val="20"/>
            <w:szCs w:val="20"/>
          </w:rPr>
          <w:t>.</w:t>
        </w:r>
      </w:ins>
      <w:ins w:id="4" w:author="Catrin Williams" w:date="2013-04-09T12:28:00Z">
        <w:r>
          <w:rPr>
            <w:rFonts w:asciiTheme="minorHAnsi" w:hAnsiTheme="minorHAnsi"/>
            <w:sz w:val="20"/>
            <w:szCs w:val="20"/>
          </w:rPr>
          <w:t xml:space="preserve"> You need to include a full stop at the end of a footnote</w:t>
        </w:r>
      </w:ins>
      <w:ins w:id="5" w:author="Catrin Williams" w:date="2013-04-09T12:29:00Z">
        <w:r>
          <w:rPr>
            <w:rFonts w:asciiTheme="minorHAnsi" w:hAnsiTheme="minorHAnsi"/>
            <w:sz w:val="20"/>
            <w:szCs w:val="20"/>
          </w:rPr>
          <w:t>.</w:t>
        </w:r>
      </w:ins>
    </w:p>
  </w:footnote>
  <w:footnote w:id="2">
    <w:p w14:paraId="3A96F501"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Claudia</w:t>
      </w:r>
      <w:ins w:id="7" w:author="Catrin Williams" w:date="2013-04-09T12:28:00Z">
        <w:r>
          <w:rPr>
            <w:rFonts w:asciiTheme="minorHAnsi" w:hAnsiTheme="minorHAnsi"/>
            <w:sz w:val="20"/>
            <w:szCs w:val="20"/>
          </w:rPr>
          <w:t xml:space="preserve"> </w:t>
        </w:r>
      </w:ins>
      <w:r w:rsidRPr="00AE2976">
        <w:rPr>
          <w:rFonts w:asciiTheme="minorHAnsi" w:hAnsiTheme="minorHAnsi"/>
          <w:sz w:val="20"/>
          <w:szCs w:val="20"/>
        </w:rPr>
        <w:t xml:space="preserve">Van Camp , ‘Woman Wisdom in the Hebrew Bible’, in </w:t>
      </w:r>
      <w:r w:rsidRPr="00AE2976">
        <w:rPr>
          <w:rFonts w:asciiTheme="minorHAnsi" w:hAnsiTheme="minorHAnsi"/>
          <w:i/>
          <w:sz w:val="20"/>
          <w:szCs w:val="20"/>
        </w:rPr>
        <w:t>Women in Scripture: A Dictionary of Named and Unnamed Women in the Hebrew Bible,</w:t>
      </w:r>
      <w:r w:rsidRPr="00AE2976">
        <w:rPr>
          <w:rFonts w:asciiTheme="minorHAnsi" w:hAnsiTheme="minorHAnsi"/>
          <w:sz w:val="20"/>
          <w:szCs w:val="20"/>
        </w:rPr>
        <w:t xml:space="preserve"> ed. by Carol Meyers, Toni Craven, and S. Kraemer (Michigan: Wm. B. </w:t>
      </w:r>
      <w:proofErr w:type="spellStart"/>
      <w:r w:rsidRPr="00AE2976">
        <w:rPr>
          <w:rFonts w:asciiTheme="minorHAnsi" w:hAnsiTheme="minorHAnsi"/>
          <w:sz w:val="20"/>
          <w:szCs w:val="20"/>
        </w:rPr>
        <w:t>Eerdman’s</w:t>
      </w:r>
      <w:proofErr w:type="spellEnd"/>
      <w:r w:rsidRPr="00AE2976">
        <w:rPr>
          <w:rFonts w:asciiTheme="minorHAnsi" w:hAnsiTheme="minorHAnsi"/>
          <w:sz w:val="20"/>
          <w:szCs w:val="20"/>
        </w:rPr>
        <w:t xml:space="preserve"> Publishing Co, 2001), p. 549</w:t>
      </w:r>
      <w:ins w:id="8" w:author="Catrin Williams" w:date="2013-04-09T12:28:00Z">
        <w:r>
          <w:rPr>
            <w:rFonts w:asciiTheme="minorHAnsi" w:hAnsiTheme="minorHAnsi"/>
            <w:i/>
            <w:sz w:val="20"/>
            <w:szCs w:val="20"/>
          </w:rPr>
          <w:t xml:space="preserve"> </w:t>
        </w:r>
      </w:ins>
      <w:r w:rsidRPr="00AE2976">
        <w:rPr>
          <w:rFonts w:asciiTheme="minorHAnsi" w:hAnsiTheme="minorHAnsi"/>
          <w:i/>
          <w:sz w:val="20"/>
          <w:szCs w:val="20"/>
        </w:rPr>
        <w:t xml:space="preserve">and </w:t>
      </w:r>
      <w:proofErr w:type="spellStart"/>
      <w:r w:rsidRPr="00AE2976">
        <w:rPr>
          <w:rFonts w:asciiTheme="minorHAnsi" w:hAnsiTheme="minorHAnsi"/>
          <w:sz w:val="20"/>
          <w:szCs w:val="20"/>
        </w:rPr>
        <w:t>Athalya</w:t>
      </w:r>
      <w:proofErr w:type="spellEnd"/>
      <w:r w:rsidRPr="00AE2976">
        <w:rPr>
          <w:rFonts w:asciiTheme="minorHAnsi" w:hAnsiTheme="minorHAnsi"/>
          <w:sz w:val="20"/>
          <w:szCs w:val="20"/>
        </w:rPr>
        <w:t xml:space="preserve"> Brenner, ‘Some Observations on the Figuration of Women in Wisdom Literature’, in </w:t>
      </w:r>
      <w:r w:rsidRPr="00AE2976">
        <w:rPr>
          <w:rFonts w:asciiTheme="minorHAnsi" w:hAnsiTheme="minorHAnsi"/>
          <w:i/>
          <w:sz w:val="20"/>
          <w:szCs w:val="20"/>
        </w:rPr>
        <w:t xml:space="preserve">Feminist Companion to Wisdom Literature, </w:t>
      </w:r>
      <w:r w:rsidRPr="00AE2976">
        <w:rPr>
          <w:rFonts w:asciiTheme="minorHAnsi" w:hAnsiTheme="minorHAnsi"/>
          <w:sz w:val="20"/>
          <w:szCs w:val="20"/>
        </w:rPr>
        <w:t xml:space="preserve">ed. by </w:t>
      </w:r>
      <w:proofErr w:type="spellStart"/>
      <w:r w:rsidRPr="00AE2976">
        <w:rPr>
          <w:rFonts w:asciiTheme="minorHAnsi" w:hAnsiTheme="minorHAnsi"/>
          <w:sz w:val="20"/>
          <w:szCs w:val="20"/>
        </w:rPr>
        <w:t>Athalya</w:t>
      </w:r>
      <w:proofErr w:type="spellEnd"/>
      <w:r w:rsidRPr="00AE2976">
        <w:rPr>
          <w:rFonts w:asciiTheme="minorHAnsi" w:hAnsiTheme="minorHAnsi"/>
          <w:sz w:val="20"/>
          <w:szCs w:val="20"/>
        </w:rPr>
        <w:t xml:space="preserve"> Brenner (Sheffield: Sheffield Academic Press, 1995), p</w:t>
      </w:r>
      <w:del w:id="9" w:author="Catrin Williams" w:date="2013-04-09T12:28:00Z">
        <w:r w:rsidRPr="00AE2976" w:rsidDel="00877FC6">
          <w:rPr>
            <w:rFonts w:asciiTheme="minorHAnsi" w:hAnsiTheme="minorHAnsi"/>
            <w:sz w:val="20"/>
            <w:szCs w:val="20"/>
          </w:rPr>
          <w:delText xml:space="preserve">, </w:delText>
        </w:r>
      </w:del>
      <w:ins w:id="10" w:author="Catrin Williams" w:date="2013-04-09T12:28:00Z">
        <w:r>
          <w:rPr>
            <w:rFonts w:asciiTheme="minorHAnsi" w:hAnsiTheme="minorHAnsi"/>
            <w:sz w:val="20"/>
            <w:szCs w:val="20"/>
          </w:rPr>
          <w:t>.</w:t>
        </w:r>
        <w:r w:rsidRPr="00AE2976">
          <w:rPr>
            <w:rFonts w:asciiTheme="minorHAnsi" w:hAnsiTheme="minorHAnsi"/>
            <w:sz w:val="20"/>
            <w:szCs w:val="20"/>
          </w:rPr>
          <w:t xml:space="preserve"> </w:t>
        </w:r>
      </w:ins>
      <w:r w:rsidRPr="00AE2976">
        <w:rPr>
          <w:rFonts w:asciiTheme="minorHAnsi" w:hAnsiTheme="minorHAnsi"/>
          <w:sz w:val="20"/>
          <w:szCs w:val="20"/>
        </w:rPr>
        <w:t>55</w:t>
      </w:r>
      <w:ins w:id="11" w:author="Catrin Williams" w:date="2013-04-09T12:28:00Z">
        <w:r>
          <w:rPr>
            <w:rFonts w:asciiTheme="minorHAnsi" w:hAnsiTheme="minorHAnsi"/>
            <w:sz w:val="20"/>
            <w:szCs w:val="20"/>
          </w:rPr>
          <w:t>.</w:t>
        </w:r>
      </w:ins>
    </w:p>
  </w:footnote>
  <w:footnote w:id="3">
    <w:p w14:paraId="4C41FCB5"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Van Camp, ‘Woman Wisdom in the Hebrew Bible’, p. 549</w:t>
      </w:r>
      <w:ins w:id="14" w:author="Catrin Williams" w:date="2013-04-09T12:28:00Z">
        <w:r>
          <w:rPr>
            <w:rFonts w:asciiTheme="minorHAnsi" w:hAnsiTheme="minorHAnsi"/>
            <w:sz w:val="20"/>
            <w:szCs w:val="20"/>
          </w:rPr>
          <w:t>.</w:t>
        </w:r>
      </w:ins>
    </w:p>
  </w:footnote>
  <w:footnote w:id="4">
    <w:p w14:paraId="1A888153"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Aitken, p. 407</w:t>
      </w:r>
      <w:ins w:id="15" w:author="Catrin Williams" w:date="2013-04-09T12:30:00Z">
        <w:r>
          <w:rPr>
            <w:rFonts w:asciiTheme="minorHAnsi" w:hAnsiTheme="minorHAnsi"/>
            <w:sz w:val="20"/>
            <w:szCs w:val="20"/>
          </w:rPr>
          <w:t>.</w:t>
        </w:r>
      </w:ins>
    </w:p>
  </w:footnote>
  <w:footnote w:id="5">
    <w:p w14:paraId="01D61144"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Aitken, p. 148</w:t>
      </w:r>
      <w:ins w:id="17" w:author="Catrin Williams" w:date="2013-04-09T12:30:00Z">
        <w:r>
          <w:rPr>
            <w:rFonts w:asciiTheme="minorHAnsi" w:hAnsiTheme="minorHAnsi"/>
            <w:sz w:val="20"/>
            <w:szCs w:val="20"/>
          </w:rPr>
          <w:t>.</w:t>
        </w:r>
      </w:ins>
    </w:p>
  </w:footnote>
  <w:footnote w:id="6">
    <w:p w14:paraId="0C611574"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Brenner, p</w:t>
      </w:r>
      <w:ins w:id="19" w:author="Catrin Williams" w:date="2013-04-09T12:38:00Z">
        <w:r>
          <w:rPr>
            <w:rFonts w:asciiTheme="minorHAnsi" w:hAnsiTheme="minorHAnsi"/>
            <w:sz w:val="20"/>
            <w:szCs w:val="20"/>
          </w:rPr>
          <w:t>.</w:t>
        </w:r>
      </w:ins>
      <w:r w:rsidRPr="00AE2976">
        <w:rPr>
          <w:rFonts w:asciiTheme="minorHAnsi" w:hAnsiTheme="minorHAnsi"/>
          <w:sz w:val="20"/>
          <w:szCs w:val="20"/>
        </w:rPr>
        <w:t xml:space="preserve"> 62</w:t>
      </w:r>
      <w:ins w:id="20" w:author="Catrin Williams" w:date="2013-04-09T12:38:00Z">
        <w:r>
          <w:rPr>
            <w:rFonts w:asciiTheme="minorHAnsi" w:hAnsiTheme="minorHAnsi"/>
            <w:sz w:val="20"/>
            <w:szCs w:val="20"/>
          </w:rPr>
          <w:t>.</w:t>
        </w:r>
      </w:ins>
    </w:p>
  </w:footnote>
  <w:footnote w:id="7">
    <w:p w14:paraId="0380BC04"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Anne McGuire, ‘Woman Wisdom in the New Testament’, in </w:t>
      </w:r>
      <w:r w:rsidRPr="00AE2976">
        <w:rPr>
          <w:rFonts w:asciiTheme="minorHAnsi" w:hAnsiTheme="minorHAnsi"/>
          <w:i/>
          <w:sz w:val="20"/>
          <w:szCs w:val="20"/>
        </w:rPr>
        <w:t>Women in Scripture: A Dictionary of Named and Unnamed Women in the Hebrew Bible,</w:t>
      </w:r>
      <w:r w:rsidRPr="00AE2976">
        <w:rPr>
          <w:rFonts w:asciiTheme="minorHAnsi" w:hAnsiTheme="minorHAnsi"/>
          <w:sz w:val="20"/>
          <w:szCs w:val="20"/>
        </w:rPr>
        <w:t xml:space="preserve"> ed. by Carol Meyers, Toni Craven, and S. Kraemer (Michigan: Wm. B. </w:t>
      </w:r>
      <w:proofErr w:type="spellStart"/>
      <w:r w:rsidRPr="00AE2976">
        <w:rPr>
          <w:rFonts w:asciiTheme="minorHAnsi" w:hAnsiTheme="minorHAnsi"/>
          <w:sz w:val="20"/>
          <w:szCs w:val="20"/>
        </w:rPr>
        <w:t>Eerdman’s</w:t>
      </w:r>
      <w:proofErr w:type="spellEnd"/>
      <w:r w:rsidRPr="00AE2976">
        <w:rPr>
          <w:rFonts w:asciiTheme="minorHAnsi" w:hAnsiTheme="minorHAnsi"/>
          <w:sz w:val="20"/>
          <w:szCs w:val="20"/>
        </w:rPr>
        <w:t xml:space="preserve"> Publishing Co, 2001), p. 552</w:t>
      </w:r>
      <w:ins w:id="25" w:author="Catrin Williams" w:date="2013-04-09T12:38:00Z">
        <w:r>
          <w:rPr>
            <w:rFonts w:asciiTheme="minorHAnsi" w:hAnsiTheme="minorHAnsi"/>
            <w:sz w:val="20"/>
            <w:szCs w:val="20"/>
          </w:rPr>
          <w:t>.</w:t>
        </w:r>
      </w:ins>
    </w:p>
  </w:footnote>
  <w:footnote w:id="8">
    <w:p w14:paraId="7CB9AAC0"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Eileen </w:t>
      </w:r>
      <w:proofErr w:type="spellStart"/>
      <w:r w:rsidRPr="00AE2976">
        <w:rPr>
          <w:rFonts w:asciiTheme="minorHAnsi" w:hAnsiTheme="minorHAnsi"/>
          <w:sz w:val="20"/>
          <w:szCs w:val="20"/>
        </w:rPr>
        <w:t>Schuller</w:t>
      </w:r>
      <w:proofErr w:type="spellEnd"/>
      <w:r w:rsidRPr="00AE2976">
        <w:rPr>
          <w:rFonts w:asciiTheme="minorHAnsi" w:hAnsiTheme="minorHAnsi"/>
          <w:sz w:val="20"/>
          <w:szCs w:val="20"/>
        </w:rPr>
        <w:t xml:space="preserve">, ‘The Apocrypha’, in </w:t>
      </w:r>
      <w:r w:rsidRPr="00AE2976">
        <w:rPr>
          <w:rFonts w:asciiTheme="minorHAnsi" w:hAnsiTheme="minorHAnsi"/>
          <w:i/>
          <w:sz w:val="20"/>
          <w:szCs w:val="20"/>
        </w:rPr>
        <w:t xml:space="preserve">The Woman’s Bible Commentary, </w:t>
      </w:r>
      <w:r w:rsidRPr="00AE2976">
        <w:rPr>
          <w:rFonts w:asciiTheme="minorHAnsi" w:hAnsiTheme="minorHAnsi"/>
          <w:sz w:val="20"/>
          <w:szCs w:val="20"/>
        </w:rPr>
        <w:t xml:space="preserve">ed. by Carol Newsom and Sharon </w:t>
      </w:r>
      <w:proofErr w:type="spellStart"/>
      <w:r w:rsidRPr="00AE2976">
        <w:rPr>
          <w:rFonts w:asciiTheme="minorHAnsi" w:hAnsiTheme="minorHAnsi"/>
          <w:sz w:val="20"/>
          <w:szCs w:val="20"/>
        </w:rPr>
        <w:t>Ringe</w:t>
      </w:r>
      <w:proofErr w:type="spellEnd"/>
      <w:r w:rsidRPr="00AE2976">
        <w:rPr>
          <w:rFonts w:asciiTheme="minorHAnsi" w:hAnsiTheme="minorHAnsi"/>
          <w:sz w:val="20"/>
          <w:szCs w:val="20"/>
        </w:rPr>
        <w:t xml:space="preserve"> (London: SPCK, 1992), p. 238</w:t>
      </w:r>
      <w:ins w:id="27" w:author="Catrin Williams" w:date="2013-04-09T12:38:00Z">
        <w:r>
          <w:rPr>
            <w:rFonts w:asciiTheme="minorHAnsi" w:hAnsiTheme="minorHAnsi"/>
            <w:sz w:val="20"/>
            <w:szCs w:val="20"/>
          </w:rPr>
          <w:t xml:space="preserve">; </w:t>
        </w:r>
      </w:ins>
      <w:r w:rsidRPr="00AE2976">
        <w:rPr>
          <w:rFonts w:asciiTheme="minorHAnsi" w:hAnsiTheme="minorHAnsi"/>
          <w:sz w:val="20"/>
          <w:szCs w:val="20"/>
        </w:rPr>
        <w:t xml:space="preserve">Claudia Van Camp, ‘Woman Wisdom in the Apocryphal/Deuterocanonical Books’, in </w:t>
      </w:r>
      <w:r w:rsidRPr="00AE2976">
        <w:rPr>
          <w:rFonts w:asciiTheme="minorHAnsi" w:hAnsiTheme="minorHAnsi"/>
          <w:i/>
          <w:sz w:val="20"/>
          <w:szCs w:val="20"/>
        </w:rPr>
        <w:t>Women in Scripture: A Dictionary of Named and Unnamed Women in the Hebrew Bible,</w:t>
      </w:r>
      <w:r w:rsidRPr="00AE2976">
        <w:rPr>
          <w:rFonts w:asciiTheme="minorHAnsi" w:hAnsiTheme="minorHAnsi"/>
          <w:sz w:val="20"/>
          <w:szCs w:val="20"/>
        </w:rPr>
        <w:t xml:space="preserve"> ed. by Carol Meyers, Toni Craven, and S. Kraemer (Michigan: Wm. B. </w:t>
      </w:r>
      <w:proofErr w:type="spellStart"/>
      <w:r w:rsidRPr="00AE2976">
        <w:rPr>
          <w:rFonts w:asciiTheme="minorHAnsi" w:hAnsiTheme="minorHAnsi"/>
          <w:sz w:val="20"/>
          <w:szCs w:val="20"/>
        </w:rPr>
        <w:t>Eerdman’s</w:t>
      </w:r>
      <w:proofErr w:type="spellEnd"/>
      <w:r w:rsidRPr="00AE2976">
        <w:rPr>
          <w:rFonts w:asciiTheme="minorHAnsi" w:hAnsiTheme="minorHAnsi"/>
          <w:sz w:val="20"/>
          <w:szCs w:val="20"/>
        </w:rPr>
        <w:t xml:space="preserve"> Publishing Co, 2001), p. 551</w:t>
      </w:r>
      <w:ins w:id="28" w:author="Catrin Williams" w:date="2013-04-09T12:38:00Z">
        <w:r>
          <w:rPr>
            <w:rFonts w:asciiTheme="minorHAnsi" w:hAnsiTheme="minorHAnsi"/>
            <w:sz w:val="20"/>
            <w:szCs w:val="20"/>
          </w:rPr>
          <w:t>.</w:t>
        </w:r>
      </w:ins>
    </w:p>
  </w:footnote>
  <w:footnote w:id="9">
    <w:p w14:paraId="79D8795E"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w:t>
      </w:r>
      <w:proofErr w:type="spellStart"/>
      <w:r w:rsidRPr="00AE2976">
        <w:rPr>
          <w:rFonts w:asciiTheme="minorHAnsi" w:hAnsiTheme="minorHAnsi"/>
          <w:sz w:val="20"/>
          <w:szCs w:val="20"/>
        </w:rPr>
        <w:t>Schuller</w:t>
      </w:r>
      <w:proofErr w:type="spellEnd"/>
      <w:r w:rsidRPr="00AE2976">
        <w:rPr>
          <w:rFonts w:asciiTheme="minorHAnsi" w:hAnsiTheme="minorHAnsi"/>
          <w:sz w:val="20"/>
          <w:szCs w:val="20"/>
        </w:rPr>
        <w:t>, p. 238</w:t>
      </w:r>
      <w:ins w:id="29" w:author="Catrin Williams" w:date="2013-04-09T12:38:00Z">
        <w:r>
          <w:rPr>
            <w:rFonts w:asciiTheme="minorHAnsi" w:hAnsiTheme="minorHAnsi"/>
            <w:sz w:val="20"/>
            <w:szCs w:val="20"/>
          </w:rPr>
          <w:t>.</w:t>
        </w:r>
      </w:ins>
    </w:p>
  </w:footnote>
  <w:footnote w:id="10">
    <w:p w14:paraId="00B4FA92"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Alice Ogden </w:t>
      </w:r>
      <w:proofErr w:type="spellStart"/>
      <w:r w:rsidRPr="00AE2976">
        <w:rPr>
          <w:rFonts w:asciiTheme="minorHAnsi" w:hAnsiTheme="minorHAnsi"/>
          <w:sz w:val="20"/>
          <w:szCs w:val="20"/>
        </w:rPr>
        <w:t>Bellis</w:t>
      </w:r>
      <w:proofErr w:type="spellEnd"/>
      <w:r w:rsidRPr="00AE2976">
        <w:rPr>
          <w:rFonts w:asciiTheme="minorHAnsi" w:hAnsiTheme="minorHAnsi"/>
          <w:sz w:val="20"/>
          <w:szCs w:val="20"/>
        </w:rPr>
        <w:t xml:space="preserve">, </w:t>
      </w:r>
      <w:r w:rsidRPr="00AE2976">
        <w:rPr>
          <w:rFonts w:asciiTheme="minorHAnsi" w:hAnsiTheme="minorHAnsi"/>
          <w:i/>
          <w:sz w:val="20"/>
          <w:szCs w:val="20"/>
        </w:rPr>
        <w:t xml:space="preserve">Helpmates, Harlots, and Heroes </w:t>
      </w:r>
      <w:r w:rsidRPr="00AE2976">
        <w:rPr>
          <w:rFonts w:asciiTheme="minorHAnsi" w:hAnsiTheme="minorHAnsi"/>
          <w:sz w:val="20"/>
          <w:szCs w:val="20"/>
        </w:rPr>
        <w:t>(Westminster: John Knox Press, 1994), p. 201</w:t>
      </w:r>
      <w:ins w:id="31" w:author="Catrin Williams" w:date="2013-04-09T12:38:00Z">
        <w:r>
          <w:rPr>
            <w:rFonts w:asciiTheme="minorHAnsi" w:hAnsiTheme="minorHAnsi"/>
            <w:sz w:val="20"/>
            <w:szCs w:val="20"/>
          </w:rPr>
          <w:t>.</w:t>
        </w:r>
      </w:ins>
    </w:p>
  </w:footnote>
  <w:footnote w:id="11">
    <w:p w14:paraId="39FD6A69"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w:t>
      </w:r>
      <w:proofErr w:type="spellStart"/>
      <w:r w:rsidRPr="00AE2976">
        <w:rPr>
          <w:rFonts w:asciiTheme="minorHAnsi" w:hAnsiTheme="minorHAnsi"/>
          <w:sz w:val="20"/>
          <w:szCs w:val="20"/>
        </w:rPr>
        <w:t>Bellis</w:t>
      </w:r>
      <w:proofErr w:type="spellEnd"/>
      <w:r w:rsidRPr="00AE2976">
        <w:rPr>
          <w:rFonts w:asciiTheme="minorHAnsi" w:hAnsiTheme="minorHAnsi"/>
          <w:sz w:val="20"/>
          <w:szCs w:val="20"/>
        </w:rPr>
        <w:t>, p. 201</w:t>
      </w:r>
      <w:ins w:id="34" w:author="Catrin Williams" w:date="2013-04-09T12:38:00Z">
        <w:r>
          <w:rPr>
            <w:rFonts w:asciiTheme="minorHAnsi" w:hAnsiTheme="minorHAnsi"/>
            <w:sz w:val="20"/>
            <w:szCs w:val="20"/>
          </w:rPr>
          <w:t>.</w:t>
        </w:r>
      </w:ins>
    </w:p>
  </w:footnote>
  <w:footnote w:id="12">
    <w:p w14:paraId="49E820E7"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w:t>
      </w:r>
      <w:proofErr w:type="spellStart"/>
      <w:r w:rsidRPr="00AE2976">
        <w:rPr>
          <w:rFonts w:asciiTheme="minorHAnsi" w:hAnsiTheme="minorHAnsi"/>
          <w:sz w:val="20"/>
          <w:szCs w:val="20"/>
        </w:rPr>
        <w:t>Sidnie</w:t>
      </w:r>
      <w:proofErr w:type="spellEnd"/>
      <w:r w:rsidRPr="00AE2976">
        <w:rPr>
          <w:rFonts w:asciiTheme="minorHAnsi" w:hAnsiTheme="minorHAnsi"/>
          <w:sz w:val="20"/>
          <w:szCs w:val="20"/>
        </w:rPr>
        <w:t xml:space="preserve"> White Crawford, ‘Lady Wisdom and Dame Folly at Qumran’, </w:t>
      </w:r>
      <w:r w:rsidRPr="00AE2976">
        <w:rPr>
          <w:rFonts w:asciiTheme="minorHAnsi" w:hAnsiTheme="minorHAnsi"/>
          <w:i/>
          <w:sz w:val="20"/>
          <w:szCs w:val="20"/>
        </w:rPr>
        <w:t>Dead Sea Discoveries,</w:t>
      </w:r>
      <w:r w:rsidRPr="00AE2976">
        <w:rPr>
          <w:rFonts w:asciiTheme="minorHAnsi" w:hAnsiTheme="minorHAnsi"/>
          <w:sz w:val="20"/>
          <w:szCs w:val="20"/>
        </w:rPr>
        <w:t xml:space="preserve"> 5, No. 3 (1998), 205-217, (p. 217)</w:t>
      </w:r>
    </w:p>
  </w:footnote>
  <w:footnote w:id="13">
    <w:p w14:paraId="69430C4A"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Crawford, p. 213</w:t>
      </w:r>
    </w:p>
  </w:footnote>
  <w:footnote w:id="14">
    <w:p w14:paraId="4C3B72EF"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Crawford, p. 213</w:t>
      </w:r>
    </w:p>
  </w:footnote>
  <w:footnote w:id="15">
    <w:p w14:paraId="1FB524ED"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Crawford, p. 214, 216</w:t>
      </w:r>
    </w:p>
  </w:footnote>
  <w:footnote w:id="16">
    <w:p w14:paraId="0356535F"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Carol Fontaine, ‘Proverbs’, in </w:t>
      </w:r>
      <w:r w:rsidRPr="00AE2976">
        <w:rPr>
          <w:rFonts w:asciiTheme="minorHAnsi" w:hAnsiTheme="minorHAnsi"/>
          <w:i/>
          <w:sz w:val="20"/>
          <w:szCs w:val="20"/>
        </w:rPr>
        <w:t xml:space="preserve">The Woman’s Bible Commentary, </w:t>
      </w:r>
      <w:r w:rsidRPr="00AE2976">
        <w:rPr>
          <w:rFonts w:asciiTheme="minorHAnsi" w:hAnsiTheme="minorHAnsi"/>
          <w:sz w:val="20"/>
          <w:szCs w:val="20"/>
        </w:rPr>
        <w:t xml:space="preserve">ed. by Carol Newsom and Sharon </w:t>
      </w:r>
      <w:proofErr w:type="spellStart"/>
      <w:r w:rsidRPr="00AE2976">
        <w:rPr>
          <w:rFonts w:asciiTheme="minorHAnsi" w:hAnsiTheme="minorHAnsi"/>
          <w:sz w:val="20"/>
          <w:szCs w:val="20"/>
        </w:rPr>
        <w:t>Ringe</w:t>
      </w:r>
      <w:proofErr w:type="spellEnd"/>
      <w:r w:rsidRPr="00AE2976">
        <w:rPr>
          <w:rFonts w:asciiTheme="minorHAnsi" w:hAnsiTheme="minorHAnsi"/>
          <w:sz w:val="20"/>
          <w:szCs w:val="20"/>
        </w:rPr>
        <w:t xml:space="preserve"> (London: SPCK, 1992), p. 148 </w:t>
      </w:r>
    </w:p>
  </w:footnote>
  <w:footnote w:id="17">
    <w:p w14:paraId="21C90AA0"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Fontaine, p. 147</w:t>
      </w:r>
    </w:p>
  </w:footnote>
  <w:footnote w:id="18">
    <w:p w14:paraId="38A96EEC"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Aitken, p. 406</w:t>
      </w:r>
      <w:r w:rsidR="00187024">
        <w:rPr>
          <w:rFonts w:asciiTheme="minorHAnsi" w:hAnsiTheme="minorHAnsi"/>
          <w:sz w:val="20"/>
          <w:szCs w:val="20"/>
        </w:rPr>
        <w:t>.</w:t>
      </w:r>
    </w:p>
  </w:footnote>
  <w:footnote w:id="19">
    <w:p w14:paraId="5711228F"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Van Camp, ‘Woman Wisdom in the Apocryphal/Deuterocanonical Books’, p, 551</w:t>
      </w:r>
      <w:r w:rsidR="00187024">
        <w:rPr>
          <w:rFonts w:asciiTheme="minorHAnsi" w:hAnsiTheme="minorHAnsi"/>
          <w:sz w:val="20"/>
          <w:szCs w:val="20"/>
        </w:rPr>
        <w:t>.</w:t>
      </w:r>
    </w:p>
  </w:footnote>
  <w:footnote w:id="20">
    <w:p w14:paraId="4767A516"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Van Camp, ‘Woman Wisdom in the Apocryphal/Deuterocanonical Books’, p, 551</w:t>
      </w:r>
      <w:r w:rsidR="00187024">
        <w:rPr>
          <w:rFonts w:asciiTheme="minorHAnsi" w:hAnsiTheme="minorHAnsi"/>
          <w:sz w:val="20"/>
          <w:szCs w:val="20"/>
        </w:rPr>
        <w:t>.</w:t>
      </w:r>
    </w:p>
  </w:footnote>
  <w:footnote w:id="21">
    <w:p w14:paraId="6E350E5D"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Van Camp, ‘Woman Wisdom in the Hebrew Bible’, p, 550</w:t>
      </w:r>
      <w:r w:rsidR="00187024">
        <w:rPr>
          <w:rFonts w:asciiTheme="minorHAnsi" w:hAnsiTheme="minorHAnsi"/>
          <w:sz w:val="20"/>
          <w:szCs w:val="20"/>
        </w:rPr>
        <w:t>.</w:t>
      </w:r>
    </w:p>
  </w:footnote>
  <w:footnote w:id="22">
    <w:p w14:paraId="0474E9AB"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Van Camp, ‘Woman Wisdom in the Hebrew Bible’, p, 550</w:t>
      </w:r>
      <w:r w:rsidR="00187024">
        <w:rPr>
          <w:rFonts w:asciiTheme="minorHAnsi" w:hAnsiTheme="minorHAnsi"/>
          <w:sz w:val="20"/>
          <w:szCs w:val="20"/>
        </w:rPr>
        <w:t>.</w:t>
      </w:r>
    </w:p>
  </w:footnote>
  <w:footnote w:id="23">
    <w:p w14:paraId="1434FD8C"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Aitken, p. 146</w:t>
      </w:r>
      <w:r w:rsidR="00187024">
        <w:rPr>
          <w:rFonts w:asciiTheme="minorHAnsi" w:hAnsiTheme="minorHAnsi"/>
          <w:sz w:val="20"/>
          <w:szCs w:val="20"/>
        </w:rPr>
        <w:t>.</w:t>
      </w:r>
    </w:p>
  </w:footnote>
  <w:footnote w:id="24">
    <w:p w14:paraId="4FEF8EB8"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Von Rad Quoted in: Aitken, p. 411</w:t>
      </w:r>
      <w:r w:rsidR="00187024">
        <w:rPr>
          <w:rFonts w:asciiTheme="minorHAnsi" w:hAnsiTheme="minorHAnsi"/>
          <w:sz w:val="20"/>
          <w:szCs w:val="20"/>
        </w:rPr>
        <w:t>.</w:t>
      </w:r>
    </w:p>
  </w:footnote>
  <w:footnote w:id="25">
    <w:p w14:paraId="3442FECA"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Carol Newsom cited in: </w:t>
      </w:r>
      <w:proofErr w:type="spellStart"/>
      <w:r w:rsidRPr="00AE2976">
        <w:rPr>
          <w:rFonts w:asciiTheme="minorHAnsi" w:hAnsiTheme="minorHAnsi"/>
          <w:sz w:val="20"/>
          <w:szCs w:val="20"/>
        </w:rPr>
        <w:t>Bellis</w:t>
      </w:r>
      <w:proofErr w:type="spellEnd"/>
      <w:r w:rsidRPr="00AE2976">
        <w:rPr>
          <w:rFonts w:asciiTheme="minorHAnsi" w:hAnsiTheme="minorHAnsi"/>
          <w:sz w:val="20"/>
          <w:szCs w:val="20"/>
        </w:rPr>
        <w:t>, p. 196</w:t>
      </w:r>
      <w:r w:rsidR="00187024">
        <w:rPr>
          <w:rFonts w:asciiTheme="minorHAnsi" w:hAnsiTheme="minorHAnsi"/>
          <w:sz w:val="20"/>
          <w:szCs w:val="20"/>
        </w:rPr>
        <w:t>.</w:t>
      </w:r>
    </w:p>
  </w:footnote>
  <w:footnote w:id="26">
    <w:p w14:paraId="09354BFA" w14:textId="77777777" w:rsidR="002F6FFF" w:rsidRPr="00AE2976" w:rsidRDefault="002F6FFF">
      <w:pPr>
        <w:rPr>
          <w:rFonts w:asciiTheme="minorHAnsi" w:hAnsiTheme="minorHAnsi"/>
          <w:sz w:val="20"/>
          <w:szCs w:val="20"/>
        </w:rPr>
      </w:pPr>
      <w:r w:rsidRPr="00AE2976">
        <w:rPr>
          <w:rFonts w:asciiTheme="minorHAnsi" w:hAnsiTheme="minorHAnsi"/>
          <w:sz w:val="20"/>
          <w:szCs w:val="20"/>
          <w:vertAlign w:val="superscript"/>
        </w:rPr>
        <w:footnoteRef/>
      </w:r>
      <w:r w:rsidRPr="00AE2976">
        <w:rPr>
          <w:rFonts w:asciiTheme="minorHAnsi" w:hAnsiTheme="minorHAnsi"/>
          <w:sz w:val="20"/>
          <w:szCs w:val="20"/>
        </w:rPr>
        <w:t xml:space="preserve"> Fontaine, p. 146</w:t>
      </w:r>
      <w:r w:rsidR="00187024">
        <w:rPr>
          <w:rFonts w:asciiTheme="minorHAnsi" w:hAnsiTheme="minorHAnsi"/>
          <w:sz w:val="20"/>
          <w:szCs w:val="20"/>
        </w:rPr>
        <w:t>.</w:t>
      </w:r>
    </w:p>
  </w:footnote>
  <w:footnote w:id="27">
    <w:p w14:paraId="5CB058F6" w14:textId="77777777" w:rsidR="002F6FFF" w:rsidRDefault="002F6FFF">
      <w:r w:rsidRPr="00AE2976">
        <w:rPr>
          <w:rFonts w:asciiTheme="minorHAnsi" w:hAnsiTheme="minorHAnsi"/>
          <w:sz w:val="20"/>
          <w:szCs w:val="20"/>
          <w:vertAlign w:val="superscript"/>
        </w:rPr>
        <w:footnoteRef/>
      </w:r>
      <w:r w:rsidRPr="00AE2976">
        <w:rPr>
          <w:rFonts w:asciiTheme="minorHAnsi" w:hAnsiTheme="minorHAnsi"/>
          <w:sz w:val="20"/>
          <w:szCs w:val="20"/>
        </w:rPr>
        <w:t xml:space="preserve"> Unknown Author, </w:t>
      </w:r>
      <w:r w:rsidRPr="00AE2976">
        <w:rPr>
          <w:rFonts w:asciiTheme="minorHAnsi" w:hAnsiTheme="minorHAnsi"/>
          <w:i/>
          <w:sz w:val="20"/>
          <w:szCs w:val="20"/>
        </w:rPr>
        <w:t xml:space="preserve">The New Jerusalem Bible: Reader’s Edition </w:t>
      </w:r>
      <w:r w:rsidRPr="00AE2976">
        <w:rPr>
          <w:rFonts w:asciiTheme="minorHAnsi" w:hAnsiTheme="minorHAnsi"/>
          <w:sz w:val="20"/>
          <w:szCs w:val="20"/>
        </w:rPr>
        <w:t xml:space="preserve">(London: </w:t>
      </w:r>
      <w:proofErr w:type="spellStart"/>
      <w:r w:rsidRPr="00AE2976">
        <w:rPr>
          <w:rFonts w:asciiTheme="minorHAnsi" w:hAnsiTheme="minorHAnsi"/>
          <w:sz w:val="20"/>
          <w:szCs w:val="20"/>
        </w:rPr>
        <w:t>Darton</w:t>
      </w:r>
      <w:proofErr w:type="spellEnd"/>
      <w:r w:rsidRPr="00AE2976">
        <w:rPr>
          <w:rFonts w:asciiTheme="minorHAnsi" w:hAnsiTheme="minorHAnsi"/>
          <w:sz w:val="20"/>
          <w:szCs w:val="20"/>
        </w:rPr>
        <w:t>, Longman and Todd Ltd, 1990), p, 541</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8C1E9F" w14:textId="77777777" w:rsidR="002F6FFF" w:rsidRDefault="002F6FFF">
    <w:pPr>
      <w:pStyle w:val="Header"/>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5E50"/>
    <w:rsid w:val="00080761"/>
    <w:rsid w:val="00083956"/>
    <w:rsid w:val="00112816"/>
    <w:rsid w:val="00156BF7"/>
    <w:rsid w:val="00187024"/>
    <w:rsid w:val="002B3722"/>
    <w:rsid w:val="002F6FFF"/>
    <w:rsid w:val="0043139D"/>
    <w:rsid w:val="005D3FC7"/>
    <w:rsid w:val="00877FC6"/>
    <w:rsid w:val="009F15EF"/>
    <w:rsid w:val="00A35CFB"/>
    <w:rsid w:val="00A419BB"/>
    <w:rsid w:val="00AE2976"/>
    <w:rsid w:val="00AF3840"/>
    <w:rsid w:val="00B829C9"/>
    <w:rsid w:val="00CB2E51"/>
    <w:rsid w:val="00DE5E50"/>
    <w:rsid w:val="00EA01C3"/>
    <w:rsid w:val="00EB4A8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8A5DF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pacing w:after="0"/>
    </w:pPr>
    <w:rPr>
      <w:rFonts w:ascii="Arial" w:eastAsia="Arial" w:hAnsi="Arial" w:cs="Arial"/>
      <w:color w:val="000000"/>
    </w:rPr>
  </w:style>
  <w:style w:type="paragraph" w:styleId="Heading1">
    <w:name w:val="heading 1"/>
    <w:basedOn w:val="Normal"/>
    <w:next w:val="Normal"/>
    <w:pPr>
      <w:spacing w:before="200"/>
      <w:outlineLvl w:val="0"/>
    </w:pPr>
    <w:rPr>
      <w:rFonts w:ascii="Trebuchet MS" w:eastAsia="Trebuchet MS" w:hAnsi="Trebuchet MS" w:cs="Trebuchet MS"/>
      <w:sz w:val="32"/>
    </w:rPr>
  </w:style>
  <w:style w:type="paragraph" w:styleId="Heading2">
    <w:name w:val="heading 2"/>
    <w:basedOn w:val="Normal"/>
    <w:next w:val="Normal"/>
    <w:pPr>
      <w:spacing w:before="200"/>
      <w:outlineLvl w:val="1"/>
    </w:pPr>
    <w:rPr>
      <w:rFonts w:ascii="Trebuchet MS" w:eastAsia="Trebuchet MS" w:hAnsi="Trebuchet MS" w:cs="Trebuchet MS"/>
      <w:b/>
      <w:sz w:val="26"/>
    </w:rPr>
  </w:style>
  <w:style w:type="paragraph" w:styleId="Heading3">
    <w:name w:val="heading 3"/>
    <w:basedOn w:val="Normal"/>
    <w:next w:val="Normal"/>
    <w:pPr>
      <w:spacing w:before="160"/>
      <w:outlineLvl w:val="2"/>
    </w:pPr>
    <w:rPr>
      <w:rFonts w:ascii="Trebuchet MS" w:eastAsia="Trebuchet MS" w:hAnsi="Trebuchet MS" w:cs="Trebuchet MS"/>
      <w:b/>
      <w:color w:val="666666"/>
      <w:sz w:val="24"/>
    </w:rPr>
  </w:style>
  <w:style w:type="paragraph" w:styleId="Heading4">
    <w:name w:val="heading 4"/>
    <w:basedOn w:val="Normal"/>
    <w:next w:val="Normal"/>
    <w:pPr>
      <w:spacing w:before="160"/>
      <w:outlineLvl w:val="3"/>
    </w:pPr>
    <w:rPr>
      <w:rFonts w:ascii="Trebuchet MS" w:eastAsia="Trebuchet MS" w:hAnsi="Trebuchet MS" w:cs="Trebuchet MS"/>
      <w:color w:val="666666"/>
      <w:u w:val="single"/>
    </w:rPr>
  </w:style>
  <w:style w:type="paragraph" w:styleId="Heading5">
    <w:name w:val="heading 5"/>
    <w:basedOn w:val="Normal"/>
    <w:next w:val="Normal"/>
    <w:pPr>
      <w:spacing w:before="160"/>
      <w:outlineLvl w:val="4"/>
    </w:pPr>
    <w:rPr>
      <w:rFonts w:ascii="Trebuchet MS" w:eastAsia="Trebuchet MS" w:hAnsi="Trebuchet MS" w:cs="Trebuchet MS"/>
      <w:color w:val="666666"/>
    </w:rPr>
  </w:style>
  <w:style w:type="paragraph" w:styleId="Heading6">
    <w:name w:val="heading 6"/>
    <w:basedOn w:val="Normal"/>
    <w:next w:val="Normal"/>
    <w:pPr>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Pr>
      <w:rFonts w:ascii="Trebuchet MS" w:eastAsia="Trebuchet MS" w:hAnsi="Trebuchet MS" w:cs="Trebuchet MS"/>
      <w:sz w:val="42"/>
    </w:rPr>
  </w:style>
  <w:style w:type="paragraph" w:styleId="Subtitle">
    <w:name w:val="Subtitle"/>
    <w:basedOn w:val="Normal"/>
    <w:next w:val="Normal"/>
    <w:pPr>
      <w:spacing w:after="200"/>
    </w:pPr>
    <w:rPr>
      <w:rFonts w:ascii="Trebuchet MS" w:eastAsia="Trebuchet MS" w:hAnsi="Trebuchet MS" w:cs="Trebuchet MS"/>
      <w:i/>
      <w:color w:val="666666"/>
      <w:sz w:val="26"/>
    </w:rPr>
  </w:style>
  <w:style w:type="paragraph" w:styleId="NormalWeb">
    <w:name w:val="Normal (Web)"/>
    <w:basedOn w:val="Normal"/>
    <w:rsid w:val="00AE2976"/>
    <w:pPr>
      <w:spacing w:before="100" w:beforeAutospacing="1" w:after="100" w:afterAutospacing="1" w:line="240" w:lineRule="auto"/>
    </w:pPr>
    <w:rPr>
      <w:rFonts w:ascii="Georgia" w:eastAsia="SimSun" w:hAnsi="Georgia" w:cs="Times New Roman"/>
      <w:sz w:val="21"/>
      <w:szCs w:val="21"/>
      <w:lang w:eastAsia="zh-CN"/>
    </w:rPr>
  </w:style>
  <w:style w:type="paragraph" w:styleId="BalloonText">
    <w:name w:val="Balloon Text"/>
    <w:basedOn w:val="Normal"/>
    <w:link w:val="BalloonTextChar"/>
    <w:uiPriority w:val="99"/>
    <w:semiHidden/>
    <w:unhideWhenUsed/>
    <w:rsid w:val="00AE29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2976"/>
    <w:rPr>
      <w:rFonts w:ascii="Tahoma" w:eastAsia="Arial" w:hAnsi="Tahoma" w:cs="Tahoma"/>
      <w:color w:val="000000"/>
      <w:sz w:val="16"/>
      <w:szCs w:val="16"/>
    </w:rPr>
  </w:style>
  <w:style w:type="paragraph" w:styleId="Header">
    <w:name w:val="header"/>
    <w:basedOn w:val="Normal"/>
    <w:link w:val="HeaderChar"/>
    <w:uiPriority w:val="99"/>
    <w:unhideWhenUsed/>
    <w:rsid w:val="00AE2976"/>
    <w:pPr>
      <w:tabs>
        <w:tab w:val="center" w:pos="4513"/>
        <w:tab w:val="right" w:pos="9026"/>
      </w:tabs>
      <w:spacing w:line="240" w:lineRule="auto"/>
    </w:pPr>
  </w:style>
  <w:style w:type="character" w:customStyle="1" w:styleId="HeaderChar">
    <w:name w:val="Header Char"/>
    <w:basedOn w:val="DefaultParagraphFont"/>
    <w:link w:val="Header"/>
    <w:uiPriority w:val="99"/>
    <w:rsid w:val="00AE2976"/>
    <w:rPr>
      <w:rFonts w:ascii="Arial" w:eastAsia="Arial" w:hAnsi="Arial" w:cs="Arial"/>
      <w:color w:val="000000"/>
    </w:rPr>
  </w:style>
  <w:style w:type="paragraph" w:styleId="Footer">
    <w:name w:val="footer"/>
    <w:basedOn w:val="Normal"/>
    <w:link w:val="FooterChar"/>
    <w:uiPriority w:val="99"/>
    <w:unhideWhenUsed/>
    <w:rsid w:val="00AE2976"/>
    <w:pPr>
      <w:tabs>
        <w:tab w:val="center" w:pos="4513"/>
        <w:tab w:val="right" w:pos="9026"/>
      </w:tabs>
      <w:spacing w:line="240" w:lineRule="auto"/>
    </w:pPr>
  </w:style>
  <w:style w:type="character" w:customStyle="1" w:styleId="FooterChar">
    <w:name w:val="Footer Char"/>
    <w:basedOn w:val="DefaultParagraphFont"/>
    <w:link w:val="Footer"/>
    <w:uiPriority w:val="99"/>
    <w:rsid w:val="00AE2976"/>
    <w:rPr>
      <w:rFonts w:ascii="Arial" w:eastAsia="Arial" w:hAnsi="Arial" w:cs="Arial"/>
      <w:color w:val="000000"/>
    </w:rPr>
  </w:style>
  <w:style w:type="character" w:styleId="CommentReference">
    <w:name w:val="annotation reference"/>
    <w:basedOn w:val="DefaultParagraphFont"/>
    <w:uiPriority w:val="99"/>
    <w:semiHidden/>
    <w:unhideWhenUsed/>
    <w:rsid w:val="00877FC6"/>
    <w:rPr>
      <w:sz w:val="18"/>
      <w:szCs w:val="18"/>
    </w:rPr>
  </w:style>
  <w:style w:type="paragraph" w:styleId="CommentText">
    <w:name w:val="annotation text"/>
    <w:basedOn w:val="Normal"/>
    <w:link w:val="CommentTextChar"/>
    <w:uiPriority w:val="99"/>
    <w:semiHidden/>
    <w:unhideWhenUsed/>
    <w:rsid w:val="00877FC6"/>
    <w:pPr>
      <w:spacing w:line="240" w:lineRule="auto"/>
    </w:pPr>
    <w:rPr>
      <w:sz w:val="24"/>
      <w:szCs w:val="24"/>
    </w:rPr>
  </w:style>
  <w:style w:type="character" w:customStyle="1" w:styleId="CommentTextChar">
    <w:name w:val="Comment Text Char"/>
    <w:basedOn w:val="DefaultParagraphFont"/>
    <w:link w:val="CommentText"/>
    <w:uiPriority w:val="99"/>
    <w:semiHidden/>
    <w:rsid w:val="00877FC6"/>
    <w:rPr>
      <w:rFonts w:ascii="Arial" w:eastAsia="Arial" w:hAnsi="Arial" w:cs="Arial"/>
      <w:color w:val="000000"/>
      <w:sz w:val="24"/>
      <w:szCs w:val="24"/>
    </w:rPr>
  </w:style>
  <w:style w:type="paragraph" w:styleId="CommentSubject">
    <w:name w:val="annotation subject"/>
    <w:basedOn w:val="CommentText"/>
    <w:next w:val="CommentText"/>
    <w:link w:val="CommentSubjectChar"/>
    <w:uiPriority w:val="99"/>
    <w:semiHidden/>
    <w:unhideWhenUsed/>
    <w:rsid w:val="00877FC6"/>
    <w:rPr>
      <w:b/>
      <w:bCs/>
      <w:sz w:val="20"/>
      <w:szCs w:val="20"/>
    </w:rPr>
  </w:style>
  <w:style w:type="character" w:customStyle="1" w:styleId="CommentSubjectChar">
    <w:name w:val="Comment Subject Char"/>
    <w:basedOn w:val="CommentTextChar"/>
    <w:link w:val="CommentSubject"/>
    <w:uiPriority w:val="99"/>
    <w:semiHidden/>
    <w:rsid w:val="00877FC6"/>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comments" Target="comments.xml"/><Relationship Id="rId8" Type="http://schemas.microsoft.com/office/2011/relationships/commentsExtended" Target="commentsExtended.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1695</Words>
  <Characters>9665</Characters>
  <Application>Microsoft Macintosh Word</Application>
  <DocSecurity>0</DocSecurity>
  <Lines>80</Lines>
  <Paragraphs>22</Paragraphs>
  <ScaleCrop>false</ScaleCrop>
  <Company>Hewlett-Packard</Company>
  <LinksUpToDate>false</LinksUpToDate>
  <CharactersWithSpaces>11338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Wisdom (Encyclopedia Article).docx</dc:title>
  <cp:lastModifiedBy>Catrin Williams</cp:lastModifiedBy>
  <cp:revision>2</cp:revision>
  <dcterms:created xsi:type="dcterms:W3CDTF">2017-02-16T18:18:00Z</dcterms:created>
  <dcterms:modified xsi:type="dcterms:W3CDTF">2017-02-16T18:18:00Z</dcterms:modified>
</cp:coreProperties>
</file>