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sz w:val="36"/>
        </w:rPr>
      </w:pPr>
      <w:r>
        <w:rPr>
          <w:sz w:val="36"/>
        </w:rPr>
        <w:t>AHAN 5005</w:t>
      </w:r>
    </w:p>
    <w:p>
      <w:pPr>
        <w:jc w:val="center"/>
        <w:rPr>
          <w:sz w:val="36"/>
        </w:rPr>
      </w:pPr>
    </w:p>
    <w:p>
      <w:pPr>
        <w:jc w:val="center"/>
        <w:rPr>
          <w:sz w:val="36"/>
        </w:rPr>
      </w:pPr>
      <w:r>
        <w:rPr>
          <w:sz w:val="36"/>
        </w:rPr>
        <w:t>Stephen Moyes</w:t>
      </w:r>
    </w:p>
    <w:p>
      <w:pPr>
        <w:jc w:val="center"/>
        <w:rPr>
          <w:sz w:val="36"/>
        </w:rPr>
      </w:pPr>
    </w:p>
    <w:p>
      <w:pPr>
        <w:jc w:val="center"/>
        <w:rPr>
          <w:sz w:val="36"/>
        </w:rPr>
      </w:pPr>
      <w:r>
        <w:rPr>
          <w:sz w:val="36"/>
        </w:rPr>
        <w:t>Student Number 1504278</w:t>
      </w:r>
    </w:p>
    <w:p>
      <w:pPr>
        <w:jc w:val="center"/>
        <w:rPr>
          <w:sz w:val="36"/>
        </w:rPr>
      </w:pPr>
    </w:p>
    <w:p>
      <w:pPr>
        <w:jc w:val="center"/>
        <w:rPr>
          <w:sz w:val="36"/>
        </w:rPr>
      </w:pPr>
      <w:r>
        <w:rPr>
          <w:sz w:val="36"/>
        </w:rPr>
        <w:t>Assignment 1 – Essay</w:t>
      </w:r>
    </w:p>
    <w:p>
      <w:pPr>
        <w:jc w:val="center"/>
        <w:rPr>
          <w:sz w:val="36"/>
        </w:rPr>
      </w:pPr>
    </w:p>
    <w:p>
      <w:pPr>
        <w:jc w:val="center"/>
        <w:rPr>
          <w:sz w:val="36"/>
        </w:rPr>
      </w:pPr>
      <w:r>
        <w:rPr>
          <w:sz w:val="36"/>
        </w:rPr>
        <w:t>27 November 2017</w:t>
      </w:r>
    </w:p>
    <w:p>
      <w:pPr>
        <w:jc w:val="center"/>
        <w:rPr>
          <w:sz w:val="28"/>
          <w:b/>
        </w:rPr>
      </w:pPr>
      <w:r>
        <w:rPr>
          <w:sz w:val="36"/>
        </w:rPr>
        <w:br w:type="page"/>
      </w:r>
      <w:r>
        <w:rPr>
          <w:sz w:val="28"/>
          <w:b/>
        </w:rPr>
        <w:t>How Can Material Objects Have a Social Life?</w:t>
      </w:r>
    </w:p>
    <w:p>
      <w:pPr>
        <w:rPr>
          <w:sz w:val="24"/>
        </w:rPr>
      </w:pPr>
    </w:p>
    <w:p>
      <w:pPr>
        <w:rPr>
          <w:sz w:val="24"/>
        </w:rPr>
      </w:pPr>
    </w:p>
    <w:p>
      <w:pPr>
        <w:spacing w:line="480" w:lineRule="auto"/>
        <w:rPr>
          <w:sz w:val="24"/>
        </w:rPr>
      </w:pPr>
      <w:r>
        <w:rPr>
          <w:sz w:val="24"/>
        </w:rPr>
        <w:t>Material objects can be said to have social lives. In order to understand and explain this concept, we must consider the part objects play in human society and cultural practices. This can be done by exploring some relevant texts and considering ethnographic examples.</w:t>
      </w:r>
    </w:p>
    <w:p>
      <w:pPr>
        <w:spacing w:line="480" w:lineRule="auto"/>
        <w:rPr>
          <w:sz w:val="24"/>
        </w:rPr>
      </w:pPr>
    </w:p>
    <w:p>
      <w:pPr>
        <w:spacing w:line="480" w:lineRule="auto"/>
        <w:rPr>
          <w:sz w:val="24"/>
        </w:rPr>
      </w:pPr>
      <w:r>
        <w:rPr>
          <w:sz w:val="24"/>
        </w:rPr>
        <w:t>Objects, whether craft items, manufactured goods, art works, or even food, reflect the nature of the culture in which they exist. Appadurai, in his introduction to the edited collection The Social Life of Things (1986), concentrates on the use of objects as a way of understanding exchange relationships. He draws distinction between the ways in which commodities circulate in monetized societies and what he describes as ”non-Western, preindustrial, nonmonetized, translocal exchange” systems (1986, p.18). Appadurai uses the well known ethnographic example of the Kula ring practised by the Trobriand Island people, which was described by the anthropologist Malinowski, in his ethnography Argonauts of the Western Pacific (1932). In the Kula system, islanders travel great distances by sea, to exchange shell necklaces and armbands with the communities of other islands in their archipelago. The shells themselves have little intrinsic value, but they become increasingly important as their exchange serves to maintain social bonds between communities. The Trobriand men enhance their status in the exchange and the items themselves increase in perceived importance, as they become reminders of those who exchanged them and symbols of their status.</w:t>
      </w:r>
    </w:p>
    <w:p>
      <w:pPr>
        <w:spacing w:line="480" w:lineRule="auto"/>
        <w:rPr>
          <w:sz w:val="24"/>
        </w:rPr>
      </w:pPr>
    </w:p>
    <w:p>
      <w:pPr>
        <w:spacing w:line="480" w:lineRule="auto"/>
        <w:rPr>
          <w:sz w:val="24"/>
        </w:rPr>
      </w:pPr>
      <w:r>
        <w:rPr>
          <w:sz w:val="24"/>
        </w:rPr>
        <w:t>Although Appadurai concentrates mainly on comparing and contrasting the movement of objects within gift and commodity societies and how that movement reflects human culture, he does begin actually ascribe agency to the things themselves. As the shell items increase in value, through repeated exchange, they can begin to have an effect on members of the community in which they are present at any given time. This is reflected in the way the presence of necklaces or armbands of higher perceived value forces the Kula participants to increase their activity, or divert from their usual paths of travel. Appadurai significantly quotes Munn on the subject of material agency: “Although men appear to be the agents in defining shell value, in face, without the shells, men cannot define their own value; in this respect, shells and men are reciprocally agents of each other’s value definition.” (Munn, 1983, p.283, cited in Appadurai, 1986, p.20).</w:t>
      </w:r>
    </w:p>
    <w:p>
      <w:pPr>
        <w:spacing w:line="480" w:lineRule="auto"/>
        <w:rPr>
          <w:sz w:val="24"/>
        </w:rPr>
      </w:pPr>
    </w:p>
    <w:p>
      <w:pPr>
        <w:spacing w:line="480" w:lineRule="auto"/>
        <w:rPr>
          <w:sz w:val="24"/>
        </w:rPr>
      </w:pPr>
      <w:r>
        <w:rPr>
          <w:sz w:val="24"/>
        </w:rPr>
        <w:t>In his essay in The Social Life of Things, Igor Kopytoff proposes that things can be thought of as having biographies, in much the same way as humans. He uses a description of the lives of humans under slavery to explain how the social status of commodities changes over the period of their existence (Kopytoff, 1986). When humans are captured and enslaved, the become, in effect, commoditized. When a slave is commoditized, they are also deindividuized and are treated in much the same way as objects. After a time in captivity, the slave may regain a degree of freedom within their new community, but at some point they may be sold and bought again. The moving in and out of commodity status is part of the slave’s cultural identity and biography. We can then understand how objects can move can have biographies: they in and out of various states, perhaps beginning by being bought and sold as commodities, but later given as gifts, exchanged, inherited, damaged, repaired, lost, found, or perhaps eventually destroyed. Since we can see that things have biographies which can be followed and described, we can conclude that, metaphorically at least, they have lives.</w:t>
      </w:r>
    </w:p>
    <w:p>
      <w:pPr>
        <w:spacing w:line="480" w:lineRule="auto"/>
        <w:rPr>
          <w:sz w:val="24"/>
        </w:rPr>
      </w:pPr>
    </w:p>
    <w:p>
      <w:pPr>
        <w:spacing w:line="480" w:lineRule="auto"/>
        <w:rPr>
          <w:sz w:val="24"/>
        </w:rPr>
      </w:pPr>
      <w:r>
        <w:rPr>
          <w:sz w:val="24"/>
        </w:rPr>
        <w:t>The social lives of things, and their biographies, are of particular interest to anthropologists, as they vary greatly, like the social lives of humans, according to the culture in which they ‘live’. Kopytoff gives the example of different ways a car can be culturally perceived and used: “The biography of a car in Africa would reveal a wealth of cultural data: the way it was acquired, how and from whom the money was assembled to pay for it, the relationship of the seller to the buyer, the uses to which the car is frequently put, the identity of its most frequent passengers and those who borrow it, the frequency of borrowing, the garages to which it is taken and the owner’s relation to the mechanics, the movement of the car from hand to hand over the years, and in the end, when the car collapses, the final disposition of its remains. All of these details would reveal an entirely different biography from that of a middle-class American or Navajo, or French peasant car.” (Kopytoff, 1986, p.67.)</w:t>
      </w:r>
    </w:p>
    <w:p>
      <w:pPr>
        <w:spacing w:line="480" w:lineRule="auto"/>
        <w:rPr>
          <w:sz w:val="24"/>
        </w:rPr>
      </w:pPr>
    </w:p>
    <w:p>
      <w:pPr>
        <w:spacing w:line="480" w:lineRule="auto"/>
        <w:rPr>
          <w:sz w:val="24"/>
        </w:rPr>
      </w:pPr>
      <w:r>
        <w:rPr>
          <w:sz w:val="24"/>
        </w:rPr>
        <w:t>A class of vehicle that have a very different biography from that of Kopytoff’s ‘middle-class American’ are the four wheel drive Toyotas given to the Pintupi, an Aboriginal group in the Western Desert of Australia, as described in ethnographic accounts by Fred Myers (2016). The vehicles are given by the government to assist the Pintupi in the rough terrain they inhabit and are seen as belonging to ‘the community’. Although they are not the property of any individual, they are untrusted into the care of one man, usually a Village Councilor. This can be a burden to the vehicle’s keeper, as he is obliged, in accordance with Pintupi cultural norms, go give lifts to whoever may ask for them. The Pintupi have little interest in money, so do not think of the Toyotas in terms of their monetary value, and since the trucks are given to them anyway and replaced when needed, they put no effort into maintaining them. The vehicles often only last a few weeks before they are abandoned (2016, p.560). If the keeper of a community vehicle dies, it is usually burned, as his friends and family would find it a sad reminder of their lost loved one. This is a marked contrast to European and North American cultures, where possessions of the deceased are often kept and treasured precisely because they are reminders of the departed.</w:t>
      </w:r>
    </w:p>
    <w:p>
      <w:pPr>
        <w:spacing w:line="480" w:lineRule="auto"/>
        <w:rPr>
          <w:sz w:val="24"/>
        </w:rPr>
      </w:pPr>
    </w:p>
    <w:p>
      <w:pPr>
        <w:spacing w:line="480" w:lineRule="auto"/>
        <w:rPr>
          <w:sz w:val="24"/>
        </w:rPr>
      </w:pPr>
      <w:r>
        <w:rPr>
          <w:sz w:val="24"/>
        </w:rPr>
        <w:t>Material items intended to be consumed in the shorter term may not at first be thought of as having such extensive biographies as motor vehicles, but their cultural importance means that they still have lives within societies. Just as the Pintupi’s community trucks are shared unquestioningly, food and cigarettes are also shared (Myers, 2016, pp. 556-559). If a Pintupi is asked for a cigarette or some meat, they are expected to share what they have. This is done without complaint, although it is also quite acceptable to hide a supply of food or tobacco on occasion and deny its existence.</w:t>
      </w:r>
    </w:p>
    <w:p>
      <w:pPr>
        <w:spacing w:line="480" w:lineRule="auto"/>
        <w:rPr>
          <w:sz w:val="24"/>
        </w:rPr>
      </w:pPr>
    </w:p>
    <w:p>
      <w:pPr>
        <w:spacing w:line="480" w:lineRule="auto"/>
        <w:rPr>
          <w:sz w:val="24"/>
        </w:rPr>
      </w:pPr>
      <w:r>
        <w:rPr>
          <w:sz w:val="24"/>
        </w:rPr>
        <w:t>Another interesting example of a food item with an important social life is the cuy, or roast guinea pig in the village of Jima, Ecuador (Abbots, 2012). The rearing, slaughtering, preparing and cooking are carried out in the home by members of the household and are imbued with great cultural significance. Cuy, prepared in a very specific way, is seen very much as a local dish and is important in maintaining a sense of place and local history. Perhaps even more importantly, the cuy are instrumental in maintaining links between women in Jima and their husbands, many of whom have migrated to New York for work. Within Ecuadorian culture, cuy is generally an item of exchange. When it is given as a gift, it is expected to be reciprocated with some other home produced food stuff. As it is not possible for migrants in the United States to reciprocate with food this way, they reciprocate by sending money and other gifts (2012, p.2). Gifts of food are sent to migrants on special occasions, such as birthday, Christmas, Easter and other feast days. It seem the roast cuy have become go-betweens, carrying messages of love and thanks to absent family members. Perhaps it could even be said that the dead guinea pigs have more exciting social lives than live ones.</w:t>
      </w:r>
    </w:p>
    <w:p>
      <w:pPr>
        <w:spacing w:line="480" w:lineRule="auto"/>
        <w:rPr>
          <w:sz w:val="24"/>
        </w:rPr>
      </w:pPr>
    </w:p>
    <w:p>
      <w:pPr>
        <w:spacing w:line="480" w:lineRule="auto"/>
        <w:rPr>
          <w:sz w:val="24"/>
        </w:rPr>
      </w:pPr>
      <w:r>
        <w:rPr>
          <w:sz w:val="24"/>
        </w:rPr>
        <w:t xml:space="preserve">Whilst the examples mentioned so far go some way towards recognizing that material objects have a degree of agency conferred upon them from within human culture, the new materialism movement goes a step further away from anthropocentrism, considering them to have agency in their own right. This is what Jane Bennett refers to as </w:t>
      </w:r>
      <w:r>
        <w:rPr>
          <w:sz w:val="24"/>
          <w:i/>
        </w:rPr>
        <w:t>thing power</w:t>
      </w:r>
      <w:r>
        <w:rPr>
          <w:sz w:val="24"/>
        </w:rPr>
        <w:t xml:space="preserve"> (Bennett, 2012). Bennett describes encounters with objects, both human-made and not, which share our environment and act, whether we like it or not. In fact, they would continue to live their social lives, regardless of whether we are even aware of them. Bennett’s message is at least partly environmental. She wants us to be aware of what things are saying to us and what they can do to us, with us and for us. And in any case, we humans are things too, and we should recognise this. Our thingness, along with the social nature of non-human things, means that we can share their world, just as they share ours. “My claims here are motivated by a self-interested or conative concern for human survival and happiness: I want to promote greener forms of human culture and more attentive encounters between people-materialities and thing-materialities 2012, ix)”</w:t>
      </w:r>
    </w:p>
    <w:p>
      <w:pPr>
        <w:spacing w:line="480" w:lineRule="auto"/>
        <w:rPr>
          <w:sz w:val="24"/>
        </w:rPr>
      </w:pPr>
    </w:p>
    <w:p>
      <w:pPr>
        <w:spacing w:line="480" w:lineRule="auto"/>
        <w:rPr>
          <w:sz w:val="24"/>
        </w:rPr>
      </w:pPr>
      <w:r>
        <w:rPr>
          <w:sz w:val="24"/>
        </w:rPr>
        <w:t xml:space="preserve">So material objects can be said to have social lives, because things act and interact with the lives of humans. They are part of human culture, but can also be said to have cultures of their own, of which we may, or may not, be a part. </w:t>
        <w:br w:type="page"/>
      </w:r>
      <w:r>
        <w:rPr>
          <w:sz w:val="24"/>
          <w:b/>
        </w:rPr>
        <w:t>References</w:t>
      </w:r>
    </w:p>
    <w:p>
      <w:pPr>
        <w:rPr>
          <w:sz w:val="24"/>
        </w:rPr>
      </w:pPr>
    </w:p>
    <w:p>
      <w:pPr>
        <w:rPr>
          <w:sz w:val="24"/>
        </w:rPr>
      </w:pPr>
      <w:r>
        <w:rPr>
          <w:sz w:val="24"/>
        </w:rPr>
        <w:t>Abbotts, E-J., (2012). ‘The Celebratory and the Everyday: Guinea Pigs, Hamburgers and the Performance of Food Heritage in Highland Ecuador’, in Celebrations: Proceedings of the 30</w:t>
      </w:r>
      <w:r>
        <w:rPr>
          <w:sz w:val="24"/>
          <w:vertAlign w:val="superscript"/>
        </w:rPr>
        <w:t>th</w:t>
      </w:r>
      <w:r>
        <w:rPr>
          <w:sz w:val="24"/>
        </w:rPr>
        <w:t xml:space="preserve"> Oxford Symposium on Food and Cookery. London: Prospect Books.</w:t>
      </w:r>
    </w:p>
    <w:p>
      <w:pPr>
        <w:rPr>
          <w:sz w:val="24"/>
        </w:rPr>
      </w:pPr>
    </w:p>
    <w:p>
      <w:pPr>
        <w:rPr>
          <w:sz w:val="24"/>
        </w:rPr>
      </w:pPr>
    </w:p>
    <w:p>
      <w:pPr>
        <w:rPr>
          <w:sz w:val="24"/>
        </w:rPr>
      </w:pPr>
      <w:r>
        <w:rPr>
          <w:sz w:val="24"/>
        </w:rPr>
        <w:t xml:space="preserve">Appadurai, A. (ed), (1986). </w:t>
      </w:r>
      <w:r>
        <w:rPr>
          <w:sz w:val="24"/>
          <w:i/>
        </w:rPr>
        <w:t>The Social Life of Things: Commodities in Cultural Perspective</w:t>
      </w:r>
      <w:r>
        <w:rPr>
          <w:sz w:val="24"/>
        </w:rPr>
        <w:t>. Cambridge: Cambridge University Press.</w:t>
      </w:r>
    </w:p>
    <w:p>
      <w:pPr>
        <w:rPr>
          <w:sz w:val="24"/>
        </w:rPr>
      </w:pPr>
    </w:p>
    <w:p>
      <w:pPr>
        <w:rPr>
          <w:sz w:val="24"/>
        </w:rPr>
      </w:pPr>
    </w:p>
    <w:p>
      <w:pPr>
        <w:rPr>
          <w:sz w:val="24"/>
        </w:rPr>
      </w:pPr>
      <w:r>
        <w:rPr>
          <w:sz w:val="24"/>
        </w:rPr>
        <w:t xml:space="preserve">Bennett, J., (2010). </w:t>
      </w:r>
      <w:r>
        <w:rPr>
          <w:sz w:val="24"/>
          <w:i/>
        </w:rPr>
        <w:t>Vibrant Matter: A Political Ecology of Things</w:t>
      </w:r>
      <w:r>
        <w:rPr>
          <w:sz w:val="24"/>
        </w:rPr>
        <w:t>. Durham: Duke University Press.</w:t>
      </w:r>
    </w:p>
    <w:p>
      <w:pPr>
        <w:rPr>
          <w:sz w:val="24"/>
        </w:rPr>
      </w:pPr>
    </w:p>
    <w:p>
      <w:pPr>
        <w:rPr>
          <w:sz w:val="24"/>
        </w:rPr>
      </w:pPr>
    </w:p>
    <w:p>
      <w:pPr>
        <w:rPr>
          <w:sz w:val="24"/>
        </w:rPr>
      </w:pPr>
      <w:r>
        <w:rPr>
          <w:sz w:val="24"/>
        </w:rPr>
        <w:t xml:space="preserve">Kopytoff, I., (2986). The Cultural Biography of Things: Commoditization as Process, In Appadurai, A. (ed), (1986). </w:t>
      </w:r>
      <w:r>
        <w:rPr>
          <w:sz w:val="24"/>
          <w:i/>
        </w:rPr>
        <w:t>The Social Life of Things: Commodities in Cultural Perspective</w:t>
      </w:r>
      <w:r>
        <w:rPr>
          <w:sz w:val="24"/>
        </w:rPr>
        <w:t>. Cambridge: Cambridge University Press.</w:t>
      </w:r>
    </w:p>
    <w:p>
      <w:pPr>
        <w:rPr>
          <w:sz w:val="24"/>
        </w:rPr>
      </w:pPr>
    </w:p>
    <w:p>
      <w:pPr>
        <w:rPr>
          <w:sz w:val="24"/>
        </w:rPr>
      </w:pPr>
    </w:p>
    <w:p>
      <w:pPr>
        <w:rPr>
          <w:sz w:val="24"/>
        </w:rPr>
      </w:pPr>
      <w:r>
        <w:rPr>
          <w:sz w:val="24"/>
        </w:rPr>
        <w:t>Munn, N., (1983). Gawan kula: Spaciotemporal Control and the symbolism of influence. In Leach, J. and Leach, E. (eds), (1983). The Kula: New perspectives on massim exchange, 227-308. Canbridge: Cambridge University Press.</w:t>
      </w:r>
    </w:p>
    <w:p>
      <w:pPr>
        <w:rPr>
          <w:sz w:val="24"/>
        </w:rPr>
      </w:pPr>
    </w:p>
    <w:p>
      <w:pPr>
        <w:rPr>
          <w:sz w:val="24"/>
        </w:rPr>
      </w:pPr>
    </w:p>
    <w:p>
      <w:pPr>
        <w:rPr>
          <w:sz w:val="24"/>
        </w:rPr>
      </w:pPr>
      <w:r>
        <w:rPr>
          <w:sz w:val="24"/>
        </w:rPr>
        <w:t xml:space="preserve">Myers, F., (2016). </w:t>
      </w:r>
      <w:r>
        <w:rPr>
          <w:sz w:val="24"/>
          <w:i/>
        </w:rPr>
        <w:t>Burning the Truck: Pintupi Forms of Property and Identity</w:t>
      </w:r>
      <w:r>
        <w:rPr>
          <w:sz w:val="24"/>
        </w:rPr>
        <w:t>. [pdf] New York: New York University. Available at:</w:t>
      </w:r>
    </w:p>
    <w:p>
      <w:pPr>
        <w:rPr>
          <w:sz w:val="24"/>
        </w:rPr>
      </w:pPr>
      <w:r>
        <w:rPr>
          <w:sz w:val="24"/>
        </w:rPr>
        <w:t>&lt;</w:t>
        <w:fldChar w:fldCharType="begin"/>
        <w:instrText xml:space="preserve"> HYPERLINK "https://www.haujournal.org/index.php/hau/article/view/hau6.1.035/2229" </w:instrText>
        <w:fldChar w:fldCharType="separate"/>
        <w:t>https://www.haujournal.org/index.php/hau/article/view/hau6.1.035/2229</w:t>
        <w:fldChar w:fldCharType="end"/>
        <w:t>&gt; [Accessed 27 November 2017]</w:t>
      </w:r>
    </w:p>
    <w:p>
      <w:pPr>
        <w:jc w:val="center"/>
        <w:rPr>
          <w:sz w:val="28"/>
        </w:rPr>
      </w:pPr>
      <w:r>
        <w:rPr>
          <w:sz w:val="24"/>
        </w:rPr>
        <w:br w:type="page"/>
      </w:r>
      <w:r>
        <w:rPr>
          <w:sz w:val="28"/>
          <w:b/>
        </w:rPr>
        <w:t>Bibliography</w:t>
      </w:r>
    </w:p>
    <w:p>
      <w:pPr>
        <w:rPr>
          <w:sz w:val="24"/>
        </w:rPr>
      </w:pPr>
    </w:p>
    <w:p>
      <w:pPr>
        <w:rPr>
          <w:sz w:val="24"/>
        </w:rPr>
      </w:pPr>
      <w:r>
        <w:rPr>
          <w:sz w:val="24"/>
        </w:rPr>
        <w:t>Abbotts, E-J., (2012). ‘The Celebratory and the Everyday: Guinea Pigs, Hamburgers and the Performance of Food Heritage in Highland Ecuador’, in Celebrations: Proceedings of the 30</w:t>
      </w:r>
      <w:r>
        <w:rPr>
          <w:sz w:val="24"/>
          <w:vertAlign w:val="superscript"/>
        </w:rPr>
        <w:t>th</w:t>
      </w:r>
      <w:r>
        <w:rPr>
          <w:sz w:val="24"/>
        </w:rPr>
        <w:t xml:space="preserve"> Oxford Symposium on Food and Cookery. London: Prospect Books.</w:t>
      </w:r>
    </w:p>
    <w:p>
      <w:pPr>
        <w:rPr>
          <w:sz w:val="24"/>
        </w:rPr>
      </w:pPr>
    </w:p>
    <w:p>
      <w:pPr>
        <w:rPr>
          <w:sz w:val="24"/>
        </w:rPr>
      </w:pPr>
      <w:r>
        <w:rPr>
          <w:sz w:val="24"/>
        </w:rPr>
        <w:t xml:space="preserve">Appadurai, A. (ed), (1986). </w:t>
      </w:r>
      <w:r>
        <w:rPr>
          <w:sz w:val="24"/>
          <w:i/>
        </w:rPr>
        <w:t>The Social Life of Things: Commodities in Cultural Perspective</w:t>
      </w:r>
      <w:r>
        <w:rPr>
          <w:sz w:val="24"/>
        </w:rPr>
        <w:t>. Cambridge: Cambridge University Press.</w:t>
      </w:r>
    </w:p>
    <w:p>
      <w:pPr>
        <w:rPr>
          <w:sz w:val="24"/>
        </w:rPr>
      </w:pPr>
    </w:p>
    <w:p>
      <w:pPr>
        <w:rPr>
          <w:sz w:val="24"/>
        </w:rPr>
      </w:pPr>
      <w:r>
        <w:rPr>
          <w:sz w:val="24"/>
        </w:rPr>
        <w:t xml:space="preserve">Bennett, J., (2010). </w:t>
      </w:r>
      <w:r>
        <w:rPr>
          <w:sz w:val="24"/>
          <w:i/>
        </w:rPr>
        <w:t>Vibrant Matter: A Political Ecology of Things</w:t>
      </w:r>
      <w:r>
        <w:rPr>
          <w:sz w:val="24"/>
        </w:rPr>
        <w:t>. Durham: Duke University Press.</w:t>
      </w:r>
    </w:p>
    <w:p>
      <w:pPr>
        <w:rPr>
          <w:sz w:val="24"/>
        </w:rPr>
      </w:pPr>
    </w:p>
    <w:p>
      <w:pPr>
        <w:rPr>
          <w:sz w:val="24"/>
        </w:rPr>
      </w:pPr>
      <w:r>
        <w:rPr>
          <w:sz w:val="24"/>
        </w:rPr>
        <w:t xml:space="preserve">Camic, P., (2010). </w:t>
      </w:r>
      <w:r>
        <w:rPr>
          <w:sz w:val="24"/>
          <w:i/>
        </w:rPr>
        <w:t>From Trashed to Treasured: A Grounded Theory Analysis of the Found Object</w:t>
      </w:r>
      <w:r>
        <w:rPr>
          <w:sz w:val="24"/>
        </w:rPr>
        <w:t>. [pdf] American Psychological Association. Available at: &lt;https://www.researchgate.net/publication/232454545_From_Trashed_to_Treasured_A_Grounded_Theory_Analysis_of_the_Found_Object &gt; [Accessed 27 November 2017]</w:t>
      </w:r>
    </w:p>
    <w:p>
      <w:pPr>
        <w:rPr>
          <w:sz w:val="24"/>
        </w:rPr>
      </w:pPr>
    </w:p>
    <w:p>
      <w:pPr>
        <w:rPr>
          <w:sz w:val="24"/>
        </w:rPr>
      </w:pPr>
      <w:r>
        <w:rPr>
          <w:sz w:val="24"/>
        </w:rPr>
        <w:t xml:space="preserve">Epp, A. and Price, L., (2010). </w:t>
      </w:r>
      <w:r>
        <w:rPr>
          <w:sz w:val="24"/>
          <w:i/>
        </w:rPr>
        <w:t>The Storied Life of Singularized Objects: Forces of Agency and Network Transformation</w:t>
      </w:r>
      <w:r>
        <w:rPr>
          <w:sz w:val="24"/>
        </w:rPr>
        <w:t>. [pdf] Oxford University Press. Available at: &lt;http://www.jstor.org.ezproxy.uwtsd.ac.uk/stable/10.1086/603547?Search=yes&amp;resultItemClick=true&amp;searchText=life&amp;searchText=of&amp;searchText=objects&amp;searchUri=%2Faction%2FdoBasicSearch%3FQuery%3Dlife%2Bof%2Bobjects%26amp%3Bacc%3Don%26amp%3Bwc%3Don%26amp%3Bfc%3Doff%26amp%3Bgroup%3Dnone &gt; [Accessed 27 November 2017]</w:t>
      </w:r>
    </w:p>
    <w:p>
      <w:pPr>
        <w:rPr>
          <w:sz w:val="24"/>
        </w:rPr>
      </w:pPr>
    </w:p>
    <w:p>
      <w:pPr>
        <w:rPr>
          <w:sz w:val="24"/>
        </w:rPr>
      </w:pPr>
      <w:r>
        <w:rPr>
          <w:sz w:val="24"/>
        </w:rPr>
        <w:t xml:space="preserve">Humphrey, C. and Hugh-Jones, S. (eds), (1992). </w:t>
      </w:r>
      <w:r>
        <w:rPr>
          <w:sz w:val="24"/>
          <w:i/>
        </w:rPr>
        <w:t>Barter, Exchange and Value: An Anthropological Appraoach</w:t>
      </w:r>
      <w:r>
        <w:rPr>
          <w:sz w:val="24"/>
        </w:rPr>
        <w:t>. Cambridge: Cambridge University Press.</w:t>
      </w:r>
    </w:p>
    <w:p>
      <w:pPr>
        <w:rPr>
          <w:sz w:val="24"/>
        </w:rPr>
      </w:pPr>
    </w:p>
    <w:p>
      <w:pPr>
        <w:rPr>
          <w:sz w:val="24"/>
        </w:rPr>
      </w:pPr>
      <w:r>
        <w:rPr>
          <w:sz w:val="24"/>
        </w:rPr>
        <w:t xml:space="preserve">Karimi, P., (2016). </w:t>
      </w:r>
      <w:r>
        <w:rPr>
          <w:sz w:val="24"/>
          <w:i/>
        </w:rPr>
        <w:t>The Social Life of Foreign Things: Appropriating and Contesting the Modern Home in Iran</w:t>
      </w:r>
      <w:r>
        <w:rPr>
          <w:sz w:val="24"/>
        </w:rPr>
        <w:t>. [pdf] Oklahoma State University &lt;https://www.academia.edu/30101836/_The_Social_Life_of_Foreign_Things_at_Oklahoma_State_University&gt; [Accessed 27 November 2017]</w:t>
      </w:r>
    </w:p>
    <w:p>
      <w:pPr>
        <w:rPr>
          <w:sz w:val="24"/>
        </w:rPr>
      </w:pPr>
    </w:p>
    <w:p>
      <w:pPr>
        <w:rPr>
          <w:sz w:val="24"/>
        </w:rPr>
      </w:pPr>
      <w:r>
        <w:rPr>
          <w:sz w:val="24"/>
        </w:rPr>
        <w:t xml:space="preserve">Kopytoff, I., (2986). The Cultural Biography of Things: Commoditization as Process, In Appadurai, A. (ed), (1986). </w:t>
      </w:r>
      <w:r>
        <w:rPr>
          <w:sz w:val="24"/>
          <w:i/>
        </w:rPr>
        <w:t>The Social Life of Things: Commodities in Cultural Perspective</w:t>
      </w:r>
      <w:r>
        <w:rPr>
          <w:sz w:val="24"/>
        </w:rPr>
        <w:t>. Cambridge: Cambridge University Press.</w:t>
      </w:r>
    </w:p>
    <w:p>
      <w:pPr>
        <w:rPr>
          <w:sz w:val="24"/>
        </w:rPr>
      </w:pPr>
    </w:p>
    <w:p>
      <w:pPr>
        <w:rPr>
          <w:sz w:val="24"/>
        </w:rPr>
      </w:pPr>
      <w:r>
        <w:rPr>
          <w:sz w:val="24"/>
        </w:rPr>
        <w:t xml:space="preserve">Malinowski, B., (1932). </w:t>
      </w:r>
      <w:r>
        <w:rPr>
          <w:sz w:val="24"/>
          <w:i/>
        </w:rPr>
        <w:t>Argonauts of the Western Pacific</w:t>
      </w:r>
      <w:r>
        <w:rPr>
          <w:sz w:val="24"/>
        </w:rPr>
        <w:t>. London: Routledge.</w:t>
      </w:r>
    </w:p>
    <w:p>
      <w:pPr>
        <w:rPr>
          <w:sz w:val="24"/>
        </w:rPr>
      </w:pPr>
    </w:p>
    <w:p>
      <w:pPr>
        <w:rPr>
          <w:sz w:val="24"/>
        </w:rPr>
      </w:pPr>
      <w:r>
        <w:rPr>
          <w:sz w:val="24"/>
        </w:rPr>
        <w:t xml:space="preserve">Marx, K., (1987) </w:t>
      </w:r>
      <w:r>
        <w:rPr>
          <w:sz w:val="24"/>
          <w:i/>
        </w:rPr>
        <w:t>Economic and Philosophic Manuscripts of 1844</w:t>
      </w:r>
      <w:r>
        <w:rPr>
          <w:sz w:val="24"/>
        </w:rPr>
        <w:t>. Buffalo: Prometheus Books.</w:t>
      </w:r>
    </w:p>
    <w:p>
      <w:pPr>
        <w:rPr>
          <w:sz w:val="24"/>
        </w:rPr>
      </w:pPr>
    </w:p>
    <w:p>
      <w:pPr>
        <w:rPr>
          <w:sz w:val="24"/>
        </w:rPr>
      </w:pPr>
      <w:r>
        <w:rPr>
          <w:sz w:val="24"/>
        </w:rPr>
        <w:t xml:space="preserve">Mauss, M., (2002). </w:t>
      </w:r>
      <w:r>
        <w:rPr>
          <w:sz w:val="24"/>
          <w:i/>
        </w:rPr>
        <w:t>The Gift: The Form and Reason for Exchange in Archaic Societies</w:t>
      </w:r>
      <w:r>
        <w:rPr>
          <w:sz w:val="24"/>
        </w:rPr>
        <w:t>. London: Routledge.</w:t>
      </w:r>
    </w:p>
    <w:p>
      <w:pPr>
        <w:rPr>
          <w:sz w:val="24"/>
        </w:rPr>
      </w:pPr>
    </w:p>
    <w:p>
      <w:pPr>
        <w:rPr>
          <w:sz w:val="24"/>
        </w:rPr>
      </w:pPr>
      <w:r>
        <w:rPr>
          <w:sz w:val="24"/>
        </w:rPr>
        <w:t xml:space="preserve">Miller, D., (1997). </w:t>
      </w:r>
      <w:r>
        <w:rPr>
          <w:sz w:val="24"/>
          <w:i/>
        </w:rPr>
        <w:t>Capitalism: An Ethnographic Approach</w:t>
      </w:r>
      <w:r>
        <w:rPr>
          <w:sz w:val="24"/>
        </w:rPr>
        <w:t>. Oxford: Berg.</w:t>
      </w:r>
    </w:p>
    <w:p>
      <w:pPr>
        <w:rPr>
          <w:sz w:val="24"/>
        </w:rPr>
      </w:pPr>
    </w:p>
    <w:p>
      <w:pPr>
        <w:rPr>
          <w:sz w:val="24"/>
        </w:rPr>
      </w:pPr>
      <w:r>
        <w:rPr>
          <w:sz w:val="24"/>
        </w:rPr>
        <w:t xml:space="preserve">Miller, D. (ed), (1998). </w:t>
      </w:r>
      <w:r>
        <w:rPr>
          <w:sz w:val="24"/>
          <w:i/>
        </w:rPr>
        <w:t>Material Cultures: Why Some Things Matter</w:t>
      </w:r>
      <w:r>
        <w:rPr>
          <w:sz w:val="24"/>
        </w:rPr>
        <w:t>. London: UCL Press</w:t>
      </w:r>
    </w:p>
    <w:p>
      <w:pPr>
        <w:rPr>
          <w:sz w:val="24"/>
        </w:rPr>
      </w:pPr>
    </w:p>
    <w:p>
      <w:pPr>
        <w:rPr>
          <w:sz w:val="24"/>
        </w:rPr>
      </w:pPr>
      <w:r>
        <w:rPr>
          <w:sz w:val="24"/>
        </w:rPr>
        <w:t>Munn, N., (1983). Gawan kula: Spaciotemporal Control and the symbolism of influence. In Leach, J. and Leach, E. (eds), (1983). The Kula: New perspectives on massim exchange, 227-308. Canbridge: Cambridge University Press.</w:t>
      </w:r>
    </w:p>
    <w:p>
      <w:pPr>
        <w:rPr>
          <w:sz w:val="24"/>
        </w:rPr>
      </w:pPr>
    </w:p>
    <w:p>
      <w:pPr>
        <w:rPr>
          <w:sz w:val="24"/>
        </w:rPr>
      </w:pPr>
      <w:r>
        <w:rPr>
          <w:sz w:val="24"/>
        </w:rPr>
        <w:t xml:space="preserve">Myers, F., (2016). </w:t>
      </w:r>
      <w:r>
        <w:rPr>
          <w:sz w:val="24"/>
          <w:i/>
        </w:rPr>
        <w:t>Burning the Truck: Pintupi Forms of Property and Identity</w:t>
      </w:r>
      <w:r>
        <w:rPr>
          <w:sz w:val="24"/>
        </w:rPr>
        <w:t>. [pdf] New York: New York University. Available at:</w:t>
      </w:r>
    </w:p>
    <w:p>
      <w:pPr>
        <w:rPr>
          <w:sz w:val="24"/>
        </w:rPr>
      </w:pPr>
      <w:r>
        <w:rPr>
          <w:sz w:val="24"/>
        </w:rPr>
        <w:t>&lt;</w:t>
        <w:fldChar w:fldCharType="begin"/>
        <w:instrText xml:space="preserve"> HYPERLINK "https://www.haujournal.org/index.php/hau/article/view/hau6.1.035/2229" </w:instrText>
        <w:fldChar w:fldCharType="separate"/>
        <w:t>https://www.haujournal.org/index.php/hau/article/view/hau6.1.035/2229</w:t>
        <w:fldChar w:fldCharType="end"/>
        <w:t>&gt; [Accessed 27 November 2017]</w:t>
      </w:r>
    </w:p>
    <w:p>
      <w:pPr>
        <w:rPr>
          <w:sz w:val="24"/>
        </w:rPr>
      </w:pPr>
    </w:p>
    <w:p>
      <w:pPr>
        <w:rPr>
          <w:sz w:val="24"/>
        </w:rPr>
      </w:pPr>
      <w:r>
        <w:rPr>
          <w:sz w:val="24"/>
        </w:rPr>
        <w:t xml:space="preserve">Parker, J., (2012) </w:t>
      </w:r>
      <w:r>
        <w:rPr>
          <w:sz w:val="24"/>
          <w:i/>
        </w:rPr>
        <w:t>The Gavel</w:t>
      </w:r>
      <w:r>
        <w:rPr>
          <w:sz w:val="24"/>
        </w:rPr>
        <w:t>. [pdf] Melbourne Law School. Available at: &lt;</w:t>
        <w:fldChar w:fldCharType="begin"/>
        <w:instrText xml:space="preserve"> HYPERLINK "https://www.academia.edu/28221183/The_gavel" </w:instrText>
        <w:fldChar w:fldCharType="separate"/>
        <w:t>https://www.academia.edu/28221183/The_gavel</w:t>
        <w:fldChar w:fldCharType="end"/>
        <w:t>&gt; [Accessed 27 November 2017]</w:t>
      </w:r>
    </w:p>
    <w:p>
      <w:pPr>
        <w:rPr>
          <w:sz w:val="24"/>
        </w:rPr>
      </w:pPr>
    </w:p>
    <w:p>
      <w:pPr>
        <w:rPr>
          <w:sz w:val="24"/>
        </w:rPr>
      </w:pPr>
      <w:r>
        <w:rPr>
          <w:sz w:val="24"/>
        </w:rPr>
        <w:t xml:space="preserve">Robben, A.C.G.M. and Sluka, J.A. (eds), (2007). </w:t>
      </w:r>
      <w:r>
        <w:rPr>
          <w:sz w:val="24"/>
          <w:i/>
        </w:rPr>
        <w:t>Ethnographic Fieldwork: An Anthropological Reader</w:t>
      </w:r>
      <w:r>
        <w:rPr>
          <w:sz w:val="24"/>
        </w:rPr>
        <w:t>. Malden: Blackwell.</w:t>
      </w:r>
    </w:p>
    <w:p>
      <w:pPr>
        <w:rPr>
          <w:sz w:val="24"/>
        </w:rPr>
      </w:pPr>
    </w:p>
    <w:p>
      <w:pPr>
        <w:rPr>
          <w:sz w:val="24"/>
        </w:rPr>
      </w:pPr>
      <w:r>
        <w:rPr>
          <w:sz w:val="24"/>
        </w:rPr>
        <w:t>Roepstorff, A. (2008). Things to Think with: Words and Objects as Material Symbols. [pdf] Royal Society. Available at: &lt;</w:t>
        <w:fldChar w:fldCharType="begin"/>
        <w:instrText xml:space="preserve"> HYPERLINK "http://www.jstor.org.ezproxy.uwtsd.ac.uk/stable/pdf/20208609.pdf" </w:instrText>
        <w:fldChar w:fldCharType="separate"/>
      </w:r>
      <w:r>
        <w:rPr>
          <w:sz w:val="24"/>
          <w:color w:val="0000FF"/>
          <w:u w:val="single"/>
        </w:rPr>
        <w:t>http://www.jstor.org.ezproxy.uwtsd.ac.uk/stable/pdf/20208609.pdf</w:t>
        <w:fldChar w:fldCharType="end"/>
      </w:r>
      <w:r>
        <w:rPr>
          <w:sz w:val="24"/>
        </w:rPr>
        <w:t>&gt; [Accessed 27 November 2017]</w:t>
      </w:r>
    </w:p>
    <w:p>
      <w:pPr>
        <w:rPr>
          <w:sz w:val="24"/>
        </w:rPr>
      </w:pPr>
    </w:p>
    <w:p>
      <w:pPr>
        <w:rPr>
          <w:sz w:val="24"/>
        </w:rPr>
      </w:pPr>
      <w:r>
        <w:rPr>
          <w:sz w:val="24"/>
        </w:rPr>
        <w:t xml:space="preserve">Stoller, P., (1989). </w:t>
      </w:r>
      <w:r>
        <w:rPr>
          <w:sz w:val="24"/>
          <w:i/>
        </w:rPr>
        <w:t>The Taste of Ethnographic Things: The Senses in Anthropology</w:t>
      </w:r>
      <w:r>
        <w:rPr>
          <w:sz w:val="24"/>
        </w:rPr>
        <w:t>. Philadelphia: University of Pennsyvania Press.</w:t>
      </w:r>
    </w:p>
    <w:sectPr>
      <w:pgSz w:w="11905" w:h="16838"/>
      <w:pgMar w:top="567" w:right="567" w:bottom="567" w:left="567" w:header="0" w:footer="0"/>
      <w:cols w:space="720"/>
      <w:noEndnote/>
      <w:pgNumType w:fmt="decimal"/>
      <w:footnotePr>
        <w:numFmt w:val="decimal"/>
        <w:numRestart w:val="continuous"/>
        <w:numStart w:val="1"/>
        <w:pos w:val="pageBottom"/>
      </w:footnotePr>
      <w:endnotePr>
        <w:numFmt w:val="lowerRoman"/>
        <w:numRestart w:val="continuous"/>
        <w:numStart w:val="1"/>
        <w:pos w:val="docEnd"/>
      </w:endnotePr>
    </w:sectPr>
  </w:body>
</w:document>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none" w:percent="150"/>
  <w:defaultTabStop w:val="720"/>
  <w:hyphenationZone w:val="36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lang w:val="en-GB"/>
      </w:rPr>
    </w:rPrDefault>
    <w:pPrDefault>
      <w:pPr>
        <w:spacing w:line="240" w:lineRule="auto"/>
      </w:pPr>
    </w:pPrDefault>
  </w:docDefaults>
  <w:style w:type="paragraph" w:default="1" w:styleId="Normal">
    <w:name w:val="Normal"/>
    <w:rPr>
      <w:rFonts w:ascii="Arial" w:hAnsi="Arial" w:eastAsia="Arial"/>
      <w:sz w:val="22"/>
    </w:rPr>
    <w:pPr>
      <w:widowControl/>
    </w:pPr>
  </w:style>
  <w:style w:type="paragraph" w:styleId="Heading1">
    <w:name w:val="Heading 1"/>
    <w:basedOn w:val="Normal"/>
    <w:next w:val="Normal"/>
    <w:rPr>
      <w:sz w:val="28"/>
      <w:b/>
      <w:kerning w:val="28"/>
    </w:rPr>
    <w:pPr>
      <w:spacing w:before="240" w:beforeAutospacing="0" w:after="60" w:afterAutospacing="0"/>
      <w:keepNext/>
      <w:outlineLvl w:val="0"/>
    </w:pPr>
  </w:style>
  <w:style w:type="paragraph" w:styleId="Heading2">
    <w:name w:val="Heading 2"/>
    <w:basedOn w:val="Normal"/>
    <w:next w:val="Normal"/>
    <w:rPr>
      <w:sz w:val="24"/>
      <w:b/>
      <w:i/>
    </w:rPr>
    <w:pPr>
      <w:spacing w:before="240" w:beforeAutospacing="0" w:after="60" w:afterAutospacing="0"/>
      <w:keepNext/>
      <w:outlineLvl w:val="1"/>
    </w:pPr>
  </w:style>
  <w:style w:type="paragraph" w:styleId="Heading3">
    <w:name w:val="Heading 3"/>
    <w:basedOn w:val="Normal"/>
    <w:next w:val="Normal"/>
    <w:rPr>
      <w:b/>
    </w:rPr>
    <w:pPr>
      <w:spacing w:before="240" w:beforeAutospacing="0" w:after="60" w:afterAutospacing="0"/>
      <w:keepNext/>
      <w:outlineLvl w:val="2"/>
    </w:p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Atlantis Word Processor</Application>
  <!-- awp:appVersion=1.6.5.12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dc:creator>
  <dcterms:created xsi:type="dcterms:W3CDTF">2017-11-24T20:59:26Z</dcterms:created>
  <dcterms:modified xsi:type="dcterms:W3CDTF">2017-11-27T23:14:47Z</dcterms:modified>
</cp:coreProperties>
</file>