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E2E3D" w14:textId="77777777" w:rsidR="000B5400" w:rsidRDefault="000B5400" w:rsidP="000B5400">
      <w:pPr>
        <w:jc w:val="center"/>
        <w:rPr>
          <w:rFonts w:ascii="Times New Roman" w:hAnsi="Times New Roman" w:cs="Times New Roman"/>
          <w:b/>
          <w:bCs/>
          <w:sz w:val="24"/>
          <w:szCs w:val="24"/>
        </w:rPr>
      </w:pPr>
      <w:r w:rsidRPr="006A2C95">
        <w:rPr>
          <w:rFonts w:ascii="Times New Roman" w:hAnsi="Times New Roman" w:cs="Times New Roman"/>
          <w:b/>
          <w:bCs/>
          <w:sz w:val="24"/>
          <w:szCs w:val="24"/>
        </w:rPr>
        <w:t>Data Security, Governance and Compliance Framework for NatureGreen</w:t>
      </w:r>
    </w:p>
    <w:p w14:paraId="001091D7" w14:textId="77777777" w:rsidR="000B5400" w:rsidRDefault="000B5400" w:rsidP="000B5400">
      <w:pPr>
        <w:rPr>
          <w:rFonts w:ascii="Times New Roman" w:hAnsi="Times New Roman" w:cs="Times New Roman"/>
          <w:b/>
          <w:bCs/>
          <w:sz w:val="24"/>
          <w:szCs w:val="24"/>
        </w:rPr>
      </w:pPr>
    </w:p>
    <w:p w14:paraId="16B787A4" w14:textId="77777777" w:rsidR="000B5400" w:rsidRDefault="000B5400" w:rsidP="000B5400">
      <w:pPr>
        <w:rPr>
          <w:rFonts w:ascii="Times New Roman" w:hAnsi="Times New Roman" w:cs="Times New Roman"/>
          <w:b/>
          <w:bCs/>
          <w:sz w:val="24"/>
          <w:szCs w:val="24"/>
        </w:rPr>
      </w:pPr>
    </w:p>
    <w:p w14:paraId="19DB5F0C" w14:textId="77777777" w:rsidR="000B5400" w:rsidRDefault="000B5400" w:rsidP="000B5400">
      <w:pPr>
        <w:rPr>
          <w:rFonts w:ascii="Times New Roman" w:hAnsi="Times New Roman" w:cs="Times New Roman"/>
          <w:b/>
          <w:bCs/>
          <w:sz w:val="24"/>
          <w:szCs w:val="24"/>
        </w:rPr>
      </w:pPr>
    </w:p>
    <w:p w14:paraId="0FDA1FFC" w14:textId="77777777" w:rsidR="000B5400" w:rsidRDefault="000B5400" w:rsidP="000B5400">
      <w:pPr>
        <w:jc w:val="center"/>
        <w:rPr>
          <w:rFonts w:ascii="Times New Roman" w:hAnsi="Times New Roman" w:cs="Times New Roman"/>
          <w:sz w:val="24"/>
          <w:szCs w:val="24"/>
        </w:rPr>
      </w:pPr>
      <w:r w:rsidRPr="004D5824">
        <w:rPr>
          <w:rFonts w:ascii="Times New Roman" w:hAnsi="Times New Roman" w:cs="Times New Roman"/>
          <w:sz w:val="24"/>
          <w:szCs w:val="24"/>
        </w:rPr>
        <w:t xml:space="preserve">Student Name: </w:t>
      </w:r>
      <w:r>
        <w:rPr>
          <w:rFonts w:ascii="Times New Roman" w:hAnsi="Times New Roman" w:cs="Times New Roman"/>
          <w:sz w:val="24"/>
          <w:szCs w:val="24"/>
        </w:rPr>
        <w:t>Tirth Ladani</w:t>
      </w:r>
      <w:r w:rsidRPr="004D5824">
        <w:rPr>
          <w:rFonts w:ascii="Times New Roman" w:hAnsi="Times New Roman" w:cs="Times New Roman"/>
          <w:sz w:val="24"/>
          <w:szCs w:val="24"/>
        </w:rPr>
        <w:br/>
        <w:t>Student ID:</w:t>
      </w:r>
      <w:r>
        <w:rPr>
          <w:rFonts w:ascii="Times New Roman" w:hAnsi="Times New Roman" w:cs="Times New Roman"/>
          <w:sz w:val="24"/>
          <w:szCs w:val="24"/>
        </w:rPr>
        <w:t xml:space="preserve"> 2434835</w:t>
      </w:r>
    </w:p>
    <w:p w14:paraId="3E09CB1B" w14:textId="77777777" w:rsidR="000B5400" w:rsidRPr="004D5824" w:rsidRDefault="000B5400" w:rsidP="000B5400">
      <w:pPr>
        <w:jc w:val="center"/>
        <w:rPr>
          <w:rFonts w:ascii="Times New Roman" w:hAnsi="Times New Roman" w:cs="Times New Roman"/>
          <w:sz w:val="24"/>
          <w:szCs w:val="24"/>
        </w:rPr>
      </w:pPr>
    </w:p>
    <w:p w14:paraId="18C1AC5E" w14:textId="77777777" w:rsidR="000B5400" w:rsidRDefault="000B5400" w:rsidP="000B5400">
      <w:pPr>
        <w:jc w:val="center"/>
        <w:rPr>
          <w:rFonts w:ascii="Times New Roman" w:hAnsi="Times New Roman" w:cs="Times New Roman"/>
          <w:sz w:val="24"/>
          <w:szCs w:val="24"/>
        </w:rPr>
      </w:pPr>
      <w:r w:rsidRPr="004D5824">
        <w:rPr>
          <w:rFonts w:ascii="Times New Roman" w:hAnsi="Times New Roman" w:cs="Times New Roman"/>
          <w:sz w:val="24"/>
          <w:szCs w:val="24"/>
        </w:rPr>
        <w:t>Module: ACCA7028 – Data Security, Governance and Compliance</w:t>
      </w:r>
      <w:r w:rsidRPr="004D5824">
        <w:rPr>
          <w:rFonts w:ascii="Times New Roman" w:hAnsi="Times New Roman" w:cs="Times New Roman"/>
          <w:sz w:val="24"/>
          <w:szCs w:val="24"/>
        </w:rPr>
        <w:br/>
        <w:t>Programme: MSc Cybersecurity and Digital Forensics</w:t>
      </w:r>
    </w:p>
    <w:p w14:paraId="58FE58A8" w14:textId="77777777" w:rsidR="000B5400" w:rsidRPr="004D5824" w:rsidRDefault="000B5400" w:rsidP="000B5400">
      <w:pPr>
        <w:jc w:val="center"/>
        <w:rPr>
          <w:rFonts w:ascii="Times New Roman" w:hAnsi="Times New Roman" w:cs="Times New Roman"/>
          <w:sz w:val="24"/>
          <w:szCs w:val="24"/>
        </w:rPr>
      </w:pPr>
    </w:p>
    <w:p w14:paraId="309BFBF3" w14:textId="77777777" w:rsidR="000B5400" w:rsidRDefault="000B5400" w:rsidP="000B5400">
      <w:pPr>
        <w:jc w:val="center"/>
        <w:rPr>
          <w:rFonts w:ascii="Times New Roman" w:hAnsi="Times New Roman" w:cs="Times New Roman"/>
          <w:sz w:val="24"/>
          <w:szCs w:val="24"/>
        </w:rPr>
      </w:pPr>
      <w:r w:rsidRPr="004D5824">
        <w:rPr>
          <w:rFonts w:ascii="Times New Roman" w:hAnsi="Times New Roman" w:cs="Times New Roman"/>
          <w:sz w:val="24"/>
          <w:szCs w:val="24"/>
        </w:rPr>
        <w:t>Assignment Title: Data Security, Governance &amp; Compliance – Scenario Report</w:t>
      </w:r>
      <w:r w:rsidRPr="004D5824">
        <w:rPr>
          <w:rFonts w:ascii="Times New Roman" w:hAnsi="Times New Roman" w:cs="Times New Roman"/>
          <w:sz w:val="24"/>
          <w:szCs w:val="24"/>
        </w:rPr>
        <w:br/>
      </w:r>
    </w:p>
    <w:p w14:paraId="6B1D67BA" w14:textId="77777777" w:rsidR="000B5400" w:rsidRPr="004D5824" w:rsidRDefault="000B5400" w:rsidP="000B5400">
      <w:pPr>
        <w:jc w:val="center"/>
        <w:rPr>
          <w:rFonts w:ascii="Times New Roman" w:hAnsi="Times New Roman" w:cs="Times New Roman"/>
          <w:sz w:val="24"/>
          <w:szCs w:val="24"/>
        </w:rPr>
      </w:pPr>
    </w:p>
    <w:p w14:paraId="62212B3A" w14:textId="77777777" w:rsidR="000B5400" w:rsidRPr="004D5824" w:rsidRDefault="000B5400" w:rsidP="000B5400">
      <w:pPr>
        <w:rPr>
          <w:rFonts w:ascii="Times New Roman" w:hAnsi="Times New Roman" w:cs="Times New Roman"/>
          <w:sz w:val="24"/>
          <w:szCs w:val="24"/>
        </w:rPr>
      </w:pPr>
    </w:p>
    <w:p w14:paraId="2D843633" w14:textId="77777777" w:rsidR="000B5400" w:rsidRDefault="000B5400" w:rsidP="000B5400">
      <w:pPr>
        <w:rPr>
          <w:rFonts w:ascii="Times New Roman" w:hAnsi="Times New Roman" w:cs="Times New Roman"/>
          <w:b/>
          <w:bCs/>
          <w:sz w:val="24"/>
          <w:szCs w:val="24"/>
        </w:rPr>
      </w:pPr>
    </w:p>
    <w:p w14:paraId="44200C1B" w14:textId="77777777" w:rsidR="000B5400" w:rsidRDefault="000B5400" w:rsidP="000B5400">
      <w:pPr>
        <w:rPr>
          <w:rFonts w:ascii="Times New Roman" w:hAnsi="Times New Roman" w:cs="Times New Roman"/>
          <w:b/>
          <w:bCs/>
          <w:sz w:val="24"/>
          <w:szCs w:val="24"/>
        </w:rPr>
      </w:pPr>
    </w:p>
    <w:p w14:paraId="1C7D4FE3" w14:textId="77777777" w:rsidR="000B5400" w:rsidRDefault="000B5400" w:rsidP="000B5400">
      <w:pPr>
        <w:rPr>
          <w:rFonts w:ascii="Times New Roman" w:hAnsi="Times New Roman" w:cs="Times New Roman"/>
          <w:b/>
          <w:bCs/>
          <w:sz w:val="24"/>
          <w:szCs w:val="24"/>
        </w:rPr>
      </w:pPr>
    </w:p>
    <w:p w14:paraId="0E6E7668" w14:textId="77777777" w:rsidR="000B5400" w:rsidRDefault="000B5400" w:rsidP="000B5400">
      <w:pPr>
        <w:rPr>
          <w:rFonts w:ascii="Times New Roman" w:hAnsi="Times New Roman" w:cs="Times New Roman"/>
          <w:b/>
          <w:bCs/>
          <w:sz w:val="24"/>
          <w:szCs w:val="24"/>
        </w:rPr>
      </w:pPr>
    </w:p>
    <w:p w14:paraId="3EC13D70" w14:textId="77777777" w:rsidR="000B5400" w:rsidRDefault="000B5400" w:rsidP="000B5400">
      <w:pPr>
        <w:rPr>
          <w:rFonts w:ascii="Times New Roman" w:hAnsi="Times New Roman" w:cs="Times New Roman"/>
          <w:b/>
          <w:bCs/>
          <w:sz w:val="24"/>
          <w:szCs w:val="24"/>
        </w:rPr>
      </w:pPr>
    </w:p>
    <w:p w14:paraId="165EBA5F" w14:textId="77777777" w:rsidR="000B5400" w:rsidRDefault="000B5400" w:rsidP="000B5400">
      <w:pPr>
        <w:rPr>
          <w:rFonts w:ascii="Times New Roman" w:hAnsi="Times New Roman" w:cs="Times New Roman"/>
          <w:b/>
          <w:bCs/>
          <w:sz w:val="24"/>
          <w:szCs w:val="24"/>
        </w:rPr>
      </w:pPr>
    </w:p>
    <w:p w14:paraId="4B208954" w14:textId="77777777" w:rsidR="000B5400" w:rsidRDefault="000B5400" w:rsidP="000B5400">
      <w:pPr>
        <w:rPr>
          <w:rFonts w:ascii="Times New Roman" w:hAnsi="Times New Roman" w:cs="Times New Roman"/>
          <w:b/>
          <w:bCs/>
          <w:sz w:val="24"/>
          <w:szCs w:val="24"/>
        </w:rPr>
      </w:pPr>
    </w:p>
    <w:p w14:paraId="3A414BE9" w14:textId="77777777" w:rsidR="000B5400" w:rsidRDefault="000B5400" w:rsidP="000B5400">
      <w:pPr>
        <w:rPr>
          <w:rFonts w:ascii="Times New Roman" w:hAnsi="Times New Roman" w:cs="Times New Roman"/>
          <w:b/>
          <w:bCs/>
          <w:sz w:val="24"/>
          <w:szCs w:val="24"/>
        </w:rPr>
      </w:pPr>
    </w:p>
    <w:p w14:paraId="7609EECD" w14:textId="77777777" w:rsidR="000B5400" w:rsidRDefault="000B5400" w:rsidP="000B5400">
      <w:pPr>
        <w:rPr>
          <w:rFonts w:ascii="Times New Roman" w:hAnsi="Times New Roman" w:cs="Times New Roman"/>
          <w:b/>
          <w:bCs/>
          <w:sz w:val="24"/>
          <w:szCs w:val="24"/>
        </w:rPr>
      </w:pPr>
    </w:p>
    <w:p w14:paraId="761B2169" w14:textId="77777777" w:rsidR="000B5400" w:rsidRDefault="000B5400" w:rsidP="000B5400">
      <w:pPr>
        <w:rPr>
          <w:rFonts w:ascii="Times New Roman" w:hAnsi="Times New Roman" w:cs="Times New Roman"/>
          <w:b/>
          <w:bCs/>
          <w:sz w:val="24"/>
          <w:szCs w:val="24"/>
        </w:rPr>
      </w:pPr>
    </w:p>
    <w:p w14:paraId="09DDAB90" w14:textId="77777777" w:rsidR="000B5400" w:rsidRDefault="000B5400" w:rsidP="000B5400">
      <w:pPr>
        <w:rPr>
          <w:rFonts w:ascii="Times New Roman" w:hAnsi="Times New Roman" w:cs="Times New Roman"/>
          <w:b/>
          <w:bCs/>
          <w:sz w:val="24"/>
          <w:szCs w:val="24"/>
        </w:rPr>
      </w:pPr>
    </w:p>
    <w:p w14:paraId="180B74E1" w14:textId="77777777" w:rsidR="000B5400" w:rsidRDefault="000B5400" w:rsidP="000B5400">
      <w:pPr>
        <w:rPr>
          <w:rFonts w:ascii="Times New Roman" w:hAnsi="Times New Roman" w:cs="Times New Roman"/>
          <w:b/>
          <w:bCs/>
          <w:sz w:val="24"/>
          <w:szCs w:val="24"/>
        </w:rPr>
      </w:pPr>
    </w:p>
    <w:p w14:paraId="0A8F8CBF" w14:textId="77777777" w:rsidR="000B5400" w:rsidRPr="006A2C95" w:rsidRDefault="000B5400" w:rsidP="000B5400">
      <w:pPr>
        <w:rPr>
          <w:rFonts w:ascii="Times New Roman" w:hAnsi="Times New Roman" w:cs="Times New Roman"/>
          <w:b/>
          <w:bCs/>
          <w:sz w:val="24"/>
          <w:szCs w:val="24"/>
        </w:rPr>
      </w:pPr>
    </w:p>
    <w:p w14:paraId="401726EC" w14:textId="77777777" w:rsidR="000B5400" w:rsidRPr="007151C7" w:rsidRDefault="000B5400" w:rsidP="000B5400">
      <w:pPr>
        <w:pStyle w:val="Heading1"/>
        <w:jc w:val="both"/>
        <w:rPr>
          <w:rFonts w:ascii="Times New Roman" w:hAnsi="Times New Roman" w:cs="Times New Roman"/>
          <w:sz w:val="24"/>
          <w:szCs w:val="24"/>
        </w:rPr>
      </w:pPr>
      <w:bookmarkStart w:id="0" w:name="_Toc214354803"/>
      <w:r w:rsidRPr="007151C7">
        <w:rPr>
          <w:rFonts w:ascii="Times New Roman" w:hAnsi="Times New Roman" w:cs="Times New Roman"/>
          <w:sz w:val="24"/>
          <w:szCs w:val="24"/>
        </w:rPr>
        <w:lastRenderedPageBreak/>
        <w:t>Abstract</w:t>
      </w:r>
      <w:bookmarkEnd w:id="0"/>
    </w:p>
    <w:p w14:paraId="533CF3AA" w14:textId="77777777" w:rsidR="000B5400"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This report outlines the strategy the firm will adopt regarding the establishment of the data security, governance and compliance frameworks for NatureGreen. NatureGreen is an international firm with a cloud and wireless-based infrastructure. NatureGreen’s current security frameworks, ISO 27001, and ITIL will be reviewed, and the specific security challenges presented by BYOD and wireless networks will be considered. Then an integrated security model will be tailored to meet the exact security needs of NatureGreen. The analysis concludes that the most effective means of securing an organisation’s assets while staying within the bounds of the law is to incorporate a variety of frameworks in conjunction with current compliance practices. </w:t>
      </w:r>
    </w:p>
    <w:p w14:paraId="645CA8FB" w14:textId="77777777" w:rsidR="000B5400" w:rsidRDefault="000B5400" w:rsidP="000B5400">
      <w:pPr>
        <w:jc w:val="both"/>
        <w:rPr>
          <w:rFonts w:ascii="Times New Roman" w:hAnsi="Times New Roman" w:cs="Times New Roman"/>
          <w:sz w:val="24"/>
          <w:szCs w:val="24"/>
        </w:rPr>
      </w:pPr>
    </w:p>
    <w:p w14:paraId="51CB986C" w14:textId="77777777" w:rsidR="000B5400" w:rsidRDefault="000B5400" w:rsidP="000B5400">
      <w:pPr>
        <w:jc w:val="both"/>
        <w:rPr>
          <w:rFonts w:ascii="Times New Roman" w:hAnsi="Times New Roman" w:cs="Times New Roman"/>
          <w:sz w:val="24"/>
          <w:szCs w:val="24"/>
        </w:rPr>
      </w:pPr>
    </w:p>
    <w:p w14:paraId="0AA34F03" w14:textId="77777777" w:rsidR="000B5400" w:rsidRDefault="000B5400" w:rsidP="000B5400">
      <w:pPr>
        <w:jc w:val="both"/>
        <w:rPr>
          <w:rFonts w:ascii="Times New Roman" w:hAnsi="Times New Roman" w:cs="Times New Roman"/>
          <w:sz w:val="24"/>
          <w:szCs w:val="24"/>
        </w:rPr>
      </w:pPr>
    </w:p>
    <w:p w14:paraId="361AEF85" w14:textId="77777777" w:rsidR="000B5400" w:rsidRDefault="000B5400" w:rsidP="000B5400">
      <w:pPr>
        <w:jc w:val="both"/>
        <w:rPr>
          <w:rFonts w:ascii="Times New Roman" w:hAnsi="Times New Roman" w:cs="Times New Roman"/>
          <w:sz w:val="24"/>
          <w:szCs w:val="24"/>
        </w:rPr>
      </w:pPr>
    </w:p>
    <w:p w14:paraId="42639B75" w14:textId="77777777" w:rsidR="000B5400" w:rsidRDefault="000B5400" w:rsidP="000B5400">
      <w:pPr>
        <w:jc w:val="both"/>
        <w:rPr>
          <w:rFonts w:ascii="Times New Roman" w:hAnsi="Times New Roman" w:cs="Times New Roman"/>
          <w:sz w:val="24"/>
          <w:szCs w:val="24"/>
        </w:rPr>
      </w:pPr>
    </w:p>
    <w:p w14:paraId="024F9EB1" w14:textId="77777777" w:rsidR="000B5400" w:rsidRDefault="000B5400" w:rsidP="000B5400">
      <w:pPr>
        <w:jc w:val="both"/>
        <w:rPr>
          <w:rFonts w:ascii="Times New Roman" w:hAnsi="Times New Roman" w:cs="Times New Roman"/>
          <w:sz w:val="24"/>
          <w:szCs w:val="24"/>
        </w:rPr>
      </w:pPr>
    </w:p>
    <w:p w14:paraId="43878ED8" w14:textId="77777777" w:rsidR="000B5400" w:rsidRDefault="000B5400" w:rsidP="000B5400">
      <w:pPr>
        <w:jc w:val="both"/>
        <w:rPr>
          <w:rFonts w:ascii="Times New Roman" w:hAnsi="Times New Roman" w:cs="Times New Roman"/>
          <w:sz w:val="24"/>
          <w:szCs w:val="24"/>
        </w:rPr>
      </w:pPr>
    </w:p>
    <w:p w14:paraId="427FC432" w14:textId="77777777" w:rsidR="000B5400" w:rsidRDefault="000B5400" w:rsidP="000B5400">
      <w:pPr>
        <w:jc w:val="both"/>
        <w:rPr>
          <w:rFonts w:ascii="Times New Roman" w:hAnsi="Times New Roman" w:cs="Times New Roman"/>
          <w:sz w:val="24"/>
          <w:szCs w:val="24"/>
        </w:rPr>
      </w:pPr>
    </w:p>
    <w:p w14:paraId="3A9686D5" w14:textId="77777777" w:rsidR="000B5400" w:rsidRDefault="000B5400" w:rsidP="000B5400">
      <w:pPr>
        <w:jc w:val="both"/>
        <w:rPr>
          <w:rFonts w:ascii="Times New Roman" w:hAnsi="Times New Roman" w:cs="Times New Roman"/>
          <w:sz w:val="24"/>
          <w:szCs w:val="24"/>
        </w:rPr>
      </w:pPr>
    </w:p>
    <w:p w14:paraId="3BBF7CF6" w14:textId="77777777" w:rsidR="000B5400" w:rsidRDefault="000B5400" w:rsidP="000B5400">
      <w:pPr>
        <w:jc w:val="both"/>
        <w:rPr>
          <w:rFonts w:ascii="Times New Roman" w:hAnsi="Times New Roman" w:cs="Times New Roman"/>
          <w:sz w:val="24"/>
          <w:szCs w:val="24"/>
        </w:rPr>
      </w:pPr>
    </w:p>
    <w:p w14:paraId="3C29AC34" w14:textId="77777777" w:rsidR="000B5400" w:rsidRDefault="000B5400" w:rsidP="000B5400">
      <w:pPr>
        <w:jc w:val="both"/>
        <w:rPr>
          <w:rFonts w:ascii="Times New Roman" w:hAnsi="Times New Roman" w:cs="Times New Roman"/>
          <w:sz w:val="24"/>
          <w:szCs w:val="24"/>
        </w:rPr>
      </w:pPr>
    </w:p>
    <w:p w14:paraId="25C021A1" w14:textId="77777777" w:rsidR="000B5400" w:rsidRDefault="000B5400" w:rsidP="000B5400">
      <w:pPr>
        <w:jc w:val="both"/>
        <w:rPr>
          <w:rFonts w:ascii="Times New Roman" w:hAnsi="Times New Roman" w:cs="Times New Roman"/>
          <w:sz w:val="24"/>
          <w:szCs w:val="24"/>
        </w:rPr>
      </w:pPr>
    </w:p>
    <w:p w14:paraId="56D6F60D" w14:textId="77777777" w:rsidR="000B5400" w:rsidRDefault="000B5400" w:rsidP="000B5400">
      <w:pPr>
        <w:jc w:val="both"/>
        <w:rPr>
          <w:rFonts w:ascii="Times New Roman" w:hAnsi="Times New Roman" w:cs="Times New Roman"/>
          <w:sz w:val="24"/>
          <w:szCs w:val="24"/>
        </w:rPr>
      </w:pPr>
    </w:p>
    <w:p w14:paraId="0FAA4564" w14:textId="77777777" w:rsidR="000B5400" w:rsidRDefault="000B5400" w:rsidP="000B5400">
      <w:pPr>
        <w:jc w:val="both"/>
        <w:rPr>
          <w:rFonts w:ascii="Times New Roman" w:hAnsi="Times New Roman" w:cs="Times New Roman"/>
          <w:sz w:val="24"/>
          <w:szCs w:val="24"/>
        </w:rPr>
      </w:pPr>
    </w:p>
    <w:p w14:paraId="1234B9B0" w14:textId="77777777" w:rsidR="000B5400" w:rsidRDefault="000B5400" w:rsidP="000B5400">
      <w:pPr>
        <w:jc w:val="both"/>
        <w:rPr>
          <w:rFonts w:ascii="Times New Roman" w:hAnsi="Times New Roman" w:cs="Times New Roman"/>
          <w:sz w:val="24"/>
          <w:szCs w:val="24"/>
        </w:rPr>
      </w:pPr>
    </w:p>
    <w:p w14:paraId="0BC45CCC" w14:textId="77777777" w:rsidR="000B5400" w:rsidRDefault="000B5400" w:rsidP="000B5400">
      <w:pPr>
        <w:jc w:val="both"/>
        <w:rPr>
          <w:rFonts w:ascii="Times New Roman" w:hAnsi="Times New Roman" w:cs="Times New Roman"/>
          <w:sz w:val="24"/>
          <w:szCs w:val="24"/>
        </w:rPr>
      </w:pPr>
    </w:p>
    <w:p w14:paraId="0728B902" w14:textId="77777777" w:rsidR="000B5400" w:rsidRDefault="000B5400" w:rsidP="000B5400">
      <w:pPr>
        <w:jc w:val="both"/>
        <w:rPr>
          <w:rFonts w:ascii="Times New Roman" w:hAnsi="Times New Roman" w:cs="Times New Roman"/>
          <w:sz w:val="24"/>
          <w:szCs w:val="24"/>
        </w:rPr>
      </w:pPr>
    </w:p>
    <w:p w14:paraId="404E2C5C" w14:textId="77777777" w:rsidR="000B5400" w:rsidRDefault="000B5400" w:rsidP="000B5400">
      <w:pPr>
        <w:jc w:val="both"/>
        <w:rPr>
          <w:rFonts w:ascii="Times New Roman" w:hAnsi="Times New Roman" w:cs="Times New Roman"/>
          <w:sz w:val="24"/>
          <w:szCs w:val="24"/>
        </w:rPr>
      </w:pPr>
    </w:p>
    <w:p w14:paraId="1208ACD3" w14:textId="77777777" w:rsidR="000B5400" w:rsidRDefault="000B5400" w:rsidP="000B5400">
      <w:pPr>
        <w:jc w:val="both"/>
        <w:rPr>
          <w:rFonts w:ascii="Times New Roman" w:hAnsi="Times New Roman" w:cs="Times New Roman"/>
          <w:sz w:val="24"/>
          <w:szCs w:val="24"/>
        </w:rPr>
      </w:pPr>
    </w:p>
    <w:p w14:paraId="71DAE79A" w14:textId="77777777" w:rsidR="000B5400" w:rsidRDefault="000B5400" w:rsidP="000B5400">
      <w:pPr>
        <w:jc w:val="both"/>
        <w:rPr>
          <w:rFonts w:ascii="Times New Roman" w:hAnsi="Times New Roman" w:cs="Times New Roman"/>
          <w:sz w:val="24"/>
          <w:szCs w:val="24"/>
        </w:rPr>
      </w:pPr>
    </w:p>
    <w:sdt>
      <w:sdtPr>
        <w:rPr>
          <w:rFonts w:ascii="Times New Roman" w:eastAsiaTheme="minorHAnsi" w:hAnsi="Times New Roman" w:cs="Times New Roman"/>
          <w:color w:val="auto"/>
          <w:kern w:val="2"/>
          <w:sz w:val="22"/>
          <w:szCs w:val="20"/>
          <w:lang w:val="en-IN" w:bidi="hi-IN"/>
          <w14:ligatures w14:val="standardContextual"/>
        </w:rPr>
        <w:id w:val="1728489579"/>
        <w:docPartObj>
          <w:docPartGallery w:val="Table of Contents"/>
          <w:docPartUnique/>
        </w:docPartObj>
      </w:sdtPr>
      <w:sdtEndPr>
        <w:rPr>
          <w:b/>
          <w:bCs/>
          <w:noProof/>
          <w:lang w:val="en-GB"/>
        </w:rPr>
      </w:sdtEndPr>
      <w:sdtContent>
        <w:p w14:paraId="75F3EDB0" w14:textId="77777777" w:rsidR="000B5400" w:rsidRPr="004D5824" w:rsidRDefault="000B5400" w:rsidP="000B5400">
          <w:pPr>
            <w:pStyle w:val="TOCHeading"/>
            <w:rPr>
              <w:rFonts w:ascii="Times New Roman" w:hAnsi="Times New Roman" w:cs="Times New Roman"/>
            </w:rPr>
          </w:pPr>
          <w:r w:rsidRPr="004D5824">
            <w:rPr>
              <w:rFonts w:ascii="Times New Roman" w:hAnsi="Times New Roman" w:cs="Times New Roman"/>
            </w:rPr>
            <w:t>Contents</w:t>
          </w:r>
        </w:p>
        <w:p w14:paraId="29F264C3" w14:textId="77777777" w:rsidR="000B5400" w:rsidRPr="004D5824" w:rsidRDefault="000B5400" w:rsidP="000B5400">
          <w:pPr>
            <w:pStyle w:val="TOC1"/>
            <w:tabs>
              <w:tab w:val="right" w:leader="dot" w:pos="9016"/>
            </w:tabs>
            <w:rPr>
              <w:rFonts w:ascii="Times New Roman" w:hAnsi="Times New Roman" w:cs="Times New Roman"/>
              <w:noProof/>
            </w:rPr>
          </w:pPr>
          <w:r w:rsidRPr="004D5824">
            <w:rPr>
              <w:rFonts w:ascii="Times New Roman" w:hAnsi="Times New Roman" w:cs="Times New Roman"/>
            </w:rPr>
            <w:fldChar w:fldCharType="begin"/>
          </w:r>
          <w:r w:rsidRPr="004D5824">
            <w:rPr>
              <w:rFonts w:ascii="Times New Roman" w:hAnsi="Times New Roman" w:cs="Times New Roman"/>
            </w:rPr>
            <w:instrText xml:space="preserve"> TOC \o "1-3" \h \z \u </w:instrText>
          </w:r>
          <w:r w:rsidRPr="004D5824">
            <w:rPr>
              <w:rFonts w:ascii="Times New Roman" w:hAnsi="Times New Roman" w:cs="Times New Roman"/>
            </w:rPr>
            <w:fldChar w:fldCharType="separate"/>
          </w:r>
          <w:hyperlink w:anchor="_Toc214354803" w:history="1">
            <w:r w:rsidRPr="004D5824">
              <w:rPr>
                <w:rStyle w:val="Hyperlink"/>
                <w:rFonts w:ascii="Times New Roman" w:hAnsi="Times New Roman" w:cs="Times New Roman"/>
                <w:noProof/>
              </w:rPr>
              <w:t>Abstract</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_Toc214354803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2</w:t>
            </w:r>
            <w:r w:rsidRPr="004D5824">
              <w:rPr>
                <w:rFonts w:ascii="Times New Roman" w:hAnsi="Times New Roman" w:cs="Times New Roman"/>
                <w:noProof/>
                <w:webHidden/>
              </w:rPr>
              <w:fldChar w:fldCharType="end"/>
            </w:r>
          </w:hyperlink>
        </w:p>
        <w:p w14:paraId="53104F00"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04" w:history="1">
            <w:r w:rsidRPr="004D5824">
              <w:rPr>
                <w:rStyle w:val="Hyperlink"/>
                <w:rFonts w:ascii="Times New Roman" w:hAnsi="Times New Roman" w:cs="Times New Roman"/>
                <w:noProof/>
              </w:rPr>
              <w:t>Introduction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_Toc214354804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4</w:t>
            </w:r>
            <w:r w:rsidRPr="004D5824">
              <w:rPr>
                <w:rFonts w:ascii="Times New Roman" w:hAnsi="Times New Roman" w:cs="Times New Roman"/>
                <w:noProof/>
                <w:webHidden/>
              </w:rPr>
              <w:fldChar w:fldCharType="end"/>
            </w:r>
          </w:hyperlink>
        </w:p>
        <w:p w14:paraId="33B39BC0"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05" w:history="1">
            <w:r w:rsidRPr="004D5824">
              <w:rPr>
                <w:rStyle w:val="Hyperlink"/>
                <w:rFonts w:ascii="Times New Roman" w:hAnsi="Times New Roman" w:cs="Times New Roman"/>
                <w:noProof/>
              </w:rPr>
              <w:t>Security Frameworks and Models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_Toc214354805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4</w:t>
            </w:r>
            <w:r w:rsidRPr="004D5824">
              <w:rPr>
                <w:rFonts w:ascii="Times New Roman" w:hAnsi="Times New Roman" w:cs="Times New Roman"/>
                <w:noProof/>
                <w:webHidden/>
              </w:rPr>
              <w:fldChar w:fldCharType="end"/>
            </w:r>
          </w:hyperlink>
        </w:p>
        <w:p w14:paraId="0C6AEC0C"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06" w:history="1">
            <w:r w:rsidRPr="004D5824">
              <w:rPr>
                <w:rStyle w:val="Hyperlink"/>
                <w:rFonts w:ascii="Times New Roman" w:hAnsi="Times New Roman" w:cs="Times New Roman"/>
                <w:noProof/>
              </w:rPr>
              <w:t>ISO 27001 Information Security Management System</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_Toc214354806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4</w:t>
            </w:r>
            <w:r w:rsidRPr="004D5824">
              <w:rPr>
                <w:rFonts w:ascii="Times New Roman" w:hAnsi="Times New Roman" w:cs="Times New Roman"/>
                <w:noProof/>
                <w:webHidden/>
              </w:rPr>
              <w:fldChar w:fldCharType="end"/>
            </w:r>
          </w:hyperlink>
        </w:p>
        <w:p w14:paraId="7CEE2CEC"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07" w:history="1">
            <w:r w:rsidRPr="004D5824">
              <w:rPr>
                <w:rStyle w:val="Hyperlink"/>
                <w:rFonts w:ascii="Times New Roman" w:hAnsi="Times New Roman" w:cs="Times New Roman"/>
                <w:noProof/>
              </w:rPr>
              <w:t>ITIL Information Security Management</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_Toc214354807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5</w:t>
            </w:r>
            <w:r w:rsidRPr="004D5824">
              <w:rPr>
                <w:rFonts w:ascii="Times New Roman" w:hAnsi="Times New Roman" w:cs="Times New Roman"/>
                <w:noProof/>
                <w:webHidden/>
              </w:rPr>
              <w:fldChar w:fldCharType="end"/>
            </w:r>
          </w:hyperlink>
        </w:p>
        <w:p w14:paraId="583E4C26"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08" w:history="1">
            <w:r w:rsidRPr="004D5824">
              <w:rPr>
                <w:rStyle w:val="Hyperlink"/>
                <w:rFonts w:ascii="Times New Roman" w:hAnsi="Times New Roman" w:cs="Times New Roman"/>
                <w:noProof/>
              </w:rPr>
              <w:t>NIST Cybersecurity Framework 2.0</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_Toc214354808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5</w:t>
            </w:r>
            <w:r w:rsidRPr="004D5824">
              <w:rPr>
                <w:rFonts w:ascii="Times New Roman" w:hAnsi="Times New Roman" w:cs="Times New Roman"/>
                <w:noProof/>
                <w:webHidden/>
              </w:rPr>
              <w:fldChar w:fldCharType="end"/>
            </w:r>
          </w:hyperlink>
        </w:p>
        <w:p w14:paraId="68FC35BA"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09" w:history="1">
            <w:r w:rsidRPr="004D5824">
              <w:rPr>
                <w:rStyle w:val="Hyperlink"/>
                <w:rFonts w:ascii="Times New Roman" w:hAnsi="Times New Roman" w:cs="Times New Roman"/>
                <w:noProof/>
              </w:rPr>
              <w:t>Analysis of NatureGreen's Security Environment</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_Toc214354809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6</w:t>
            </w:r>
            <w:r w:rsidRPr="004D5824">
              <w:rPr>
                <w:rFonts w:ascii="Times New Roman" w:hAnsi="Times New Roman" w:cs="Times New Roman"/>
                <w:noProof/>
                <w:webHidden/>
              </w:rPr>
              <w:fldChar w:fldCharType="end"/>
            </w:r>
          </w:hyperlink>
        </w:p>
        <w:p w14:paraId="2EA61E4D"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0" w:history="1">
            <w:r w:rsidRPr="004D5824">
              <w:rPr>
                <w:rStyle w:val="Hyperlink"/>
                <w:rFonts w:ascii="Times New Roman" w:hAnsi="Times New Roman" w:cs="Times New Roman"/>
                <w:noProof/>
              </w:rPr>
              <w:t>Cloud Infrastructure Security Considerations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_Toc214354810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6</w:t>
            </w:r>
            <w:r w:rsidRPr="004D5824">
              <w:rPr>
                <w:rFonts w:ascii="Times New Roman" w:hAnsi="Times New Roman" w:cs="Times New Roman"/>
                <w:noProof/>
                <w:webHidden/>
              </w:rPr>
              <w:fldChar w:fldCharType="end"/>
            </w:r>
          </w:hyperlink>
        </w:p>
        <w:p w14:paraId="35E541DF"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1" w:history="1">
            <w:r w:rsidRPr="004D5824">
              <w:rPr>
                <w:rStyle w:val="Hyperlink"/>
                <w:rFonts w:ascii="Times New Roman" w:hAnsi="Times New Roman" w:cs="Times New Roman"/>
                <w:noProof/>
              </w:rPr>
              <w:t>Wireless Network Security Challenges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_Toc214354811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6</w:t>
            </w:r>
            <w:r w:rsidRPr="004D5824">
              <w:rPr>
                <w:rFonts w:ascii="Times New Roman" w:hAnsi="Times New Roman" w:cs="Times New Roman"/>
                <w:noProof/>
                <w:webHidden/>
              </w:rPr>
              <w:fldChar w:fldCharType="end"/>
            </w:r>
          </w:hyperlink>
        </w:p>
        <w:p w14:paraId="371CCFF2"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2" w:history="1">
            <w:r w:rsidRPr="004D5824">
              <w:rPr>
                <w:rStyle w:val="Hyperlink"/>
                <w:rFonts w:ascii="Times New Roman" w:hAnsi="Times New Roman" w:cs="Times New Roman"/>
                <w:noProof/>
              </w:rPr>
              <w:t>BYOD Security Risks and Mitigation Strategies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_Toc214354812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6</w:t>
            </w:r>
            <w:r w:rsidRPr="004D5824">
              <w:rPr>
                <w:rFonts w:ascii="Times New Roman" w:hAnsi="Times New Roman" w:cs="Times New Roman"/>
                <w:noProof/>
                <w:webHidden/>
              </w:rPr>
              <w:fldChar w:fldCharType="end"/>
            </w:r>
          </w:hyperlink>
        </w:p>
        <w:p w14:paraId="676238C6"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3" w:history="1">
            <w:r w:rsidRPr="004D5824">
              <w:rPr>
                <w:rStyle w:val="Hyperlink"/>
                <w:rFonts w:ascii="Times New Roman" w:hAnsi="Times New Roman" w:cs="Times New Roman"/>
                <w:noProof/>
              </w:rPr>
              <w:t>Intellectual Property Protection Requirements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_Toc214354813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7</w:t>
            </w:r>
            <w:r w:rsidRPr="004D5824">
              <w:rPr>
                <w:rFonts w:ascii="Times New Roman" w:hAnsi="Times New Roman" w:cs="Times New Roman"/>
                <w:noProof/>
                <w:webHidden/>
              </w:rPr>
              <w:fldChar w:fldCharType="end"/>
            </w:r>
          </w:hyperlink>
        </w:p>
        <w:p w14:paraId="3E28F72B"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14" w:history="1">
            <w:r w:rsidRPr="004D5824">
              <w:rPr>
                <w:rStyle w:val="Hyperlink"/>
                <w:rFonts w:ascii="Times New Roman" w:hAnsi="Times New Roman" w:cs="Times New Roman"/>
                <w:noProof/>
              </w:rPr>
              <w:t>Regulatory Compliance Requirements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_Toc214354814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7</w:t>
            </w:r>
            <w:r w:rsidRPr="004D5824">
              <w:rPr>
                <w:rFonts w:ascii="Times New Roman" w:hAnsi="Times New Roman" w:cs="Times New Roman"/>
                <w:noProof/>
                <w:webHidden/>
              </w:rPr>
              <w:fldChar w:fldCharType="end"/>
            </w:r>
          </w:hyperlink>
        </w:p>
        <w:p w14:paraId="449F1466"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5" w:history="1">
            <w:r w:rsidRPr="004D5824">
              <w:rPr>
                <w:rStyle w:val="Hyperlink"/>
                <w:rFonts w:ascii="Times New Roman" w:hAnsi="Times New Roman" w:cs="Times New Roman"/>
                <w:noProof/>
              </w:rPr>
              <w:t>General Data Protection Regulation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_Toc214354815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7</w:t>
            </w:r>
            <w:r w:rsidRPr="004D5824">
              <w:rPr>
                <w:rFonts w:ascii="Times New Roman" w:hAnsi="Times New Roman" w:cs="Times New Roman"/>
                <w:noProof/>
                <w:webHidden/>
              </w:rPr>
              <w:fldChar w:fldCharType="end"/>
            </w:r>
          </w:hyperlink>
        </w:p>
        <w:p w14:paraId="25DE567D"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6" w:history="1">
            <w:r w:rsidRPr="004D5824">
              <w:rPr>
                <w:rStyle w:val="Hyperlink"/>
                <w:rFonts w:ascii="Times New Roman" w:hAnsi="Times New Roman" w:cs="Times New Roman"/>
                <w:noProof/>
              </w:rPr>
              <w:t>Industry-Specific Regulations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_Toc214354816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8</w:t>
            </w:r>
            <w:r w:rsidRPr="004D5824">
              <w:rPr>
                <w:rFonts w:ascii="Times New Roman" w:hAnsi="Times New Roman" w:cs="Times New Roman"/>
                <w:noProof/>
                <w:webHidden/>
              </w:rPr>
              <w:fldChar w:fldCharType="end"/>
            </w:r>
          </w:hyperlink>
        </w:p>
        <w:p w14:paraId="5DA8AD2F"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17" w:history="1">
            <w:r w:rsidRPr="004D5824">
              <w:rPr>
                <w:rStyle w:val="Hyperlink"/>
                <w:rFonts w:ascii="Times New Roman" w:hAnsi="Times New Roman" w:cs="Times New Roman"/>
                <w:noProof/>
              </w:rPr>
              <w:t>Proposed Integrated Security Framework for NatureGreen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_Toc214354817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8</w:t>
            </w:r>
            <w:r w:rsidRPr="004D5824">
              <w:rPr>
                <w:rFonts w:ascii="Times New Roman" w:hAnsi="Times New Roman" w:cs="Times New Roman"/>
                <w:noProof/>
                <w:webHidden/>
              </w:rPr>
              <w:fldChar w:fldCharType="end"/>
            </w:r>
          </w:hyperlink>
        </w:p>
        <w:p w14:paraId="2B08D19F"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8" w:history="1">
            <w:r w:rsidRPr="004D5824">
              <w:rPr>
                <w:rStyle w:val="Hyperlink"/>
                <w:rFonts w:ascii="Times New Roman" w:hAnsi="Times New Roman" w:cs="Times New Roman"/>
                <w:noProof/>
              </w:rPr>
              <w:t>Framework Design Approach</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_Toc214354818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8</w:t>
            </w:r>
            <w:r w:rsidRPr="004D5824">
              <w:rPr>
                <w:rFonts w:ascii="Times New Roman" w:hAnsi="Times New Roman" w:cs="Times New Roman"/>
                <w:noProof/>
                <w:webHidden/>
              </w:rPr>
              <w:fldChar w:fldCharType="end"/>
            </w:r>
          </w:hyperlink>
        </w:p>
        <w:p w14:paraId="0C5E89AC"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19" w:history="1">
            <w:r w:rsidRPr="004D5824">
              <w:rPr>
                <w:rStyle w:val="Hyperlink"/>
                <w:rFonts w:ascii="Times New Roman" w:hAnsi="Times New Roman" w:cs="Times New Roman"/>
                <w:noProof/>
              </w:rPr>
              <w:t>Governance and Strategic Planning</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_Toc214354819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8</w:t>
            </w:r>
            <w:r w:rsidRPr="004D5824">
              <w:rPr>
                <w:rFonts w:ascii="Times New Roman" w:hAnsi="Times New Roman" w:cs="Times New Roman"/>
                <w:noProof/>
                <w:webHidden/>
              </w:rPr>
              <w:fldChar w:fldCharType="end"/>
            </w:r>
          </w:hyperlink>
        </w:p>
        <w:p w14:paraId="21D434D9"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0" w:history="1">
            <w:r w:rsidRPr="004D5824">
              <w:rPr>
                <w:rStyle w:val="Hyperlink"/>
                <w:rFonts w:ascii="Times New Roman" w:hAnsi="Times New Roman" w:cs="Times New Roman"/>
                <w:noProof/>
              </w:rPr>
              <w:t>Risk Management Implementation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_Toc214354820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9</w:t>
            </w:r>
            <w:r w:rsidRPr="004D5824">
              <w:rPr>
                <w:rFonts w:ascii="Times New Roman" w:hAnsi="Times New Roman" w:cs="Times New Roman"/>
                <w:noProof/>
                <w:webHidden/>
              </w:rPr>
              <w:fldChar w:fldCharType="end"/>
            </w:r>
          </w:hyperlink>
        </w:p>
        <w:p w14:paraId="64FC267F"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1" w:history="1">
            <w:r w:rsidRPr="004D5824">
              <w:rPr>
                <w:rStyle w:val="Hyperlink"/>
                <w:rFonts w:ascii="Times New Roman" w:hAnsi="Times New Roman" w:cs="Times New Roman"/>
                <w:noProof/>
              </w:rPr>
              <w:t>Security Policy Framework</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_Toc214354821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9</w:t>
            </w:r>
            <w:r w:rsidRPr="004D5824">
              <w:rPr>
                <w:rFonts w:ascii="Times New Roman" w:hAnsi="Times New Roman" w:cs="Times New Roman"/>
                <w:noProof/>
                <w:webHidden/>
              </w:rPr>
              <w:fldChar w:fldCharType="end"/>
            </w:r>
          </w:hyperlink>
        </w:p>
        <w:p w14:paraId="385DC2C9"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2" w:history="1">
            <w:r w:rsidRPr="004D5824">
              <w:rPr>
                <w:rStyle w:val="Hyperlink"/>
                <w:rFonts w:ascii="Times New Roman" w:hAnsi="Times New Roman" w:cs="Times New Roman"/>
                <w:noProof/>
              </w:rPr>
              <w:t>BYOD Security Controls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_Toc214354822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9</w:t>
            </w:r>
            <w:r w:rsidRPr="004D5824">
              <w:rPr>
                <w:rFonts w:ascii="Times New Roman" w:hAnsi="Times New Roman" w:cs="Times New Roman"/>
                <w:noProof/>
                <w:webHidden/>
              </w:rPr>
              <w:fldChar w:fldCharType="end"/>
            </w:r>
          </w:hyperlink>
        </w:p>
        <w:p w14:paraId="00065B09"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3" w:history="1">
            <w:r w:rsidRPr="004D5824">
              <w:rPr>
                <w:rStyle w:val="Hyperlink"/>
                <w:rFonts w:ascii="Times New Roman" w:hAnsi="Times New Roman" w:cs="Times New Roman"/>
                <w:noProof/>
              </w:rPr>
              <w:t>Cloud Security Architecture</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_Toc214354823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10</w:t>
            </w:r>
            <w:r w:rsidRPr="004D5824">
              <w:rPr>
                <w:rFonts w:ascii="Times New Roman" w:hAnsi="Times New Roman" w:cs="Times New Roman"/>
                <w:noProof/>
                <w:webHidden/>
              </w:rPr>
              <w:fldChar w:fldCharType="end"/>
            </w:r>
          </w:hyperlink>
        </w:p>
        <w:p w14:paraId="0EDF1CB9"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4" w:history="1">
            <w:r w:rsidRPr="004D5824">
              <w:rPr>
                <w:rStyle w:val="Hyperlink"/>
                <w:rFonts w:ascii="Times New Roman" w:hAnsi="Times New Roman" w:cs="Times New Roman"/>
                <w:noProof/>
              </w:rPr>
              <w:t>Wireless Network Security</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_Toc214354824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10</w:t>
            </w:r>
            <w:r w:rsidRPr="004D5824">
              <w:rPr>
                <w:rFonts w:ascii="Times New Roman" w:hAnsi="Times New Roman" w:cs="Times New Roman"/>
                <w:noProof/>
                <w:webHidden/>
              </w:rPr>
              <w:fldChar w:fldCharType="end"/>
            </w:r>
          </w:hyperlink>
        </w:p>
        <w:p w14:paraId="205D9E62"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5" w:history="1">
            <w:r w:rsidRPr="004D5824">
              <w:rPr>
                <w:rStyle w:val="Hyperlink"/>
                <w:rFonts w:ascii="Times New Roman" w:hAnsi="Times New Roman" w:cs="Times New Roman"/>
                <w:noProof/>
              </w:rPr>
              <w:t>Incident Response and Business Continuity</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_Toc214354825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10</w:t>
            </w:r>
            <w:r w:rsidRPr="004D5824">
              <w:rPr>
                <w:rFonts w:ascii="Times New Roman" w:hAnsi="Times New Roman" w:cs="Times New Roman"/>
                <w:noProof/>
                <w:webHidden/>
              </w:rPr>
              <w:fldChar w:fldCharType="end"/>
            </w:r>
          </w:hyperlink>
        </w:p>
        <w:p w14:paraId="4291C713"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26" w:history="1">
            <w:r w:rsidRPr="004D5824">
              <w:rPr>
                <w:rStyle w:val="Hyperlink"/>
                <w:rFonts w:ascii="Times New Roman" w:hAnsi="Times New Roman" w:cs="Times New Roman"/>
                <w:noProof/>
              </w:rPr>
              <w:t>Importance of Updated Regulations and Standards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_Toc214354826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11</w:t>
            </w:r>
            <w:r w:rsidRPr="004D5824">
              <w:rPr>
                <w:rFonts w:ascii="Times New Roman" w:hAnsi="Times New Roman" w:cs="Times New Roman"/>
                <w:noProof/>
                <w:webHidden/>
              </w:rPr>
              <w:fldChar w:fldCharType="end"/>
            </w:r>
          </w:hyperlink>
        </w:p>
        <w:p w14:paraId="6D8EF160"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7" w:history="1">
            <w:r w:rsidRPr="004D5824">
              <w:rPr>
                <w:rStyle w:val="Hyperlink"/>
                <w:rFonts w:ascii="Times New Roman" w:hAnsi="Times New Roman" w:cs="Times New Roman"/>
                <w:noProof/>
              </w:rPr>
              <w:t>Evolving Threat Landscape</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_Toc214354827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11</w:t>
            </w:r>
            <w:r w:rsidRPr="004D5824">
              <w:rPr>
                <w:rFonts w:ascii="Times New Roman" w:hAnsi="Times New Roman" w:cs="Times New Roman"/>
                <w:noProof/>
                <w:webHidden/>
              </w:rPr>
              <w:fldChar w:fldCharType="end"/>
            </w:r>
          </w:hyperlink>
        </w:p>
        <w:p w14:paraId="1FCEE909"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8" w:history="1">
            <w:r w:rsidRPr="004D5824">
              <w:rPr>
                <w:rStyle w:val="Hyperlink"/>
                <w:rFonts w:ascii="Times New Roman" w:hAnsi="Times New Roman" w:cs="Times New Roman"/>
                <w:noProof/>
              </w:rPr>
              <w:t>Technological Advancement Integration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_Toc214354828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11</w:t>
            </w:r>
            <w:r w:rsidRPr="004D5824">
              <w:rPr>
                <w:rFonts w:ascii="Times New Roman" w:hAnsi="Times New Roman" w:cs="Times New Roman"/>
                <w:noProof/>
                <w:webHidden/>
              </w:rPr>
              <w:fldChar w:fldCharType="end"/>
            </w:r>
          </w:hyperlink>
        </w:p>
        <w:p w14:paraId="5FCECD2B"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29" w:history="1">
            <w:r w:rsidRPr="004D5824">
              <w:rPr>
                <w:rStyle w:val="Hyperlink"/>
                <w:rFonts w:ascii="Times New Roman" w:hAnsi="Times New Roman" w:cs="Times New Roman"/>
                <w:noProof/>
              </w:rPr>
              <w:t>Regulatory Harmonisation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_Toc214354829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11</w:t>
            </w:r>
            <w:r w:rsidRPr="004D5824">
              <w:rPr>
                <w:rFonts w:ascii="Times New Roman" w:hAnsi="Times New Roman" w:cs="Times New Roman"/>
                <w:noProof/>
                <w:webHidden/>
              </w:rPr>
              <w:fldChar w:fldCharType="end"/>
            </w:r>
          </w:hyperlink>
        </w:p>
        <w:p w14:paraId="1BA1CEBA" w14:textId="77777777" w:rsidR="000B5400" w:rsidRPr="004D5824" w:rsidRDefault="000B5400" w:rsidP="000B5400">
          <w:pPr>
            <w:pStyle w:val="TOC2"/>
            <w:tabs>
              <w:tab w:val="right" w:leader="dot" w:pos="9016"/>
            </w:tabs>
            <w:rPr>
              <w:rFonts w:ascii="Times New Roman" w:hAnsi="Times New Roman" w:cs="Times New Roman"/>
              <w:noProof/>
            </w:rPr>
          </w:pPr>
          <w:hyperlink w:anchor="_Toc214354830" w:history="1">
            <w:r w:rsidRPr="004D5824">
              <w:rPr>
                <w:rStyle w:val="Hyperlink"/>
                <w:rFonts w:ascii="Times New Roman" w:hAnsi="Times New Roman" w:cs="Times New Roman"/>
                <w:noProof/>
              </w:rPr>
              <w:t>Continuous Improvement Culture</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_Toc214354830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12</w:t>
            </w:r>
            <w:r w:rsidRPr="004D5824">
              <w:rPr>
                <w:rFonts w:ascii="Times New Roman" w:hAnsi="Times New Roman" w:cs="Times New Roman"/>
                <w:noProof/>
                <w:webHidden/>
              </w:rPr>
              <w:fldChar w:fldCharType="end"/>
            </w:r>
          </w:hyperlink>
        </w:p>
        <w:p w14:paraId="298482D3"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31" w:history="1">
            <w:r w:rsidRPr="004D5824">
              <w:rPr>
                <w:rStyle w:val="Hyperlink"/>
                <w:rFonts w:ascii="Times New Roman" w:hAnsi="Times New Roman" w:cs="Times New Roman"/>
                <w:noProof/>
              </w:rPr>
              <w:t>Conclusion</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_Toc214354831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12</w:t>
            </w:r>
            <w:r w:rsidRPr="004D5824">
              <w:rPr>
                <w:rFonts w:ascii="Times New Roman" w:hAnsi="Times New Roman" w:cs="Times New Roman"/>
                <w:noProof/>
                <w:webHidden/>
              </w:rPr>
              <w:fldChar w:fldCharType="end"/>
            </w:r>
          </w:hyperlink>
        </w:p>
        <w:p w14:paraId="5B9B968B" w14:textId="77777777" w:rsidR="000B5400" w:rsidRPr="004D5824" w:rsidRDefault="000B5400" w:rsidP="000B5400">
          <w:pPr>
            <w:pStyle w:val="TOC1"/>
            <w:tabs>
              <w:tab w:val="right" w:leader="dot" w:pos="9016"/>
            </w:tabs>
            <w:rPr>
              <w:rFonts w:ascii="Times New Roman" w:hAnsi="Times New Roman" w:cs="Times New Roman"/>
              <w:noProof/>
            </w:rPr>
          </w:pPr>
          <w:hyperlink w:anchor="_Toc214354832" w:history="1">
            <w:r w:rsidRPr="004D5824">
              <w:rPr>
                <w:rStyle w:val="Hyperlink"/>
                <w:rFonts w:ascii="Times New Roman" w:hAnsi="Times New Roman" w:cs="Times New Roman"/>
                <w:noProof/>
              </w:rPr>
              <w:t>References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_Toc214354832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Pr>
                <w:rFonts w:ascii="Times New Roman" w:hAnsi="Times New Roman" w:cs="Times New Roman"/>
                <w:noProof/>
                <w:webHidden/>
              </w:rPr>
              <w:t>13</w:t>
            </w:r>
            <w:r w:rsidRPr="004D5824">
              <w:rPr>
                <w:rFonts w:ascii="Times New Roman" w:hAnsi="Times New Roman" w:cs="Times New Roman"/>
                <w:noProof/>
                <w:webHidden/>
              </w:rPr>
              <w:fldChar w:fldCharType="end"/>
            </w:r>
          </w:hyperlink>
        </w:p>
        <w:p w14:paraId="7AEB2DAE" w14:textId="77777777" w:rsidR="000B5400" w:rsidRPr="004D5824" w:rsidRDefault="000B5400" w:rsidP="000B5400">
          <w:pPr>
            <w:rPr>
              <w:rFonts w:ascii="Times New Roman" w:hAnsi="Times New Roman" w:cs="Times New Roman"/>
            </w:rPr>
          </w:pPr>
          <w:r w:rsidRPr="004D5824">
            <w:rPr>
              <w:rFonts w:ascii="Times New Roman" w:hAnsi="Times New Roman" w:cs="Times New Roman"/>
              <w:b/>
              <w:bCs/>
              <w:noProof/>
            </w:rPr>
            <w:fldChar w:fldCharType="end"/>
          </w:r>
        </w:p>
      </w:sdtContent>
    </w:sdt>
    <w:p w14:paraId="2B446E96" w14:textId="77777777" w:rsidR="000B5400" w:rsidRPr="004D5824" w:rsidRDefault="000B5400" w:rsidP="000B5400">
      <w:pPr>
        <w:pStyle w:val="TableofFigures"/>
        <w:tabs>
          <w:tab w:val="right" w:leader="dot" w:pos="9016"/>
        </w:tabs>
        <w:rPr>
          <w:rFonts w:ascii="Times New Roman" w:hAnsi="Times New Roman" w:cs="Times New Roman"/>
          <w:noProof/>
        </w:rPr>
      </w:pPr>
      <w:r w:rsidRPr="004D5824">
        <w:rPr>
          <w:rFonts w:ascii="Times New Roman" w:hAnsi="Times New Roman" w:cs="Times New Roman"/>
          <w:sz w:val="24"/>
          <w:szCs w:val="24"/>
        </w:rPr>
        <w:fldChar w:fldCharType="begin"/>
      </w:r>
      <w:r w:rsidRPr="004D5824">
        <w:rPr>
          <w:rFonts w:ascii="Times New Roman" w:hAnsi="Times New Roman" w:cs="Times New Roman"/>
          <w:sz w:val="24"/>
          <w:szCs w:val="24"/>
        </w:rPr>
        <w:instrText xml:space="preserve"> TOC \h \z \c "Table" </w:instrText>
      </w:r>
      <w:r w:rsidRPr="004D5824">
        <w:rPr>
          <w:rFonts w:ascii="Times New Roman" w:hAnsi="Times New Roman" w:cs="Times New Roman"/>
          <w:sz w:val="24"/>
          <w:szCs w:val="24"/>
        </w:rPr>
        <w:fldChar w:fldCharType="separate"/>
      </w:r>
      <w:hyperlink w:anchor="_Toc214354833" w:history="1">
        <w:r w:rsidRPr="004D5824">
          <w:rPr>
            <w:rStyle w:val="Hyperlink"/>
            <w:rFonts w:ascii="Times New Roman" w:hAnsi="Times New Roman" w:cs="Times New Roman"/>
            <w:noProof/>
          </w:rPr>
          <w:t xml:space="preserve">Table 1 </w:t>
        </w:r>
        <w:r w:rsidRPr="004D5824">
          <w:rPr>
            <w:rStyle w:val="Hyperlink"/>
            <w:rFonts w:ascii="Times New Roman" w:hAnsi="Times New Roman" w:cs="Times New Roman"/>
            <w:b/>
            <w:bCs/>
            <w:noProof/>
          </w:rPr>
          <w:t>Integrated Security Framework Structure</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_Toc214354833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sidRPr="004D5824">
          <w:rPr>
            <w:rFonts w:ascii="Times New Roman" w:hAnsi="Times New Roman" w:cs="Times New Roman"/>
            <w:noProof/>
            <w:webHidden/>
          </w:rPr>
          <w:t>8</w:t>
        </w:r>
        <w:r w:rsidRPr="004D5824">
          <w:rPr>
            <w:rFonts w:ascii="Times New Roman" w:hAnsi="Times New Roman" w:cs="Times New Roman"/>
            <w:noProof/>
            <w:webHidden/>
          </w:rPr>
          <w:fldChar w:fldCharType="end"/>
        </w:r>
      </w:hyperlink>
    </w:p>
    <w:p w14:paraId="7B534C6D" w14:textId="77777777" w:rsidR="000B5400" w:rsidRPr="004D5824" w:rsidRDefault="000B5400" w:rsidP="000B5400">
      <w:pPr>
        <w:pStyle w:val="TableofFigures"/>
        <w:tabs>
          <w:tab w:val="right" w:leader="dot" w:pos="9016"/>
        </w:tabs>
        <w:rPr>
          <w:rFonts w:ascii="Times New Roman" w:hAnsi="Times New Roman" w:cs="Times New Roman"/>
          <w:noProof/>
        </w:rPr>
      </w:pPr>
      <w:hyperlink w:anchor="_Toc214354834" w:history="1">
        <w:r w:rsidRPr="004D5824">
          <w:rPr>
            <w:rStyle w:val="Hyperlink"/>
            <w:rFonts w:ascii="Times New Roman" w:hAnsi="Times New Roman" w:cs="Times New Roman"/>
            <w:noProof/>
          </w:rPr>
          <w:t xml:space="preserve">Table 2 </w:t>
        </w:r>
        <w:r w:rsidRPr="004D5824">
          <w:rPr>
            <w:rStyle w:val="Hyperlink"/>
            <w:rFonts w:ascii="Times New Roman" w:hAnsi="Times New Roman" w:cs="Times New Roman"/>
            <w:b/>
            <w:bCs/>
            <w:noProof/>
          </w:rPr>
          <w:t xml:space="preserve"> BYOD Security Controls</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_Toc214354834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sidRPr="004D5824">
          <w:rPr>
            <w:rFonts w:ascii="Times New Roman" w:hAnsi="Times New Roman" w:cs="Times New Roman"/>
            <w:noProof/>
            <w:webHidden/>
          </w:rPr>
          <w:t>9</w:t>
        </w:r>
        <w:r w:rsidRPr="004D5824">
          <w:rPr>
            <w:rFonts w:ascii="Times New Roman" w:hAnsi="Times New Roman" w:cs="Times New Roman"/>
            <w:noProof/>
            <w:webHidden/>
          </w:rPr>
          <w:fldChar w:fldCharType="end"/>
        </w:r>
      </w:hyperlink>
    </w:p>
    <w:p w14:paraId="45A7ECEE" w14:textId="77777777" w:rsidR="000B5400" w:rsidRPr="004D5824" w:rsidRDefault="000B5400" w:rsidP="000B5400">
      <w:pPr>
        <w:jc w:val="both"/>
        <w:rPr>
          <w:rFonts w:ascii="Times New Roman" w:hAnsi="Times New Roman" w:cs="Times New Roman"/>
          <w:noProof/>
        </w:rPr>
      </w:pPr>
      <w:r w:rsidRPr="004D5824">
        <w:rPr>
          <w:rFonts w:ascii="Times New Roman" w:hAnsi="Times New Roman" w:cs="Times New Roman"/>
          <w:sz w:val="24"/>
          <w:szCs w:val="24"/>
        </w:rPr>
        <w:fldChar w:fldCharType="end"/>
      </w:r>
      <w:r w:rsidRPr="004D5824">
        <w:rPr>
          <w:rFonts w:ascii="Times New Roman" w:hAnsi="Times New Roman" w:cs="Times New Roman"/>
          <w:sz w:val="24"/>
          <w:szCs w:val="24"/>
        </w:rPr>
        <w:fldChar w:fldCharType="begin"/>
      </w:r>
      <w:r w:rsidRPr="004D5824">
        <w:rPr>
          <w:rFonts w:ascii="Times New Roman" w:hAnsi="Times New Roman" w:cs="Times New Roman"/>
          <w:sz w:val="24"/>
          <w:szCs w:val="24"/>
        </w:rPr>
        <w:instrText xml:space="preserve"> TOC \h \z \c "Figure" </w:instrText>
      </w:r>
      <w:r w:rsidRPr="004D5824">
        <w:rPr>
          <w:rFonts w:ascii="Times New Roman" w:hAnsi="Times New Roman" w:cs="Times New Roman"/>
          <w:sz w:val="24"/>
          <w:szCs w:val="24"/>
        </w:rPr>
        <w:fldChar w:fldCharType="separate"/>
      </w:r>
    </w:p>
    <w:p w14:paraId="56393FB3" w14:textId="77777777" w:rsidR="000B5400" w:rsidRPr="004D5824" w:rsidRDefault="000B5400" w:rsidP="000B5400">
      <w:pPr>
        <w:pStyle w:val="TableofFigures"/>
        <w:tabs>
          <w:tab w:val="right" w:leader="dot" w:pos="9016"/>
        </w:tabs>
        <w:rPr>
          <w:rFonts w:ascii="Times New Roman" w:eastAsiaTheme="minorEastAsia" w:hAnsi="Times New Roman" w:cs="Times New Roman"/>
          <w:noProof/>
          <w:sz w:val="24"/>
          <w:szCs w:val="21"/>
          <w:lang w:eastAsia="en-IN"/>
        </w:rPr>
      </w:pPr>
      <w:hyperlink w:anchor="_Toc214354835" w:history="1">
        <w:r w:rsidRPr="004D5824">
          <w:rPr>
            <w:rStyle w:val="Hyperlink"/>
            <w:rFonts w:ascii="Times New Roman" w:hAnsi="Times New Roman" w:cs="Times New Roman"/>
            <w:noProof/>
          </w:rPr>
          <w:t xml:space="preserve">Figure 1 </w:t>
        </w:r>
        <w:r w:rsidRPr="004D5824">
          <w:rPr>
            <w:rStyle w:val="Hyperlink"/>
            <w:rFonts w:ascii="Times New Roman" w:hAnsi="Times New Roman" w:cs="Times New Roman"/>
            <w:b/>
            <w:bCs/>
            <w:noProof/>
          </w:rPr>
          <w:t xml:space="preserve"> Risk Management Process Flow</w:t>
        </w:r>
        <w:r w:rsidRPr="004D5824">
          <w:rPr>
            <w:rFonts w:ascii="Times New Roman" w:hAnsi="Times New Roman" w:cs="Times New Roman"/>
            <w:noProof/>
            <w:webHidden/>
          </w:rPr>
          <w:tab/>
        </w:r>
        <w:r w:rsidRPr="004D5824">
          <w:rPr>
            <w:rFonts w:ascii="Times New Roman" w:hAnsi="Times New Roman" w:cs="Times New Roman"/>
            <w:noProof/>
            <w:webHidden/>
          </w:rPr>
          <w:fldChar w:fldCharType="begin"/>
        </w:r>
        <w:r w:rsidRPr="004D5824">
          <w:rPr>
            <w:rFonts w:ascii="Times New Roman" w:hAnsi="Times New Roman" w:cs="Times New Roman"/>
            <w:noProof/>
            <w:webHidden/>
          </w:rPr>
          <w:instrText xml:space="preserve"> PAGEREF _Toc214354835 \h </w:instrText>
        </w:r>
        <w:r w:rsidRPr="004D5824">
          <w:rPr>
            <w:rFonts w:ascii="Times New Roman" w:hAnsi="Times New Roman" w:cs="Times New Roman"/>
            <w:noProof/>
            <w:webHidden/>
          </w:rPr>
        </w:r>
        <w:r w:rsidRPr="004D5824">
          <w:rPr>
            <w:rFonts w:ascii="Times New Roman" w:hAnsi="Times New Roman" w:cs="Times New Roman"/>
            <w:noProof/>
            <w:webHidden/>
          </w:rPr>
          <w:fldChar w:fldCharType="separate"/>
        </w:r>
        <w:r w:rsidRPr="004D5824">
          <w:rPr>
            <w:rFonts w:ascii="Times New Roman" w:hAnsi="Times New Roman" w:cs="Times New Roman"/>
            <w:noProof/>
            <w:webHidden/>
          </w:rPr>
          <w:t>9</w:t>
        </w:r>
        <w:r w:rsidRPr="004D5824">
          <w:rPr>
            <w:rFonts w:ascii="Times New Roman" w:hAnsi="Times New Roman" w:cs="Times New Roman"/>
            <w:noProof/>
            <w:webHidden/>
          </w:rPr>
          <w:fldChar w:fldCharType="end"/>
        </w:r>
      </w:hyperlink>
    </w:p>
    <w:p w14:paraId="6D4D9CAD" w14:textId="77777777" w:rsidR="000B5400" w:rsidRPr="007151C7" w:rsidRDefault="000B5400" w:rsidP="000B5400">
      <w:pPr>
        <w:jc w:val="both"/>
        <w:rPr>
          <w:rFonts w:ascii="Times New Roman" w:hAnsi="Times New Roman" w:cs="Times New Roman"/>
          <w:sz w:val="24"/>
          <w:szCs w:val="24"/>
        </w:rPr>
      </w:pPr>
      <w:r w:rsidRPr="004D5824">
        <w:rPr>
          <w:rFonts w:ascii="Times New Roman" w:hAnsi="Times New Roman" w:cs="Times New Roman"/>
          <w:sz w:val="24"/>
          <w:szCs w:val="24"/>
        </w:rPr>
        <w:lastRenderedPageBreak/>
        <w:fldChar w:fldCharType="end"/>
      </w:r>
      <w:bookmarkStart w:id="1" w:name="_Toc214354804"/>
      <w:r w:rsidRPr="007151C7">
        <w:rPr>
          <w:rFonts w:ascii="Times New Roman" w:hAnsi="Times New Roman" w:cs="Times New Roman"/>
          <w:sz w:val="24"/>
          <w:szCs w:val="24"/>
        </w:rPr>
        <w:t>Introduction</w:t>
      </w:r>
      <w:bookmarkEnd w:id="1"/>
    </w:p>
    <w:p w14:paraId="55809334"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In contemporary settings, organisations are confronted with unprecedented challenges in their efforts to secure their information assets while maintaining the required operational agility and flexibility to meet their compliance needs. NatureGreen finds itself in a unique and complex technological environment, with a heavy reliance on cloud services, and wireless infrastructure, that have 95% of their operations on the network. The firm has a significant online presence and is increasingly pressured to allow customers and employees to use their own devices for work (BYOD). The combination of all these elements poses a variety of security risks that require decision-makers to evaluate their governance structures and implement an appropriate and exhaustive protective strategy.</w:t>
      </w:r>
    </w:p>
    <w:p w14:paraId="409C238F"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For organizations aiming to safeguard their intellectual property, customer data, and business operations, effective data protection and security strategies are essential. ISO. More info. In fact, according to research, organizations that employ a systematic approach to information security management experience a considerable number of fewer data breaches and are better able to defend themselves against various cyber threats. Sundaram. More info. NatureGreen's distinct security needs are investigated through the study of existing security frameworks and models, the analysis of current security issues and the formulation of a cohesive model that meets the requirements of the organization.</w:t>
      </w:r>
    </w:p>
    <w:p w14:paraId="410CED7B" w14:textId="77777777" w:rsidR="000B5400" w:rsidRPr="007151C7" w:rsidRDefault="000B5400" w:rsidP="000B5400">
      <w:pPr>
        <w:pStyle w:val="Heading1"/>
        <w:jc w:val="both"/>
        <w:rPr>
          <w:rFonts w:ascii="Times New Roman" w:hAnsi="Times New Roman" w:cs="Times New Roman"/>
          <w:sz w:val="24"/>
          <w:szCs w:val="24"/>
        </w:rPr>
      </w:pPr>
      <w:bookmarkStart w:id="2" w:name="_Toc214354805"/>
      <w:r w:rsidRPr="007151C7">
        <w:rPr>
          <w:rFonts w:ascii="Times New Roman" w:hAnsi="Times New Roman" w:cs="Times New Roman"/>
          <w:sz w:val="24"/>
          <w:szCs w:val="24"/>
        </w:rPr>
        <w:t>Security Frameworks and Models</w:t>
      </w:r>
      <w:bookmarkEnd w:id="2"/>
    </w:p>
    <w:p w14:paraId="27FF5AEE" w14:textId="77777777" w:rsidR="000B5400" w:rsidRPr="007151C7" w:rsidRDefault="000B5400" w:rsidP="000B5400">
      <w:pPr>
        <w:pStyle w:val="Heading2"/>
        <w:jc w:val="both"/>
        <w:rPr>
          <w:rFonts w:ascii="Times New Roman" w:hAnsi="Times New Roman" w:cs="Times New Roman"/>
          <w:sz w:val="24"/>
          <w:szCs w:val="24"/>
        </w:rPr>
      </w:pPr>
      <w:bookmarkStart w:id="3" w:name="_Toc214354806"/>
      <w:r w:rsidRPr="007151C7">
        <w:rPr>
          <w:rFonts w:ascii="Times New Roman" w:hAnsi="Times New Roman" w:cs="Times New Roman"/>
          <w:sz w:val="24"/>
          <w:szCs w:val="24"/>
        </w:rPr>
        <w:t>ISO 27001 Information Security Management System</w:t>
      </w:r>
      <w:bookmarkEnd w:id="3"/>
    </w:p>
    <w:p w14:paraId="0A502EB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ISO 27001 information security management system is the most recognized international standard with a systematic approach to the management of information security. ISO. More info. This standard provides a framework that enables organizations to address and manage their information security risks through a number of procedures, and ensures effective, efficient and enduring protection of their sensitive information.</w:t>
      </w:r>
    </w:p>
    <w:p w14:paraId="411DA6B5"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ISO 27001: 2022 standard which is the first amendment of 2024, also acknowledges climate change and its security risks and integrates climate change into the information security risks. Iseoblue. More info. This framework is designed on the Plan-Do-Check-Act model, which includes analysis of the organization in a specific context, commitment to leadership, risk management processes, the application of security control, evaluation of the mechanisms that are put in place to achieve the sustained enhancement of the system in place, as well as the risks.</w:t>
      </w:r>
    </w:p>
    <w:p w14:paraId="29914160"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framework strengthens organisational resilience against cyber-attacks, helps avoid loss and compromise of assets, enables the provision of managed security services, and trains the organisation’s people, processes, and technologies to mitigate technology-related risks (ISO, 2024). Within the standard, Annex A lists 93 security controls, categorized as administrative, people, physical, and technological controls, and thus addresses the security gaps (Sundaram, 2024).</w:t>
      </w:r>
    </w:p>
    <w:p w14:paraId="4485CEA0" w14:textId="77777777" w:rsidR="000B5400" w:rsidRPr="007151C7" w:rsidRDefault="000B5400" w:rsidP="000B5400">
      <w:pPr>
        <w:pStyle w:val="Heading2"/>
        <w:jc w:val="both"/>
        <w:rPr>
          <w:rFonts w:ascii="Times New Roman" w:hAnsi="Times New Roman" w:cs="Times New Roman"/>
          <w:sz w:val="24"/>
          <w:szCs w:val="24"/>
        </w:rPr>
      </w:pPr>
      <w:bookmarkStart w:id="4" w:name="_Toc214354807"/>
      <w:r w:rsidRPr="007151C7">
        <w:rPr>
          <w:rFonts w:ascii="Times New Roman" w:hAnsi="Times New Roman" w:cs="Times New Roman"/>
          <w:sz w:val="24"/>
          <w:szCs w:val="24"/>
        </w:rPr>
        <w:lastRenderedPageBreak/>
        <w:t>ITIL Information Security Management</w:t>
      </w:r>
      <w:bookmarkEnd w:id="4"/>
    </w:p>
    <w:p w14:paraId="5C54A64B"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Information Technology Infrastructure Library (ITIL) is a service management framework, which incorporates security into all the phases of the service lifecycle. ITIL focuses on service management from an organisational perspective, while cybersecurity frameworks centre on managing vulnerabilities (Iseoblue, 2024). The ITIL framework is clear on the fact that information security should be considered a cross-cutting concern for all service delivery, and should not be treated as a stand-alone technical function.  </w:t>
      </w:r>
    </w:p>
    <w:p w14:paraId="367C60BD"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In ITIL 4, Information Security Management is one of the 34 practices that seeks to protect the assets of the organisation by managing risks in a systematic manner, which is the identification, assessment, and management of risks (Parker, 2024). The framework on risk management offers a systematic way of identifying, assessing, and managing risks of information security, and ensuring that controls are commensurate with the organisation’s risk appetite and objectives (Iseoblue, 2024).</w:t>
      </w:r>
    </w:p>
    <w:p w14:paraId="5C98162A"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model provides cohesion to the security governance structures alongside service level management, incident management, and change management within the ITIL framework (Wikipedia, 2025). Integrating security within operational processes means that security will not be seen as a distinct undertaking and will instead be interwoven within the activities of the organization.</w:t>
      </w:r>
    </w:p>
    <w:p w14:paraId="51972B7D" w14:textId="77777777" w:rsidR="000B5400" w:rsidRPr="007151C7" w:rsidRDefault="000B5400" w:rsidP="000B5400">
      <w:pPr>
        <w:pStyle w:val="Heading2"/>
        <w:jc w:val="both"/>
        <w:rPr>
          <w:rFonts w:ascii="Times New Roman" w:hAnsi="Times New Roman" w:cs="Times New Roman"/>
          <w:sz w:val="24"/>
          <w:szCs w:val="24"/>
        </w:rPr>
      </w:pPr>
      <w:bookmarkStart w:id="5" w:name="_Toc214354808"/>
      <w:r w:rsidRPr="007151C7">
        <w:rPr>
          <w:rFonts w:ascii="Times New Roman" w:hAnsi="Times New Roman" w:cs="Times New Roman"/>
          <w:sz w:val="24"/>
          <w:szCs w:val="24"/>
        </w:rPr>
        <w:t>NIST Cybersecurity Framework 2.0</w:t>
      </w:r>
      <w:bookmarkEnd w:id="5"/>
    </w:p>
    <w:p w14:paraId="2F6C3945"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National Institute of Standards and Technology Cybersecurity Framework (NIST, 2024) aims to assist organizations to manage and mitigate their cybersecurity risks regardless of the size of the organization. The focus of the framework is to assist all entities in the management and mitigation of risks, particularly in relation to governance and within supply chains. The updated version of the framework 2.0, February 2024, brings considerable changes to the framework.</w:t>
      </w:r>
    </w:p>
    <w:p w14:paraId="65DDE441"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New Govern function is concerned with whether organizations’ cybersecurity risk management strategy, expectations and policy framework is in place, whether these are communicated and whether there is a monitoring mechanism to enable oversight. Cybersecurity is a key risk to organizations, and as such must be part of other key risks; finance, reputation and enterprise risk alongside governance (McMurrough, Fein, Skeath and Harden, 2024). The Core functions of the framework are now Govern, Identify, Protect, Detect, Respond, and Recover. All functions are now accounted for in the framework with respect to meeting key requirements within cyber.</w:t>
      </w:r>
    </w:p>
    <w:p w14:paraId="0C8A89CD"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Particular importance falls to guiding principles on supplier risk management and cyber supply chain risk management processes, especially concerning organizations with intricate supply chains and third-party dependencies (Murphy and Young, 2024). This emphasis corroborates the emergent realities of organizational security, which is interdependent with the security posture of vendors and partners.</w:t>
      </w:r>
    </w:p>
    <w:p w14:paraId="39D53E70" w14:textId="77777777" w:rsidR="000B5400" w:rsidRPr="007151C7" w:rsidRDefault="000B5400" w:rsidP="000B5400">
      <w:pPr>
        <w:pStyle w:val="Heading1"/>
        <w:jc w:val="both"/>
        <w:rPr>
          <w:rFonts w:ascii="Times New Roman" w:hAnsi="Times New Roman" w:cs="Times New Roman"/>
          <w:sz w:val="24"/>
          <w:szCs w:val="24"/>
        </w:rPr>
      </w:pPr>
      <w:bookmarkStart w:id="6" w:name="_Toc214354809"/>
      <w:r w:rsidRPr="007151C7">
        <w:rPr>
          <w:rFonts w:ascii="Times New Roman" w:hAnsi="Times New Roman" w:cs="Times New Roman"/>
          <w:sz w:val="24"/>
          <w:szCs w:val="24"/>
        </w:rPr>
        <w:lastRenderedPageBreak/>
        <w:t>Analysis of NatureGreen's Security Environment</w:t>
      </w:r>
      <w:bookmarkEnd w:id="6"/>
    </w:p>
    <w:p w14:paraId="44C914AC" w14:textId="77777777" w:rsidR="000B5400" w:rsidRPr="007151C7" w:rsidRDefault="000B5400" w:rsidP="000B5400">
      <w:pPr>
        <w:pStyle w:val="Heading2"/>
        <w:jc w:val="both"/>
        <w:rPr>
          <w:rFonts w:ascii="Times New Roman" w:hAnsi="Times New Roman" w:cs="Times New Roman"/>
          <w:sz w:val="24"/>
          <w:szCs w:val="24"/>
        </w:rPr>
      </w:pPr>
      <w:bookmarkStart w:id="7" w:name="_Toc214354810"/>
      <w:r w:rsidRPr="007151C7">
        <w:rPr>
          <w:rFonts w:ascii="Times New Roman" w:hAnsi="Times New Roman" w:cs="Times New Roman"/>
          <w:sz w:val="24"/>
          <w:szCs w:val="24"/>
        </w:rPr>
        <w:t>Cloud Infrastructure Security Considerations</w:t>
      </w:r>
      <w:bookmarkEnd w:id="7"/>
    </w:p>
    <w:p w14:paraId="712AD6F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NatureGreen's cloud service dependency for IT delivery poses various security risks requiring proactive analysis and the establishment of mitigations. Multi-cloud environments present several difficult conditions, with data sovereignty concerns, shared responsibility, multi-tenancy, and reliance on the cloud provider’s security posture. In cloud environments, organizations should have a proper risk management plan for data encryption, access control, security monitoring, and incident response (ScienceLogic, 2024).</w:t>
      </w:r>
    </w:p>
    <w:p w14:paraId="13866CD9"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Using cloud services implies a detailed analysis of the provider’s security certifications, security commitments in contractual agreements, and data protection provisions. Organizations should establish that their cloud services providers are compliant with standards such as ISO 27001 and have adequate provisions for data security (Compleye, 2024).</w:t>
      </w:r>
    </w:p>
    <w:p w14:paraId="270A7881" w14:textId="77777777" w:rsidR="000B5400" w:rsidRPr="007151C7" w:rsidRDefault="000B5400" w:rsidP="000B5400">
      <w:pPr>
        <w:pStyle w:val="Heading2"/>
        <w:jc w:val="both"/>
        <w:rPr>
          <w:rFonts w:ascii="Times New Roman" w:hAnsi="Times New Roman" w:cs="Times New Roman"/>
          <w:sz w:val="24"/>
          <w:szCs w:val="24"/>
        </w:rPr>
      </w:pPr>
      <w:bookmarkStart w:id="8" w:name="_Toc214354811"/>
      <w:r w:rsidRPr="007151C7">
        <w:rPr>
          <w:rFonts w:ascii="Times New Roman" w:hAnsi="Times New Roman" w:cs="Times New Roman"/>
          <w:sz w:val="24"/>
          <w:szCs w:val="24"/>
        </w:rPr>
        <w:t>Wireless Network Security Challenges</w:t>
      </w:r>
      <w:bookmarkEnd w:id="8"/>
    </w:p>
    <w:p w14:paraId="57BDC521"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Wireless infrastructure attacks are a risk within 95% of NatureGreens network, providing more than enough exposed network areas that need tailored defensive measures without further attack vectors at risk since a wireless network has its own attack surface of unmonitored access, interception, man-in-the-middle, denial-of-service, and without the controls that segmented networks, true wireless network access (Interagency Security Committee, 2024).</w:t>
      </w:r>
    </w:p>
    <w:p w14:paraId="26405BC8"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Best security practices for wireless environments include the less commonly implemented practices of WPA3 encryption, network access control systems, and the frequently omitted practices of real-time intrusion detection and periodic security scans (Canadian Centre for Cyber Security, 2024).</w:t>
      </w:r>
    </w:p>
    <w:p w14:paraId="0E0DC480" w14:textId="77777777" w:rsidR="000B5400" w:rsidRPr="007151C7" w:rsidRDefault="000B5400" w:rsidP="000B5400">
      <w:pPr>
        <w:pStyle w:val="Heading2"/>
        <w:jc w:val="both"/>
        <w:rPr>
          <w:rFonts w:ascii="Times New Roman" w:hAnsi="Times New Roman" w:cs="Times New Roman"/>
          <w:sz w:val="24"/>
          <w:szCs w:val="24"/>
        </w:rPr>
      </w:pPr>
      <w:bookmarkStart w:id="9" w:name="_Toc214354812"/>
      <w:r w:rsidRPr="007151C7">
        <w:rPr>
          <w:rFonts w:ascii="Times New Roman" w:hAnsi="Times New Roman" w:cs="Times New Roman"/>
          <w:sz w:val="24"/>
          <w:szCs w:val="24"/>
        </w:rPr>
        <w:t>BYOD Security Risks and Mitigation Strategies</w:t>
      </w:r>
      <w:bookmarkEnd w:id="9"/>
    </w:p>
    <w:p w14:paraId="413828D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need to relax security measures within an organization to the Bring Your Own Device (BYOD), has an associated poly systemic risk that will need the planned controls of a policy framework and a set of technical measures to control the risk BYOD presents at the access perimeter of a network that could otherwise be breached (Shvueli, 2024). Personal devices are usually devoid of any enterprise-level safeguarding, can freely associate with open networks, and can be lost or stolen to create the necessary boundary and data exposure risk for their owner to retain control over data that may, for other users or the enterprise, be sensitive.</w:t>
      </w:r>
    </w:p>
    <w:p w14:paraId="228448E7"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In a BYOD environment, Mobile Device Management (MDM) solutions play a prominent role in device policy customisation, ability to remotely wipe devices, and in application management (Martinez, 2024). MDM provides companies with the ability to modernize their cybersecurity in regards to the management and protection of mobile devices that engage with their networks, the determination of policy enforcement, the ability to remotely erase data from a device, and work/personal data segregation (Technology Advisory Group, 2024). Mobile Device Management (MDM) helps to enforce security and corporate policies while allowing personal device use.  </w:t>
      </w:r>
    </w:p>
    <w:p w14:paraId="47ED9C9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lastRenderedPageBreak/>
        <w:t xml:space="preserve">As a starting place for employee education and awareness, organizations should look to formulate and disseminate clear BYOD policies (Burkett, 2024). They should stipulate which classes of devices are acceptable, what kind of security must be in place, data access, employee scopes of duty and privacy. Security practices should stipulate mandatory encryption and use of a strong authentication, VPN, and regular updates on security measures to access corporate networks.  </w:t>
      </w:r>
    </w:p>
    <w:p w14:paraId="019DEC96" w14:textId="77777777" w:rsidR="000B5400" w:rsidRPr="007151C7" w:rsidRDefault="000B5400" w:rsidP="000B5400">
      <w:pPr>
        <w:pStyle w:val="Heading2"/>
        <w:jc w:val="both"/>
        <w:rPr>
          <w:rFonts w:ascii="Times New Roman" w:hAnsi="Times New Roman" w:cs="Times New Roman"/>
          <w:sz w:val="24"/>
          <w:szCs w:val="24"/>
        </w:rPr>
      </w:pPr>
      <w:bookmarkStart w:id="10" w:name="_Toc214354813"/>
      <w:r w:rsidRPr="007151C7">
        <w:rPr>
          <w:rFonts w:ascii="Times New Roman" w:hAnsi="Times New Roman" w:cs="Times New Roman"/>
          <w:sz w:val="24"/>
          <w:szCs w:val="24"/>
        </w:rPr>
        <w:t>Intellectual Property Protection Requirements</w:t>
      </w:r>
      <w:bookmarkEnd w:id="10"/>
    </w:p>
    <w:p w14:paraId="2289D6CA"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NatureGreen's intellectual property is valued at a billion pounds. Therefore, NatureGreen must integrate strong protective measures covering the technical, administrative, and physical aspects of their assets. Strategies for the protection of intellectual property should include, but not be limited to, both the establishment of data classification systems and a hierarchy of access control policies that are driven by need-to-know, coupled with digital rights management and monitoring.  </w:t>
      </w:r>
    </w:p>
    <w:p w14:paraId="1D01C1E0"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Data Loss Protection (DLP) solutions are designed to prevent the loss of sensitive and confidential data by targeting, tracking, and controlling the flow of sensitive data through networks, endpoints, and cloud systems (Arnott, 2023). If information DLP systems are to function effectively, they must be heuristically joined with information classification strategies so that a defined level of protection is applied to information based on the classification in the destination flow.</w:t>
      </w:r>
    </w:p>
    <w:p w14:paraId="67778015" w14:textId="77777777" w:rsidR="000B5400" w:rsidRPr="007151C7" w:rsidRDefault="000B5400" w:rsidP="000B5400">
      <w:pPr>
        <w:pStyle w:val="Heading1"/>
        <w:jc w:val="both"/>
        <w:rPr>
          <w:rFonts w:ascii="Times New Roman" w:hAnsi="Times New Roman" w:cs="Times New Roman"/>
          <w:sz w:val="24"/>
          <w:szCs w:val="24"/>
        </w:rPr>
      </w:pPr>
      <w:bookmarkStart w:id="11" w:name="_Toc214354814"/>
      <w:r w:rsidRPr="007151C7">
        <w:rPr>
          <w:rFonts w:ascii="Times New Roman" w:hAnsi="Times New Roman" w:cs="Times New Roman"/>
          <w:sz w:val="24"/>
          <w:szCs w:val="24"/>
        </w:rPr>
        <w:t>Regulatory Compliance Requirements</w:t>
      </w:r>
      <w:bookmarkEnd w:id="11"/>
    </w:p>
    <w:p w14:paraId="6E7995AF" w14:textId="77777777" w:rsidR="000B5400" w:rsidRPr="007151C7" w:rsidRDefault="000B5400" w:rsidP="000B5400">
      <w:pPr>
        <w:pStyle w:val="Heading2"/>
        <w:jc w:val="both"/>
        <w:rPr>
          <w:rFonts w:ascii="Times New Roman" w:hAnsi="Times New Roman" w:cs="Times New Roman"/>
          <w:sz w:val="24"/>
          <w:szCs w:val="24"/>
        </w:rPr>
      </w:pPr>
      <w:bookmarkStart w:id="12" w:name="_Toc214354815"/>
      <w:r w:rsidRPr="007151C7">
        <w:rPr>
          <w:rFonts w:ascii="Times New Roman" w:hAnsi="Times New Roman" w:cs="Times New Roman"/>
          <w:sz w:val="24"/>
          <w:szCs w:val="24"/>
        </w:rPr>
        <w:t>General Data Protection Regulation</w:t>
      </w:r>
      <w:bookmarkEnd w:id="12"/>
    </w:p>
    <w:p w14:paraId="497039E2"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Data protection levels (including privacy and European GDPR consideration) advance discordantly, particularly for players that cross borders, with GDPR supervision in the EU, the EU-US data privacy framework and forthcoming UK GDPR amendments (IT Governance, 2024).  Data protection regulations highlight management of processing data on data and lawfulness of processing and data management including minimization, the principle of purpose, the principle of accuracy, the principle of limitation of storage, and the accountability principle stipulated within the regulation.</w:t>
      </w:r>
    </w:p>
    <w:p w14:paraId="71696EB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Organizations must implement sufficient technical and organizational measures to ensure the ongoing confidentiality, integrity, availability, and resilience of the systems in the processing (ScienceLogic, 2024). GDPR raises Data Protection Impact Assessments (DPIAs) when there is a proposal to undertake data processing that is likely to violate the rights and freedoms of the data subjects (Compleye, 2024). Compliance entails the establishment of substantial consent management systems, streamlined privacy notices, and the provision of systems to manage the data subjects’ rights of access, rectification, and erasure.</w:t>
      </w:r>
    </w:p>
    <w:p w14:paraId="74CA281E" w14:textId="77777777" w:rsidR="000B5400" w:rsidRPr="007151C7" w:rsidRDefault="000B5400" w:rsidP="000B5400">
      <w:pPr>
        <w:pStyle w:val="Heading2"/>
        <w:jc w:val="both"/>
        <w:rPr>
          <w:rFonts w:ascii="Times New Roman" w:hAnsi="Times New Roman" w:cs="Times New Roman"/>
          <w:sz w:val="24"/>
          <w:szCs w:val="24"/>
        </w:rPr>
      </w:pPr>
      <w:bookmarkStart w:id="13" w:name="_Toc214354816"/>
      <w:r w:rsidRPr="007151C7">
        <w:rPr>
          <w:rFonts w:ascii="Times New Roman" w:hAnsi="Times New Roman" w:cs="Times New Roman"/>
          <w:sz w:val="24"/>
          <w:szCs w:val="24"/>
        </w:rPr>
        <w:t>Industry-Specific Regulations</w:t>
      </w:r>
      <w:bookmarkEnd w:id="13"/>
    </w:p>
    <w:p w14:paraId="0A71F0A0"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In addition to GDPR, Organizations should consider some of the sectorial regulations, as they impose additional levels of security and compliance needs, including (but not limited to) the </w:t>
      </w:r>
      <w:r w:rsidRPr="007151C7">
        <w:rPr>
          <w:rFonts w:ascii="Times New Roman" w:hAnsi="Times New Roman" w:cs="Times New Roman"/>
          <w:sz w:val="24"/>
          <w:szCs w:val="24"/>
        </w:rPr>
        <w:lastRenderedPageBreak/>
        <w:t>payment card industry data security standards, health care information protection, and financial services regulations, based on their operational settings and domains.</w:t>
      </w:r>
    </w:p>
    <w:p w14:paraId="5028E8FD" w14:textId="77777777" w:rsidR="000B5400" w:rsidRPr="007151C7" w:rsidRDefault="000B5400" w:rsidP="000B5400">
      <w:pPr>
        <w:pStyle w:val="Heading1"/>
        <w:jc w:val="both"/>
        <w:rPr>
          <w:rFonts w:ascii="Times New Roman" w:hAnsi="Times New Roman" w:cs="Times New Roman"/>
          <w:sz w:val="24"/>
          <w:szCs w:val="24"/>
        </w:rPr>
      </w:pPr>
      <w:bookmarkStart w:id="14" w:name="_Toc214354817"/>
      <w:r w:rsidRPr="007151C7">
        <w:rPr>
          <w:rFonts w:ascii="Times New Roman" w:hAnsi="Times New Roman" w:cs="Times New Roman"/>
          <w:sz w:val="24"/>
          <w:szCs w:val="24"/>
        </w:rPr>
        <w:t>Proposed Integrated Security Framework for NatureGreen</w:t>
      </w:r>
      <w:bookmarkEnd w:id="14"/>
    </w:p>
    <w:p w14:paraId="4C7F1AF6" w14:textId="77777777" w:rsidR="000B5400" w:rsidRPr="007151C7" w:rsidRDefault="000B5400" w:rsidP="000B5400">
      <w:pPr>
        <w:pStyle w:val="Heading2"/>
        <w:jc w:val="both"/>
        <w:rPr>
          <w:rFonts w:ascii="Times New Roman" w:hAnsi="Times New Roman" w:cs="Times New Roman"/>
          <w:sz w:val="24"/>
          <w:szCs w:val="24"/>
        </w:rPr>
      </w:pPr>
      <w:bookmarkStart w:id="15" w:name="_Toc214354818"/>
      <w:r w:rsidRPr="007151C7">
        <w:rPr>
          <w:rFonts w:ascii="Times New Roman" w:hAnsi="Times New Roman" w:cs="Times New Roman"/>
          <w:sz w:val="24"/>
          <w:szCs w:val="24"/>
        </w:rPr>
        <w:t>Framework Design Approach</w:t>
      </w:r>
      <w:bookmarkEnd w:id="15"/>
    </w:p>
    <w:p w14:paraId="433A1C2B" w14:textId="77777777" w:rsidR="000B5400" w:rsidRPr="006A2C95"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Integrating ISO 27001 and ITIL along with NIST CSF 2.0, this framework will comprehensively address NatureGreen’s needs. The framework will be designed on three levels – strategic, tactical, and operational – and will adopt a tiered approach.</w:t>
      </w:r>
    </w:p>
    <w:p w14:paraId="27577E6E" w14:textId="77777777" w:rsidR="000B5400" w:rsidRPr="006A2C95" w:rsidRDefault="000B5400" w:rsidP="000B5400">
      <w:pPr>
        <w:pStyle w:val="Caption"/>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A2C95">
        <w:rPr>
          <w:rFonts w:ascii="Times New Roman" w:hAnsi="Times New Roman" w:cs="Times New Roman"/>
          <w:b/>
          <w:bCs/>
          <w:sz w:val="24"/>
          <w:szCs w:val="24"/>
        </w:rPr>
        <w:t xml:space="preserve"> </w:t>
      </w:r>
      <w:bookmarkStart w:id="16" w:name="_Toc214354833"/>
      <w:r>
        <w:t xml:space="preserve">Table </w:t>
      </w:r>
      <w:r>
        <w:fldChar w:fldCharType="begin"/>
      </w:r>
      <w:r>
        <w:instrText xml:space="preserve"> SEQ Table \* ARABIC </w:instrText>
      </w:r>
      <w:r>
        <w:fldChar w:fldCharType="separate"/>
      </w:r>
      <w:r>
        <w:rPr>
          <w:noProof/>
        </w:rPr>
        <w:t>1</w:t>
      </w:r>
      <w:r>
        <w:rPr>
          <w:noProof/>
        </w:rPr>
        <w:fldChar w:fldCharType="end"/>
      </w:r>
      <w:r>
        <w:t xml:space="preserve"> </w:t>
      </w:r>
      <w:r w:rsidRPr="006A2C95">
        <w:rPr>
          <w:rFonts w:ascii="Times New Roman" w:hAnsi="Times New Roman" w:cs="Times New Roman"/>
          <w:b/>
          <w:bCs/>
          <w:sz w:val="24"/>
          <w:szCs w:val="24"/>
        </w:rPr>
        <w:t>Integrated Security Framework Structure</w:t>
      </w:r>
      <w:bookmarkEnd w:id="16"/>
    </w:p>
    <w:tbl>
      <w:tblPr>
        <w:tblStyle w:val="TableGrid"/>
        <w:tblW w:w="0" w:type="auto"/>
        <w:tblLook w:val="04A0" w:firstRow="1" w:lastRow="0" w:firstColumn="1" w:lastColumn="0" w:noHBand="0" w:noVBand="1"/>
      </w:tblPr>
      <w:tblGrid>
        <w:gridCol w:w="1884"/>
        <w:gridCol w:w="2393"/>
        <w:gridCol w:w="2111"/>
        <w:gridCol w:w="2628"/>
      </w:tblGrid>
      <w:tr w:rsidR="000B5400" w:rsidRPr="006A2C95" w14:paraId="7A6A838B" w14:textId="77777777" w:rsidTr="00D86DEA">
        <w:tc>
          <w:tcPr>
            <w:tcW w:w="0" w:type="auto"/>
            <w:hideMark/>
          </w:tcPr>
          <w:p w14:paraId="629A0F83"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Layer</w:t>
            </w:r>
          </w:p>
        </w:tc>
        <w:tc>
          <w:tcPr>
            <w:tcW w:w="0" w:type="auto"/>
            <w:hideMark/>
          </w:tcPr>
          <w:p w14:paraId="4B51EE5B"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Components</w:t>
            </w:r>
          </w:p>
        </w:tc>
        <w:tc>
          <w:tcPr>
            <w:tcW w:w="0" w:type="auto"/>
            <w:hideMark/>
          </w:tcPr>
          <w:p w14:paraId="2131E3C4"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Primary Frameworks</w:t>
            </w:r>
          </w:p>
        </w:tc>
        <w:tc>
          <w:tcPr>
            <w:tcW w:w="0" w:type="auto"/>
            <w:hideMark/>
          </w:tcPr>
          <w:p w14:paraId="11FB8D5A"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Key Activities</w:t>
            </w:r>
          </w:p>
        </w:tc>
      </w:tr>
      <w:tr w:rsidR="000B5400" w:rsidRPr="006A2C95" w14:paraId="123E01F5" w14:textId="77777777" w:rsidTr="00D86DEA">
        <w:tc>
          <w:tcPr>
            <w:tcW w:w="0" w:type="auto"/>
            <w:hideMark/>
          </w:tcPr>
          <w:p w14:paraId="63456122"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Strategic Governance</w:t>
            </w:r>
          </w:p>
        </w:tc>
        <w:tc>
          <w:tcPr>
            <w:tcW w:w="0" w:type="auto"/>
            <w:hideMark/>
          </w:tcPr>
          <w:p w14:paraId="77AC3615"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Security strategy, Risk appetite, Policy framework, Compliance oversight</w:t>
            </w:r>
          </w:p>
        </w:tc>
        <w:tc>
          <w:tcPr>
            <w:tcW w:w="0" w:type="auto"/>
            <w:hideMark/>
          </w:tcPr>
          <w:p w14:paraId="24A3B094"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NIST CSF Govern, ISO 27001 Context</w:t>
            </w:r>
          </w:p>
        </w:tc>
        <w:tc>
          <w:tcPr>
            <w:tcW w:w="0" w:type="auto"/>
            <w:hideMark/>
          </w:tcPr>
          <w:p w14:paraId="36B9D570"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Executive oversight, Strategic alignment, Resource allocation, Performance monitoring</w:t>
            </w:r>
          </w:p>
        </w:tc>
      </w:tr>
      <w:tr w:rsidR="000B5400" w:rsidRPr="006A2C95" w14:paraId="07BADFF4" w14:textId="77777777" w:rsidTr="00D86DEA">
        <w:tc>
          <w:tcPr>
            <w:tcW w:w="0" w:type="auto"/>
            <w:hideMark/>
          </w:tcPr>
          <w:p w14:paraId="6FDDC66E"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Tactical Planning</w:t>
            </w:r>
          </w:p>
        </w:tc>
        <w:tc>
          <w:tcPr>
            <w:tcW w:w="0" w:type="auto"/>
            <w:hideMark/>
          </w:tcPr>
          <w:p w14:paraId="2A124D2B"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Risk assessment, Control selection, Programme management, Compliance management</w:t>
            </w:r>
          </w:p>
        </w:tc>
        <w:tc>
          <w:tcPr>
            <w:tcW w:w="0" w:type="auto"/>
            <w:hideMark/>
          </w:tcPr>
          <w:p w14:paraId="1B2730FB"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ISO 27001 Planning, NIST Identify &amp; Protect</w:t>
            </w:r>
          </w:p>
        </w:tc>
        <w:tc>
          <w:tcPr>
            <w:tcW w:w="0" w:type="auto"/>
            <w:hideMark/>
          </w:tcPr>
          <w:p w14:paraId="498ED62A"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Risk analysis, Control design, Programme planning, Compliance mapping</w:t>
            </w:r>
          </w:p>
        </w:tc>
      </w:tr>
      <w:tr w:rsidR="000B5400" w:rsidRPr="006A2C95" w14:paraId="175D9515" w14:textId="77777777" w:rsidTr="00D86DEA">
        <w:tc>
          <w:tcPr>
            <w:tcW w:w="0" w:type="auto"/>
            <w:hideMark/>
          </w:tcPr>
          <w:p w14:paraId="272E4D30"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Operational Implementation</w:t>
            </w:r>
          </w:p>
        </w:tc>
        <w:tc>
          <w:tcPr>
            <w:tcW w:w="0" w:type="auto"/>
            <w:hideMark/>
          </w:tcPr>
          <w:p w14:paraId="3653F119"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Security operations, Incident response, Monitoring, Service delivery</w:t>
            </w:r>
          </w:p>
        </w:tc>
        <w:tc>
          <w:tcPr>
            <w:tcW w:w="0" w:type="auto"/>
            <w:hideMark/>
          </w:tcPr>
          <w:p w14:paraId="4D550A92"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ITIL Security Management, NIST Detect, Respond &amp; Recover</w:t>
            </w:r>
          </w:p>
        </w:tc>
        <w:tc>
          <w:tcPr>
            <w:tcW w:w="0" w:type="auto"/>
            <w:hideMark/>
          </w:tcPr>
          <w:p w14:paraId="52836F9C"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Control implementation, Incident handling, Continuous monitoring, Service delivery</w:t>
            </w:r>
          </w:p>
        </w:tc>
      </w:tr>
    </w:tbl>
    <w:p w14:paraId="7C2CFF32" w14:textId="77777777" w:rsidR="000B5400" w:rsidRPr="007151C7" w:rsidRDefault="000B5400" w:rsidP="000B5400">
      <w:pPr>
        <w:pStyle w:val="Heading2"/>
        <w:jc w:val="both"/>
        <w:rPr>
          <w:rFonts w:ascii="Times New Roman" w:hAnsi="Times New Roman" w:cs="Times New Roman"/>
          <w:sz w:val="24"/>
          <w:szCs w:val="24"/>
        </w:rPr>
      </w:pPr>
      <w:bookmarkStart w:id="17" w:name="_Toc214354819"/>
      <w:r w:rsidRPr="007151C7">
        <w:rPr>
          <w:rFonts w:ascii="Times New Roman" w:hAnsi="Times New Roman" w:cs="Times New Roman"/>
          <w:sz w:val="24"/>
          <w:szCs w:val="24"/>
        </w:rPr>
        <w:t>Governance and Strategic Planning</w:t>
      </w:r>
      <w:bookmarkEnd w:id="17"/>
    </w:p>
    <w:p w14:paraId="654726AF"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Organizational security is directed from the governance layer by means of the organisation's leadership, policies, and strategic alignment. In relation to information security governance, there is an alignment of query and coherence of the information security policies to the organisation's goals and the means by which the organisation's goals are protected, thus providing an integration of security policy goals and the organisational aims (AlGhamdi et al., 2020).  </w:t>
      </w:r>
    </w:p>
    <w:p w14:paraId="75A3FBC9"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governance framework must clearly define the scope and limits of each role, which must include the appointment of a Chief Information Security Officer, a security steering committee composed of members of the senior management, and the assigning of data protection officers. It is these governance arrangements that guarantee that security gets the appropriate amount of executive focus and resourcing.  </w:t>
      </w:r>
    </w:p>
    <w:p w14:paraId="2EFF43A9" w14:textId="77777777" w:rsidR="000B5400" w:rsidRPr="007151C7" w:rsidRDefault="000B5400" w:rsidP="000B5400">
      <w:pPr>
        <w:pStyle w:val="Heading2"/>
        <w:jc w:val="both"/>
        <w:rPr>
          <w:rFonts w:ascii="Times New Roman" w:hAnsi="Times New Roman" w:cs="Times New Roman"/>
          <w:sz w:val="24"/>
          <w:szCs w:val="24"/>
        </w:rPr>
      </w:pPr>
      <w:bookmarkStart w:id="18" w:name="_Toc214354820"/>
      <w:r w:rsidRPr="007151C7">
        <w:rPr>
          <w:rFonts w:ascii="Times New Roman" w:hAnsi="Times New Roman" w:cs="Times New Roman"/>
          <w:sz w:val="24"/>
          <w:szCs w:val="24"/>
        </w:rPr>
        <w:lastRenderedPageBreak/>
        <w:t>Risk Management Implementation</w:t>
      </w:r>
      <w:bookmarkEnd w:id="18"/>
    </w:p>
    <w:p w14:paraId="11D364C4"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foundation of all security frameworks is risk management as it provides a means for the organisation to identify, evaluate and treat information security risks in a structured manner. The risk management process must conform to the requirements of the standard ISO 27001 and must include identification of the assets, threat and vulnerability assessment, evaluation of the likelihood and impact, and risk treatment planning.  </w:t>
      </w:r>
    </w:p>
    <w:p w14:paraId="75CD79C8" w14:textId="77777777" w:rsidR="000B5400" w:rsidRPr="006A2C95" w:rsidRDefault="000B5400" w:rsidP="000B5400">
      <w:pPr>
        <w:pStyle w:val="Caption"/>
        <w:jc w:val="both"/>
        <w:rPr>
          <w:rFonts w:ascii="Times New Roman" w:hAnsi="Times New Roman" w:cs="Times New Roman"/>
          <w:sz w:val="24"/>
          <w:szCs w:val="24"/>
        </w:rPr>
      </w:pPr>
      <w:r>
        <w:rPr>
          <w:rFonts w:ascii="Times New Roman" w:hAnsi="Times New Roman" w:cs="Times New Roman"/>
          <w:b/>
          <w:bCs/>
          <w:sz w:val="24"/>
          <w:szCs w:val="24"/>
        </w:rPr>
        <w:t xml:space="preserve"> </w:t>
      </w:r>
      <w:bookmarkStart w:id="19" w:name="_Toc214354835"/>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6A2C95">
        <w:rPr>
          <w:rFonts w:ascii="Times New Roman" w:hAnsi="Times New Roman" w:cs="Times New Roman"/>
          <w:b/>
          <w:bCs/>
          <w:sz w:val="24"/>
          <w:szCs w:val="24"/>
        </w:rPr>
        <w:t xml:space="preserve"> Risk Management Process Flow</w:t>
      </w:r>
      <w:bookmarkEnd w:id="19"/>
    </w:p>
    <w:p w14:paraId="66C5F1E7" w14:textId="77777777" w:rsidR="000B5400" w:rsidRDefault="000B5400" w:rsidP="000B5400">
      <w:pPr>
        <w:jc w:val="both"/>
        <w:rPr>
          <w:rFonts w:ascii="Times New Roman" w:hAnsi="Times New Roman" w:cs="Times New Roman"/>
          <w:sz w:val="24"/>
          <w:szCs w:val="24"/>
        </w:rPr>
      </w:pPr>
      <w:r w:rsidRPr="004D5824">
        <w:rPr>
          <w:rFonts w:ascii="Times New Roman" w:hAnsi="Times New Roman" w:cs="Times New Roman"/>
          <w:noProof/>
          <w:sz w:val="24"/>
          <w:szCs w:val="24"/>
        </w:rPr>
        <w:drawing>
          <wp:inline distT="0" distB="0" distL="0" distR="0" wp14:anchorId="5DBBEACB" wp14:editId="0D2B5394">
            <wp:extent cx="5731510" cy="3268345"/>
            <wp:effectExtent l="0" t="0" r="2540" b="8255"/>
            <wp:docPr id="126428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281057" name=""/>
                    <pic:cNvPicPr/>
                  </pic:nvPicPr>
                  <pic:blipFill>
                    <a:blip r:embed="rId4"/>
                    <a:stretch>
                      <a:fillRect/>
                    </a:stretch>
                  </pic:blipFill>
                  <pic:spPr>
                    <a:xfrm>
                      <a:off x="0" y="0"/>
                      <a:ext cx="5731510" cy="3268345"/>
                    </a:xfrm>
                    <a:prstGeom prst="rect">
                      <a:avLst/>
                    </a:prstGeom>
                  </pic:spPr>
                </pic:pic>
              </a:graphicData>
            </a:graphic>
          </wp:inline>
        </w:drawing>
      </w:r>
    </w:p>
    <w:p w14:paraId="52DE1BAF"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options available for treatment of risk include mitigation of the risk by the implementation of a control, transfer of the risk by means of on insurance or outsourcing, acceptance of the risk when it is minor, and avoidance of the risk by the discontinuation of the activity. The treatment that is selected must be in line with the risk appetite of the organisation and the resources that are available.</w:t>
      </w:r>
    </w:p>
    <w:p w14:paraId="2DD8F093" w14:textId="77777777" w:rsidR="000B5400" w:rsidRPr="007151C7" w:rsidRDefault="000B5400" w:rsidP="000B5400">
      <w:pPr>
        <w:pStyle w:val="Heading2"/>
        <w:jc w:val="both"/>
        <w:rPr>
          <w:rFonts w:ascii="Times New Roman" w:hAnsi="Times New Roman" w:cs="Times New Roman"/>
          <w:sz w:val="24"/>
          <w:szCs w:val="24"/>
        </w:rPr>
      </w:pPr>
      <w:bookmarkStart w:id="20" w:name="_Toc214354821"/>
      <w:r w:rsidRPr="007151C7">
        <w:rPr>
          <w:rFonts w:ascii="Times New Roman" w:hAnsi="Times New Roman" w:cs="Times New Roman"/>
          <w:sz w:val="24"/>
          <w:szCs w:val="24"/>
        </w:rPr>
        <w:t>Security Policy Framework</w:t>
      </w:r>
      <w:bookmarkEnd w:id="20"/>
    </w:p>
    <w:p w14:paraId="769215BC"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foundation on which organisations build uniform security measures is the security policies that an organisation adopts. Policy frameworks must contain a foundation information security policy which determines the organisation’s approach to security, coupled with policies that target specific areas including, but not limited to, acceptable use, access control, BYOD, data classification, incident response, and business continuity.</w:t>
      </w:r>
    </w:p>
    <w:p w14:paraId="5D58C16F"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Policies are to be published and circulated to concerned parties and should be reviewed and updated as necessary on a regular basis (IT Governance, 2024). Integration of the policy frameworks with human resources should ensure that staff security responsibilities are explained to them through training and awareness activities.</w:t>
      </w:r>
    </w:p>
    <w:p w14:paraId="3101AE25" w14:textId="77777777" w:rsidR="000B5400" w:rsidRPr="007151C7" w:rsidRDefault="000B5400" w:rsidP="000B5400">
      <w:pPr>
        <w:pStyle w:val="Heading2"/>
        <w:jc w:val="both"/>
        <w:rPr>
          <w:rFonts w:ascii="Times New Roman" w:hAnsi="Times New Roman" w:cs="Times New Roman"/>
          <w:sz w:val="24"/>
          <w:szCs w:val="24"/>
        </w:rPr>
      </w:pPr>
      <w:bookmarkStart w:id="21" w:name="_Toc214354822"/>
      <w:r w:rsidRPr="007151C7">
        <w:rPr>
          <w:rFonts w:ascii="Times New Roman" w:hAnsi="Times New Roman" w:cs="Times New Roman"/>
          <w:sz w:val="24"/>
          <w:szCs w:val="24"/>
        </w:rPr>
        <w:lastRenderedPageBreak/>
        <w:t>BYOD Security Controls</w:t>
      </w:r>
      <w:bookmarkEnd w:id="21"/>
    </w:p>
    <w:p w14:paraId="28828DB8" w14:textId="77777777" w:rsidR="000B5400" w:rsidRPr="006A2C95"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adoption of BYOD functionalities calls for the implementation of extensive safeguards related to the security of the devices, the protection of data, and access to the network. The BYOD program must include processes for the registration of devices, the specification of mandatory security settings, the use of Mobile Device Management (MDM), the implementation of access control for networks, and training of users.</w:t>
      </w:r>
    </w:p>
    <w:p w14:paraId="3383A23D" w14:textId="77777777" w:rsidR="000B5400" w:rsidRPr="006A2C95" w:rsidRDefault="000B5400" w:rsidP="000B5400">
      <w:pPr>
        <w:pStyle w:val="Caption"/>
        <w:jc w:val="both"/>
        <w:rPr>
          <w:rFonts w:ascii="Times New Roman" w:hAnsi="Times New Roman" w:cs="Times New Roman"/>
          <w:sz w:val="24"/>
          <w:szCs w:val="24"/>
        </w:rPr>
      </w:pPr>
      <w:r>
        <w:rPr>
          <w:rFonts w:ascii="Times New Roman" w:hAnsi="Times New Roman" w:cs="Times New Roman"/>
          <w:b/>
          <w:bCs/>
          <w:sz w:val="24"/>
          <w:szCs w:val="24"/>
        </w:rPr>
        <w:t xml:space="preserve"> </w:t>
      </w:r>
      <w:bookmarkStart w:id="22" w:name="_Toc214354834"/>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6A2C95">
        <w:rPr>
          <w:rFonts w:ascii="Times New Roman" w:hAnsi="Times New Roman" w:cs="Times New Roman"/>
          <w:b/>
          <w:bCs/>
          <w:sz w:val="24"/>
          <w:szCs w:val="24"/>
        </w:rPr>
        <w:t xml:space="preserve"> BYOD Security Controls</w:t>
      </w:r>
      <w:bookmarkEnd w:id="22"/>
    </w:p>
    <w:tbl>
      <w:tblPr>
        <w:tblStyle w:val="TableGrid"/>
        <w:tblW w:w="0" w:type="auto"/>
        <w:tblLook w:val="04A0" w:firstRow="1" w:lastRow="0" w:firstColumn="1" w:lastColumn="0" w:noHBand="0" w:noVBand="1"/>
      </w:tblPr>
      <w:tblGrid>
        <w:gridCol w:w="1612"/>
        <w:gridCol w:w="4705"/>
        <w:gridCol w:w="2699"/>
      </w:tblGrid>
      <w:tr w:rsidR="000B5400" w:rsidRPr="006A2C95" w14:paraId="6AF14898" w14:textId="77777777" w:rsidTr="00D86DEA">
        <w:tc>
          <w:tcPr>
            <w:tcW w:w="0" w:type="auto"/>
            <w:hideMark/>
          </w:tcPr>
          <w:p w14:paraId="5BF3C232"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Control Category</w:t>
            </w:r>
          </w:p>
        </w:tc>
        <w:tc>
          <w:tcPr>
            <w:tcW w:w="0" w:type="auto"/>
            <w:hideMark/>
          </w:tcPr>
          <w:p w14:paraId="316DCF4F"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Specific Controls</w:t>
            </w:r>
          </w:p>
        </w:tc>
        <w:tc>
          <w:tcPr>
            <w:tcW w:w="0" w:type="auto"/>
            <w:hideMark/>
          </w:tcPr>
          <w:p w14:paraId="5CB6C6B0" w14:textId="77777777" w:rsidR="000B5400" w:rsidRPr="006A2C95" w:rsidRDefault="000B5400" w:rsidP="00D86DEA">
            <w:pPr>
              <w:jc w:val="both"/>
              <w:rPr>
                <w:rFonts w:ascii="Times New Roman" w:hAnsi="Times New Roman" w:cs="Times New Roman"/>
                <w:b/>
                <w:bCs/>
                <w:sz w:val="24"/>
                <w:szCs w:val="24"/>
              </w:rPr>
            </w:pPr>
            <w:r w:rsidRPr="006A2C95">
              <w:rPr>
                <w:rFonts w:ascii="Times New Roman" w:hAnsi="Times New Roman" w:cs="Times New Roman"/>
                <w:b/>
                <w:bCs/>
                <w:sz w:val="24"/>
                <w:szCs w:val="24"/>
              </w:rPr>
              <w:t>Implementation Mechanism</w:t>
            </w:r>
          </w:p>
        </w:tc>
      </w:tr>
      <w:tr w:rsidR="000B5400" w:rsidRPr="006A2C95" w14:paraId="51C754C8" w14:textId="77777777" w:rsidTr="00D86DEA">
        <w:tc>
          <w:tcPr>
            <w:tcW w:w="0" w:type="auto"/>
            <w:hideMark/>
          </w:tcPr>
          <w:p w14:paraId="457AD652"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Device Security</w:t>
            </w:r>
          </w:p>
        </w:tc>
        <w:tc>
          <w:tcPr>
            <w:tcW w:w="0" w:type="auto"/>
            <w:hideMark/>
          </w:tcPr>
          <w:p w14:paraId="147CDF3C"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Encryption requirement, Password policy, Automatic screen lock, Current patch level</w:t>
            </w:r>
          </w:p>
        </w:tc>
        <w:tc>
          <w:tcPr>
            <w:tcW w:w="0" w:type="auto"/>
            <w:hideMark/>
          </w:tcPr>
          <w:p w14:paraId="158CB34D"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MDM policy enforcement</w:t>
            </w:r>
          </w:p>
        </w:tc>
      </w:tr>
      <w:tr w:rsidR="000B5400" w:rsidRPr="006A2C95" w14:paraId="4564DC07" w14:textId="77777777" w:rsidTr="00D86DEA">
        <w:tc>
          <w:tcPr>
            <w:tcW w:w="0" w:type="auto"/>
            <w:hideMark/>
          </w:tcPr>
          <w:p w14:paraId="670C6541"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Data Protection</w:t>
            </w:r>
          </w:p>
        </w:tc>
        <w:tc>
          <w:tcPr>
            <w:tcW w:w="0" w:type="auto"/>
            <w:hideMark/>
          </w:tcPr>
          <w:p w14:paraId="61955E54"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Corporate data containerisation, Remote wipe capability, Data backup requirements, DLP integration</w:t>
            </w:r>
          </w:p>
        </w:tc>
        <w:tc>
          <w:tcPr>
            <w:tcW w:w="0" w:type="auto"/>
            <w:hideMark/>
          </w:tcPr>
          <w:p w14:paraId="3A50B60D"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MDM and DLP solutions</w:t>
            </w:r>
          </w:p>
        </w:tc>
      </w:tr>
      <w:tr w:rsidR="000B5400" w:rsidRPr="006A2C95" w14:paraId="763488AC" w14:textId="77777777" w:rsidTr="00D86DEA">
        <w:tc>
          <w:tcPr>
            <w:tcW w:w="0" w:type="auto"/>
            <w:hideMark/>
          </w:tcPr>
          <w:p w14:paraId="4959C113"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Network Access</w:t>
            </w:r>
          </w:p>
        </w:tc>
        <w:tc>
          <w:tcPr>
            <w:tcW w:w="0" w:type="auto"/>
            <w:hideMark/>
          </w:tcPr>
          <w:p w14:paraId="1350C927"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VPN requirement, Network segmentation, Certificate-based authentication, Traffic monitoring</w:t>
            </w:r>
          </w:p>
        </w:tc>
        <w:tc>
          <w:tcPr>
            <w:tcW w:w="0" w:type="auto"/>
            <w:hideMark/>
          </w:tcPr>
          <w:p w14:paraId="1D418914"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NAC and VPN infrastructure</w:t>
            </w:r>
          </w:p>
        </w:tc>
      </w:tr>
      <w:tr w:rsidR="000B5400" w:rsidRPr="006A2C95" w14:paraId="3E15A435" w14:textId="77777777" w:rsidTr="00D86DEA">
        <w:tc>
          <w:tcPr>
            <w:tcW w:w="0" w:type="auto"/>
            <w:hideMark/>
          </w:tcPr>
          <w:p w14:paraId="586C2877"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Usage Governance</w:t>
            </w:r>
          </w:p>
        </w:tc>
        <w:tc>
          <w:tcPr>
            <w:tcW w:w="0" w:type="auto"/>
            <w:hideMark/>
          </w:tcPr>
          <w:p w14:paraId="48595258"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Acceptable use policy, Privacy statement, Employee agreement, Violation procedures</w:t>
            </w:r>
          </w:p>
        </w:tc>
        <w:tc>
          <w:tcPr>
            <w:tcW w:w="0" w:type="auto"/>
            <w:hideMark/>
          </w:tcPr>
          <w:p w14:paraId="25B8D023" w14:textId="77777777" w:rsidR="000B5400" w:rsidRPr="006A2C95" w:rsidRDefault="000B5400" w:rsidP="00D86DEA">
            <w:pPr>
              <w:jc w:val="both"/>
              <w:rPr>
                <w:rFonts w:ascii="Times New Roman" w:hAnsi="Times New Roman" w:cs="Times New Roman"/>
                <w:sz w:val="24"/>
                <w:szCs w:val="24"/>
              </w:rPr>
            </w:pPr>
            <w:r w:rsidRPr="006A2C95">
              <w:rPr>
                <w:rFonts w:ascii="Times New Roman" w:hAnsi="Times New Roman" w:cs="Times New Roman"/>
                <w:sz w:val="24"/>
                <w:szCs w:val="24"/>
              </w:rPr>
              <w:t>Policy documentation and HR integration</w:t>
            </w:r>
          </w:p>
        </w:tc>
      </w:tr>
    </w:tbl>
    <w:p w14:paraId="5F4968C2" w14:textId="77777777" w:rsidR="000B5400" w:rsidRPr="007151C7" w:rsidRDefault="000B5400" w:rsidP="000B5400">
      <w:pPr>
        <w:pStyle w:val="Heading2"/>
        <w:jc w:val="both"/>
        <w:rPr>
          <w:rFonts w:ascii="Times New Roman" w:hAnsi="Times New Roman" w:cs="Times New Roman"/>
          <w:sz w:val="24"/>
          <w:szCs w:val="24"/>
        </w:rPr>
      </w:pPr>
      <w:bookmarkStart w:id="23" w:name="_Toc214354823"/>
      <w:r w:rsidRPr="007151C7">
        <w:rPr>
          <w:rFonts w:ascii="Times New Roman" w:hAnsi="Times New Roman" w:cs="Times New Roman"/>
          <w:sz w:val="24"/>
          <w:szCs w:val="24"/>
        </w:rPr>
        <w:t>Cloud Security Architecture</w:t>
      </w:r>
      <w:bookmarkEnd w:id="23"/>
    </w:p>
    <w:p w14:paraId="1E44BCB6"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For cloud computing security to be effective, organizations need to adopt shared responsibility models that entail organizations taking responsibility for data protection, access management and compliance while cloud providers take care of infrastructure security. Security architecture needs to account for the integration of identity and access management systems, data encryption for data at rest and in transit, security monitoring and logging, and regular security assessments.</w:t>
      </w:r>
    </w:p>
    <w:p w14:paraId="4E084A9D"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For visibility and control of the data security policies and threat protection over the cloud application usage, organizations should deploy cloud access security broker solutions (Arnott, 2023). Such solutions afford organizations the freedom to implement their security policies to more than one cloud provider.</w:t>
      </w:r>
    </w:p>
    <w:p w14:paraId="2F23413A" w14:textId="77777777" w:rsidR="000B5400" w:rsidRPr="007151C7" w:rsidRDefault="000B5400" w:rsidP="000B5400">
      <w:pPr>
        <w:pStyle w:val="Heading2"/>
        <w:jc w:val="both"/>
        <w:rPr>
          <w:rFonts w:ascii="Times New Roman" w:hAnsi="Times New Roman" w:cs="Times New Roman"/>
          <w:sz w:val="24"/>
          <w:szCs w:val="24"/>
        </w:rPr>
      </w:pPr>
      <w:bookmarkStart w:id="24" w:name="_Toc214354824"/>
      <w:r w:rsidRPr="007151C7">
        <w:rPr>
          <w:rFonts w:ascii="Times New Roman" w:hAnsi="Times New Roman" w:cs="Times New Roman"/>
          <w:sz w:val="24"/>
          <w:szCs w:val="24"/>
        </w:rPr>
        <w:t>Wireless Network Security</w:t>
      </w:r>
      <w:bookmarkEnd w:id="24"/>
    </w:p>
    <w:p w14:paraId="768A1FE4"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Security of wireless networks has to involve multiple control layers focusing on each of authentication, encryption, network segmentation and monitoring. Security architecture should include 802.1X authentication through certificates or secure credentials, WPA3 encryption protocols, network segmentation of corporate and guest wireless networks, intrusion detection and prevention systems, and monitoring of the wireless network.</w:t>
      </w:r>
    </w:p>
    <w:p w14:paraId="2BF65528"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lastRenderedPageBreak/>
        <w:t>Frequent wireless security assessments should focus on rogue access points, weak implementation of encryption, and inadequately configured systems, as these pose security risks and should be remedied (Interagency Security Committee, 2024).</w:t>
      </w:r>
    </w:p>
    <w:p w14:paraId="242DA597" w14:textId="77777777" w:rsidR="000B5400" w:rsidRPr="007151C7" w:rsidRDefault="000B5400" w:rsidP="000B5400">
      <w:pPr>
        <w:pStyle w:val="Heading2"/>
        <w:jc w:val="both"/>
        <w:rPr>
          <w:rFonts w:ascii="Times New Roman" w:hAnsi="Times New Roman" w:cs="Times New Roman"/>
          <w:sz w:val="24"/>
          <w:szCs w:val="24"/>
        </w:rPr>
      </w:pPr>
      <w:bookmarkStart w:id="25" w:name="_Toc214354825"/>
      <w:r w:rsidRPr="007151C7">
        <w:rPr>
          <w:rFonts w:ascii="Times New Roman" w:hAnsi="Times New Roman" w:cs="Times New Roman"/>
          <w:sz w:val="24"/>
          <w:szCs w:val="24"/>
        </w:rPr>
        <w:t>Incident Response and Business Continuity</w:t>
      </w:r>
      <w:bookmarkEnd w:id="25"/>
    </w:p>
    <w:p w14:paraId="06366554"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One of the most important features of an organisation is its ability to respond to and recover from an incident while sustaining the least amount of damage possible. This is why an organisation should put such an incident response programme in place. Specifically, the incident response programme should focus on incident classification, response procedures address criteria for varying incidents, response criteria, communication procedures, forensic investigation procedures, and processes for incident closure.</w:t>
      </w:r>
    </w:p>
    <w:p w14:paraId="6FDA0853"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Business continuity planning focuses on determining the essential processes and the assets needed to sustain an organisation, which is the essence of the planning necessary to sustain the organisation while assessing the objectives for recovery and applicable downtime, and developing and documenting procedures for backup and recovery along with the scheduling of exercises to validate the procedures.</w:t>
      </w:r>
    </w:p>
    <w:p w14:paraId="1A7E5CEE" w14:textId="77777777" w:rsidR="000B5400" w:rsidRPr="007151C7" w:rsidRDefault="000B5400" w:rsidP="000B5400">
      <w:pPr>
        <w:pStyle w:val="Heading1"/>
        <w:jc w:val="both"/>
        <w:rPr>
          <w:rFonts w:ascii="Times New Roman" w:hAnsi="Times New Roman" w:cs="Times New Roman"/>
          <w:sz w:val="24"/>
          <w:szCs w:val="24"/>
        </w:rPr>
      </w:pPr>
      <w:bookmarkStart w:id="26" w:name="_Toc214354826"/>
      <w:r w:rsidRPr="007151C7">
        <w:rPr>
          <w:rFonts w:ascii="Times New Roman" w:hAnsi="Times New Roman" w:cs="Times New Roman"/>
          <w:sz w:val="24"/>
          <w:szCs w:val="24"/>
        </w:rPr>
        <w:t>Importance of Updated Regulations and Standards</w:t>
      </w:r>
      <w:bookmarkEnd w:id="26"/>
    </w:p>
    <w:p w14:paraId="7CBFC4D7" w14:textId="77777777" w:rsidR="000B5400" w:rsidRPr="007151C7" w:rsidRDefault="000B5400" w:rsidP="000B5400">
      <w:pPr>
        <w:pStyle w:val="Heading2"/>
        <w:jc w:val="both"/>
        <w:rPr>
          <w:rFonts w:ascii="Times New Roman" w:hAnsi="Times New Roman" w:cs="Times New Roman"/>
          <w:sz w:val="24"/>
          <w:szCs w:val="24"/>
        </w:rPr>
      </w:pPr>
      <w:bookmarkStart w:id="27" w:name="_Toc214354827"/>
      <w:r w:rsidRPr="007151C7">
        <w:rPr>
          <w:rFonts w:ascii="Times New Roman" w:hAnsi="Times New Roman" w:cs="Times New Roman"/>
          <w:sz w:val="24"/>
          <w:szCs w:val="24"/>
        </w:rPr>
        <w:t>Evolving Threat Landscape</w:t>
      </w:r>
      <w:bookmarkEnd w:id="27"/>
    </w:p>
    <w:p w14:paraId="63EF56A7"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With the evolving landscape of cyber threats, contemporary organisations face an evolving need to protect sensitive data and sustain the trust of stakeholders, which makes the implementation of processes to protect an organisation from cyber threats not optional (CertPro, 2024). Threat actors gain new techniques for system breaches using new technologies and system vulnerabilities. This sets the stage for the need for new practices along with evolving system security.</w:t>
      </w:r>
    </w:p>
    <w:p w14:paraId="6FDC29E5"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Security standards ought to be updated and new frameworks proposed in response to a set of criteria. Updating standards helps integrate lessons learned from security incidents as well as criteria adapted to volatile conditions. Standards incorporation processes from the NIST lead to cooperative consensus frameworks built on the input of security practitioners, researchers, and industry stakeholders (NIST, 2024).</w:t>
      </w:r>
    </w:p>
    <w:p w14:paraId="6C401F3D" w14:textId="77777777" w:rsidR="000B5400" w:rsidRPr="007151C7" w:rsidRDefault="000B5400" w:rsidP="000B5400">
      <w:pPr>
        <w:pStyle w:val="Heading2"/>
        <w:jc w:val="both"/>
        <w:rPr>
          <w:rFonts w:ascii="Times New Roman" w:hAnsi="Times New Roman" w:cs="Times New Roman"/>
          <w:sz w:val="24"/>
          <w:szCs w:val="24"/>
        </w:rPr>
      </w:pPr>
      <w:bookmarkStart w:id="28" w:name="_Toc214354828"/>
      <w:r w:rsidRPr="007151C7">
        <w:rPr>
          <w:rFonts w:ascii="Times New Roman" w:hAnsi="Times New Roman" w:cs="Times New Roman"/>
          <w:sz w:val="24"/>
          <w:szCs w:val="24"/>
        </w:rPr>
        <w:t>Technological Advancement Integration</w:t>
      </w:r>
      <w:bookmarkEnd w:id="28"/>
    </w:p>
    <w:p w14:paraId="72FB5A79"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acceleration of technology including cloud computing, mobility, Internet of Things, and artificial intelligence raise new security concerns, which call for changes to the framework to be integrated. Standards must adapt to the technology’s security risks, and provide direction on the secure use and management of such technologies.  </w:t>
      </w:r>
    </w:p>
    <w:p w14:paraId="2FCAC2C7"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NIST CSF 2.0 is an example of this adaptation with the new guidance on supply chain risk management and the addition of a governance function to cope with new security risks (Cyber Citadel, 2024). T Likewise, recognition of climate action in ISO 27001 Amendment 1:2024, which is the first amendment to the standard since 27001:2013, is also an acknowledgment of the security risks that the environment poses on operations (Iseoblue, 2024).  </w:t>
      </w:r>
    </w:p>
    <w:p w14:paraId="109F18A6" w14:textId="77777777" w:rsidR="000B5400" w:rsidRPr="007151C7" w:rsidRDefault="000B5400" w:rsidP="000B5400">
      <w:pPr>
        <w:pStyle w:val="Heading2"/>
        <w:jc w:val="both"/>
        <w:rPr>
          <w:rFonts w:ascii="Times New Roman" w:hAnsi="Times New Roman" w:cs="Times New Roman"/>
          <w:sz w:val="24"/>
          <w:szCs w:val="24"/>
        </w:rPr>
      </w:pPr>
      <w:bookmarkStart w:id="29" w:name="_Toc214354829"/>
      <w:r w:rsidRPr="007151C7">
        <w:rPr>
          <w:rFonts w:ascii="Times New Roman" w:hAnsi="Times New Roman" w:cs="Times New Roman"/>
          <w:sz w:val="24"/>
          <w:szCs w:val="24"/>
        </w:rPr>
        <w:lastRenderedPageBreak/>
        <w:t>Regulatory Harmonisation</w:t>
      </w:r>
      <w:bookmarkEnd w:id="29"/>
    </w:p>
    <w:p w14:paraId="42814F4D"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revisions to the standards will contribute to regulatory harmonisation. This is because standards align and integrate options for different jurisdictions and regulatory frameworks. This Harmonisation reduces the complexity of compliance for global players while ensuring that the same level of protection is provided to individuals and entities (IT Governance, 2024).  </w:t>
      </w:r>
    </w:p>
    <w:p w14:paraId="75CC233F"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GDPR is a quintessential example of comprehensive data protection legislation that has inspired the development of privacy laws with comparable regulations in numerous jurisdictions (Wikipedia, 2024). Updating standards enables an organization to demonstrate compliance and aligns with expectations of a framework.</w:t>
      </w:r>
    </w:p>
    <w:p w14:paraId="337125C4" w14:textId="77777777" w:rsidR="000B5400" w:rsidRPr="007151C7" w:rsidRDefault="000B5400" w:rsidP="000B5400">
      <w:pPr>
        <w:pStyle w:val="Heading2"/>
        <w:jc w:val="both"/>
        <w:rPr>
          <w:rFonts w:ascii="Times New Roman" w:hAnsi="Times New Roman" w:cs="Times New Roman"/>
          <w:sz w:val="24"/>
          <w:szCs w:val="24"/>
        </w:rPr>
      </w:pPr>
      <w:bookmarkStart w:id="30" w:name="_Toc214354830"/>
      <w:r w:rsidRPr="007151C7">
        <w:rPr>
          <w:rFonts w:ascii="Times New Roman" w:hAnsi="Times New Roman" w:cs="Times New Roman"/>
          <w:sz w:val="24"/>
          <w:szCs w:val="24"/>
        </w:rPr>
        <w:t>Continuous Improvement Culture</w:t>
      </w:r>
      <w:bookmarkEnd w:id="30"/>
    </w:p>
    <w:p w14:paraId="16C2B00A"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Encouraging the periodic reassessment of security postures and the effectiveness of controls though regular standard updates engender a culture of continuous improvement within organisations. The security practices embedded within a framework are ensured to advance through the reviews, audits, and updates because the practices cannot become static. The ability of organisations to integrate cybersecurity frameworks with ITIL to review and adjust security policies to new threats, and learn from the adjustments to ensure more robust defence systems in place, demonstrates the positive impact of a continuous improvement model. Over a period of time, this model results in improved security maturity and enhanced resilience in the organisation.</w:t>
      </w:r>
    </w:p>
    <w:p w14:paraId="45E82F52" w14:textId="77777777" w:rsidR="000B5400" w:rsidRPr="007151C7" w:rsidRDefault="000B5400" w:rsidP="000B5400">
      <w:pPr>
        <w:pStyle w:val="Heading1"/>
        <w:jc w:val="both"/>
        <w:rPr>
          <w:rFonts w:ascii="Times New Roman" w:hAnsi="Times New Roman" w:cs="Times New Roman"/>
          <w:sz w:val="24"/>
          <w:szCs w:val="24"/>
        </w:rPr>
      </w:pPr>
      <w:bookmarkStart w:id="31" w:name="_Toc214354831"/>
      <w:r w:rsidRPr="007151C7">
        <w:rPr>
          <w:rFonts w:ascii="Times New Roman" w:hAnsi="Times New Roman" w:cs="Times New Roman"/>
          <w:sz w:val="24"/>
          <w:szCs w:val="24"/>
        </w:rPr>
        <w:t>Conclusion</w:t>
      </w:r>
      <w:bookmarkEnd w:id="31"/>
    </w:p>
    <w:p w14:paraId="776C45C3"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The security, governance, and compliance expectations for NatureGreen have been relatively established through the examination of recognised frameworks and current security challenges, and the integrated framework that combines aspects of ISO 27001 and ITIL, and NIST CSF 2.0 offers the most balanced solution to NatureGreen's security challenges, in a flexible format, to adjust to changing scenarios.</w:t>
      </w:r>
    </w:p>
    <w:p w14:paraId="0FBD360A"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To be effective, the integrated framework should be supported by continuous executive sponsorship, appropriate resource allocation, and a shift from the status quo to a model of the organisation with enhanced security awareness and accountability. The effectiveness of the integrated framework hinges on the existence of targeted governance, a robust risk management framework and processes; policies that are responsive to keeping the organisation safe and secure, and a structure that supports a cycle of ongoing improvement.</w:t>
      </w:r>
    </w:p>
    <w:p w14:paraId="68CEDC32"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In order to maintain the effectiveness of security measures against threats and the implications of advancing technologies, periodic revisions of security standards and regulations are pivotal. Organizations are required to adopt an approach to continuous improvement that ensures security measures are up to date and effective.</w:t>
      </w:r>
    </w:p>
    <w:p w14:paraId="62E25DB4" w14:textId="77777777" w:rsidR="000B5400" w:rsidRPr="007151C7" w:rsidRDefault="000B5400" w:rsidP="000B5400">
      <w:pPr>
        <w:jc w:val="both"/>
        <w:rPr>
          <w:rFonts w:ascii="Times New Roman" w:hAnsi="Times New Roman" w:cs="Times New Roman"/>
          <w:sz w:val="24"/>
          <w:szCs w:val="24"/>
        </w:rPr>
      </w:pPr>
      <w:r w:rsidRPr="007151C7">
        <w:rPr>
          <w:rFonts w:ascii="Times New Roman" w:hAnsi="Times New Roman" w:cs="Times New Roman"/>
          <w:sz w:val="24"/>
          <w:szCs w:val="24"/>
        </w:rPr>
        <w:t xml:space="preserve">The recommendations allow NatureGreen to build strong security pillars that protect intellectual property, customer information, and business continuity, while fulfilling compliance and stakeholder requirements. Successful execution will make NatureGreen a </w:t>
      </w:r>
      <w:r w:rsidRPr="007151C7">
        <w:rPr>
          <w:rFonts w:ascii="Times New Roman" w:hAnsi="Times New Roman" w:cs="Times New Roman"/>
          <w:sz w:val="24"/>
          <w:szCs w:val="24"/>
        </w:rPr>
        <w:lastRenderedPageBreak/>
        <w:t>security-aware organization that can navigate intricate technological ecosystems with confidence.</w:t>
      </w:r>
    </w:p>
    <w:p w14:paraId="21319FAE" w14:textId="77777777" w:rsidR="000B5400" w:rsidRDefault="000B5400" w:rsidP="000B5400">
      <w:pPr>
        <w:pStyle w:val="Heading1"/>
        <w:rPr>
          <w:rFonts w:ascii="Times New Roman" w:hAnsi="Times New Roman" w:cs="Times New Roman"/>
          <w:sz w:val="24"/>
          <w:szCs w:val="24"/>
        </w:rPr>
      </w:pPr>
      <w:bookmarkStart w:id="32" w:name="_Toc214354832"/>
    </w:p>
    <w:p w14:paraId="07C78F29" w14:textId="77777777" w:rsidR="000B5400" w:rsidRDefault="000B5400" w:rsidP="000B5400">
      <w:pPr>
        <w:pStyle w:val="Heading1"/>
        <w:rPr>
          <w:rFonts w:ascii="Times New Roman" w:hAnsi="Times New Roman" w:cs="Times New Roman"/>
          <w:sz w:val="24"/>
          <w:szCs w:val="24"/>
        </w:rPr>
      </w:pPr>
    </w:p>
    <w:p w14:paraId="0DCBCD2C" w14:textId="77777777" w:rsidR="000B5400" w:rsidRDefault="000B5400" w:rsidP="000B5400">
      <w:pPr>
        <w:pStyle w:val="Heading1"/>
        <w:rPr>
          <w:rFonts w:ascii="Times New Roman" w:hAnsi="Times New Roman" w:cs="Times New Roman"/>
          <w:sz w:val="24"/>
          <w:szCs w:val="24"/>
        </w:rPr>
      </w:pPr>
    </w:p>
    <w:p w14:paraId="5E8ACA14" w14:textId="77777777" w:rsidR="000B5400" w:rsidRDefault="000B5400" w:rsidP="000B5400">
      <w:pPr>
        <w:pStyle w:val="Heading1"/>
        <w:rPr>
          <w:rFonts w:ascii="Times New Roman" w:hAnsi="Times New Roman" w:cs="Times New Roman"/>
          <w:sz w:val="24"/>
          <w:szCs w:val="24"/>
        </w:rPr>
      </w:pPr>
    </w:p>
    <w:p w14:paraId="0D774AD8" w14:textId="77777777" w:rsidR="000B5400" w:rsidRDefault="000B5400" w:rsidP="000B5400">
      <w:pPr>
        <w:pStyle w:val="Heading1"/>
        <w:rPr>
          <w:rFonts w:ascii="Times New Roman" w:hAnsi="Times New Roman" w:cs="Times New Roman"/>
          <w:sz w:val="24"/>
          <w:szCs w:val="24"/>
        </w:rPr>
      </w:pPr>
    </w:p>
    <w:p w14:paraId="347EF153" w14:textId="77777777" w:rsidR="000B5400" w:rsidRDefault="000B5400" w:rsidP="000B5400">
      <w:pPr>
        <w:pStyle w:val="Heading1"/>
        <w:rPr>
          <w:rFonts w:ascii="Times New Roman" w:hAnsi="Times New Roman" w:cs="Times New Roman"/>
          <w:sz w:val="24"/>
          <w:szCs w:val="24"/>
        </w:rPr>
      </w:pPr>
    </w:p>
    <w:p w14:paraId="04FCC11E" w14:textId="77777777" w:rsidR="000B5400" w:rsidRDefault="000B5400" w:rsidP="000B5400">
      <w:pPr>
        <w:pStyle w:val="Heading1"/>
        <w:rPr>
          <w:rFonts w:ascii="Times New Roman" w:hAnsi="Times New Roman" w:cs="Times New Roman"/>
          <w:sz w:val="24"/>
          <w:szCs w:val="24"/>
        </w:rPr>
      </w:pPr>
    </w:p>
    <w:p w14:paraId="6F8945B5" w14:textId="77777777" w:rsidR="000B5400" w:rsidRDefault="000B5400" w:rsidP="000B5400">
      <w:pPr>
        <w:pStyle w:val="Heading1"/>
        <w:rPr>
          <w:rFonts w:ascii="Times New Roman" w:hAnsi="Times New Roman" w:cs="Times New Roman"/>
          <w:sz w:val="24"/>
          <w:szCs w:val="24"/>
        </w:rPr>
      </w:pPr>
    </w:p>
    <w:p w14:paraId="0044183C" w14:textId="77777777" w:rsidR="000B5400" w:rsidRDefault="000B5400" w:rsidP="000B5400">
      <w:pPr>
        <w:pStyle w:val="Heading1"/>
        <w:rPr>
          <w:rFonts w:ascii="Times New Roman" w:hAnsi="Times New Roman" w:cs="Times New Roman"/>
          <w:sz w:val="24"/>
          <w:szCs w:val="24"/>
        </w:rPr>
      </w:pPr>
    </w:p>
    <w:p w14:paraId="4F62636D" w14:textId="77777777" w:rsidR="000B5400" w:rsidRDefault="000B5400" w:rsidP="000B5400">
      <w:pPr>
        <w:pStyle w:val="Heading1"/>
        <w:rPr>
          <w:rFonts w:ascii="Times New Roman" w:hAnsi="Times New Roman" w:cs="Times New Roman"/>
          <w:sz w:val="24"/>
          <w:szCs w:val="24"/>
        </w:rPr>
      </w:pPr>
    </w:p>
    <w:p w14:paraId="0C8D3E32" w14:textId="77777777" w:rsidR="000B5400" w:rsidRDefault="000B5400" w:rsidP="000B5400">
      <w:pPr>
        <w:pStyle w:val="Heading1"/>
        <w:rPr>
          <w:rFonts w:ascii="Times New Roman" w:hAnsi="Times New Roman" w:cs="Times New Roman"/>
          <w:sz w:val="24"/>
          <w:szCs w:val="24"/>
        </w:rPr>
      </w:pPr>
    </w:p>
    <w:p w14:paraId="2197ADC0" w14:textId="77777777" w:rsidR="000B5400" w:rsidRDefault="000B5400" w:rsidP="000B5400">
      <w:pPr>
        <w:pStyle w:val="Heading1"/>
        <w:rPr>
          <w:rFonts w:ascii="Times New Roman" w:hAnsi="Times New Roman" w:cs="Times New Roman"/>
          <w:sz w:val="24"/>
          <w:szCs w:val="24"/>
        </w:rPr>
      </w:pPr>
    </w:p>
    <w:p w14:paraId="52F17152" w14:textId="77777777" w:rsidR="000B5400" w:rsidRDefault="000B5400" w:rsidP="000B5400">
      <w:pPr>
        <w:pStyle w:val="Heading1"/>
        <w:rPr>
          <w:rFonts w:ascii="Times New Roman" w:hAnsi="Times New Roman" w:cs="Times New Roman"/>
          <w:sz w:val="24"/>
          <w:szCs w:val="24"/>
        </w:rPr>
      </w:pPr>
    </w:p>
    <w:p w14:paraId="13953713" w14:textId="77777777" w:rsidR="000B5400" w:rsidRDefault="000B5400" w:rsidP="000B5400">
      <w:pPr>
        <w:pStyle w:val="Heading1"/>
        <w:rPr>
          <w:rFonts w:ascii="Times New Roman" w:hAnsi="Times New Roman" w:cs="Times New Roman"/>
          <w:sz w:val="24"/>
          <w:szCs w:val="24"/>
        </w:rPr>
      </w:pPr>
    </w:p>
    <w:p w14:paraId="5E6E9709" w14:textId="77777777" w:rsidR="000B5400" w:rsidRDefault="000B5400" w:rsidP="000B5400">
      <w:pPr>
        <w:pStyle w:val="Heading1"/>
        <w:rPr>
          <w:rFonts w:ascii="Times New Roman" w:hAnsi="Times New Roman" w:cs="Times New Roman"/>
          <w:sz w:val="24"/>
          <w:szCs w:val="24"/>
        </w:rPr>
      </w:pPr>
    </w:p>
    <w:bookmarkEnd w:id="32"/>
    <w:p w14:paraId="53A52AE1" w14:textId="77777777" w:rsidR="000B5400" w:rsidRDefault="000B5400" w:rsidP="000B5400">
      <w:pPr>
        <w:rPr>
          <w:rFonts w:ascii="Times New Roman" w:hAnsi="Times New Roman" w:cs="Times New Roman"/>
          <w:i/>
          <w:iCs/>
          <w:sz w:val="24"/>
          <w:szCs w:val="24"/>
        </w:rPr>
      </w:pPr>
    </w:p>
    <w:p w14:paraId="026AE830" w14:textId="77777777" w:rsidR="000B5400" w:rsidRDefault="000B5400" w:rsidP="000B5400">
      <w:pPr>
        <w:rPr>
          <w:rFonts w:ascii="Times New Roman" w:hAnsi="Times New Roman" w:cs="Times New Roman"/>
          <w:i/>
          <w:iCs/>
          <w:sz w:val="24"/>
          <w:szCs w:val="24"/>
        </w:rPr>
      </w:pPr>
    </w:p>
    <w:p w14:paraId="5A5A22DF" w14:textId="77777777" w:rsidR="000B5400" w:rsidRDefault="000B5400" w:rsidP="000B5400">
      <w:pPr>
        <w:pStyle w:val="Heading1"/>
        <w:rPr>
          <w:rFonts w:ascii="Times New Roman" w:hAnsi="Times New Roman" w:cs="Times New Roman"/>
          <w:sz w:val="24"/>
          <w:szCs w:val="24"/>
        </w:rPr>
      </w:pPr>
    </w:p>
    <w:p w14:paraId="4EF8B003" w14:textId="77777777" w:rsidR="000B5400" w:rsidRDefault="000B5400" w:rsidP="000B5400">
      <w:pPr>
        <w:pStyle w:val="Heading1"/>
        <w:rPr>
          <w:rFonts w:ascii="Times New Roman" w:hAnsi="Times New Roman" w:cs="Times New Roman"/>
          <w:sz w:val="24"/>
          <w:szCs w:val="24"/>
        </w:rPr>
      </w:pPr>
    </w:p>
    <w:p w14:paraId="35853C41" w14:textId="77777777" w:rsidR="000B5400" w:rsidRPr="007151C7" w:rsidRDefault="000B5400" w:rsidP="000B5400">
      <w:pPr>
        <w:pStyle w:val="Heading1"/>
        <w:rPr>
          <w:rFonts w:ascii="Times New Roman" w:hAnsi="Times New Roman" w:cs="Times New Roman"/>
          <w:sz w:val="24"/>
          <w:szCs w:val="24"/>
        </w:rPr>
      </w:pPr>
      <w:r w:rsidRPr="007151C7">
        <w:rPr>
          <w:rFonts w:ascii="Times New Roman" w:hAnsi="Times New Roman" w:cs="Times New Roman"/>
          <w:sz w:val="24"/>
          <w:szCs w:val="24"/>
        </w:rPr>
        <w:t>References</w:t>
      </w:r>
    </w:p>
    <w:p w14:paraId="5365694C" w14:textId="77777777" w:rsidR="000B5400" w:rsidRDefault="000B5400" w:rsidP="000B5400">
      <w:pPr>
        <w:rPr>
          <w:rFonts w:ascii="Times New Roman" w:hAnsi="Times New Roman" w:cs="Times New Roman"/>
          <w:i/>
          <w:iCs/>
          <w:sz w:val="24"/>
          <w:szCs w:val="24"/>
        </w:rPr>
      </w:pPr>
      <w:r w:rsidRPr="007151C7">
        <w:rPr>
          <w:rFonts w:ascii="Times New Roman" w:hAnsi="Times New Roman" w:cs="Times New Roman"/>
          <w:sz w:val="24"/>
          <w:szCs w:val="24"/>
        </w:rPr>
        <w:t xml:space="preserve">AlGhamdi, S., Than, W.K. and Vlahu-Gjorgievska, E. (2020) ‘Information security governance challenges and critical success factors: Systematic review’, </w:t>
      </w:r>
      <w:r w:rsidRPr="007151C7">
        <w:rPr>
          <w:rFonts w:ascii="Times New Roman" w:hAnsi="Times New Roman" w:cs="Times New Roman"/>
          <w:i/>
          <w:iCs/>
          <w:sz w:val="24"/>
          <w:szCs w:val="24"/>
        </w:rPr>
        <w:t xml:space="preserve">Computers &amp; </w:t>
      </w:r>
    </w:p>
    <w:p w14:paraId="748560B9" w14:textId="77777777" w:rsidR="000B5400" w:rsidRPr="006A2C95" w:rsidRDefault="000B5400" w:rsidP="000B5400">
      <w:pPr>
        <w:rPr>
          <w:rFonts w:ascii="Times New Roman" w:hAnsi="Times New Roman" w:cs="Times New Roman"/>
          <w:sz w:val="24"/>
          <w:szCs w:val="24"/>
        </w:rPr>
      </w:pPr>
      <w:r w:rsidRPr="007151C7">
        <w:rPr>
          <w:rFonts w:ascii="Times New Roman" w:hAnsi="Times New Roman" w:cs="Times New Roman"/>
          <w:i/>
          <w:iCs/>
          <w:sz w:val="24"/>
          <w:szCs w:val="24"/>
        </w:rPr>
        <w:t>Security</w:t>
      </w:r>
      <w:r w:rsidRPr="007151C7">
        <w:rPr>
          <w:rFonts w:ascii="Times New Roman" w:hAnsi="Times New Roman" w:cs="Times New Roman"/>
          <w:sz w:val="24"/>
          <w:szCs w:val="24"/>
        </w:rPr>
        <w:t xml:space="preserve">, 99, 102030. doi:10.1016/j.cose.2020.102030. </w:t>
      </w:r>
      <w:hyperlink r:id="rId5" w:history="1">
        <w:r w:rsidRPr="006A2C95">
          <w:rPr>
            <w:rStyle w:val="Hyperlink"/>
            <w:rFonts w:ascii="Times New Roman" w:hAnsi="Times New Roman" w:cs="Times New Roman"/>
            <w:sz w:val="24"/>
            <w:szCs w:val="24"/>
          </w:rPr>
          <w:t>https://www.sciencedirect.com/science/article/abs/pii/S0167404820303035</w:t>
        </w:r>
      </w:hyperlink>
      <w:r w:rsidRPr="006A2C95">
        <w:rPr>
          <w:rFonts w:ascii="Times New Roman" w:hAnsi="Times New Roman" w:cs="Times New Roman"/>
          <w:sz w:val="24"/>
          <w:szCs w:val="24"/>
        </w:rPr>
        <w:t xml:space="preserve"> (Accessed: 8 November 2025).</w:t>
      </w:r>
    </w:p>
    <w:p w14:paraId="3BDC8A6D"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Arnott, B. (2023) ‘9 BYOD Security Best Practices You Need to Know’, </w:t>
      </w:r>
      <w:r w:rsidRPr="007151C7">
        <w:rPr>
          <w:rFonts w:ascii="Times New Roman" w:hAnsi="Times New Roman" w:cs="Times New Roman"/>
          <w:i/>
          <w:iCs/>
          <w:sz w:val="24"/>
          <w:szCs w:val="24"/>
        </w:rPr>
        <w:t>Forcepoint</w:t>
      </w:r>
      <w:r w:rsidRPr="007151C7">
        <w:rPr>
          <w:rFonts w:ascii="Times New Roman" w:hAnsi="Times New Roman" w:cs="Times New Roman"/>
          <w:sz w:val="24"/>
          <w:szCs w:val="24"/>
        </w:rPr>
        <w:t xml:space="preserve">. 3 November. Available at: </w:t>
      </w:r>
      <w:hyperlink r:id="rId6" w:tgtFrame="_new" w:history="1">
        <w:r w:rsidRPr="007151C7">
          <w:rPr>
            <w:rStyle w:val="Hyperlink"/>
            <w:rFonts w:ascii="Times New Roman" w:hAnsi="Times New Roman" w:cs="Times New Roman"/>
            <w:sz w:val="24"/>
            <w:szCs w:val="24"/>
          </w:rPr>
          <w:t>https://www.forcepoint.com/blog/insights/byod-security-best-practices</w:t>
        </w:r>
      </w:hyperlink>
      <w:r w:rsidRPr="007151C7">
        <w:rPr>
          <w:rFonts w:ascii="Times New Roman" w:hAnsi="Times New Roman" w:cs="Times New Roman"/>
          <w:sz w:val="24"/>
          <w:szCs w:val="24"/>
        </w:rPr>
        <w:t xml:space="preserve"> (Accessed: 7 November 2025).</w:t>
      </w:r>
    </w:p>
    <w:p w14:paraId="16B73CC2"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Burkett, B. (2024) ‘Key Considerations for Implementing a Bring Your Own Device (BYOD) Program’, </w:t>
      </w:r>
      <w:r w:rsidRPr="007151C7">
        <w:rPr>
          <w:rFonts w:ascii="Times New Roman" w:hAnsi="Times New Roman" w:cs="Times New Roman"/>
          <w:i/>
          <w:iCs/>
          <w:sz w:val="24"/>
          <w:szCs w:val="24"/>
        </w:rPr>
        <w:t>Linford &amp; Company</w:t>
      </w:r>
      <w:r w:rsidRPr="007151C7">
        <w:rPr>
          <w:rFonts w:ascii="Times New Roman" w:hAnsi="Times New Roman" w:cs="Times New Roman"/>
          <w:sz w:val="24"/>
          <w:szCs w:val="24"/>
        </w:rPr>
        <w:t xml:space="preserve">. 22 July. Available at: </w:t>
      </w:r>
      <w:hyperlink r:id="rId7" w:tgtFrame="_new" w:history="1">
        <w:r w:rsidRPr="007151C7">
          <w:rPr>
            <w:rStyle w:val="Hyperlink"/>
            <w:rFonts w:ascii="Times New Roman" w:hAnsi="Times New Roman" w:cs="Times New Roman"/>
            <w:sz w:val="24"/>
            <w:szCs w:val="24"/>
          </w:rPr>
          <w:t>https://linfordco.com/blog/implement-byod-policy-program/</w:t>
        </w:r>
      </w:hyperlink>
      <w:r w:rsidRPr="007151C7">
        <w:rPr>
          <w:rFonts w:ascii="Times New Roman" w:hAnsi="Times New Roman" w:cs="Times New Roman"/>
          <w:sz w:val="24"/>
          <w:szCs w:val="24"/>
        </w:rPr>
        <w:t xml:space="preserve"> (Accessed: 7 November 2025).</w:t>
      </w:r>
    </w:p>
    <w:p w14:paraId="0EA2AB0E"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Canadian Centre for Cyber Security (2024) </w:t>
      </w:r>
      <w:r w:rsidRPr="006A2C95">
        <w:rPr>
          <w:rFonts w:ascii="Times New Roman" w:hAnsi="Times New Roman" w:cs="Times New Roman"/>
          <w:i/>
          <w:iCs/>
          <w:sz w:val="24"/>
          <w:szCs w:val="24"/>
        </w:rPr>
        <w:t>End user device security for Bring-Your-Own-Device (BYOD) deployment models - ITSM.70.003</w:t>
      </w:r>
      <w:r w:rsidRPr="006A2C95">
        <w:rPr>
          <w:rFonts w:ascii="Times New Roman" w:hAnsi="Times New Roman" w:cs="Times New Roman"/>
          <w:sz w:val="24"/>
          <w:szCs w:val="24"/>
        </w:rPr>
        <w:t xml:space="preserve">. Available at: </w:t>
      </w:r>
      <w:hyperlink r:id="rId8" w:history="1">
        <w:r w:rsidRPr="006A2C95">
          <w:rPr>
            <w:rStyle w:val="Hyperlink"/>
            <w:rFonts w:ascii="Times New Roman" w:hAnsi="Times New Roman" w:cs="Times New Roman"/>
            <w:sz w:val="24"/>
            <w:szCs w:val="24"/>
          </w:rPr>
          <w:t>https://www.cyber.gc.ca/en/guidance/end-user-device-security-bring-your-own-device-byod-deployment-models-itsm70003</w:t>
        </w:r>
      </w:hyperlink>
      <w:r w:rsidRPr="006A2C95">
        <w:rPr>
          <w:rFonts w:ascii="Times New Roman" w:hAnsi="Times New Roman" w:cs="Times New Roman"/>
          <w:sz w:val="24"/>
          <w:szCs w:val="24"/>
        </w:rPr>
        <w:t xml:space="preserve"> (Accessed: 1 November 2025).</w:t>
      </w:r>
    </w:p>
    <w:p w14:paraId="118903FE"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CertPro (2024) 'Top 7 Reasons to Pursue ISO 27001 Certification in 2024', </w:t>
      </w:r>
      <w:r w:rsidRPr="006A2C95">
        <w:rPr>
          <w:rFonts w:ascii="Times New Roman" w:hAnsi="Times New Roman" w:cs="Times New Roman"/>
          <w:i/>
          <w:iCs/>
          <w:sz w:val="24"/>
          <w:szCs w:val="24"/>
        </w:rPr>
        <w:t>Medium</w:t>
      </w:r>
      <w:r w:rsidRPr="006A2C95">
        <w:rPr>
          <w:rFonts w:ascii="Times New Roman" w:hAnsi="Times New Roman" w:cs="Times New Roman"/>
          <w:sz w:val="24"/>
          <w:szCs w:val="24"/>
        </w:rPr>
        <w:t xml:space="preserve">, 16 February. Available at: </w:t>
      </w:r>
      <w:hyperlink r:id="rId9" w:history="1">
        <w:r w:rsidRPr="006A2C95">
          <w:rPr>
            <w:rStyle w:val="Hyperlink"/>
            <w:rFonts w:ascii="Times New Roman" w:hAnsi="Times New Roman" w:cs="Times New Roman"/>
            <w:sz w:val="24"/>
            <w:szCs w:val="24"/>
          </w:rPr>
          <w:t>https://medium.com/@certprosocial/top-7-reasons-to-pursue-iso-27001-certification-in-2024-e322e0e054ed</w:t>
        </w:r>
      </w:hyperlink>
      <w:r w:rsidRPr="006A2C95">
        <w:rPr>
          <w:rFonts w:ascii="Times New Roman" w:hAnsi="Times New Roman" w:cs="Times New Roman"/>
          <w:sz w:val="24"/>
          <w:szCs w:val="24"/>
        </w:rPr>
        <w:t xml:space="preserve"> (Accessed: 8 November 2025).</w:t>
      </w:r>
    </w:p>
    <w:p w14:paraId="506ADAD3"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Compleye (2024) '10 GDPR Requirements You Must Know In 2024', 18 December. Available at: </w:t>
      </w:r>
      <w:hyperlink r:id="rId10" w:history="1">
        <w:r w:rsidRPr="006A2C95">
          <w:rPr>
            <w:rStyle w:val="Hyperlink"/>
            <w:rFonts w:ascii="Times New Roman" w:hAnsi="Times New Roman" w:cs="Times New Roman"/>
            <w:sz w:val="24"/>
            <w:szCs w:val="24"/>
          </w:rPr>
          <w:t>https://compleye.io/articles/10-gdpr-requirements-you-must-know-in-2024/</w:t>
        </w:r>
      </w:hyperlink>
      <w:r w:rsidRPr="006A2C95">
        <w:rPr>
          <w:rFonts w:ascii="Times New Roman" w:hAnsi="Times New Roman" w:cs="Times New Roman"/>
          <w:sz w:val="24"/>
          <w:szCs w:val="24"/>
        </w:rPr>
        <w:t xml:space="preserve"> (Accessed: 1 November 2025).</w:t>
      </w:r>
    </w:p>
    <w:p w14:paraId="2E59A94B"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Cyber Citadel (2024) 'NIST Cybersecurity Framework: Evolution and Impact 2022-2024', 4 February. Available at: </w:t>
      </w:r>
      <w:hyperlink r:id="rId11" w:history="1">
        <w:r w:rsidRPr="006A2C95">
          <w:rPr>
            <w:rStyle w:val="Hyperlink"/>
            <w:rFonts w:ascii="Times New Roman" w:hAnsi="Times New Roman" w:cs="Times New Roman"/>
            <w:sz w:val="24"/>
            <w:szCs w:val="24"/>
          </w:rPr>
          <w:t>https://cybercitadel.com/nist-cybersecurity-framework-evolution-and-impact-2022-2024/</w:t>
        </w:r>
      </w:hyperlink>
      <w:r w:rsidRPr="006A2C95">
        <w:rPr>
          <w:rFonts w:ascii="Times New Roman" w:hAnsi="Times New Roman" w:cs="Times New Roman"/>
          <w:sz w:val="24"/>
          <w:szCs w:val="24"/>
        </w:rPr>
        <w:t xml:space="preserve"> (Accessed: 1 November 2025).</w:t>
      </w:r>
    </w:p>
    <w:p w14:paraId="40C07784"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EasyVista (2024) 'Integrating ITIL and Cybersecurity Frameworks to Improve Security Governance', 26 June. Available at: </w:t>
      </w:r>
      <w:hyperlink r:id="rId12" w:history="1">
        <w:r w:rsidRPr="006A2C95">
          <w:rPr>
            <w:rStyle w:val="Hyperlink"/>
            <w:rFonts w:ascii="Times New Roman" w:hAnsi="Times New Roman" w:cs="Times New Roman"/>
            <w:sz w:val="24"/>
            <w:szCs w:val="24"/>
          </w:rPr>
          <w:t>https://www.easyvista.com/blog/integrating-itil-and-cybersecurity-frameworks-to-improve-security-governance/</w:t>
        </w:r>
      </w:hyperlink>
      <w:r w:rsidRPr="006A2C95">
        <w:rPr>
          <w:rFonts w:ascii="Times New Roman" w:hAnsi="Times New Roman" w:cs="Times New Roman"/>
          <w:sz w:val="24"/>
          <w:szCs w:val="24"/>
        </w:rPr>
        <w:t xml:space="preserve"> (Accessed: </w:t>
      </w:r>
      <w:r>
        <w:rPr>
          <w:rFonts w:ascii="Times New Roman" w:hAnsi="Times New Roman" w:cs="Times New Roman"/>
          <w:sz w:val="24"/>
          <w:szCs w:val="24"/>
        </w:rPr>
        <w:t xml:space="preserve">5 </w:t>
      </w:r>
      <w:r w:rsidRPr="006A2C95">
        <w:rPr>
          <w:rFonts w:ascii="Times New Roman" w:hAnsi="Times New Roman" w:cs="Times New Roman"/>
          <w:sz w:val="24"/>
          <w:szCs w:val="24"/>
        </w:rPr>
        <w:t>November 2025).</w:t>
      </w:r>
    </w:p>
    <w:p w14:paraId="32B5D18E" w14:textId="77777777" w:rsidR="000B5400" w:rsidRPr="006A2C95"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Interagency Security Committee</w:t>
      </w:r>
      <w:r w:rsidRPr="006A2C95">
        <w:rPr>
          <w:rFonts w:ascii="Times New Roman" w:hAnsi="Times New Roman" w:cs="Times New Roman"/>
          <w:sz w:val="24"/>
          <w:szCs w:val="24"/>
        </w:rPr>
        <w:t xml:space="preserve"> (2024) </w:t>
      </w:r>
      <w:r w:rsidRPr="006A2C95">
        <w:rPr>
          <w:rFonts w:ascii="Times New Roman" w:hAnsi="Times New Roman" w:cs="Times New Roman"/>
          <w:i/>
          <w:iCs/>
          <w:sz w:val="24"/>
          <w:szCs w:val="24"/>
        </w:rPr>
        <w:t>Federal Mobile Workplace Security - 2024 Edition</w:t>
      </w:r>
      <w:r w:rsidRPr="006A2C95">
        <w:rPr>
          <w:rFonts w:ascii="Times New Roman" w:hAnsi="Times New Roman" w:cs="Times New Roman"/>
          <w:sz w:val="24"/>
          <w:szCs w:val="24"/>
        </w:rPr>
        <w:t xml:space="preserve">. Available at: </w:t>
      </w:r>
      <w:hyperlink r:id="rId13" w:history="1">
        <w:r w:rsidRPr="006A2C95">
          <w:rPr>
            <w:rStyle w:val="Hyperlink"/>
            <w:rFonts w:ascii="Times New Roman" w:hAnsi="Times New Roman" w:cs="Times New Roman"/>
            <w:sz w:val="24"/>
            <w:szCs w:val="24"/>
          </w:rPr>
          <w:t>https://www.cisa.gov/sites/default/files/2024-08/Federal-Mobile-Workplace-Security_508_2024-08-14.pdf</w:t>
        </w:r>
      </w:hyperlink>
      <w:r w:rsidRPr="006A2C95">
        <w:rPr>
          <w:rFonts w:ascii="Times New Roman" w:hAnsi="Times New Roman" w:cs="Times New Roman"/>
          <w:sz w:val="24"/>
          <w:szCs w:val="24"/>
        </w:rPr>
        <w:t xml:space="preserve"> (Accessed: 1</w:t>
      </w:r>
      <w:r>
        <w:rPr>
          <w:rFonts w:ascii="Times New Roman" w:hAnsi="Times New Roman" w:cs="Times New Roman"/>
          <w:sz w:val="24"/>
          <w:szCs w:val="24"/>
        </w:rPr>
        <w:t xml:space="preserve"> </w:t>
      </w:r>
      <w:r w:rsidRPr="006A2C95">
        <w:rPr>
          <w:rFonts w:ascii="Times New Roman" w:hAnsi="Times New Roman" w:cs="Times New Roman"/>
          <w:sz w:val="24"/>
          <w:szCs w:val="24"/>
        </w:rPr>
        <w:t>November 2025).</w:t>
      </w:r>
    </w:p>
    <w:p w14:paraId="0434FCD2"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lastRenderedPageBreak/>
        <w:t xml:space="preserve">Iseoblue (2024) 'ISO 27001 Amendment 1:2024 – What You Need to Know', 27 April. Available at: </w:t>
      </w:r>
      <w:hyperlink r:id="rId14" w:history="1">
        <w:r w:rsidRPr="006A2C95">
          <w:rPr>
            <w:rStyle w:val="Hyperlink"/>
            <w:rFonts w:ascii="Times New Roman" w:hAnsi="Times New Roman" w:cs="Times New Roman"/>
            <w:sz w:val="24"/>
            <w:szCs w:val="24"/>
          </w:rPr>
          <w:t>https://iseoblue.com/post/iso-27001-amendment-1-2024-what-you-need-to-know/</w:t>
        </w:r>
      </w:hyperlink>
      <w:r w:rsidRPr="006A2C95">
        <w:rPr>
          <w:rFonts w:ascii="Times New Roman" w:hAnsi="Times New Roman" w:cs="Times New Roman"/>
          <w:sz w:val="24"/>
          <w:szCs w:val="24"/>
        </w:rPr>
        <w:t xml:space="preserve"> (Accessed: 8 November 2025).</w:t>
      </w:r>
    </w:p>
    <w:p w14:paraId="7FD3BBA8"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ISO (2024) </w:t>
      </w:r>
      <w:r w:rsidRPr="006A2C95">
        <w:rPr>
          <w:rFonts w:ascii="Times New Roman" w:hAnsi="Times New Roman" w:cs="Times New Roman"/>
          <w:i/>
          <w:iCs/>
          <w:sz w:val="24"/>
          <w:szCs w:val="24"/>
        </w:rPr>
        <w:t>ISO/IEC 27001:2022 - Information security management systems</w:t>
      </w:r>
      <w:r w:rsidRPr="006A2C95">
        <w:rPr>
          <w:rFonts w:ascii="Times New Roman" w:hAnsi="Times New Roman" w:cs="Times New Roman"/>
          <w:sz w:val="24"/>
          <w:szCs w:val="24"/>
        </w:rPr>
        <w:t xml:space="preserve">. Available at: </w:t>
      </w:r>
      <w:hyperlink r:id="rId15" w:history="1">
        <w:r w:rsidRPr="006A2C95">
          <w:rPr>
            <w:rStyle w:val="Hyperlink"/>
            <w:rFonts w:ascii="Times New Roman" w:hAnsi="Times New Roman" w:cs="Times New Roman"/>
            <w:sz w:val="24"/>
            <w:szCs w:val="24"/>
          </w:rPr>
          <w:t>https://www.iso.org/standard/27001</w:t>
        </w:r>
      </w:hyperlink>
      <w:r w:rsidRPr="006A2C95">
        <w:rPr>
          <w:rFonts w:ascii="Times New Roman" w:hAnsi="Times New Roman" w:cs="Times New Roman"/>
          <w:sz w:val="24"/>
          <w:szCs w:val="24"/>
        </w:rPr>
        <w:t xml:space="preserve"> (Accessed: </w:t>
      </w:r>
      <w:r>
        <w:rPr>
          <w:rFonts w:ascii="Times New Roman" w:hAnsi="Times New Roman" w:cs="Times New Roman"/>
          <w:sz w:val="24"/>
          <w:szCs w:val="24"/>
        </w:rPr>
        <w:t>7</w:t>
      </w:r>
      <w:r w:rsidRPr="006A2C95">
        <w:rPr>
          <w:rFonts w:ascii="Times New Roman" w:hAnsi="Times New Roman" w:cs="Times New Roman"/>
          <w:sz w:val="24"/>
          <w:szCs w:val="24"/>
        </w:rPr>
        <w:t xml:space="preserve"> November 2025).</w:t>
      </w:r>
    </w:p>
    <w:p w14:paraId="78D32526"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IT Governance (2024) 'Maintaining GDPR and Data Privacy Compliance in 2024', </w:t>
      </w:r>
      <w:r w:rsidRPr="006A2C95">
        <w:rPr>
          <w:rFonts w:ascii="Times New Roman" w:hAnsi="Times New Roman" w:cs="Times New Roman"/>
          <w:i/>
          <w:iCs/>
          <w:sz w:val="24"/>
          <w:szCs w:val="24"/>
        </w:rPr>
        <w:t>IT Governance Blog</w:t>
      </w:r>
      <w:r w:rsidRPr="006A2C95">
        <w:rPr>
          <w:rFonts w:ascii="Times New Roman" w:hAnsi="Times New Roman" w:cs="Times New Roman"/>
          <w:sz w:val="24"/>
          <w:szCs w:val="24"/>
        </w:rPr>
        <w:t xml:space="preserve">, 16 February. Available at: </w:t>
      </w:r>
      <w:hyperlink r:id="rId16" w:history="1">
        <w:r w:rsidRPr="006A2C95">
          <w:rPr>
            <w:rStyle w:val="Hyperlink"/>
            <w:rFonts w:ascii="Times New Roman" w:hAnsi="Times New Roman" w:cs="Times New Roman"/>
            <w:sz w:val="24"/>
            <w:szCs w:val="24"/>
          </w:rPr>
          <w:t>https://www.itgovernance.co.uk/blog/maintaining-gdpr-and-data-privacy-compliance-in-2024</w:t>
        </w:r>
      </w:hyperlink>
      <w:r w:rsidRPr="006A2C95">
        <w:rPr>
          <w:rFonts w:ascii="Times New Roman" w:hAnsi="Times New Roman" w:cs="Times New Roman"/>
          <w:sz w:val="24"/>
          <w:szCs w:val="24"/>
        </w:rPr>
        <w:t xml:space="preserve"> (Accessed: </w:t>
      </w:r>
      <w:r>
        <w:rPr>
          <w:rFonts w:ascii="Times New Roman" w:hAnsi="Times New Roman" w:cs="Times New Roman"/>
          <w:sz w:val="24"/>
          <w:szCs w:val="24"/>
        </w:rPr>
        <w:t>5</w:t>
      </w:r>
      <w:r w:rsidRPr="006A2C95">
        <w:rPr>
          <w:rFonts w:ascii="Times New Roman" w:hAnsi="Times New Roman" w:cs="Times New Roman"/>
          <w:sz w:val="24"/>
          <w:szCs w:val="24"/>
        </w:rPr>
        <w:t xml:space="preserve"> November 2025).</w:t>
      </w:r>
    </w:p>
    <w:p w14:paraId="57450C3A"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NIST (2024) </w:t>
      </w:r>
      <w:r w:rsidRPr="006A2C95">
        <w:rPr>
          <w:rFonts w:ascii="Times New Roman" w:hAnsi="Times New Roman" w:cs="Times New Roman"/>
          <w:i/>
          <w:iCs/>
          <w:sz w:val="24"/>
          <w:szCs w:val="24"/>
        </w:rPr>
        <w:t>The NIST Cybersecurity Framework (CSF) 2.0</w:t>
      </w:r>
      <w:r w:rsidRPr="006A2C95">
        <w:rPr>
          <w:rFonts w:ascii="Times New Roman" w:hAnsi="Times New Roman" w:cs="Times New Roman"/>
          <w:sz w:val="24"/>
          <w:szCs w:val="24"/>
        </w:rPr>
        <w:t xml:space="preserve">. NIST Cybersecurity White Paper CSWP 29. Available at: </w:t>
      </w:r>
      <w:hyperlink r:id="rId17" w:history="1">
        <w:r w:rsidRPr="006A2C95">
          <w:rPr>
            <w:rStyle w:val="Hyperlink"/>
            <w:rFonts w:ascii="Times New Roman" w:hAnsi="Times New Roman" w:cs="Times New Roman"/>
            <w:sz w:val="24"/>
            <w:szCs w:val="24"/>
          </w:rPr>
          <w:t>https://nvlpubs.nist.gov/nistpubs/CSWP/NIST.CSWP.29.pdf</w:t>
        </w:r>
      </w:hyperlink>
      <w:r w:rsidRPr="006A2C95">
        <w:rPr>
          <w:rFonts w:ascii="Times New Roman" w:hAnsi="Times New Roman" w:cs="Times New Roman"/>
          <w:sz w:val="24"/>
          <w:szCs w:val="24"/>
        </w:rPr>
        <w:t xml:space="preserve"> (Accessed: </w:t>
      </w:r>
      <w:r>
        <w:rPr>
          <w:rFonts w:ascii="Times New Roman" w:hAnsi="Times New Roman" w:cs="Times New Roman"/>
          <w:sz w:val="24"/>
          <w:szCs w:val="24"/>
        </w:rPr>
        <w:t>8</w:t>
      </w:r>
      <w:r w:rsidRPr="006A2C95">
        <w:rPr>
          <w:rFonts w:ascii="Times New Roman" w:hAnsi="Times New Roman" w:cs="Times New Roman"/>
          <w:sz w:val="24"/>
          <w:szCs w:val="24"/>
        </w:rPr>
        <w:t xml:space="preserve"> November 2025).</w:t>
      </w:r>
    </w:p>
    <w:p w14:paraId="0EF2FCCB" w14:textId="77777777" w:rsidR="000B5400" w:rsidRPr="007151C7"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NIST (2024) 'NIST Releases Version 2.0 of Landmark Cybersecurity Framework', 19 February. Available at: </w:t>
      </w:r>
      <w:hyperlink r:id="rId18" w:history="1">
        <w:r w:rsidRPr="006A2C95">
          <w:rPr>
            <w:rStyle w:val="Hyperlink"/>
            <w:rFonts w:ascii="Times New Roman" w:hAnsi="Times New Roman" w:cs="Times New Roman"/>
            <w:sz w:val="24"/>
            <w:szCs w:val="24"/>
          </w:rPr>
          <w:t>https://www.nist.gov/news-events/news/2024/02/nist-releases-version-20-landmark-cybersecurity-framework</w:t>
        </w:r>
      </w:hyperlink>
      <w:r w:rsidRPr="006A2C95">
        <w:rPr>
          <w:rFonts w:ascii="Times New Roman" w:hAnsi="Times New Roman" w:cs="Times New Roman"/>
          <w:sz w:val="24"/>
          <w:szCs w:val="24"/>
        </w:rPr>
        <w:t xml:space="preserve"> (Accessed: 8 November 2025).</w:t>
      </w:r>
    </w:p>
    <w:p w14:paraId="1AD8A48E"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Martinez, J. (2024) ‘BYOD Security Policy Guide: 6 Best Practices to Know’, </w:t>
      </w:r>
      <w:r w:rsidRPr="007151C7">
        <w:rPr>
          <w:rFonts w:ascii="Times New Roman" w:hAnsi="Times New Roman" w:cs="Times New Roman"/>
          <w:i/>
          <w:iCs/>
          <w:sz w:val="24"/>
          <w:szCs w:val="24"/>
        </w:rPr>
        <w:t>StrongDM</w:t>
      </w:r>
      <w:r w:rsidRPr="007151C7">
        <w:rPr>
          <w:rFonts w:ascii="Times New Roman" w:hAnsi="Times New Roman" w:cs="Times New Roman"/>
          <w:sz w:val="24"/>
          <w:szCs w:val="24"/>
        </w:rPr>
        <w:t xml:space="preserve">. 10 June. Available at: </w:t>
      </w:r>
      <w:hyperlink r:id="rId19" w:tgtFrame="_new" w:history="1">
        <w:r w:rsidRPr="007151C7">
          <w:rPr>
            <w:rStyle w:val="Hyperlink"/>
            <w:rFonts w:ascii="Times New Roman" w:hAnsi="Times New Roman" w:cs="Times New Roman"/>
            <w:sz w:val="24"/>
            <w:szCs w:val="24"/>
          </w:rPr>
          <w:t>https://www.strongdm.com/blog/byod-policy</w:t>
        </w:r>
      </w:hyperlink>
      <w:r w:rsidRPr="007151C7">
        <w:rPr>
          <w:rFonts w:ascii="Times New Roman" w:hAnsi="Times New Roman" w:cs="Times New Roman"/>
          <w:sz w:val="24"/>
          <w:szCs w:val="24"/>
        </w:rPr>
        <w:t xml:space="preserve"> (Accessed: 7 November 2025).</w:t>
      </w:r>
    </w:p>
    <w:p w14:paraId="042DA6E5"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McMurrough, M., Fein, A., Skeath, C. &amp; Harden, M. (2024) ‘NIST Publishes the Cybersecurity Framework 2.0’, </w:t>
      </w:r>
      <w:r w:rsidRPr="007151C7">
        <w:rPr>
          <w:rFonts w:ascii="Times New Roman" w:hAnsi="Times New Roman" w:cs="Times New Roman"/>
          <w:i/>
          <w:iCs/>
          <w:sz w:val="24"/>
          <w:szCs w:val="24"/>
        </w:rPr>
        <w:t>InsidePrivacy</w:t>
      </w:r>
      <w:r w:rsidRPr="007151C7">
        <w:rPr>
          <w:rFonts w:ascii="Times New Roman" w:hAnsi="Times New Roman" w:cs="Times New Roman"/>
          <w:sz w:val="24"/>
          <w:szCs w:val="24"/>
        </w:rPr>
        <w:t xml:space="preserve">. 28 February. Available at: </w:t>
      </w:r>
      <w:hyperlink r:id="rId20" w:tgtFrame="_new" w:history="1">
        <w:r w:rsidRPr="007151C7">
          <w:rPr>
            <w:rStyle w:val="Hyperlink"/>
            <w:rFonts w:ascii="Times New Roman" w:hAnsi="Times New Roman" w:cs="Times New Roman"/>
            <w:sz w:val="24"/>
            <w:szCs w:val="24"/>
          </w:rPr>
          <w:t>https://www.insideprivacy.com/cybersecurity-2/nist-publishes-the-cybersecurity-framework-2-0/</w:t>
        </w:r>
      </w:hyperlink>
      <w:r w:rsidRPr="007151C7">
        <w:rPr>
          <w:rFonts w:ascii="Times New Roman" w:hAnsi="Times New Roman" w:cs="Times New Roman"/>
          <w:sz w:val="24"/>
          <w:szCs w:val="24"/>
        </w:rPr>
        <w:t xml:space="preserve"> (Accessed: 7 November 2025). </w:t>
      </w:r>
    </w:p>
    <w:p w14:paraId="6668415B"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Murphy, S. and Young, G. (2024) ‘NIST Launches Cybersecurity Framework (CSF) 2.0’, </w:t>
      </w:r>
      <w:r w:rsidRPr="007151C7">
        <w:rPr>
          <w:rFonts w:ascii="Times New Roman" w:hAnsi="Times New Roman" w:cs="Times New Roman"/>
          <w:i/>
          <w:iCs/>
          <w:sz w:val="24"/>
          <w:szCs w:val="24"/>
        </w:rPr>
        <w:t>Trend Micro</w:t>
      </w:r>
      <w:r w:rsidRPr="007151C7">
        <w:rPr>
          <w:rFonts w:ascii="Times New Roman" w:hAnsi="Times New Roman" w:cs="Times New Roman"/>
          <w:sz w:val="24"/>
          <w:szCs w:val="24"/>
        </w:rPr>
        <w:t xml:space="preserve">. 20 March. Available at: </w:t>
      </w:r>
      <w:hyperlink r:id="rId21" w:tgtFrame="_new" w:history="1">
        <w:r w:rsidRPr="007151C7">
          <w:rPr>
            <w:rStyle w:val="Hyperlink"/>
            <w:rFonts w:ascii="Times New Roman" w:hAnsi="Times New Roman" w:cs="Times New Roman"/>
            <w:sz w:val="24"/>
            <w:szCs w:val="24"/>
          </w:rPr>
          <w:t>https://www.trendmicro.com/en_us/research/24/c/nist-cybersecurity-framework-2024.html</w:t>
        </w:r>
      </w:hyperlink>
      <w:r w:rsidRPr="007151C7">
        <w:rPr>
          <w:rFonts w:ascii="Times New Roman" w:hAnsi="Times New Roman" w:cs="Times New Roman"/>
          <w:sz w:val="24"/>
          <w:szCs w:val="24"/>
        </w:rPr>
        <w:t xml:space="preserve"> (Accessed: 7 November 2025).</w:t>
      </w:r>
    </w:p>
    <w:p w14:paraId="48A039AB"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Parker, A. (2024) 'ITIL Information Security Management', </w:t>
      </w:r>
      <w:r w:rsidRPr="006A2C95">
        <w:rPr>
          <w:rFonts w:ascii="Times New Roman" w:hAnsi="Times New Roman" w:cs="Times New Roman"/>
          <w:i/>
          <w:iCs/>
          <w:sz w:val="24"/>
          <w:szCs w:val="24"/>
        </w:rPr>
        <w:t>Iseo Blue</w:t>
      </w:r>
      <w:r w:rsidRPr="006A2C95">
        <w:rPr>
          <w:rFonts w:ascii="Times New Roman" w:hAnsi="Times New Roman" w:cs="Times New Roman"/>
          <w:sz w:val="24"/>
          <w:szCs w:val="24"/>
        </w:rPr>
        <w:t xml:space="preserve">, 2 May. Available at: </w:t>
      </w:r>
      <w:hyperlink r:id="rId22" w:history="1">
        <w:r w:rsidRPr="006A2C95">
          <w:rPr>
            <w:rStyle w:val="Hyperlink"/>
            <w:rFonts w:ascii="Times New Roman" w:hAnsi="Times New Roman" w:cs="Times New Roman"/>
            <w:sz w:val="24"/>
            <w:szCs w:val="24"/>
          </w:rPr>
          <w:t>https://www.iseoblue.com/post/information-security-management-in-itil</w:t>
        </w:r>
      </w:hyperlink>
      <w:r w:rsidRPr="006A2C95">
        <w:rPr>
          <w:rFonts w:ascii="Times New Roman" w:hAnsi="Times New Roman" w:cs="Times New Roman"/>
          <w:sz w:val="24"/>
          <w:szCs w:val="24"/>
        </w:rPr>
        <w:t xml:space="preserve"> (Accessed: 8 November 2025).</w:t>
      </w:r>
    </w:p>
    <w:p w14:paraId="45D12764"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ScienceLogic (2024) 'GDPR Compliance in 2024', 11 October. Available at: </w:t>
      </w:r>
      <w:hyperlink r:id="rId23" w:history="1">
        <w:r w:rsidRPr="006A2C95">
          <w:rPr>
            <w:rStyle w:val="Hyperlink"/>
            <w:rFonts w:ascii="Times New Roman" w:hAnsi="Times New Roman" w:cs="Times New Roman"/>
            <w:sz w:val="24"/>
            <w:szCs w:val="24"/>
          </w:rPr>
          <w:t>https://sciencelogic.com/blog/gdpr-compliance-in_2024</w:t>
        </w:r>
      </w:hyperlink>
      <w:r w:rsidRPr="006A2C95">
        <w:rPr>
          <w:rFonts w:ascii="Times New Roman" w:hAnsi="Times New Roman" w:cs="Times New Roman"/>
          <w:sz w:val="24"/>
          <w:szCs w:val="24"/>
        </w:rPr>
        <w:t xml:space="preserve"> (Accessed: 8 November 2025).</w:t>
      </w:r>
    </w:p>
    <w:p w14:paraId="03E1121B" w14:textId="77777777" w:rsidR="000B5400" w:rsidRPr="007151C7"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Sundaram, J. (2024) 'Navigating the ISO IEC 27001 2022 Transition A 90 Day Challenge', </w:t>
      </w:r>
      <w:r w:rsidRPr="006A2C95">
        <w:rPr>
          <w:rFonts w:ascii="Times New Roman" w:hAnsi="Times New Roman" w:cs="Times New Roman"/>
          <w:i/>
          <w:iCs/>
          <w:sz w:val="24"/>
          <w:szCs w:val="24"/>
        </w:rPr>
        <w:t>ISACA Journal</w:t>
      </w:r>
      <w:r w:rsidRPr="006A2C95">
        <w:rPr>
          <w:rFonts w:ascii="Times New Roman" w:hAnsi="Times New Roman" w:cs="Times New Roman"/>
          <w:sz w:val="24"/>
          <w:szCs w:val="24"/>
        </w:rPr>
        <w:t xml:space="preserve">, Volume 3. Available at: </w:t>
      </w:r>
      <w:hyperlink r:id="rId24" w:history="1">
        <w:r w:rsidRPr="006A2C95">
          <w:rPr>
            <w:rStyle w:val="Hyperlink"/>
            <w:rFonts w:ascii="Times New Roman" w:hAnsi="Times New Roman" w:cs="Times New Roman"/>
            <w:sz w:val="24"/>
            <w:szCs w:val="24"/>
          </w:rPr>
          <w:t>https://www.isaca.org/resources/isaca-journal/issues/2024/volume-3/navigating-the-iso-iec-27001-2022-transition-a-90-day-challenge</w:t>
        </w:r>
      </w:hyperlink>
      <w:r w:rsidRPr="006A2C95">
        <w:rPr>
          <w:rFonts w:ascii="Times New Roman" w:hAnsi="Times New Roman" w:cs="Times New Roman"/>
          <w:sz w:val="24"/>
          <w:szCs w:val="24"/>
        </w:rPr>
        <w:t xml:space="preserve"> (Accessed: 8 November 2025).</w:t>
      </w:r>
    </w:p>
    <w:p w14:paraId="6C804310" w14:textId="77777777" w:rsidR="000B5400" w:rsidRPr="007151C7" w:rsidRDefault="000B5400" w:rsidP="000B5400">
      <w:pPr>
        <w:rPr>
          <w:rFonts w:ascii="Times New Roman" w:hAnsi="Times New Roman" w:cs="Times New Roman"/>
          <w:sz w:val="24"/>
          <w:szCs w:val="24"/>
        </w:rPr>
      </w:pPr>
      <w:r w:rsidRPr="007151C7">
        <w:rPr>
          <w:rFonts w:ascii="Times New Roman" w:hAnsi="Times New Roman" w:cs="Times New Roman"/>
          <w:sz w:val="24"/>
          <w:szCs w:val="24"/>
        </w:rPr>
        <w:t xml:space="preserve">Shvueli, R. (2024) ‘BYOD Security: Trends, Risks, and Top 10 Best Practices in 2025’, </w:t>
      </w:r>
      <w:r w:rsidRPr="007151C7">
        <w:rPr>
          <w:rFonts w:ascii="Times New Roman" w:hAnsi="Times New Roman" w:cs="Times New Roman"/>
          <w:i/>
          <w:iCs/>
          <w:sz w:val="24"/>
          <w:szCs w:val="24"/>
        </w:rPr>
        <w:t>Venn</w:t>
      </w:r>
      <w:r w:rsidRPr="007151C7">
        <w:rPr>
          <w:rFonts w:ascii="Times New Roman" w:hAnsi="Times New Roman" w:cs="Times New Roman"/>
          <w:sz w:val="24"/>
          <w:szCs w:val="24"/>
        </w:rPr>
        <w:t xml:space="preserve">. Available at: </w:t>
      </w:r>
      <w:hyperlink r:id="rId25" w:tgtFrame="_new" w:history="1">
        <w:r w:rsidRPr="007151C7">
          <w:rPr>
            <w:rStyle w:val="Hyperlink"/>
            <w:rFonts w:ascii="Times New Roman" w:hAnsi="Times New Roman" w:cs="Times New Roman"/>
            <w:sz w:val="24"/>
            <w:szCs w:val="24"/>
          </w:rPr>
          <w:t>https://www.venn.com/learn/byod-security-best-practices/</w:t>
        </w:r>
      </w:hyperlink>
      <w:r w:rsidRPr="007151C7">
        <w:rPr>
          <w:rFonts w:ascii="Times New Roman" w:hAnsi="Times New Roman" w:cs="Times New Roman"/>
          <w:sz w:val="24"/>
          <w:szCs w:val="24"/>
        </w:rPr>
        <w:t xml:space="preserve"> (Accessed: 7 November 2025).</w:t>
      </w:r>
    </w:p>
    <w:p w14:paraId="0F99B1EE"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lastRenderedPageBreak/>
        <w:t xml:space="preserve">Technology Advisory Group (2024) 'BYOD Risks and Issues Businesses Face in 2024', 16 May. Available at: </w:t>
      </w:r>
      <w:hyperlink r:id="rId26" w:history="1">
        <w:r w:rsidRPr="006A2C95">
          <w:rPr>
            <w:rStyle w:val="Hyperlink"/>
            <w:rFonts w:ascii="Times New Roman" w:hAnsi="Times New Roman" w:cs="Times New Roman"/>
            <w:sz w:val="24"/>
            <w:szCs w:val="24"/>
          </w:rPr>
          <w:t>https://www.techadvisory.com/risks-of-byod/</w:t>
        </w:r>
      </w:hyperlink>
      <w:r w:rsidRPr="006A2C95">
        <w:rPr>
          <w:rFonts w:ascii="Times New Roman" w:hAnsi="Times New Roman" w:cs="Times New Roman"/>
          <w:sz w:val="24"/>
          <w:szCs w:val="24"/>
        </w:rPr>
        <w:t xml:space="preserve"> (Accessed: 8 November 2025).</w:t>
      </w:r>
    </w:p>
    <w:p w14:paraId="164BA758"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Wikipedia (2024) 'General Data Protection Regulation', 17 November. Available at: </w:t>
      </w:r>
      <w:hyperlink r:id="rId27" w:history="1">
        <w:r w:rsidRPr="006A2C95">
          <w:rPr>
            <w:rStyle w:val="Hyperlink"/>
            <w:rFonts w:ascii="Times New Roman" w:hAnsi="Times New Roman" w:cs="Times New Roman"/>
            <w:sz w:val="24"/>
            <w:szCs w:val="24"/>
          </w:rPr>
          <w:t>https://en.wikipedia.org/wiki/General_Data_Protection_Regulation</w:t>
        </w:r>
      </w:hyperlink>
      <w:r w:rsidRPr="006A2C95">
        <w:rPr>
          <w:rFonts w:ascii="Times New Roman" w:hAnsi="Times New Roman" w:cs="Times New Roman"/>
          <w:sz w:val="24"/>
          <w:szCs w:val="24"/>
        </w:rPr>
        <w:t xml:space="preserve"> (Accessed: 8 November 2025).</w:t>
      </w:r>
    </w:p>
    <w:p w14:paraId="6F5F9110" w14:textId="77777777" w:rsidR="000B5400" w:rsidRPr="006A2C95" w:rsidRDefault="000B5400" w:rsidP="000B5400">
      <w:pPr>
        <w:rPr>
          <w:rFonts w:ascii="Times New Roman" w:hAnsi="Times New Roman" w:cs="Times New Roman"/>
          <w:sz w:val="24"/>
          <w:szCs w:val="24"/>
        </w:rPr>
      </w:pPr>
      <w:r w:rsidRPr="006A2C95">
        <w:rPr>
          <w:rFonts w:ascii="Times New Roman" w:hAnsi="Times New Roman" w:cs="Times New Roman"/>
          <w:sz w:val="24"/>
          <w:szCs w:val="24"/>
        </w:rPr>
        <w:t xml:space="preserve">Wikipedia (2025) 'ITIL security management', 16 September. Available at: </w:t>
      </w:r>
      <w:hyperlink r:id="rId28" w:history="1">
        <w:r w:rsidRPr="006A2C95">
          <w:rPr>
            <w:rStyle w:val="Hyperlink"/>
            <w:rFonts w:ascii="Times New Roman" w:hAnsi="Times New Roman" w:cs="Times New Roman"/>
            <w:sz w:val="24"/>
            <w:szCs w:val="24"/>
          </w:rPr>
          <w:t>https://en.wikipedia.org/wiki/ITIL_security_management</w:t>
        </w:r>
      </w:hyperlink>
      <w:r w:rsidRPr="006A2C95">
        <w:rPr>
          <w:rFonts w:ascii="Times New Roman" w:hAnsi="Times New Roman" w:cs="Times New Roman"/>
          <w:sz w:val="24"/>
          <w:szCs w:val="24"/>
        </w:rPr>
        <w:t xml:space="preserve"> (Accessed: 8 November 2025).</w:t>
      </w:r>
    </w:p>
    <w:p w14:paraId="404D188F" w14:textId="77777777" w:rsidR="000B5400" w:rsidRPr="007151C7" w:rsidRDefault="000B5400" w:rsidP="000B5400">
      <w:pPr>
        <w:rPr>
          <w:rFonts w:ascii="Times New Roman" w:hAnsi="Times New Roman" w:cs="Times New Roman"/>
          <w:sz w:val="24"/>
          <w:szCs w:val="24"/>
        </w:rPr>
      </w:pPr>
    </w:p>
    <w:p w14:paraId="68B408A1" w14:textId="77777777" w:rsidR="000B5400" w:rsidRDefault="000B5400" w:rsidP="000B5400"/>
    <w:p w14:paraId="66216E1E" w14:textId="77777777" w:rsidR="00711630" w:rsidRPr="000B5400" w:rsidRDefault="00711630">
      <w:pPr>
        <w:rPr>
          <w:lang w:val="en-US"/>
        </w:rPr>
      </w:pPr>
    </w:p>
    <w:sectPr w:rsidR="00711630" w:rsidRPr="000B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630"/>
    <w:rsid w:val="000B5400"/>
    <w:rsid w:val="00711630"/>
    <w:rsid w:val="00CF0F6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3AC97"/>
  <w15:chartTrackingRefBased/>
  <w15:docId w15:val="{9B0C3230-5CA9-4B5D-95B1-27E035691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630"/>
    <w:pPr>
      <w:spacing w:after="200" w:line="276" w:lineRule="auto"/>
    </w:pPr>
    <w:rPr>
      <w:rFonts w:cs="Mangal"/>
      <w:sz w:val="22"/>
      <w:szCs w:val="20"/>
      <w:lang w:val="en-GB" w:bidi="hi-IN"/>
    </w:rPr>
  </w:style>
  <w:style w:type="paragraph" w:styleId="Heading1">
    <w:name w:val="heading 1"/>
    <w:basedOn w:val="Normal"/>
    <w:next w:val="Normal"/>
    <w:link w:val="Heading1Char"/>
    <w:uiPriority w:val="9"/>
    <w:qFormat/>
    <w:rsid w:val="00711630"/>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lang w:val="en-IN" w:bidi="ar-SA"/>
    </w:rPr>
  </w:style>
  <w:style w:type="paragraph" w:styleId="Heading2">
    <w:name w:val="heading 2"/>
    <w:basedOn w:val="Normal"/>
    <w:next w:val="Normal"/>
    <w:link w:val="Heading2Char"/>
    <w:uiPriority w:val="9"/>
    <w:unhideWhenUsed/>
    <w:qFormat/>
    <w:rsid w:val="00711630"/>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lang w:val="en-IN" w:bidi="ar-SA"/>
    </w:rPr>
  </w:style>
  <w:style w:type="paragraph" w:styleId="Heading3">
    <w:name w:val="heading 3"/>
    <w:basedOn w:val="Normal"/>
    <w:next w:val="Normal"/>
    <w:link w:val="Heading3Char"/>
    <w:uiPriority w:val="9"/>
    <w:semiHidden/>
    <w:unhideWhenUsed/>
    <w:qFormat/>
    <w:rsid w:val="00711630"/>
    <w:pPr>
      <w:keepNext/>
      <w:keepLines/>
      <w:spacing w:before="160" w:after="80" w:line="278" w:lineRule="auto"/>
      <w:outlineLvl w:val="2"/>
    </w:pPr>
    <w:rPr>
      <w:rFonts w:eastAsiaTheme="majorEastAsia" w:cstheme="majorBidi"/>
      <w:color w:val="2F5496" w:themeColor="accent1" w:themeShade="BF"/>
      <w:sz w:val="28"/>
      <w:szCs w:val="28"/>
      <w:lang w:val="en-IN" w:bidi="ar-SA"/>
    </w:rPr>
  </w:style>
  <w:style w:type="paragraph" w:styleId="Heading4">
    <w:name w:val="heading 4"/>
    <w:basedOn w:val="Normal"/>
    <w:next w:val="Normal"/>
    <w:link w:val="Heading4Char"/>
    <w:uiPriority w:val="9"/>
    <w:semiHidden/>
    <w:unhideWhenUsed/>
    <w:qFormat/>
    <w:rsid w:val="00711630"/>
    <w:pPr>
      <w:keepNext/>
      <w:keepLines/>
      <w:spacing w:before="80" w:after="40" w:line="278" w:lineRule="auto"/>
      <w:outlineLvl w:val="3"/>
    </w:pPr>
    <w:rPr>
      <w:rFonts w:eastAsiaTheme="majorEastAsia" w:cstheme="majorBidi"/>
      <w:i/>
      <w:iCs/>
      <w:color w:val="2F5496" w:themeColor="accent1" w:themeShade="BF"/>
      <w:sz w:val="24"/>
      <w:szCs w:val="24"/>
      <w:lang w:val="en-IN" w:bidi="ar-SA"/>
    </w:rPr>
  </w:style>
  <w:style w:type="paragraph" w:styleId="Heading5">
    <w:name w:val="heading 5"/>
    <w:basedOn w:val="Normal"/>
    <w:next w:val="Normal"/>
    <w:link w:val="Heading5Char"/>
    <w:uiPriority w:val="9"/>
    <w:semiHidden/>
    <w:unhideWhenUsed/>
    <w:qFormat/>
    <w:rsid w:val="00711630"/>
    <w:pPr>
      <w:keepNext/>
      <w:keepLines/>
      <w:spacing w:before="80" w:after="40" w:line="278" w:lineRule="auto"/>
      <w:outlineLvl w:val="4"/>
    </w:pPr>
    <w:rPr>
      <w:rFonts w:eastAsiaTheme="majorEastAsia" w:cstheme="majorBidi"/>
      <w:color w:val="2F5496" w:themeColor="accent1" w:themeShade="BF"/>
      <w:sz w:val="24"/>
      <w:szCs w:val="24"/>
      <w:lang w:val="en-IN" w:bidi="ar-SA"/>
    </w:rPr>
  </w:style>
  <w:style w:type="paragraph" w:styleId="Heading6">
    <w:name w:val="heading 6"/>
    <w:basedOn w:val="Normal"/>
    <w:next w:val="Normal"/>
    <w:link w:val="Heading6Char"/>
    <w:uiPriority w:val="9"/>
    <w:semiHidden/>
    <w:unhideWhenUsed/>
    <w:qFormat/>
    <w:rsid w:val="00711630"/>
    <w:pPr>
      <w:keepNext/>
      <w:keepLines/>
      <w:spacing w:before="40" w:after="0" w:line="278" w:lineRule="auto"/>
      <w:outlineLvl w:val="5"/>
    </w:pPr>
    <w:rPr>
      <w:rFonts w:eastAsiaTheme="majorEastAsia" w:cstheme="majorBidi"/>
      <w:i/>
      <w:iCs/>
      <w:color w:val="595959" w:themeColor="text1" w:themeTint="A6"/>
      <w:sz w:val="24"/>
      <w:szCs w:val="24"/>
      <w:lang w:val="en-IN" w:bidi="ar-SA"/>
    </w:rPr>
  </w:style>
  <w:style w:type="paragraph" w:styleId="Heading7">
    <w:name w:val="heading 7"/>
    <w:basedOn w:val="Normal"/>
    <w:next w:val="Normal"/>
    <w:link w:val="Heading7Char"/>
    <w:uiPriority w:val="9"/>
    <w:semiHidden/>
    <w:unhideWhenUsed/>
    <w:qFormat/>
    <w:rsid w:val="00711630"/>
    <w:pPr>
      <w:keepNext/>
      <w:keepLines/>
      <w:spacing w:before="40" w:after="0" w:line="278" w:lineRule="auto"/>
      <w:outlineLvl w:val="6"/>
    </w:pPr>
    <w:rPr>
      <w:rFonts w:eastAsiaTheme="majorEastAsia" w:cstheme="majorBidi"/>
      <w:color w:val="595959" w:themeColor="text1" w:themeTint="A6"/>
      <w:sz w:val="24"/>
      <w:szCs w:val="24"/>
      <w:lang w:val="en-IN" w:bidi="ar-SA"/>
    </w:rPr>
  </w:style>
  <w:style w:type="paragraph" w:styleId="Heading8">
    <w:name w:val="heading 8"/>
    <w:basedOn w:val="Normal"/>
    <w:next w:val="Normal"/>
    <w:link w:val="Heading8Char"/>
    <w:uiPriority w:val="9"/>
    <w:semiHidden/>
    <w:unhideWhenUsed/>
    <w:qFormat/>
    <w:rsid w:val="00711630"/>
    <w:pPr>
      <w:keepNext/>
      <w:keepLines/>
      <w:spacing w:after="0" w:line="278" w:lineRule="auto"/>
      <w:outlineLvl w:val="7"/>
    </w:pPr>
    <w:rPr>
      <w:rFonts w:eastAsiaTheme="majorEastAsia" w:cstheme="majorBidi"/>
      <w:i/>
      <w:iCs/>
      <w:color w:val="272727" w:themeColor="text1" w:themeTint="D8"/>
      <w:sz w:val="24"/>
      <w:szCs w:val="24"/>
      <w:lang w:val="en-IN" w:bidi="ar-SA"/>
    </w:rPr>
  </w:style>
  <w:style w:type="paragraph" w:styleId="Heading9">
    <w:name w:val="heading 9"/>
    <w:basedOn w:val="Normal"/>
    <w:next w:val="Normal"/>
    <w:link w:val="Heading9Char"/>
    <w:uiPriority w:val="9"/>
    <w:semiHidden/>
    <w:unhideWhenUsed/>
    <w:qFormat/>
    <w:rsid w:val="00711630"/>
    <w:pPr>
      <w:keepNext/>
      <w:keepLines/>
      <w:spacing w:after="0" w:line="278" w:lineRule="auto"/>
      <w:outlineLvl w:val="8"/>
    </w:pPr>
    <w:rPr>
      <w:rFonts w:eastAsiaTheme="majorEastAsia" w:cstheme="majorBidi"/>
      <w:color w:val="272727" w:themeColor="text1" w:themeTint="D8"/>
      <w:sz w:val="24"/>
      <w:szCs w:val="24"/>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6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116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116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16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116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11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630"/>
    <w:rPr>
      <w:rFonts w:eastAsiaTheme="majorEastAsia" w:cstheme="majorBidi"/>
      <w:color w:val="272727" w:themeColor="text1" w:themeTint="D8"/>
    </w:rPr>
  </w:style>
  <w:style w:type="paragraph" w:styleId="Title">
    <w:name w:val="Title"/>
    <w:basedOn w:val="Normal"/>
    <w:next w:val="Normal"/>
    <w:link w:val="TitleChar"/>
    <w:uiPriority w:val="10"/>
    <w:qFormat/>
    <w:rsid w:val="00711630"/>
    <w:pPr>
      <w:spacing w:after="80" w:line="240" w:lineRule="auto"/>
      <w:contextualSpacing/>
    </w:pPr>
    <w:rPr>
      <w:rFonts w:asciiTheme="majorHAnsi" w:eastAsiaTheme="majorEastAsia" w:hAnsiTheme="majorHAnsi" w:cstheme="majorBidi"/>
      <w:spacing w:val="-10"/>
      <w:kern w:val="28"/>
      <w:sz w:val="56"/>
      <w:szCs w:val="56"/>
      <w:lang w:val="en-IN" w:bidi="ar-SA"/>
    </w:rPr>
  </w:style>
  <w:style w:type="character" w:customStyle="1" w:styleId="TitleChar">
    <w:name w:val="Title Char"/>
    <w:basedOn w:val="DefaultParagraphFont"/>
    <w:link w:val="Title"/>
    <w:uiPriority w:val="10"/>
    <w:rsid w:val="00711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630"/>
    <w:pPr>
      <w:numPr>
        <w:ilvl w:val="1"/>
      </w:numPr>
      <w:spacing w:after="160" w:line="278" w:lineRule="auto"/>
    </w:pPr>
    <w:rPr>
      <w:rFonts w:eastAsiaTheme="majorEastAsia" w:cstheme="majorBidi"/>
      <w:color w:val="595959" w:themeColor="text1" w:themeTint="A6"/>
      <w:spacing w:val="15"/>
      <w:sz w:val="28"/>
      <w:szCs w:val="28"/>
      <w:lang w:val="en-IN" w:bidi="ar-SA"/>
    </w:rPr>
  </w:style>
  <w:style w:type="character" w:customStyle="1" w:styleId="SubtitleChar">
    <w:name w:val="Subtitle Char"/>
    <w:basedOn w:val="DefaultParagraphFont"/>
    <w:link w:val="Subtitle"/>
    <w:uiPriority w:val="11"/>
    <w:rsid w:val="00711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630"/>
    <w:pPr>
      <w:spacing w:before="160" w:after="160" w:line="278" w:lineRule="auto"/>
      <w:jc w:val="center"/>
    </w:pPr>
    <w:rPr>
      <w:rFonts w:cstheme="minorBidi"/>
      <w:i/>
      <w:iCs/>
      <w:color w:val="404040" w:themeColor="text1" w:themeTint="BF"/>
      <w:sz w:val="24"/>
      <w:szCs w:val="24"/>
      <w:lang w:val="en-IN" w:bidi="ar-SA"/>
    </w:rPr>
  </w:style>
  <w:style w:type="character" w:customStyle="1" w:styleId="QuoteChar">
    <w:name w:val="Quote Char"/>
    <w:basedOn w:val="DefaultParagraphFont"/>
    <w:link w:val="Quote"/>
    <w:uiPriority w:val="29"/>
    <w:rsid w:val="00711630"/>
    <w:rPr>
      <w:i/>
      <w:iCs/>
      <w:color w:val="404040" w:themeColor="text1" w:themeTint="BF"/>
    </w:rPr>
  </w:style>
  <w:style w:type="paragraph" w:styleId="ListParagraph">
    <w:name w:val="List Paragraph"/>
    <w:basedOn w:val="Normal"/>
    <w:uiPriority w:val="34"/>
    <w:qFormat/>
    <w:rsid w:val="00711630"/>
    <w:pPr>
      <w:spacing w:after="160" w:line="278" w:lineRule="auto"/>
      <w:ind w:left="720"/>
      <w:contextualSpacing/>
    </w:pPr>
    <w:rPr>
      <w:rFonts w:cstheme="minorBidi"/>
      <w:sz w:val="24"/>
      <w:szCs w:val="24"/>
      <w:lang w:val="en-IN" w:bidi="ar-SA"/>
    </w:rPr>
  </w:style>
  <w:style w:type="character" w:styleId="IntenseEmphasis">
    <w:name w:val="Intense Emphasis"/>
    <w:basedOn w:val="DefaultParagraphFont"/>
    <w:uiPriority w:val="21"/>
    <w:qFormat/>
    <w:rsid w:val="00711630"/>
    <w:rPr>
      <w:i/>
      <w:iCs/>
      <w:color w:val="2F5496" w:themeColor="accent1" w:themeShade="BF"/>
    </w:rPr>
  </w:style>
  <w:style w:type="paragraph" w:styleId="IntenseQuote">
    <w:name w:val="Intense Quote"/>
    <w:basedOn w:val="Normal"/>
    <w:next w:val="Normal"/>
    <w:link w:val="IntenseQuoteChar"/>
    <w:uiPriority w:val="30"/>
    <w:qFormat/>
    <w:rsid w:val="00711630"/>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cstheme="minorBidi"/>
      <w:i/>
      <w:iCs/>
      <w:color w:val="2F5496" w:themeColor="accent1" w:themeShade="BF"/>
      <w:sz w:val="24"/>
      <w:szCs w:val="24"/>
      <w:lang w:val="en-IN" w:bidi="ar-SA"/>
    </w:rPr>
  </w:style>
  <w:style w:type="character" w:customStyle="1" w:styleId="IntenseQuoteChar">
    <w:name w:val="Intense Quote Char"/>
    <w:basedOn w:val="DefaultParagraphFont"/>
    <w:link w:val="IntenseQuote"/>
    <w:uiPriority w:val="30"/>
    <w:rsid w:val="00711630"/>
    <w:rPr>
      <w:i/>
      <w:iCs/>
      <w:color w:val="2F5496" w:themeColor="accent1" w:themeShade="BF"/>
    </w:rPr>
  </w:style>
  <w:style w:type="character" w:styleId="IntenseReference">
    <w:name w:val="Intense Reference"/>
    <w:basedOn w:val="DefaultParagraphFont"/>
    <w:uiPriority w:val="32"/>
    <w:qFormat/>
    <w:rsid w:val="00711630"/>
    <w:rPr>
      <w:b/>
      <w:bCs/>
      <w:smallCaps/>
      <w:color w:val="2F5496" w:themeColor="accent1" w:themeShade="BF"/>
      <w:spacing w:val="5"/>
    </w:rPr>
  </w:style>
  <w:style w:type="character" w:styleId="Hyperlink">
    <w:name w:val="Hyperlink"/>
    <w:basedOn w:val="DefaultParagraphFont"/>
    <w:uiPriority w:val="99"/>
    <w:unhideWhenUsed/>
    <w:rsid w:val="000B5400"/>
    <w:rPr>
      <w:color w:val="0563C1" w:themeColor="hyperlink"/>
      <w:u w:val="single"/>
    </w:rPr>
  </w:style>
  <w:style w:type="table" w:styleId="TableGrid">
    <w:name w:val="Table Grid"/>
    <w:basedOn w:val="TableNormal"/>
    <w:uiPriority w:val="59"/>
    <w:rsid w:val="000B5400"/>
    <w:pPr>
      <w:spacing w:after="0" w:line="240" w:lineRule="auto"/>
    </w:pPr>
    <w:rPr>
      <w:sz w:val="22"/>
      <w:szCs w:val="20"/>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B5400"/>
    <w:pPr>
      <w:spacing w:line="240" w:lineRule="auto"/>
    </w:pPr>
    <w:rPr>
      <w:i/>
      <w:iCs/>
      <w:color w:val="44546A" w:themeColor="text2"/>
      <w:sz w:val="18"/>
      <w:szCs w:val="16"/>
      <w:lang w:val="en-IN"/>
    </w:rPr>
  </w:style>
  <w:style w:type="paragraph" w:styleId="TOCHeading">
    <w:name w:val="TOC Heading"/>
    <w:basedOn w:val="Heading1"/>
    <w:next w:val="Normal"/>
    <w:uiPriority w:val="39"/>
    <w:unhideWhenUsed/>
    <w:qFormat/>
    <w:rsid w:val="000B540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B5400"/>
    <w:pPr>
      <w:spacing w:after="100"/>
    </w:pPr>
    <w:rPr>
      <w:lang w:val="en-IN"/>
    </w:rPr>
  </w:style>
  <w:style w:type="paragraph" w:styleId="TOC2">
    <w:name w:val="toc 2"/>
    <w:basedOn w:val="Normal"/>
    <w:next w:val="Normal"/>
    <w:autoRedefine/>
    <w:uiPriority w:val="39"/>
    <w:unhideWhenUsed/>
    <w:rsid w:val="000B5400"/>
    <w:pPr>
      <w:spacing w:after="100"/>
      <w:ind w:left="220"/>
    </w:pPr>
    <w:rPr>
      <w:lang w:val="en-IN"/>
    </w:rPr>
  </w:style>
  <w:style w:type="paragraph" w:styleId="TableofFigures">
    <w:name w:val="table of figures"/>
    <w:basedOn w:val="Normal"/>
    <w:next w:val="Normal"/>
    <w:uiPriority w:val="99"/>
    <w:unhideWhenUsed/>
    <w:rsid w:val="000B5400"/>
    <w:pPr>
      <w:spacing w:after="0"/>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yber.gc.ca/en/guidance/end-user-device-security-bring-your-own-device-byod-deployment-models-itsm70003" TargetMode="External"/><Relationship Id="rId13" Type="http://schemas.openxmlformats.org/officeDocument/2006/relationships/hyperlink" Target="https://www.cisa.gov/sites/default/files/2024-08/Federal-Mobile-Workplace-Security_508_2024-08-14.pdf" TargetMode="External"/><Relationship Id="rId18" Type="http://schemas.openxmlformats.org/officeDocument/2006/relationships/hyperlink" Target="https://www.nist.gov/news-events/news/2024/02/nist-releases-version-20-landmark-cybersecurity-framework" TargetMode="External"/><Relationship Id="rId26" Type="http://schemas.openxmlformats.org/officeDocument/2006/relationships/hyperlink" Target="https://www.techadvisory.com/risks-of-byod/" TargetMode="External"/><Relationship Id="rId3" Type="http://schemas.openxmlformats.org/officeDocument/2006/relationships/webSettings" Target="webSettings.xml"/><Relationship Id="rId21" Type="http://schemas.openxmlformats.org/officeDocument/2006/relationships/hyperlink" Target="https://www.trendmicro.com/en_us/research/24/c/nist-cybersecurity-framework-2024.html" TargetMode="External"/><Relationship Id="rId7" Type="http://schemas.openxmlformats.org/officeDocument/2006/relationships/hyperlink" Target="https://linfordco.com/blog/implement-byod-policy-program/" TargetMode="External"/><Relationship Id="rId12" Type="http://schemas.openxmlformats.org/officeDocument/2006/relationships/hyperlink" Target="https://www.easyvista.com/blog/integrating-itil-and-cybersecurity-frameworks-to-improve-security-governance/" TargetMode="External"/><Relationship Id="rId17" Type="http://schemas.openxmlformats.org/officeDocument/2006/relationships/hyperlink" Target="https://nvlpubs.nist.gov/nistpubs/CSWP/NIST.CSWP.29.pdf" TargetMode="External"/><Relationship Id="rId25" Type="http://schemas.openxmlformats.org/officeDocument/2006/relationships/hyperlink" Target="https://www.venn.com/learn/byod-security-best-practices/?utm_source=chatgpt.com" TargetMode="External"/><Relationship Id="rId2" Type="http://schemas.openxmlformats.org/officeDocument/2006/relationships/settings" Target="settings.xml"/><Relationship Id="rId16" Type="http://schemas.openxmlformats.org/officeDocument/2006/relationships/hyperlink" Target="https://www.itgovernance.co.uk/blog/maintaining-gdpr-and-data-privacy-compliance-in-2024" TargetMode="External"/><Relationship Id="rId20" Type="http://schemas.openxmlformats.org/officeDocument/2006/relationships/hyperlink" Target="https://www.insideprivacy.com/cybersecurity-2/nist-publishes-the-cybersecurity-framework-2-0/?utm_source=chatgpt.com"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forcepoint.com/blog/insights/byod-security-best-practices?utm_source=chatgpt.com" TargetMode="External"/><Relationship Id="rId11" Type="http://schemas.openxmlformats.org/officeDocument/2006/relationships/hyperlink" Target="https://cybercitadel.com/nist-cybersecurity-framework-evolution-and-impact-2022-2024/" TargetMode="External"/><Relationship Id="rId24" Type="http://schemas.openxmlformats.org/officeDocument/2006/relationships/hyperlink" Target="https://www.isaca.org/resources/isaca-journal/issues/2024/volume-3/navigating-the-iso-iec-27001-2022-transition-a-90-day-challenge" TargetMode="External"/><Relationship Id="rId5" Type="http://schemas.openxmlformats.org/officeDocument/2006/relationships/hyperlink" Target="https://www.sciencedirect.com/science/article/abs/pii/S0167404820303035" TargetMode="External"/><Relationship Id="rId15" Type="http://schemas.openxmlformats.org/officeDocument/2006/relationships/hyperlink" Target="https://www.iso.org/standard/27001" TargetMode="External"/><Relationship Id="rId23" Type="http://schemas.openxmlformats.org/officeDocument/2006/relationships/hyperlink" Target="https://sciencelogic.com/blog/gdpr-compliance-in_2024" TargetMode="External"/><Relationship Id="rId28" Type="http://schemas.openxmlformats.org/officeDocument/2006/relationships/hyperlink" Target="https://en.wikipedia.org/wiki/ITIL_security_management" TargetMode="External"/><Relationship Id="rId10" Type="http://schemas.openxmlformats.org/officeDocument/2006/relationships/hyperlink" Target="https://compleye.io/articles/10-gdpr-requirements-you-must-know-in-2024/" TargetMode="External"/><Relationship Id="rId19" Type="http://schemas.openxmlformats.org/officeDocument/2006/relationships/hyperlink" Target="https://www.strongdm.com/blog/byod-policy" TargetMode="External"/><Relationship Id="rId4" Type="http://schemas.openxmlformats.org/officeDocument/2006/relationships/image" Target="media/image1.png"/><Relationship Id="rId9" Type="http://schemas.openxmlformats.org/officeDocument/2006/relationships/hyperlink" Target="https://medium.com/@certprosocial/top-7-reasons-to-pursue-iso-27001-certification-in-2024-e322e0e054ed" TargetMode="External"/><Relationship Id="rId14" Type="http://schemas.openxmlformats.org/officeDocument/2006/relationships/hyperlink" Target="https://iseoblue.com/post/iso-27001-amendment-1-2024-what-you-need-to-know/" TargetMode="External"/><Relationship Id="rId22" Type="http://schemas.openxmlformats.org/officeDocument/2006/relationships/hyperlink" Target="https://www.iseoblue.com/post/information-security-management-in-itil" TargetMode="External"/><Relationship Id="rId27" Type="http://schemas.openxmlformats.org/officeDocument/2006/relationships/hyperlink" Target="https://en.wikipedia.org/wiki/General_Data_Protection_Regula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5448</Words>
  <Characters>31060</Characters>
  <Application>Microsoft Office Word</Application>
  <DocSecurity>0</DocSecurity>
  <Lines>258</Lines>
  <Paragraphs>72</Paragraphs>
  <ScaleCrop>false</ScaleCrop>
  <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Tirth Ladani</cp:lastModifiedBy>
  <cp:revision>3</cp:revision>
  <dcterms:created xsi:type="dcterms:W3CDTF">2025-11-14T08:32:00Z</dcterms:created>
  <dcterms:modified xsi:type="dcterms:W3CDTF">2025-11-18T07:57:00Z</dcterms:modified>
</cp:coreProperties>
</file>