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060EC4" w14:textId="417317E3" w:rsidR="00251D71" w:rsidRDefault="00251D71" w:rsidP="00251D71">
      <w:pPr>
        <w:spacing w:before="0" w:after="160"/>
        <w:jc w:val="center"/>
        <w:rPr>
          <w:rFonts w:cs="Arial"/>
          <w:noProof/>
          <w:sz w:val="32"/>
          <w:szCs w:val="28"/>
        </w:rPr>
      </w:pPr>
      <w:r>
        <w:rPr>
          <w:rFonts w:cs="Times New Roman"/>
          <w:b/>
          <w:noProof/>
        </w:rPr>
        <w:drawing>
          <wp:inline distT="0" distB="0" distL="0" distR="0" wp14:anchorId="673B8910" wp14:editId="64A8F95C">
            <wp:extent cx="2736850" cy="901700"/>
            <wp:effectExtent l="0" t="0" r="6350" b="0"/>
            <wp:docPr id="40724962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6850" cy="901700"/>
                    </a:xfrm>
                    <a:prstGeom prst="rect">
                      <a:avLst/>
                    </a:prstGeom>
                    <a:noFill/>
                    <a:ln>
                      <a:noFill/>
                    </a:ln>
                  </pic:spPr>
                </pic:pic>
              </a:graphicData>
            </a:graphic>
          </wp:inline>
        </w:drawing>
      </w:r>
    </w:p>
    <w:p w14:paraId="6D715AE1" w14:textId="77777777" w:rsidR="00251D71" w:rsidRDefault="00251D71" w:rsidP="00251D71">
      <w:pPr>
        <w:spacing w:before="0" w:after="160"/>
        <w:jc w:val="center"/>
        <w:rPr>
          <w:rFonts w:cs="Arial"/>
          <w:noProof/>
          <w:sz w:val="32"/>
          <w:szCs w:val="28"/>
        </w:rPr>
      </w:pPr>
    </w:p>
    <w:p w14:paraId="30B85650" w14:textId="77777777" w:rsidR="00251D71" w:rsidRPr="00251D71" w:rsidRDefault="00251D71" w:rsidP="00251D71">
      <w:pPr>
        <w:spacing w:before="0" w:after="160"/>
        <w:jc w:val="center"/>
        <w:rPr>
          <w:rFonts w:cs="Arial"/>
          <w:b/>
          <w:bCs/>
          <w:i/>
          <w:iCs/>
          <w:noProof/>
          <w:sz w:val="32"/>
          <w:szCs w:val="28"/>
        </w:rPr>
      </w:pPr>
      <w:r w:rsidRPr="00251D71">
        <w:rPr>
          <w:rFonts w:cs="Arial"/>
          <w:b/>
          <w:bCs/>
          <w:i/>
          <w:iCs/>
          <w:noProof/>
          <w:sz w:val="32"/>
          <w:szCs w:val="28"/>
        </w:rPr>
        <w:t>Report Case Study: Urban Heights Hotel</w:t>
      </w:r>
    </w:p>
    <w:p w14:paraId="2AD3F62F" w14:textId="77777777" w:rsidR="00251D71" w:rsidRDefault="00251D71" w:rsidP="00251D71">
      <w:pPr>
        <w:spacing w:before="0" w:after="160"/>
        <w:jc w:val="center"/>
        <w:rPr>
          <w:rFonts w:cs="Arial"/>
          <w:noProof/>
          <w:sz w:val="32"/>
          <w:szCs w:val="28"/>
        </w:rPr>
      </w:pPr>
    </w:p>
    <w:p w14:paraId="2098289E" w14:textId="77777777" w:rsidR="00251D71" w:rsidRDefault="00251D71" w:rsidP="00251D71">
      <w:pPr>
        <w:spacing w:before="0" w:after="160"/>
        <w:jc w:val="center"/>
        <w:rPr>
          <w:rFonts w:cs="Arial"/>
          <w:noProof/>
          <w:sz w:val="32"/>
          <w:szCs w:val="28"/>
        </w:rPr>
      </w:pPr>
      <w:r>
        <w:rPr>
          <w:rFonts w:cs="Arial"/>
          <w:noProof/>
          <w:sz w:val="32"/>
          <w:szCs w:val="28"/>
        </w:rPr>
        <w:t xml:space="preserve">Module Name </w:t>
      </w:r>
    </w:p>
    <w:p w14:paraId="085AEA14" w14:textId="77777777" w:rsidR="00251D71" w:rsidRDefault="00251D71" w:rsidP="00251D71">
      <w:pPr>
        <w:spacing w:before="0" w:after="160"/>
        <w:jc w:val="center"/>
        <w:rPr>
          <w:rFonts w:cs="Arial"/>
          <w:noProof/>
          <w:sz w:val="32"/>
          <w:szCs w:val="28"/>
        </w:rPr>
      </w:pPr>
      <w:r>
        <w:rPr>
          <w:rFonts w:cs="Arial"/>
          <w:noProof/>
          <w:sz w:val="32"/>
          <w:szCs w:val="28"/>
        </w:rPr>
        <w:t>Financial Management for the Hotel Industry (BMIH5007)</w:t>
      </w:r>
    </w:p>
    <w:p w14:paraId="22D2A8FB" w14:textId="77777777" w:rsidR="00251D71" w:rsidRDefault="00251D71" w:rsidP="00251D71">
      <w:pPr>
        <w:spacing w:before="0" w:after="160"/>
        <w:jc w:val="center"/>
        <w:rPr>
          <w:rFonts w:cs="Arial"/>
          <w:noProof/>
          <w:sz w:val="32"/>
          <w:szCs w:val="28"/>
        </w:rPr>
      </w:pPr>
    </w:p>
    <w:p w14:paraId="06A96301" w14:textId="77777777" w:rsidR="00251D71" w:rsidRDefault="00251D71" w:rsidP="00251D71">
      <w:pPr>
        <w:spacing w:before="0" w:after="160"/>
        <w:jc w:val="center"/>
        <w:rPr>
          <w:rFonts w:cs="Arial"/>
          <w:noProof/>
          <w:sz w:val="32"/>
          <w:szCs w:val="28"/>
        </w:rPr>
      </w:pPr>
      <w:r>
        <w:rPr>
          <w:rFonts w:cs="Arial"/>
          <w:noProof/>
          <w:sz w:val="32"/>
          <w:szCs w:val="28"/>
        </w:rPr>
        <w:t>Lecturer’s Name</w:t>
      </w:r>
    </w:p>
    <w:p w14:paraId="2B47CB39" w14:textId="77777777" w:rsidR="00251D71" w:rsidRDefault="00251D71" w:rsidP="00251D71">
      <w:pPr>
        <w:spacing w:before="0" w:after="160"/>
        <w:jc w:val="center"/>
        <w:rPr>
          <w:rFonts w:cs="Arial"/>
          <w:noProof/>
          <w:sz w:val="32"/>
          <w:szCs w:val="28"/>
        </w:rPr>
      </w:pPr>
      <w:r>
        <w:rPr>
          <w:rFonts w:cs="Arial"/>
          <w:noProof/>
          <w:sz w:val="32"/>
          <w:szCs w:val="28"/>
        </w:rPr>
        <w:t>Tristan Hawkins</w:t>
      </w:r>
    </w:p>
    <w:p w14:paraId="7C4C0379" w14:textId="77777777" w:rsidR="00251D71" w:rsidRDefault="00251D71" w:rsidP="00251D71">
      <w:pPr>
        <w:spacing w:before="0" w:after="160"/>
        <w:jc w:val="center"/>
        <w:rPr>
          <w:rFonts w:cs="Arial"/>
          <w:noProof/>
          <w:sz w:val="32"/>
          <w:szCs w:val="28"/>
        </w:rPr>
      </w:pPr>
    </w:p>
    <w:p w14:paraId="0B2E3AE3" w14:textId="77777777" w:rsidR="00251D71" w:rsidRDefault="00251D71" w:rsidP="00251D71">
      <w:pPr>
        <w:spacing w:before="0" w:after="160"/>
        <w:jc w:val="center"/>
        <w:rPr>
          <w:rFonts w:cs="Arial"/>
          <w:noProof/>
          <w:sz w:val="32"/>
          <w:szCs w:val="28"/>
        </w:rPr>
      </w:pPr>
      <w:r>
        <w:rPr>
          <w:rFonts w:cs="Arial"/>
          <w:noProof/>
          <w:sz w:val="32"/>
          <w:szCs w:val="28"/>
        </w:rPr>
        <w:t>Prepared by</w:t>
      </w:r>
    </w:p>
    <w:p w14:paraId="0795C8BF" w14:textId="77777777" w:rsidR="00251D71" w:rsidRDefault="00251D71" w:rsidP="00251D71">
      <w:pPr>
        <w:spacing w:before="0" w:after="160"/>
        <w:jc w:val="center"/>
        <w:rPr>
          <w:rFonts w:cs="Arial"/>
          <w:noProof/>
          <w:sz w:val="32"/>
          <w:szCs w:val="28"/>
        </w:rPr>
      </w:pPr>
      <w:r>
        <w:rPr>
          <w:rFonts w:cs="Arial"/>
          <w:noProof/>
          <w:sz w:val="32"/>
          <w:szCs w:val="28"/>
        </w:rPr>
        <w:t>Zakia Sultana Rahman</w:t>
      </w:r>
    </w:p>
    <w:p w14:paraId="1842F64B" w14:textId="77777777" w:rsidR="00251D71" w:rsidRDefault="00251D71" w:rsidP="00251D71">
      <w:pPr>
        <w:spacing w:before="0" w:after="160"/>
        <w:jc w:val="center"/>
        <w:rPr>
          <w:rFonts w:cs="Arial"/>
          <w:noProof/>
          <w:sz w:val="32"/>
          <w:szCs w:val="28"/>
        </w:rPr>
      </w:pPr>
      <w:r>
        <w:rPr>
          <w:rFonts w:cs="Arial"/>
          <w:noProof/>
          <w:sz w:val="32"/>
          <w:szCs w:val="28"/>
        </w:rPr>
        <w:t>Student ID: 2211724</w:t>
      </w:r>
    </w:p>
    <w:p w14:paraId="5BEF69D8" w14:textId="77777777" w:rsidR="00251D71" w:rsidRDefault="00251D71" w:rsidP="00251D71">
      <w:pPr>
        <w:spacing w:before="0" w:after="160"/>
        <w:jc w:val="center"/>
        <w:rPr>
          <w:rFonts w:cs="Arial"/>
          <w:noProof/>
          <w:sz w:val="32"/>
          <w:szCs w:val="28"/>
        </w:rPr>
      </w:pPr>
    </w:p>
    <w:p w14:paraId="0ABC7211" w14:textId="77777777" w:rsidR="00251D71" w:rsidRDefault="00251D71" w:rsidP="00251D71">
      <w:pPr>
        <w:spacing w:before="0" w:after="160"/>
        <w:jc w:val="center"/>
        <w:rPr>
          <w:rFonts w:cs="Arial"/>
          <w:noProof/>
          <w:sz w:val="32"/>
          <w:szCs w:val="28"/>
        </w:rPr>
      </w:pPr>
      <w:r>
        <w:rPr>
          <w:rFonts w:cs="Arial"/>
          <w:noProof/>
          <w:sz w:val="32"/>
          <w:szCs w:val="28"/>
        </w:rPr>
        <w:t>Word Count</w:t>
      </w:r>
    </w:p>
    <w:p w14:paraId="634F9054" w14:textId="2EC9DDA1" w:rsidR="00251D71" w:rsidRDefault="00251D71" w:rsidP="00251D71">
      <w:pPr>
        <w:spacing w:before="0" w:after="160"/>
        <w:jc w:val="center"/>
        <w:rPr>
          <w:rFonts w:cs="Arial"/>
          <w:noProof/>
          <w:sz w:val="32"/>
          <w:szCs w:val="28"/>
        </w:rPr>
      </w:pPr>
      <w:r>
        <w:rPr>
          <w:rFonts w:cs="Arial"/>
          <w:noProof/>
          <w:sz w:val="32"/>
          <w:szCs w:val="28"/>
          <w14:ligatures w14:val="none"/>
        </w:rPr>
        <w:t>21</w:t>
      </w:r>
      <w:r>
        <w:rPr>
          <w:rFonts w:cs="Arial"/>
          <w:noProof/>
          <w:sz w:val="32"/>
          <w:szCs w:val="28"/>
          <w14:ligatures w14:val="none"/>
        </w:rPr>
        <w:t>28</w:t>
      </w:r>
      <w:r>
        <w:rPr>
          <w:rFonts w:cs="Arial"/>
          <w:noProof/>
          <w:sz w:val="32"/>
          <w:szCs w:val="28"/>
          <w14:ligatures w14:val="none"/>
        </w:rPr>
        <w:t xml:space="preserve"> words</w:t>
      </w:r>
    </w:p>
    <w:p w14:paraId="6557DFD6" w14:textId="77777777" w:rsidR="00251D71" w:rsidRDefault="00251D71" w:rsidP="00382135">
      <w:pPr>
        <w:spacing w:before="0" w:after="160"/>
        <w:jc w:val="center"/>
        <w:rPr>
          <w:rFonts w:cs="Arial"/>
          <w:noProof/>
          <w:sz w:val="32"/>
          <w:szCs w:val="28"/>
        </w:rPr>
      </w:pPr>
    </w:p>
    <w:p w14:paraId="4951B73C" w14:textId="261B32A6" w:rsidR="00EB2484" w:rsidRPr="00382135" w:rsidRDefault="00385581" w:rsidP="00382135">
      <w:pPr>
        <w:pStyle w:val="Heading1"/>
        <w:rPr>
          <w:rFonts w:cs="Arial"/>
          <w:noProof/>
        </w:rPr>
      </w:pPr>
      <w:bookmarkStart w:id="0" w:name="_Toc168351873"/>
      <w:r w:rsidRPr="00382135">
        <w:rPr>
          <w:rFonts w:cs="Arial"/>
          <w:noProof/>
        </w:rPr>
        <w:lastRenderedPageBreak/>
        <w:t>Executive Summary</w:t>
      </w:r>
      <w:bookmarkEnd w:id="0"/>
    </w:p>
    <w:p w14:paraId="1658562C" w14:textId="67B752DB" w:rsidR="00385581" w:rsidRPr="00382135" w:rsidRDefault="00385581" w:rsidP="00382135">
      <w:pPr>
        <w:rPr>
          <w:rFonts w:cs="Arial"/>
          <w:noProof/>
        </w:rPr>
      </w:pPr>
      <w:r w:rsidRPr="00382135">
        <w:rPr>
          <w:rFonts w:cs="Arial"/>
          <w:noProof/>
        </w:rPr>
        <w:t>The trend observed in the profitability ratio implies declining profitability in the operations of the Urban Heights Hotel while the liquidity and solvency ratios indicate that the company’s liquidity is worsening with time and could be unable to pay its creditors in the shortest term. The hotel’s total income was reduced by 28 per cent by 2023 in 2021, and the total operating costs rose to 27. 8 per cent in the same period. Thus, the net profit margin of the hotel has bottomed out from £700, 000 in 2021 to a £500,000 loss in 2023. Some important profitability ratios like Return on Asset and Return on Equity were also decreasing indicating poor asset turnover and decreased shareholders’ value. Current Ratio and Quick Ratio which describe the company’s ability to meet short-term payables significantly decreased as well. Nevertheless, the last value, which indicates solvency and is calculated as the Debt/Equity proportion, only slightly changed and remained at a worrying level for the hotel. In response to the above challenges, the following broad strategies are recommended</w:t>
      </w:r>
      <w:r w:rsidR="00CB0E94" w:rsidRPr="00382135">
        <w:rPr>
          <w:rFonts w:cs="Arial"/>
          <w:noProof/>
        </w:rPr>
        <w:t>:</w:t>
      </w:r>
      <w:r w:rsidRPr="00382135">
        <w:rPr>
          <w:rFonts w:cs="Arial"/>
          <w:noProof/>
        </w:rPr>
        <w:t xml:space="preserve"> Revenue generation, operations excellence, guest satisfaction, and strategic affiliations. The identified and outlined complex intervention strategy has the following objectives relevant to the given case: This is a multifaceted strategy designed to breathe new life into the hotel, recover it from unprofitability, and help it regain a competitive advantage. Also, the viability of other financial measures is discussed, such as selling the business to another firm, refinancing, selling assets, or changing the uses of the property at issue. These options act as safety measures in case the turnaround strategy does not bring out the much-needed change. Lastly, there is the concern raised to the urgency of putting in place efficient measures to deal with the financial problem affecting the hotel, stressing major on the need to apply well-informed decisions as well as getting appropriate consultation to enhance the sustainability and profitability of the, hence the hotel.</w:t>
      </w:r>
    </w:p>
    <w:p w14:paraId="4BBA8137" w14:textId="77777777" w:rsidR="00EB2484" w:rsidRPr="00382135" w:rsidRDefault="00EB2484" w:rsidP="00382135">
      <w:pPr>
        <w:spacing w:before="0" w:after="160"/>
        <w:jc w:val="center"/>
        <w:rPr>
          <w:rFonts w:cs="Arial"/>
          <w:b/>
          <w:bCs/>
          <w:noProof/>
          <w:sz w:val="40"/>
          <w:szCs w:val="36"/>
        </w:rPr>
      </w:pPr>
    </w:p>
    <w:p w14:paraId="34D0E0C7" w14:textId="2AEDC9FF" w:rsidR="00EB2484" w:rsidRPr="00382135" w:rsidRDefault="00EB2484" w:rsidP="00382135">
      <w:pPr>
        <w:spacing w:before="0" w:after="160"/>
        <w:rPr>
          <w:rFonts w:eastAsiaTheme="majorEastAsia" w:cs="Arial"/>
          <w:b/>
          <w:bCs/>
          <w:noProof/>
          <w:sz w:val="32"/>
          <w:szCs w:val="32"/>
        </w:rPr>
      </w:pPr>
      <w:r w:rsidRPr="00382135">
        <w:rPr>
          <w:rFonts w:cs="Arial"/>
          <w:b/>
          <w:bCs/>
          <w:noProof/>
        </w:rPr>
        <w:br w:type="page"/>
      </w:r>
    </w:p>
    <w:sdt>
      <w:sdtPr>
        <w:rPr>
          <w:rFonts w:ascii="Arial" w:eastAsiaTheme="minorHAnsi" w:hAnsi="Arial" w:cs="Arial"/>
          <w:noProof/>
          <w:color w:val="auto"/>
          <w:kern w:val="2"/>
          <w:sz w:val="24"/>
          <w:szCs w:val="22"/>
          <w:lang w:eastAsia="en-US"/>
          <w14:ligatures w14:val="standardContextual"/>
        </w:rPr>
        <w:id w:val="1839577880"/>
        <w:docPartObj>
          <w:docPartGallery w:val="Table of Contents"/>
          <w:docPartUnique/>
        </w:docPartObj>
      </w:sdtPr>
      <w:sdtEndPr>
        <w:rPr>
          <w:b/>
          <w:bCs/>
        </w:rPr>
      </w:sdtEndPr>
      <w:sdtContent>
        <w:p w14:paraId="52FAF4AC" w14:textId="5FD13EF1" w:rsidR="00EB2484" w:rsidRPr="00382135" w:rsidRDefault="00EB2484" w:rsidP="00382135">
          <w:pPr>
            <w:pStyle w:val="TOCHeading"/>
            <w:spacing w:line="360" w:lineRule="auto"/>
            <w:jc w:val="center"/>
            <w:rPr>
              <w:rFonts w:ascii="Arial" w:hAnsi="Arial" w:cs="Arial"/>
              <w:b/>
              <w:bCs/>
              <w:noProof/>
              <w:color w:val="auto"/>
            </w:rPr>
          </w:pPr>
          <w:r w:rsidRPr="00382135">
            <w:rPr>
              <w:rFonts w:ascii="Arial" w:hAnsi="Arial" w:cs="Arial"/>
              <w:b/>
              <w:bCs/>
              <w:noProof/>
              <w:color w:val="auto"/>
            </w:rPr>
            <w:t>Table of Contents</w:t>
          </w:r>
        </w:p>
        <w:p w14:paraId="776D7048" w14:textId="4F50C8B7" w:rsidR="00382135" w:rsidRDefault="00EB2484">
          <w:pPr>
            <w:pStyle w:val="TOC1"/>
            <w:tabs>
              <w:tab w:val="right" w:leader="dot" w:pos="9350"/>
            </w:tabs>
            <w:rPr>
              <w:rFonts w:asciiTheme="minorHAnsi" w:eastAsiaTheme="minorEastAsia" w:hAnsiTheme="minorHAnsi"/>
              <w:noProof/>
              <w:szCs w:val="24"/>
              <w:lang w:eastAsia="en-GB"/>
            </w:rPr>
          </w:pPr>
          <w:r w:rsidRPr="00382135">
            <w:rPr>
              <w:rFonts w:cs="Arial"/>
              <w:noProof/>
            </w:rPr>
            <w:fldChar w:fldCharType="begin"/>
          </w:r>
          <w:r w:rsidRPr="00382135">
            <w:rPr>
              <w:rFonts w:cs="Arial"/>
              <w:noProof/>
            </w:rPr>
            <w:instrText xml:space="preserve"> TOC \o "1-3" \h \z \u </w:instrText>
          </w:r>
          <w:r w:rsidRPr="00382135">
            <w:rPr>
              <w:rFonts w:cs="Arial"/>
              <w:noProof/>
            </w:rPr>
            <w:fldChar w:fldCharType="separate"/>
          </w:r>
          <w:hyperlink w:anchor="_Toc168351873" w:history="1">
            <w:r w:rsidR="00382135" w:rsidRPr="00771281">
              <w:rPr>
                <w:rStyle w:val="Hyperlink"/>
                <w:rFonts w:cs="Arial"/>
                <w:noProof/>
              </w:rPr>
              <w:t>Executive Summary</w:t>
            </w:r>
            <w:r w:rsidR="00382135">
              <w:rPr>
                <w:noProof/>
                <w:webHidden/>
              </w:rPr>
              <w:tab/>
            </w:r>
            <w:r w:rsidR="00382135">
              <w:rPr>
                <w:noProof/>
                <w:webHidden/>
              </w:rPr>
              <w:fldChar w:fldCharType="begin"/>
            </w:r>
            <w:r w:rsidR="00382135">
              <w:rPr>
                <w:noProof/>
                <w:webHidden/>
              </w:rPr>
              <w:instrText xml:space="preserve"> PAGEREF _Toc168351873 \h </w:instrText>
            </w:r>
            <w:r w:rsidR="00382135">
              <w:rPr>
                <w:noProof/>
                <w:webHidden/>
              </w:rPr>
            </w:r>
            <w:r w:rsidR="00382135">
              <w:rPr>
                <w:noProof/>
                <w:webHidden/>
              </w:rPr>
              <w:fldChar w:fldCharType="separate"/>
            </w:r>
            <w:r w:rsidR="00382135">
              <w:rPr>
                <w:noProof/>
                <w:webHidden/>
              </w:rPr>
              <w:t>2</w:t>
            </w:r>
            <w:r w:rsidR="00382135">
              <w:rPr>
                <w:noProof/>
                <w:webHidden/>
              </w:rPr>
              <w:fldChar w:fldCharType="end"/>
            </w:r>
          </w:hyperlink>
        </w:p>
        <w:p w14:paraId="3C797A22" w14:textId="494B779D" w:rsidR="00382135" w:rsidRDefault="00000000">
          <w:pPr>
            <w:pStyle w:val="TOC1"/>
            <w:tabs>
              <w:tab w:val="right" w:leader="dot" w:pos="9350"/>
            </w:tabs>
            <w:rPr>
              <w:rFonts w:asciiTheme="minorHAnsi" w:eastAsiaTheme="minorEastAsia" w:hAnsiTheme="minorHAnsi"/>
              <w:noProof/>
              <w:szCs w:val="24"/>
              <w:lang w:eastAsia="en-GB"/>
            </w:rPr>
          </w:pPr>
          <w:hyperlink w:anchor="_Toc168351874" w:history="1">
            <w:r w:rsidR="00382135" w:rsidRPr="00771281">
              <w:rPr>
                <w:rStyle w:val="Hyperlink"/>
                <w:rFonts w:cs="Arial"/>
                <w:noProof/>
              </w:rPr>
              <w:t>Introduction</w:t>
            </w:r>
            <w:r w:rsidR="00382135">
              <w:rPr>
                <w:noProof/>
                <w:webHidden/>
              </w:rPr>
              <w:tab/>
            </w:r>
            <w:r w:rsidR="00382135">
              <w:rPr>
                <w:noProof/>
                <w:webHidden/>
              </w:rPr>
              <w:fldChar w:fldCharType="begin"/>
            </w:r>
            <w:r w:rsidR="00382135">
              <w:rPr>
                <w:noProof/>
                <w:webHidden/>
              </w:rPr>
              <w:instrText xml:space="preserve"> PAGEREF _Toc168351874 \h </w:instrText>
            </w:r>
            <w:r w:rsidR="00382135">
              <w:rPr>
                <w:noProof/>
                <w:webHidden/>
              </w:rPr>
            </w:r>
            <w:r w:rsidR="00382135">
              <w:rPr>
                <w:noProof/>
                <w:webHidden/>
              </w:rPr>
              <w:fldChar w:fldCharType="separate"/>
            </w:r>
            <w:r w:rsidR="00382135">
              <w:rPr>
                <w:noProof/>
                <w:webHidden/>
              </w:rPr>
              <w:t>4</w:t>
            </w:r>
            <w:r w:rsidR="00382135">
              <w:rPr>
                <w:noProof/>
                <w:webHidden/>
              </w:rPr>
              <w:fldChar w:fldCharType="end"/>
            </w:r>
          </w:hyperlink>
        </w:p>
        <w:p w14:paraId="1B4F4D7C" w14:textId="074546A5" w:rsidR="00382135" w:rsidRDefault="00000000">
          <w:pPr>
            <w:pStyle w:val="TOC1"/>
            <w:tabs>
              <w:tab w:val="right" w:leader="dot" w:pos="9350"/>
            </w:tabs>
            <w:rPr>
              <w:rFonts w:asciiTheme="minorHAnsi" w:eastAsiaTheme="minorEastAsia" w:hAnsiTheme="minorHAnsi"/>
              <w:noProof/>
              <w:szCs w:val="24"/>
              <w:lang w:eastAsia="en-GB"/>
            </w:rPr>
          </w:pPr>
          <w:hyperlink w:anchor="_Toc168351875" w:history="1">
            <w:r w:rsidR="00382135" w:rsidRPr="00771281">
              <w:rPr>
                <w:rStyle w:val="Hyperlink"/>
                <w:rFonts w:cs="Arial"/>
                <w:noProof/>
              </w:rPr>
              <w:t>Financial Performance Analysis</w:t>
            </w:r>
            <w:r w:rsidR="00382135">
              <w:rPr>
                <w:noProof/>
                <w:webHidden/>
              </w:rPr>
              <w:tab/>
            </w:r>
            <w:r w:rsidR="00382135">
              <w:rPr>
                <w:noProof/>
                <w:webHidden/>
              </w:rPr>
              <w:fldChar w:fldCharType="begin"/>
            </w:r>
            <w:r w:rsidR="00382135">
              <w:rPr>
                <w:noProof/>
                <w:webHidden/>
              </w:rPr>
              <w:instrText xml:space="preserve"> PAGEREF _Toc168351875 \h </w:instrText>
            </w:r>
            <w:r w:rsidR="00382135">
              <w:rPr>
                <w:noProof/>
                <w:webHidden/>
              </w:rPr>
            </w:r>
            <w:r w:rsidR="00382135">
              <w:rPr>
                <w:noProof/>
                <w:webHidden/>
              </w:rPr>
              <w:fldChar w:fldCharType="separate"/>
            </w:r>
            <w:r w:rsidR="00382135">
              <w:rPr>
                <w:noProof/>
                <w:webHidden/>
              </w:rPr>
              <w:t>4</w:t>
            </w:r>
            <w:r w:rsidR="00382135">
              <w:rPr>
                <w:noProof/>
                <w:webHidden/>
              </w:rPr>
              <w:fldChar w:fldCharType="end"/>
            </w:r>
          </w:hyperlink>
        </w:p>
        <w:p w14:paraId="4C5C4D70" w14:textId="6CFF073E" w:rsidR="00382135" w:rsidRDefault="00000000">
          <w:pPr>
            <w:pStyle w:val="TOC2"/>
            <w:tabs>
              <w:tab w:val="right" w:leader="dot" w:pos="9350"/>
            </w:tabs>
            <w:rPr>
              <w:rFonts w:asciiTheme="minorHAnsi" w:eastAsiaTheme="minorEastAsia" w:hAnsiTheme="minorHAnsi"/>
              <w:noProof/>
              <w:szCs w:val="24"/>
              <w:lang w:eastAsia="en-GB"/>
            </w:rPr>
          </w:pPr>
          <w:hyperlink w:anchor="_Toc168351876" w:history="1">
            <w:r w:rsidR="00382135" w:rsidRPr="00771281">
              <w:rPr>
                <w:rStyle w:val="Hyperlink"/>
                <w:rFonts w:cs="Arial"/>
                <w:noProof/>
              </w:rPr>
              <w:t>Reasons for Declining Profitability</w:t>
            </w:r>
            <w:r w:rsidR="00382135">
              <w:rPr>
                <w:noProof/>
                <w:webHidden/>
              </w:rPr>
              <w:tab/>
            </w:r>
            <w:r w:rsidR="00382135">
              <w:rPr>
                <w:noProof/>
                <w:webHidden/>
              </w:rPr>
              <w:fldChar w:fldCharType="begin"/>
            </w:r>
            <w:r w:rsidR="00382135">
              <w:rPr>
                <w:noProof/>
                <w:webHidden/>
              </w:rPr>
              <w:instrText xml:space="preserve"> PAGEREF _Toc168351876 \h </w:instrText>
            </w:r>
            <w:r w:rsidR="00382135">
              <w:rPr>
                <w:noProof/>
                <w:webHidden/>
              </w:rPr>
            </w:r>
            <w:r w:rsidR="00382135">
              <w:rPr>
                <w:noProof/>
                <w:webHidden/>
              </w:rPr>
              <w:fldChar w:fldCharType="separate"/>
            </w:r>
            <w:r w:rsidR="00382135">
              <w:rPr>
                <w:noProof/>
                <w:webHidden/>
              </w:rPr>
              <w:t>8</w:t>
            </w:r>
            <w:r w:rsidR="00382135">
              <w:rPr>
                <w:noProof/>
                <w:webHidden/>
              </w:rPr>
              <w:fldChar w:fldCharType="end"/>
            </w:r>
          </w:hyperlink>
        </w:p>
        <w:p w14:paraId="0C138ECB" w14:textId="1FBB7688" w:rsidR="00382135" w:rsidRDefault="00000000">
          <w:pPr>
            <w:pStyle w:val="TOC1"/>
            <w:tabs>
              <w:tab w:val="right" w:leader="dot" w:pos="9350"/>
            </w:tabs>
            <w:rPr>
              <w:rFonts w:asciiTheme="minorHAnsi" w:eastAsiaTheme="minorEastAsia" w:hAnsiTheme="minorHAnsi"/>
              <w:noProof/>
              <w:szCs w:val="24"/>
              <w:lang w:eastAsia="en-GB"/>
            </w:rPr>
          </w:pPr>
          <w:hyperlink w:anchor="_Toc168351877" w:history="1">
            <w:r w:rsidR="00382135" w:rsidRPr="00771281">
              <w:rPr>
                <w:rStyle w:val="Hyperlink"/>
                <w:rFonts w:cs="Arial"/>
                <w:noProof/>
              </w:rPr>
              <w:t>Turnaround Strategy or Viable Financial Outcome</w:t>
            </w:r>
            <w:r w:rsidR="00382135">
              <w:rPr>
                <w:noProof/>
                <w:webHidden/>
              </w:rPr>
              <w:tab/>
            </w:r>
            <w:r w:rsidR="00382135">
              <w:rPr>
                <w:noProof/>
                <w:webHidden/>
              </w:rPr>
              <w:fldChar w:fldCharType="begin"/>
            </w:r>
            <w:r w:rsidR="00382135">
              <w:rPr>
                <w:noProof/>
                <w:webHidden/>
              </w:rPr>
              <w:instrText xml:space="preserve"> PAGEREF _Toc168351877 \h </w:instrText>
            </w:r>
            <w:r w:rsidR="00382135">
              <w:rPr>
                <w:noProof/>
                <w:webHidden/>
              </w:rPr>
            </w:r>
            <w:r w:rsidR="00382135">
              <w:rPr>
                <w:noProof/>
                <w:webHidden/>
              </w:rPr>
              <w:fldChar w:fldCharType="separate"/>
            </w:r>
            <w:r w:rsidR="00382135">
              <w:rPr>
                <w:noProof/>
                <w:webHidden/>
              </w:rPr>
              <w:t>9</w:t>
            </w:r>
            <w:r w:rsidR="00382135">
              <w:rPr>
                <w:noProof/>
                <w:webHidden/>
              </w:rPr>
              <w:fldChar w:fldCharType="end"/>
            </w:r>
          </w:hyperlink>
        </w:p>
        <w:p w14:paraId="6559B1B3" w14:textId="388F590E" w:rsidR="00382135" w:rsidRDefault="00000000">
          <w:pPr>
            <w:pStyle w:val="TOC2"/>
            <w:tabs>
              <w:tab w:val="right" w:leader="dot" w:pos="9350"/>
            </w:tabs>
            <w:rPr>
              <w:rFonts w:asciiTheme="minorHAnsi" w:eastAsiaTheme="minorEastAsia" w:hAnsiTheme="minorHAnsi"/>
              <w:noProof/>
              <w:szCs w:val="24"/>
              <w:lang w:eastAsia="en-GB"/>
            </w:rPr>
          </w:pPr>
          <w:hyperlink w:anchor="_Toc168351878" w:history="1">
            <w:r w:rsidR="00382135" w:rsidRPr="00771281">
              <w:rPr>
                <w:rStyle w:val="Hyperlink"/>
                <w:rFonts w:cs="Arial"/>
                <w:noProof/>
              </w:rPr>
              <w:t>Turnaround Strategy</w:t>
            </w:r>
            <w:r w:rsidR="00382135">
              <w:rPr>
                <w:noProof/>
                <w:webHidden/>
              </w:rPr>
              <w:tab/>
            </w:r>
            <w:r w:rsidR="00382135">
              <w:rPr>
                <w:noProof/>
                <w:webHidden/>
              </w:rPr>
              <w:fldChar w:fldCharType="begin"/>
            </w:r>
            <w:r w:rsidR="00382135">
              <w:rPr>
                <w:noProof/>
                <w:webHidden/>
              </w:rPr>
              <w:instrText xml:space="preserve"> PAGEREF _Toc168351878 \h </w:instrText>
            </w:r>
            <w:r w:rsidR="00382135">
              <w:rPr>
                <w:noProof/>
                <w:webHidden/>
              </w:rPr>
            </w:r>
            <w:r w:rsidR="00382135">
              <w:rPr>
                <w:noProof/>
                <w:webHidden/>
              </w:rPr>
              <w:fldChar w:fldCharType="separate"/>
            </w:r>
            <w:r w:rsidR="00382135">
              <w:rPr>
                <w:noProof/>
                <w:webHidden/>
              </w:rPr>
              <w:t>9</w:t>
            </w:r>
            <w:r w:rsidR="00382135">
              <w:rPr>
                <w:noProof/>
                <w:webHidden/>
              </w:rPr>
              <w:fldChar w:fldCharType="end"/>
            </w:r>
          </w:hyperlink>
        </w:p>
        <w:p w14:paraId="3D030375" w14:textId="267CFB93" w:rsidR="00382135" w:rsidRDefault="00000000">
          <w:pPr>
            <w:pStyle w:val="TOC2"/>
            <w:tabs>
              <w:tab w:val="right" w:leader="dot" w:pos="9350"/>
            </w:tabs>
            <w:rPr>
              <w:rFonts w:asciiTheme="minorHAnsi" w:eastAsiaTheme="minorEastAsia" w:hAnsiTheme="minorHAnsi"/>
              <w:noProof/>
              <w:szCs w:val="24"/>
              <w:lang w:eastAsia="en-GB"/>
            </w:rPr>
          </w:pPr>
          <w:hyperlink w:anchor="_Toc168351879" w:history="1">
            <w:r w:rsidR="00382135" w:rsidRPr="00771281">
              <w:rPr>
                <w:rStyle w:val="Hyperlink"/>
                <w:rFonts w:cs="Arial"/>
                <w:noProof/>
              </w:rPr>
              <w:t>Projections and Potential Impact</w:t>
            </w:r>
            <w:r w:rsidR="00382135">
              <w:rPr>
                <w:noProof/>
                <w:webHidden/>
              </w:rPr>
              <w:tab/>
            </w:r>
            <w:r w:rsidR="00382135">
              <w:rPr>
                <w:noProof/>
                <w:webHidden/>
              </w:rPr>
              <w:fldChar w:fldCharType="begin"/>
            </w:r>
            <w:r w:rsidR="00382135">
              <w:rPr>
                <w:noProof/>
                <w:webHidden/>
              </w:rPr>
              <w:instrText xml:space="preserve"> PAGEREF _Toc168351879 \h </w:instrText>
            </w:r>
            <w:r w:rsidR="00382135">
              <w:rPr>
                <w:noProof/>
                <w:webHidden/>
              </w:rPr>
            </w:r>
            <w:r w:rsidR="00382135">
              <w:rPr>
                <w:noProof/>
                <w:webHidden/>
              </w:rPr>
              <w:fldChar w:fldCharType="separate"/>
            </w:r>
            <w:r w:rsidR="00382135">
              <w:rPr>
                <w:noProof/>
                <w:webHidden/>
              </w:rPr>
              <w:t>11</w:t>
            </w:r>
            <w:r w:rsidR="00382135">
              <w:rPr>
                <w:noProof/>
                <w:webHidden/>
              </w:rPr>
              <w:fldChar w:fldCharType="end"/>
            </w:r>
          </w:hyperlink>
        </w:p>
        <w:p w14:paraId="37A87AC4" w14:textId="502A250F" w:rsidR="00382135" w:rsidRDefault="00000000">
          <w:pPr>
            <w:pStyle w:val="TOC2"/>
            <w:tabs>
              <w:tab w:val="right" w:leader="dot" w:pos="9350"/>
            </w:tabs>
            <w:rPr>
              <w:rFonts w:asciiTheme="minorHAnsi" w:eastAsiaTheme="minorEastAsia" w:hAnsiTheme="minorHAnsi"/>
              <w:noProof/>
              <w:szCs w:val="24"/>
              <w:lang w:eastAsia="en-GB"/>
            </w:rPr>
          </w:pPr>
          <w:hyperlink w:anchor="_Toc168351880" w:history="1">
            <w:r w:rsidR="00382135" w:rsidRPr="00771281">
              <w:rPr>
                <w:rStyle w:val="Hyperlink"/>
                <w:rFonts w:cs="Arial"/>
                <w:noProof/>
              </w:rPr>
              <w:t>Alternative Financial Outcome</w:t>
            </w:r>
            <w:r w:rsidR="00382135">
              <w:rPr>
                <w:noProof/>
                <w:webHidden/>
              </w:rPr>
              <w:tab/>
            </w:r>
            <w:r w:rsidR="00382135">
              <w:rPr>
                <w:noProof/>
                <w:webHidden/>
              </w:rPr>
              <w:fldChar w:fldCharType="begin"/>
            </w:r>
            <w:r w:rsidR="00382135">
              <w:rPr>
                <w:noProof/>
                <w:webHidden/>
              </w:rPr>
              <w:instrText xml:space="preserve"> PAGEREF _Toc168351880 \h </w:instrText>
            </w:r>
            <w:r w:rsidR="00382135">
              <w:rPr>
                <w:noProof/>
                <w:webHidden/>
              </w:rPr>
            </w:r>
            <w:r w:rsidR="00382135">
              <w:rPr>
                <w:noProof/>
                <w:webHidden/>
              </w:rPr>
              <w:fldChar w:fldCharType="separate"/>
            </w:r>
            <w:r w:rsidR="00382135">
              <w:rPr>
                <w:noProof/>
                <w:webHidden/>
              </w:rPr>
              <w:t>12</w:t>
            </w:r>
            <w:r w:rsidR="00382135">
              <w:rPr>
                <w:noProof/>
                <w:webHidden/>
              </w:rPr>
              <w:fldChar w:fldCharType="end"/>
            </w:r>
          </w:hyperlink>
        </w:p>
        <w:p w14:paraId="557A942F" w14:textId="57765584" w:rsidR="00382135" w:rsidRDefault="00000000">
          <w:pPr>
            <w:pStyle w:val="TOC1"/>
            <w:tabs>
              <w:tab w:val="right" w:leader="dot" w:pos="9350"/>
            </w:tabs>
            <w:rPr>
              <w:rFonts w:asciiTheme="minorHAnsi" w:eastAsiaTheme="minorEastAsia" w:hAnsiTheme="minorHAnsi"/>
              <w:noProof/>
              <w:szCs w:val="24"/>
              <w:lang w:eastAsia="en-GB"/>
            </w:rPr>
          </w:pPr>
          <w:hyperlink w:anchor="_Toc168351881" w:history="1">
            <w:r w:rsidR="00382135" w:rsidRPr="00771281">
              <w:rPr>
                <w:rStyle w:val="Hyperlink"/>
                <w:rFonts w:cs="Arial"/>
                <w:noProof/>
              </w:rPr>
              <w:t>Conclusion</w:t>
            </w:r>
            <w:r w:rsidR="00382135">
              <w:rPr>
                <w:noProof/>
                <w:webHidden/>
              </w:rPr>
              <w:tab/>
            </w:r>
            <w:r w:rsidR="00382135">
              <w:rPr>
                <w:noProof/>
                <w:webHidden/>
              </w:rPr>
              <w:fldChar w:fldCharType="begin"/>
            </w:r>
            <w:r w:rsidR="00382135">
              <w:rPr>
                <w:noProof/>
                <w:webHidden/>
              </w:rPr>
              <w:instrText xml:space="preserve"> PAGEREF _Toc168351881 \h </w:instrText>
            </w:r>
            <w:r w:rsidR="00382135">
              <w:rPr>
                <w:noProof/>
                <w:webHidden/>
              </w:rPr>
            </w:r>
            <w:r w:rsidR="00382135">
              <w:rPr>
                <w:noProof/>
                <w:webHidden/>
              </w:rPr>
              <w:fldChar w:fldCharType="separate"/>
            </w:r>
            <w:r w:rsidR="00382135">
              <w:rPr>
                <w:noProof/>
                <w:webHidden/>
              </w:rPr>
              <w:t>14</w:t>
            </w:r>
            <w:r w:rsidR="00382135">
              <w:rPr>
                <w:noProof/>
                <w:webHidden/>
              </w:rPr>
              <w:fldChar w:fldCharType="end"/>
            </w:r>
          </w:hyperlink>
        </w:p>
        <w:p w14:paraId="5A93A6E4" w14:textId="509E4CF5" w:rsidR="00382135" w:rsidRDefault="00000000">
          <w:pPr>
            <w:pStyle w:val="TOC1"/>
            <w:tabs>
              <w:tab w:val="right" w:leader="dot" w:pos="9350"/>
            </w:tabs>
            <w:rPr>
              <w:rFonts w:asciiTheme="minorHAnsi" w:eastAsiaTheme="minorEastAsia" w:hAnsiTheme="minorHAnsi"/>
              <w:noProof/>
              <w:szCs w:val="24"/>
              <w:lang w:eastAsia="en-GB"/>
            </w:rPr>
          </w:pPr>
          <w:hyperlink w:anchor="_Toc168351882" w:history="1">
            <w:r w:rsidR="00382135" w:rsidRPr="00771281">
              <w:rPr>
                <w:rStyle w:val="Hyperlink"/>
                <w:rFonts w:cs="Arial"/>
                <w:noProof/>
              </w:rPr>
              <w:t>Reference List</w:t>
            </w:r>
            <w:r w:rsidR="00382135">
              <w:rPr>
                <w:noProof/>
                <w:webHidden/>
              </w:rPr>
              <w:tab/>
            </w:r>
            <w:r w:rsidR="00382135">
              <w:rPr>
                <w:noProof/>
                <w:webHidden/>
              </w:rPr>
              <w:fldChar w:fldCharType="begin"/>
            </w:r>
            <w:r w:rsidR="00382135">
              <w:rPr>
                <w:noProof/>
                <w:webHidden/>
              </w:rPr>
              <w:instrText xml:space="preserve"> PAGEREF _Toc168351882 \h </w:instrText>
            </w:r>
            <w:r w:rsidR="00382135">
              <w:rPr>
                <w:noProof/>
                <w:webHidden/>
              </w:rPr>
            </w:r>
            <w:r w:rsidR="00382135">
              <w:rPr>
                <w:noProof/>
                <w:webHidden/>
              </w:rPr>
              <w:fldChar w:fldCharType="separate"/>
            </w:r>
            <w:r w:rsidR="00382135">
              <w:rPr>
                <w:noProof/>
                <w:webHidden/>
              </w:rPr>
              <w:t>15</w:t>
            </w:r>
            <w:r w:rsidR="00382135">
              <w:rPr>
                <w:noProof/>
                <w:webHidden/>
              </w:rPr>
              <w:fldChar w:fldCharType="end"/>
            </w:r>
          </w:hyperlink>
        </w:p>
        <w:p w14:paraId="00894082" w14:textId="6D764E2B" w:rsidR="00EB2484" w:rsidRPr="00382135" w:rsidRDefault="00EB2484" w:rsidP="00382135">
          <w:pPr>
            <w:rPr>
              <w:rFonts w:cs="Arial"/>
              <w:noProof/>
            </w:rPr>
          </w:pPr>
          <w:r w:rsidRPr="00382135">
            <w:rPr>
              <w:rFonts w:cs="Arial"/>
              <w:b/>
              <w:bCs/>
              <w:noProof/>
            </w:rPr>
            <w:fldChar w:fldCharType="end"/>
          </w:r>
        </w:p>
      </w:sdtContent>
    </w:sdt>
    <w:p w14:paraId="1D54BC32" w14:textId="77777777" w:rsidR="00EB2484" w:rsidRPr="00382135" w:rsidRDefault="00EB2484" w:rsidP="00382135">
      <w:pPr>
        <w:spacing w:before="0" w:after="160"/>
        <w:jc w:val="left"/>
        <w:rPr>
          <w:rFonts w:eastAsiaTheme="majorEastAsia" w:cs="Arial"/>
          <w:b/>
          <w:noProof/>
          <w:sz w:val="32"/>
          <w:szCs w:val="32"/>
        </w:rPr>
      </w:pPr>
      <w:r w:rsidRPr="00382135">
        <w:rPr>
          <w:rFonts w:cs="Arial"/>
          <w:noProof/>
        </w:rPr>
        <w:br w:type="page"/>
      </w:r>
    </w:p>
    <w:p w14:paraId="6B8828FD" w14:textId="4C4C11D3" w:rsidR="002B71FB" w:rsidRPr="00382135" w:rsidRDefault="002B71FB" w:rsidP="00382135">
      <w:pPr>
        <w:pStyle w:val="Heading1"/>
        <w:rPr>
          <w:rFonts w:cs="Arial"/>
          <w:noProof/>
          <w:color w:val="auto"/>
        </w:rPr>
      </w:pPr>
      <w:bookmarkStart w:id="1" w:name="_Toc168351874"/>
      <w:r w:rsidRPr="00382135">
        <w:rPr>
          <w:rFonts w:cs="Arial"/>
          <w:noProof/>
          <w:color w:val="auto"/>
        </w:rPr>
        <w:lastRenderedPageBreak/>
        <w:t>Introduction</w:t>
      </w:r>
      <w:bookmarkEnd w:id="1"/>
    </w:p>
    <w:p w14:paraId="0DDE8EC7" w14:textId="70D9333E" w:rsidR="002B71FB" w:rsidRPr="00382135" w:rsidRDefault="00EE06F4" w:rsidP="00382135">
      <w:pPr>
        <w:rPr>
          <w:rFonts w:cs="Arial"/>
          <w:noProof/>
        </w:rPr>
      </w:pPr>
      <w:r w:rsidRPr="00382135">
        <w:rPr>
          <w:rFonts w:cs="Arial"/>
          <w:noProof/>
        </w:rPr>
        <w:t>The Urban Heights Hotel, an established urban townscape restaurant, bar and event venue, is decreasing and generating</w:t>
      </w:r>
      <w:r w:rsidR="00EB2484" w:rsidRPr="00382135">
        <w:rPr>
          <w:rFonts w:cs="Arial"/>
          <w:noProof/>
        </w:rPr>
        <w:t xml:space="preserve"> financial</w:t>
      </w:r>
      <w:r w:rsidRPr="00382135">
        <w:rPr>
          <w:rFonts w:cs="Arial"/>
          <w:noProof/>
        </w:rPr>
        <w:t xml:space="preserve"> health problems. The hotel's location and facilities did</w:t>
      </w:r>
      <w:r w:rsidR="007A2ADA" w:rsidRPr="00382135">
        <w:rPr>
          <w:rFonts w:cs="Arial"/>
          <w:noProof/>
        </w:rPr>
        <w:t xml:space="preserve"> not</w:t>
      </w:r>
      <w:r w:rsidRPr="00382135">
        <w:rPr>
          <w:rFonts w:cs="Arial"/>
          <w:noProof/>
        </w:rPr>
        <w:t xml:space="preserve"> boost revenue, occupancy, or customer happiness. Since management cannot dispute the trend, they fear for the business's future (Brotherton, 2020). </w:t>
      </w:r>
      <w:r w:rsidR="00EB2484" w:rsidRPr="00382135">
        <w:rPr>
          <w:rFonts w:cs="Arial"/>
          <w:noProof/>
        </w:rPr>
        <w:t>The o</w:t>
      </w:r>
      <w:r w:rsidRPr="00382135">
        <w:rPr>
          <w:rFonts w:cs="Arial"/>
          <w:noProof/>
        </w:rPr>
        <w:t>wner seeks professional help to fix this. 3 years of Urban Heights Hotel finances from 2021 to 2023 are examined in this study. The analysis will calculate the hotel's decreased profitability using revenues, expenses, profitability, liquidity, and solvency. The hotel's economic status and real-world events will also be studied to understand its issues</w:t>
      </w:r>
      <w:r w:rsidR="002871FC" w:rsidRPr="00382135">
        <w:rPr>
          <w:rFonts w:cs="Arial"/>
          <w:noProof/>
        </w:rPr>
        <w:t xml:space="preserve">. </w:t>
      </w:r>
      <w:r w:rsidR="00230DDD" w:rsidRPr="00382135">
        <w:rPr>
          <w:rFonts w:cs="Arial"/>
          <w:noProof/>
        </w:rPr>
        <w:t>This</w:t>
      </w:r>
      <w:r w:rsidRPr="00382135">
        <w:rPr>
          <w:rFonts w:cs="Arial"/>
          <w:noProof/>
        </w:rPr>
        <w:t xml:space="preserve"> financial research suggests pairing the report with a thorough turnaround strategy to resuscitate the hotel's finances and save its reputation, or with a recommended financial forecast if the owner determines a turnaround is unachievable. For data-driven hotel finance solutions, estimates and prognoses will accompany the responses. Hotel owners receive a thorough financial analysis and business solutions in the final report. The research analyses the root causes of the Urban Heights Hotel's loss-making and proposes remedies to turn it around.</w:t>
      </w:r>
    </w:p>
    <w:p w14:paraId="7A96B9BD" w14:textId="77777777" w:rsidR="002B71FB" w:rsidRPr="00382135" w:rsidRDefault="002B71FB" w:rsidP="00382135">
      <w:pPr>
        <w:pStyle w:val="Heading1"/>
        <w:rPr>
          <w:rFonts w:cs="Arial"/>
          <w:noProof/>
          <w:color w:val="auto"/>
        </w:rPr>
      </w:pPr>
      <w:bookmarkStart w:id="2" w:name="_Toc168351875"/>
      <w:r w:rsidRPr="00382135">
        <w:rPr>
          <w:rFonts w:cs="Arial"/>
          <w:noProof/>
          <w:color w:val="auto"/>
        </w:rPr>
        <w:t>Financial Performance Analysis</w:t>
      </w:r>
      <w:bookmarkEnd w:id="2"/>
    </w:p>
    <w:p w14:paraId="54507F70" w14:textId="77777777" w:rsidR="00650DF4" w:rsidRPr="00382135" w:rsidRDefault="00650DF4" w:rsidP="00382135">
      <w:pPr>
        <w:rPr>
          <w:rFonts w:cs="Arial"/>
          <w:noProof/>
        </w:rPr>
      </w:pPr>
      <w:r w:rsidRPr="00382135">
        <w:rPr>
          <w:rFonts w:cs="Arial"/>
          <w:noProof/>
        </w:rPr>
        <w:t>To comprehensively understand the financial state of Urban Heights Hotel, a detailed analysis of the financial performance from 2021 to 2023 is essential. This section will employ various financial ratios to provide an analytical overview of the hotel's revenue, expenses, profitability, liquidity, and solvency.</w:t>
      </w:r>
    </w:p>
    <w:p w14:paraId="2F35C454" w14:textId="77777777" w:rsidR="00650DF4" w:rsidRPr="00382135" w:rsidRDefault="00650DF4" w:rsidP="00382135">
      <w:pPr>
        <w:rPr>
          <w:rFonts w:cs="Arial"/>
          <w:b/>
          <w:bCs/>
          <w:noProof/>
        </w:rPr>
      </w:pPr>
      <w:r w:rsidRPr="00382135">
        <w:rPr>
          <w:rFonts w:cs="Arial"/>
          <w:b/>
          <w:bCs/>
          <w:noProof/>
        </w:rPr>
        <w:t>Revenue Analysis</w:t>
      </w:r>
    </w:p>
    <w:p w14:paraId="36B3D539" w14:textId="33738FA3" w:rsidR="00990AE3" w:rsidRPr="00382135" w:rsidRDefault="00990AE3" w:rsidP="00382135">
      <w:pPr>
        <w:rPr>
          <w:rFonts w:cs="Arial"/>
          <w:noProof/>
        </w:rPr>
      </w:pPr>
      <w:r w:rsidRPr="00382135">
        <w:rPr>
          <w:rFonts w:cs="Arial"/>
          <w:noProof/>
        </w:rPr>
        <w:t xml:space="preserve">From £2,500,000 in 2021, Urban Height Hotel recorded a decrease in revenue in the next two years to £1,800,000 i. e., 28% decrease. They have blamed it on general occupancy, average daily rate, and non-room revenues like revenues generated from food sold in the hotel, rebates on sold beverages, and conference and group bookings, among others. Possibly, these challenges have been compounded by economic fluctuations changes in </w:t>
      </w:r>
      <w:r w:rsidRPr="00382135">
        <w:rPr>
          <w:rFonts w:cs="Arial"/>
          <w:noProof/>
        </w:rPr>
        <w:lastRenderedPageBreak/>
        <w:t>consumers’ preferences and the social effects of the COVID-19 pandemic, thereby worsening this hotel’s revenue generation capacity.</w:t>
      </w:r>
    </w:p>
    <w:p w14:paraId="3833B09F" w14:textId="00CC3FAF" w:rsidR="00650DF4" w:rsidRPr="00382135" w:rsidRDefault="00650DF4" w:rsidP="00382135">
      <w:pPr>
        <w:rPr>
          <w:rFonts w:cs="Arial"/>
          <w:b/>
          <w:bCs/>
          <w:noProof/>
        </w:rPr>
      </w:pPr>
      <w:r w:rsidRPr="00382135">
        <w:rPr>
          <w:rFonts w:cs="Arial"/>
          <w:b/>
          <w:bCs/>
          <w:noProof/>
        </w:rPr>
        <w:t>Expenses Analysis</w:t>
      </w:r>
    </w:p>
    <w:p w14:paraId="645E48D4" w14:textId="6ED057D7" w:rsidR="00990AE3" w:rsidRPr="00382135" w:rsidRDefault="00990AE3" w:rsidP="00382135">
      <w:pPr>
        <w:rPr>
          <w:rFonts w:cs="Arial"/>
          <w:noProof/>
        </w:rPr>
      </w:pPr>
      <w:r w:rsidRPr="00382135">
        <w:rPr>
          <w:rFonts w:cs="Arial"/>
          <w:noProof/>
        </w:rPr>
        <w:t>The impact has indicated the rise of the operating expenses and its value is expected to reach £ 1,800,000 in the year 2021 to £ 2,300,000 in the year 2023 with a difference of 27.8% percent.  This is an indication that there are some concerns wrongly managed in the facet of cost control and the increase could be through higher utility bills, higher emoluments for employees and poor organi</w:t>
      </w:r>
      <w:r w:rsidR="006F42A3" w:rsidRPr="00382135">
        <w:rPr>
          <w:rFonts w:cs="Arial"/>
          <w:noProof/>
        </w:rPr>
        <w:t>s</w:t>
      </w:r>
      <w:r w:rsidRPr="00382135">
        <w:rPr>
          <w:rFonts w:cs="Arial"/>
          <w:noProof/>
        </w:rPr>
        <w:t>ational performance.  This means other unavoidable expenses may have risen, especially during the pandemic when factors such as inflation, disrupted supply chains and staff shortages were rife, revealing more pressure on the hotel’s performance</w:t>
      </w:r>
      <w:r w:rsidR="00FE1AE1" w:rsidRPr="00382135">
        <w:rPr>
          <w:rFonts w:cs="Arial"/>
          <w:noProof/>
        </w:rPr>
        <w:t xml:space="preserve"> (Atrill and McLaney, 2022)</w:t>
      </w:r>
      <w:r w:rsidRPr="00382135">
        <w:rPr>
          <w:rFonts w:cs="Arial"/>
          <w:noProof/>
        </w:rPr>
        <w:t xml:space="preserve">. </w:t>
      </w:r>
    </w:p>
    <w:p w14:paraId="00066D03" w14:textId="21416221" w:rsidR="00650DF4" w:rsidRPr="00382135" w:rsidRDefault="00650DF4" w:rsidP="00382135">
      <w:pPr>
        <w:rPr>
          <w:rFonts w:cs="Arial"/>
          <w:b/>
          <w:bCs/>
          <w:noProof/>
        </w:rPr>
      </w:pPr>
      <w:r w:rsidRPr="00382135">
        <w:rPr>
          <w:rFonts w:cs="Arial"/>
          <w:b/>
          <w:bCs/>
          <w:noProof/>
        </w:rPr>
        <w:t>Profitability Analysis</w:t>
      </w:r>
    </w:p>
    <w:p w14:paraId="1190C87C" w14:textId="77777777" w:rsidR="00650DF4" w:rsidRPr="00382135" w:rsidRDefault="00650DF4" w:rsidP="00382135">
      <w:pPr>
        <w:rPr>
          <w:rFonts w:cs="Arial"/>
          <w:noProof/>
        </w:rPr>
      </w:pPr>
      <w:r w:rsidRPr="00382135">
        <w:rPr>
          <w:rFonts w:cs="Arial"/>
          <w:noProof/>
        </w:rPr>
        <w:t>The hotel's profitability has deteriorated drastically, with net profit declining from £700,000 in 2021 to a £500,000 loss in 2023. Key profitability ratios further illustrate this downturn:</w:t>
      </w:r>
    </w:p>
    <w:p w14:paraId="7A67FFF5" w14:textId="19BB7251" w:rsidR="00650DF4" w:rsidRPr="00382135" w:rsidRDefault="00650DF4" w:rsidP="00382135">
      <w:pPr>
        <w:numPr>
          <w:ilvl w:val="0"/>
          <w:numId w:val="19"/>
        </w:numPr>
        <w:rPr>
          <w:rFonts w:cs="Arial"/>
          <w:noProof/>
        </w:rPr>
      </w:pPr>
      <w:r w:rsidRPr="00382135">
        <w:rPr>
          <w:rFonts w:cs="Arial"/>
          <w:b/>
          <w:bCs/>
          <w:noProof/>
        </w:rPr>
        <w:t>Return on Assets (ROA)</w:t>
      </w:r>
      <w:r w:rsidRPr="00382135">
        <w:rPr>
          <w:rFonts w:cs="Arial"/>
          <w:noProof/>
        </w:rPr>
        <w:t>: This ratio, which measures the efficiency of the hotel in utilizing its assets to generate profit, fell from 12.</w:t>
      </w:r>
      <w:r w:rsidR="00216D92" w:rsidRPr="00382135">
        <w:rPr>
          <w:rFonts w:cs="Arial"/>
          <w:noProof/>
        </w:rPr>
        <w:t>84</w:t>
      </w:r>
      <w:r w:rsidRPr="00382135">
        <w:rPr>
          <w:rFonts w:cs="Arial"/>
          <w:noProof/>
        </w:rPr>
        <w:t>% in 2021 to -10.</w:t>
      </w:r>
      <w:r w:rsidR="00216D92" w:rsidRPr="00382135">
        <w:rPr>
          <w:rFonts w:cs="Arial"/>
          <w:noProof/>
        </w:rPr>
        <w:t>68</w:t>
      </w:r>
      <w:r w:rsidRPr="00382135">
        <w:rPr>
          <w:rFonts w:cs="Arial"/>
          <w:noProof/>
        </w:rPr>
        <w:t>% in 2023. The negative ROA highlights the unproductive use of assets, indicating a failure to generate sufficient returns from the hotel's asset base</w:t>
      </w:r>
      <w:r w:rsidR="00FE1AE1" w:rsidRPr="00382135">
        <w:rPr>
          <w:rFonts w:cs="Arial"/>
          <w:noProof/>
        </w:rPr>
        <w:t xml:space="preserve"> (Tranter et al., 2014)</w:t>
      </w:r>
      <w:r w:rsidRPr="00382135">
        <w:rPr>
          <w:rFonts w:cs="Arial"/>
          <w:noProof/>
        </w:rPr>
        <w:t>.</w:t>
      </w:r>
    </w:p>
    <w:p w14:paraId="071646F8" w14:textId="1AEBA2A4" w:rsidR="00727435" w:rsidRPr="00382135" w:rsidRDefault="00727435" w:rsidP="00382135">
      <w:pPr>
        <w:ind w:left="720"/>
        <w:jc w:val="center"/>
        <w:rPr>
          <w:rFonts w:cs="Arial"/>
          <w:i/>
          <w:iCs/>
          <w:noProof/>
          <w:szCs w:val="24"/>
        </w:rPr>
      </w:pPr>
      <w:r w:rsidRPr="00382135">
        <w:rPr>
          <w:rFonts w:cs="Arial"/>
          <w:i/>
          <w:iCs/>
          <w:noProof/>
          <w:szCs w:val="24"/>
        </w:rPr>
        <w:t xml:space="preserve">Table </w:t>
      </w:r>
      <w:r w:rsidRPr="00382135">
        <w:rPr>
          <w:rFonts w:cs="Arial"/>
          <w:i/>
          <w:iCs/>
          <w:noProof/>
          <w:szCs w:val="24"/>
        </w:rPr>
        <w:fldChar w:fldCharType="begin"/>
      </w:r>
      <w:r w:rsidRPr="00382135">
        <w:rPr>
          <w:rFonts w:cs="Arial"/>
          <w:i/>
          <w:iCs/>
          <w:noProof/>
          <w:szCs w:val="24"/>
        </w:rPr>
        <w:instrText xml:space="preserve"> SEQ Table \* ARABIC </w:instrText>
      </w:r>
      <w:r w:rsidRPr="00382135">
        <w:rPr>
          <w:rFonts w:cs="Arial"/>
          <w:i/>
          <w:iCs/>
          <w:noProof/>
          <w:szCs w:val="24"/>
        </w:rPr>
        <w:fldChar w:fldCharType="separate"/>
      </w:r>
      <w:r w:rsidRPr="00382135">
        <w:rPr>
          <w:rFonts w:cs="Arial"/>
          <w:i/>
          <w:iCs/>
          <w:noProof/>
          <w:szCs w:val="24"/>
        </w:rPr>
        <w:t>1</w:t>
      </w:r>
      <w:r w:rsidRPr="00382135">
        <w:rPr>
          <w:rFonts w:cs="Arial"/>
          <w:i/>
          <w:iCs/>
          <w:noProof/>
          <w:szCs w:val="24"/>
        </w:rPr>
        <w:fldChar w:fldCharType="end"/>
      </w:r>
      <w:r w:rsidRPr="00382135">
        <w:rPr>
          <w:rFonts w:cs="Arial"/>
          <w:i/>
          <w:iCs/>
          <w:noProof/>
          <w:szCs w:val="24"/>
        </w:rPr>
        <w:t>: Return on Asset/ Source: Self-made</w:t>
      </w:r>
    </w:p>
    <w:p w14:paraId="2739A61E" w14:textId="7D1D0FC0" w:rsidR="00254D8C" w:rsidRPr="00382135" w:rsidRDefault="00254D8C" w:rsidP="00382135">
      <w:pPr>
        <w:ind w:left="720"/>
        <w:jc w:val="center"/>
        <w:rPr>
          <w:rFonts w:cs="Arial"/>
          <w:noProof/>
        </w:rPr>
      </w:pPr>
      <w:r w:rsidRPr="00382135">
        <w:rPr>
          <w:rFonts w:cs="Arial"/>
          <w:noProof/>
        </w:rPr>
        <w:drawing>
          <wp:inline distT="0" distB="0" distL="0" distR="0" wp14:anchorId="5EF23547" wp14:editId="0CF2E0CD">
            <wp:extent cx="5502117" cy="1417443"/>
            <wp:effectExtent l="0" t="0" r="3810" b="0"/>
            <wp:docPr id="2128242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42464" name=""/>
                    <pic:cNvPicPr/>
                  </pic:nvPicPr>
                  <pic:blipFill>
                    <a:blip r:embed="rId9"/>
                    <a:stretch>
                      <a:fillRect/>
                    </a:stretch>
                  </pic:blipFill>
                  <pic:spPr>
                    <a:xfrm>
                      <a:off x="0" y="0"/>
                      <a:ext cx="5502117" cy="1417443"/>
                    </a:xfrm>
                    <a:prstGeom prst="rect">
                      <a:avLst/>
                    </a:prstGeom>
                  </pic:spPr>
                </pic:pic>
              </a:graphicData>
            </a:graphic>
          </wp:inline>
        </w:drawing>
      </w:r>
    </w:p>
    <w:p w14:paraId="02D3495F" w14:textId="3963AA86" w:rsidR="00650DF4" w:rsidRPr="00382135" w:rsidRDefault="00650DF4" w:rsidP="00382135">
      <w:pPr>
        <w:numPr>
          <w:ilvl w:val="0"/>
          <w:numId w:val="19"/>
        </w:numPr>
        <w:rPr>
          <w:rFonts w:cs="Arial"/>
          <w:noProof/>
        </w:rPr>
      </w:pPr>
      <w:r w:rsidRPr="00382135">
        <w:rPr>
          <w:rFonts w:cs="Arial"/>
          <w:b/>
          <w:bCs/>
          <w:noProof/>
        </w:rPr>
        <w:t>Return on Equity (ROE)</w:t>
      </w:r>
      <w:r w:rsidRPr="00382135">
        <w:rPr>
          <w:rFonts w:cs="Arial"/>
          <w:noProof/>
        </w:rPr>
        <w:t xml:space="preserve">: </w:t>
      </w:r>
      <w:r w:rsidR="00216D92" w:rsidRPr="00382135">
        <w:rPr>
          <w:rFonts w:cs="Arial"/>
          <w:noProof/>
        </w:rPr>
        <w:t xml:space="preserve">Company ROE measures the equity of shareholders profitability. The Urban Heights Hotel ROE dropped from 31.82 in 2021 to 10.93 in </w:t>
      </w:r>
      <w:r w:rsidR="00216D92" w:rsidRPr="00382135">
        <w:rPr>
          <w:rFonts w:cs="Arial"/>
          <w:noProof/>
        </w:rPr>
        <w:lastRenderedPageBreak/>
        <w:t>2022 and -36.23 in 2023. The firm's 2021 31.82 % ROE was lucrative and shareholder-friendly. Despite falling from 13.46% in 2021 to 10.93% in 2022, the hotel was profitable. ROE of -36.23% in 2023 meant operations lost over shareholders' capital. The hotel's diminishing shareholder value indicates financial weakness and inability to produce enough money</w:t>
      </w:r>
      <w:r w:rsidR="00FE1AE1" w:rsidRPr="00382135">
        <w:rPr>
          <w:rFonts w:cs="Arial"/>
          <w:noProof/>
        </w:rPr>
        <w:t xml:space="preserve"> </w:t>
      </w:r>
      <w:r w:rsidR="005D409F" w:rsidRPr="00382135">
        <w:rPr>
          <w:rFonts w:cs="Arial"/>
          <w:noProof/>
        </w:rPr>
        <w:t>(Guilding, 2014).</w:t>
      </w:r>
    </w:p>
    <w:p w14:paraId="18C90366" w14:textId="50E009AF" w:rsidR="00727435" w:rsidRPr="00382135" w:rsidRDefault="00727435" w:rsidP="00382135">
      <w:pPr>
        <w:ind w:left="720"/>
        <w:jc w:val="center"/>
        <w:rPr>
          <w:rFonts w:cs="Arial"/>
          <w:noProof/>
        </w:rPr>
      </w:pPr>
      <w:r w:rsidRPr="00382135">
        <w:rPr>
          <w:rFonts w:cs="Arial"/>
          <w:noProof/>
        </w:rPr>
        <w:t xml:space="preserve">Table </w:t>
      </w:r>
      <w:r w:rsidRPr="00382135">
        <w:rPr>
          <w:rFonts w:cs="Arial"/>
          <w:noProof/>
        </w:rPr>
        <w:fldChar w:fldCharType="begin"/>
      </w:r>
      <w:r w:rsidRPr="00382135">
        <w:rPr>
          <w:rFonts w:cs="Arial"/>
          <w:noProof/>
        </w:rPr>
        <w:instrText xml:space="preserve"> SEQ Table \* ARABIC </w:instrText>
      </w:r>
      <w:r w:rsidRPr="00382135">
        <w:rPr>
          <w:rFonts w:cs="Arial"/>
          <w:noProof/>
        </w:rPr>
        <w:fldChar w:fldCharType="separate"/>
      </w:r>
      <w:r w:rsidRPr="00382135">
        <w:rPr>
          <w:rFonts w:cs="Arial"/>
          <w:noProof/>
        </w:rPr>
        <w:t>2</w:t>
      </w:r>
      <w:r w:rsidRPr="00382135">
        <w:rPr>
          <w:rFonts w:cs="Arial"/>
          <w:noProof/>
        </w:rPr>
        <w:fldChar w:fldCharType="end"/>
      </w:r>
      <w:r w:rsidRPr="00382135">
        <w:rPr>
          <w:rFonts w:cs="Arial"/>
          <w:noProof/>
        </w:rPr>
        <w:t>: Return on Equity / Source: Self-made</w:t>
      </w:r>
    </w:p>
    <w:p w14:paraId="1254DD1D" w14:textId="0476D894" w:rsidR="00254D8C" w:rsidRPr="00382135" w:rsidRDefault="00254D8C" w:rsidP="00382135">
      <w:pPr>
        <w:ind w:left="720"/>
        <w:jc w:val="center"/>
        <w:rPr>
          <w:rFonts w:cs="Arial"/>
          <w:noProof/>
        </w:rPr>
      </w:pPr>
      <w:r w:rsidRPr="00382135">
        <w:rPr>
          <w:rFonts w:cs="Arial"/>
          <w:noProof/>
        </w:rPr>
        <w:drawing>
          <wp:inline distT="0" distB="0" distL="0" distR="0" wp14:anchorId="5E5F5040" wp14:editId="099680B8">
            <wp:extent cx="4854361" cy="1463167"/>
            <wp:effectExtent l="0" t="0" r="3810" b="3810"/>
            <wp:docPr id="1081511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11565" name=""/>
                    <pic:cNvPicPr/>
                  </pic:nvPicPr>
                  <pic:blipFill>
                    <a:blip r:embed="rId10"/>
                    <a:stretch>
                      <a:fillRect/>
                    </a:stretch>
                  </pic:blipFill>
                  <pic:spPr>
                    <a:xfrm>
                      <a:off x="0" y="0"/>
                      <a:ext cx="4854361" cy="1463167"/>
                    </a:xfrm>
                    <a:prstGeom prst="rect">
                      <a:avLst/>
                    </a:prstGeom>
                  </pic:spPr>
                </pic:pic>
              </a:graphicData>
            </a:graphic>
          </wp:inline>
        </w:drawing>
      </w:r>
    </w:p>
    <w:p w14:paraId="7EB26A0B" w14:textId="77777777" w:rsidR="00650DF4" w:rsidRPr="00382135" w:rsidRDefault="00650DF4" w:rsidP="00382135">
      <w:pPr>
        <w:rPr>
          <w:rFonts w:cs="Arial"/>
          <w:b/>
          <w:bCs/>
          <w:noProof/>
        </w:rPr>
      </w:pPr>
      <w:r w:rsidRPr="00382135">
        <w:rPr>
          <w:rFonts w:cs="Arial"/>
          <w:b/>
          <w:bCs/>
          <w:noProof/>
        </w:rPr>
        <w:t>Liquidity Analysis</w:t>
      </w:r>
    </w:p>
    <w:p w14:paraId="642C768B" w14:textId="5F10721A" w:rsidR="00254D8C" w:rsidRPr="00382135" w:rsidRDefault="00650DF4" w:rsidP="00382135">
      <w:pPr>
        <w:rPr>
          <w:rFonts w:cs="Arial"/>
          <w:noProof/>
        </w:rPr>
      </w:pPr>
      <w:r w:rsidRPr="00382135">
        <w:rPr>
          <w:rFonts w:cs="Arial"/>
          <w:noProof/>
        </w:rPr>
        <w:t>Liquidity ratios are crucial for assessing the hotel's ability to meet short-term obligations</w:t>
      </w:r>
      <w:r w:rsidR="00FE1AE1" w:rsidRPr="00382135">
        <w:rPr>
          <w:rFonts w:cs="Arial"/>
          <w:noProof/>
        </w:rPr>
        <w:t xml:space="preserve"> (Tranter et al., 2014)</w:t>
      </w:r>
      <w:r w:rsidRPr="00382135">
        <w:rPr>
          <w:rFonts w:cs="Arial"/>
          <w:noProof/>
        </w:rPr>
        <w:t>. The analysis reveals a troubling trend:</w:t>
      </w:r>
    </w:p>
    <w:p w14:paraId="65EBE38F" w14:textId="5DA75808" w:rsidR="00650DF4" w:rsidRPr="00382135" w:rsidRDefault="00650DF4" w:rsidP="00382135">
      <w:pPr>
        <w:numPr>
          <w:ilvl w:val="0"/>
          <w:numId w:val="20"/>
        </w:numPr>
        <w:rPr>
          <w:rFonts w:cs="Arial"/>
          <w:noProof/>
        </w:rPr>
      </w:pPr>
      <w:r w:rsidRPr="00382135">
        <w:rPr>
          <w:rFonts w:cs="Arial"/>
          <w:b/>
          <w:bCs/>
          <w:noProof/>
        </w:rPr>
        <w:t>Current Ratio</w:t>
      </w:r>
      <w:r w:rsidRPr="00382135">
        <w:rPr>
          <w:rFonts w:cs="Arial"/>
          <w:noProof/>
        </w:rPr>
        <w:t>: The current ratio, which compares current assets to current liabilities, decreased from 1.8 in 2021 to 0.6 in 2023. This indicates potential liquidity issues, as the hotel may struggle to cover its short-term liabilities with its current assets</w:t>
      </w:r>
      <w:r w:rsidR="00FE1AE1" w:rsidRPr="00382135">
        <w:rPr>
          <w:rFonts w:cs="Arial"/>
          <w:noProof/>
        </w:rPr>
        <w:t xml:space="preserve"> </w:t>
      </w:r>
      <w:r w:rsidR="005D409F" w:rsidRPr="00382135">
        <w:rPr>
          <w:rFonts w:cs="Arial"/>
          <w:noProof/>
        </w:rPr>
        <w:t>(Brotherton, 2020).</w:t>
      </w:r>
    </w:p>
    <w:p w14:paraId="7A84420D" w14:textId="36E6758B" w:rsidR="00727435" w:rsidRPr="00382135" w:rsidRDefault="00727435" w:rsidP="00382135">
      <w:pPr>
        <w:pStyle w:val="ListParagraph"/>
        <w:jc w:val="center"/>
        <w:rPr>
          <w:rFonts w:cs="Arial"/>
          <w:noProof/>
        </w:rPr>
      </w:pPr>
      <w:r w:rsidRPr="00382135">
        <w:rPr>
          <w:rFonts w:cs="Arial"/>
          <w:noProof/>
        </w:rPr>
        <w:t xml:space="preserve">Table </w:t>
      </w:r>
      <w:r w:rsidRPr="00382135">
        <w:rPr>
          <w:rFonts w:cs="Arial"/>
          <w:noProof/>
        </w:rPr>
        <w:fldChar w:fldCharType="begin"/>
      </w:r>
      <w:r w:rsidRPr="00382135">
        <w:rPr>
          <w:rFonts w:cs="Arial"/>
          <w:noProof/>
        </w:rPr>
        <w:instrText xml:space="preserve"> SEQ Table \* ARABIC </w:instrText>
      </w:r>
      <w:r w:rsidRPr="00382135">
        <w:rPr>
          <w:rFonts w:cs="Arial"/>
          <w:noProof/>
        </w:rPr>
        <w:fldChar w:fldCharType="separate"/>
      </w:r>
      <w:r w:rsidRPr="00382135">
        <w:rPr>
          <w:rFonts w:cs="Arial"/>
          <w:noProof/>
        </w:rPr>
        <w:t>3</w:t>
      </w:r>
      <w:r w:rsidRPr="00382135">
        <w:rPr>
          <w:rFonts w:cs="Arial"/>
          <w:noProof/>
        </w:rPr>
        <w:fldChar w:fldCharType="end"/>
      </w:r>
      <w:r w:rsidRPr="00382135">
        <w:rPr>
          <w:rFonts w:cs="Arial"/>
          <w:noProof/>
        </w:rPr>
        <w:t>: Current Ratio/ Source: Self-made</w:t>
      </w:r>
    </w:p>
    <w:p w14:paraId="1DBA6C95" w14:textId="3178ED6D" w:rsidR="00254D8C" w:rsidRPr="00382135" w:rsidRDefault="00254D8C" w:rsidP="00382135">
      <w:pPr>
        <w:pStyle w:val="ListParagraph"/>
        <w:jc w:val="center"/>
        <w:rPr>
          <w:rFonts w:cs="Arial"/>
          <w:noProof/>
        </w:rPr>
      </w:pPr>
      <w:r w:rsidRPr="00382135">
        <w:rPr>
          <w:rFonts w:cs="Arial"/>
          <w:noProof/>
        </w:rPr>
        <w:drawing>
          <wp:inline distT="0" distB="0" distL="0" distR="0" wp14:anchorId="07392CA4" wp14:editId="3D25643D">
            <wp:extent cx="5943600" cy="1273810"/>
            <wp:effectExtent l="0" t="0" r="0" b="2540"/>
            <wp:docPr id="164922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224597" name=""/>
                    <pic:cNvPicPr/>
                  </pic:nvPicPr>
                  <pic:blipFill>
                    <a:blip r:embed="rId11"/>
                    <a:stretch>
                      <a:fillRect/>
                    </a:stretch>
                  </pic:blipFill>
                  <pic:spPr>
                    <a:xfrm>
                      <a:off x="0" y="0"/>
                      <a:ext cx="5943600" cy="1273810"/>
                    </a:xfrm>
                    <a:prstGeom prst="rect">
                      <a:avLst/>
                    </a:prstGeom>
                  </pic:spPr>
                </pic:pic>
              </a:graphicData>
            </a:graphic>
          </wp:inline>
        </w:drawing>
      </w:r>
    </w:p>
    <w:p w14:paraId="2585C71B" w14:textId="42BD0BDA" w:rsidR="00650DF4" w:rsidRPr="00382135" w:rsidRDefault="00650DF4" w:rsidP="00382135">
      <w:pPr>
        <w:numPr>
          <w:ilvl w:val="0"/>
          <w:numId w:val="20"/>
        </w:numPr>
        <w:rPr>
          <w:rFonts w:cs="Arial"/>
          <w:noProof/>
        </w:rPr>
      </w:pPr>
      <w:r w:rsidRPr="00382135">
        <w:rPr>
          <w:rFonts w:cs="Arial"/>
          <w:b/>
          <w:bCs/>
          <w:noProof/>
        </w:rPr>
        <w:t>Quick Ratio</w:t>
      </w:r>
      <w:r w:rsidRPr="00382135">
        <w:rPr>
          <w:rFonts w:cs="Arial"/>
          <w:noProof/>
        </w:rPr>
        <w:t xml:space="preserve">: </w:t>
      </w:r>
      <w:r w:rsidR="008C438E" w:rsidRPr="00382135">
        <w:rPr>
          <w:rFonts w:cs="Arial"/>
          <w:noProof/>
        </w:rPr>
        <w:t>Quick ratio, a liquidity indicator, illustrates a company's ability to fulfil short-term payables with saleable assets</w:t>
      </w:r>
      <w:r w:rsidR="00FE1AE1" w:rsidRPr="00382135">
        <w:rPr>
          <w:rFonts w:cs="Arial"/>
          <w:noProof/>
        </w:rPr>
        <w:t xml:space="preserve"> (Tranter et al., 2014)</w:t>
      </w:r>
      <w:r w:rsidR="008C438E" w:rsidRPr="00382135">
        <w:rPr>
          <w:rFonts w:cs="Arial"/>
          <w:noProof/>
        </w:rPr>
        <w:t xml:space="preserve">. Urban Heights </w:t>
      </w:r>
      <w:r w:rsidR="008C438E" w:rsidRPr="00382135">
        <w:rPr>
          <w:rFonts w:cs="Arial"/>
          <w:noProof/>
        </w:rPr>
        <w:lastRenderedPageBreak/>
        <w:t>Hotel's quick ratio dropped from 1.8 in 2021 to 1.11 in 2022 and 0.6 in 2023. The hotel's 2021 current ratio of 1.80: 1 indicates good liquidity. From 2022, the ratio fell, indicating the corporation can offset current liabilities less. Disaster struck in 2023 when the quick ratio dropped to 0. 6. The hotel had only £0.60 in liquid assets for every £1 in current liabilities, indicating that it will likely fail to pay current creditors without selling fixed assets or incurring new debts.</w:t>
      </w:r>
    </w:p>
    <w:p w14:paraId="7156DE9C" w14:textId="33E9EAE1" w:rsidR="00727435" w:rsidRPr="00382135" w:rsidRDefault="00727435" w:rsidP="00382135">
      <w:pPr>
        <w:ind w:left="720"/>
        <w:jc w:val="center"/>
        <w:rPr>
          <w:rFonts w:cs="Arial"/>
          <w:noProof/>
        </w:rPr>
      </w:pPr>
      <w:r w:rsidRPr="00382135">
        <w:rPr>
          <w:rFonts w:cs="Arial"/>
          <w:noProof/>
        </w:rPr>
        <w:t xml:space="preserve">Table </w:t>
      </w:r>
      <w:r w:rsidRPr="00382135">
        <w:rPr>
          <w:rFonts w:cs="Arial"/>
          <w:noProof/>
        </w:rPr>
        <w:fldChar w:fldCharType="begin"/>
      </w:r>
      <w:r w:rsidRPr="00382135">
        <w:rPr>
          <w:rFonts w:cs="Arial"/>
          <w:noProof/>
        </w:rPr>
        <w:instrText xml:space="preserve"> SEQ Table \* ARABIC </w:instrText>
      </w:r>
      <w:r w:rsidRPr="00382135">
        <w:rPr>
          <w:rFonts w:cs="Arial"/>
          <w:noProof/>
        </w:rPr>
        <w:fldChar w:fldCharType="separate"/>
      </w:r>
      <w:r w:rsidRPr="00382135">
        <w:rPr>
          <w:rFonts w:cs="Arial"/>
          <w:noProof/>
        </w:rPr>
        <w:t>4</w:t>
      </w:r>
      <w:r w:rsidRPr="00382135">
        <w:rPr>
          <w:rFonts w:cs="Arial"/>
          <w:noProof/>
        </w:rPr>
        <w:fldChar w:fldCharType="end"/>
      </w:r>
      <w:r w:rsidRPr="00382135">
        <w:rPr>
          <w:rFonts w:cs="Arial"/>
          <w:noProof/>
        </w:rPr>
        <w:t>: Quick Ratio/ Source: Self-made</w:t>
      </w:r>
    </w:p>
    <w:p w14:paraId="2382DE71" w14:textId="095935BC" w:rsidR="00254D8C" w:rsidRPr="00382135" w:rsidRDefault="00254D8C" w:rsidP="00382135">
      <w:pPr>
        <w:ind w:left="720"/>
        <w:jc w:val="center"/>
        <w:rPr>
          <w:rFonts w:cs="Arial"/>
          <w:noProof/>
        </w:rPr>
      </w:pPr>
      <w:r w:rsidRPr="00382135">
        <w:rPr>
          <w:rFonts w:cs="Arial"/>
          <w:noProof/>
        </w:rPr>
        <w:drawing>
          <wp:inline distT="0" distB="0" distL="0" distR="0" wp14:anchorId="3E6F1130" wp14:editId="784EBD98">
            <wp:extent cx="5943600" cy="1042035"/>
            <wp:effectExtent l="0" t="0" r="0" b="5715"/>
            <wp:docPr id="1931919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19276" name=""/>
                    <pic:cNvPicPr/>
                  </pic:nvPicPr>
                  <pic:blipFill>
                    <a:blip r:embed="rId12"/>
                    <a:stretch>
                      <a:fillRect/>
                    </a:stretch>
                  </pic:blipFill>
                  <pic:spPr>
                    <a:xfrm>
                      <a:off x="0" y="0"/>
                      <a:ext cx="5943600" cy="1042035"/>
                    </a:xfrm>
                    <a:prstGeom prst="rect">
                      <a:avLst/>
                    </a:prstGeom>
                  </pic:spPr>
                </pic:pic>
              </a:graphicData>
            </a:graphic>
          </wp:inline>
        </w:drawing>
      </w:r>
    </w:p>
    <w:p w14:paraId="18342EB4" w14:textId="77777777" w:rsidR="00650DF4" w:rsidRPr="00382135" w:rsidRDefault="00650DF4" w:rsidP="00382135">
      <w:pPr>
        <w:rPr>
          <w:rFonts w:cs="Arial"/>
          <w:b/>
          <w:bCs/>
          <w:noProof/>
        </w:rPr>
      </w:pPr>
      <w:r w:rsidRPr="00382135">
        <w:rPr>
          <w:rFonts w:cs="Arial"/>
          <w:b/>
          <w:bCs/>
          <w:noProof/>
        </w:rPr>
        <w:t>Solvency Analysis</w:t>
      </w:r>
    </w:p>
    <w:p w14:paraId="24F06557" w14:textId="77777777" w:rsidR="00650DF4" w:rsidRPr="00382135" w:rsidRDefault="00650DF4" w:rsidP="00382135">
      <w:pPr>
        <w:rPr>
          <w:rFonts w:cs="Arial"/>
          <w:noProof/>
        </w:rPr>
      </w:pPr>
      <w:r w:rsidRPr="00382135">
        <w:rPr>
          <w:rFonts w:cs="Arial"/>
          <w:noProof/>
        </w:rPr>
        <w:t>Despite the negative trends in profitability and liquidity, the hotel's solvency remains relatively stable:</w:t>
      </w:r>
    </w:p>
    <w:p w14:paraId="437B9318" w14:textId="31F88E28" w:rsidR="008C438E" w:rsidRPr="00382135" w:rsidRDefault="00650DF4" w:rsidP="00382135">
      <w:pPr>
        <w:numPr>
          <w:ilvl w:val="0"/>
          <w:numId w:val="21"/>
        </w:numPr>
        <w:rPr>
          <w:rFonts w:cs="Arial"/>
          <w:noProof/>
        </w:rPr>
      </w:pPr>
      <w:r w:rsidRPr="00382135">
        <w:rPr>
          <w:rFonts w:cs="Arial"/>
          <w:b/>
          <w:bCs/>
          <w:noProof/>
        </w:rPr>
        <w:t>Debt-to-Equity Ratio</w:t>
      </w:r>
      <w:r w:rsidRPr="00382135">
        <w:rPr>
          <w:rFonts w:cs="Arial"/>
          <w:noProof/>
        </w:rPr>
        <w:t xml:space="preserve">: </w:t>
      </w:r>
      <w:r w:rsidR="00990AE3" w:rsidRPr="00382135">
        <w:rPr>
          <w:rFonts w:cs="Arial"/>
          <w:noProof/>
        </w:rPr>
        <w:t xml:space="preserve">The </w:t>
      </w:r>
      <w:r w:rsidR="008C438E" w:rsidRPr="00382135">
        <w:rPr>
          <w:rFonts w:cs="Arial"/>
          <w:noProof/>
        </w:rPr>
        <w:t>D/E Ratio contrasts the equity of shareholders to debt to fund firm assets</w:t>
      </w:r>
      <w:r w:rsidR="00FE1AE1" w:rsidRPr="00382135">
        <w:rPr>
          <w:rFonts w:cs="Arial"/>
          <w:noProof/>
        </w:rPr>
        <w:t xml:space="preserve"> </w:t>
      </w:r>
      <w:r w:rsidR="004A4AD9" w:rsidRPr="00382135">
        <w:rPr>
          <w:rFonts w:cs="Arial"/>
          <w:noProof/>
        </w:rPr>
        <w:t>(Bhatia, 2019).</w:t>
      </w:r>
      <w:r w:rsidR="008C438E" w:rsidRPr="00382135">
        <w:rPr>
          <w:rFonts w:cs="Arial"/>
          <w:noProof/>
        </w:rPr>
        <w:t xml:space="preserve"> Urban Heights Hotel's debt-to-equity ratio climbed from 1.48 in 2021 to 1.79 in 2022 and 2.39 in 2023. Its 2021 evaluation of sustainability shows an average ratio of leverage of £1.48 debt to £1 equity. However, growing to 1. 79 in 2022 indicated increased debt, increasing property financial risk. The hotel has £2.39 of debt for each £1.00 of equity in 2023, indicating unsustainable leverage. This high debt-to-equity ratio raises bankruptcy risk as well as may make loan repayment difficult when profitability dips</w:t>
      </w:r>
      <w:r w:rsidR="00FE1AE1" w:rsidRPr="00382135">
        <w:rPr>
          <w:rFonts w:cs="Arial"/>
          <w:noProof/>
        </w:rPr>
        <w:t xml:space="preserve"> </w:t>
      </w:r>
      <w:r w:rsidR="005D409F" w:rsidRPr="00382135">
        <w:rPr>
          <w:rFonts w:cs="Arial"/>
          <w:noProof/>
        </w:rPr>
        <w:t>(Guilding, 2014).</w:t>
      </w:r>
    </w:p>
    <w:p w14:paraId="38DDB2A4" w14:textId="77777777" w:rsidR="00727435" w:rsidRPr="00382135" w:rsidRDefault="00727435" w:rsidP="00382135">
      <w:pPr>
        <w:spacing w:before="0" w:after="160"/>
        <w:jc w:val="left"/>
        <w:rPr>
          <w:rFonts w:cs="Arial"/>
          <w:noProof/>
        </w:rPr>
      </w:pPr>
      <w:r w:rsidRPr="00382135">
        <w:rPr>
          <w:rFonts w:cs="Arial"/>
          <w:noProof/>
        </w:rPr>
        <w:br w:type="page"/>
      </w:r>
    </w:p>
    <w:p w14:paraId="50491EF8" w14:textId="02C774EF" w:rsidR="00727435" w:rsidRPr="00382135" w:rsidRDefault="00727435" w:rsidP="00382135">
      <w:pPr>
        <w:ind w:left="720"/>
        <w:jc w:val="center"/>
        <w:rPr>
          <w:rFonts w:cs="Arial"/>
          <w:noProof/>
        </w:rPr>
      </w:pPr>
      <w:r w:rsidRPr="00382135">
        <w:rPr>
          <w:rFonts w:cs="Arial"/>
          <w:noProof/>
        </w:rPr>
        <w:lastRenderedPageBreak/>
        <w:t xml:space="preserve">Table </w:t>
      </w:r>
      <w:r w:rsidRPr="00382135">
        <w:rPr>
          <w:rFonts w:cs="Arial"/>
          <w:noProof/>
        </w:rPr>
        <w:fldChar w:fldCharType="begin"/>
      </w:r>
      <w:r w:rsidRPr="00382135">
        <w:rPr>
          <w:rFonts w:cs="Arial"/>
          <w:noProof/>
        </w:rPr>
        <w:instrText xml:space="preserve"> SEQ Table \* ARABIC </w:instrText>
      </w:r>
      <w:r w:rsidRPr="00382135">
        <w:rPr>
          <w:rFonts w:cs="Arial"/>
          <w:noProof/>
        </w:rPr>
        <w:fldChar w:fldCharType="separate"/>
      </w:r>
      <w:r w:rsidRPr="00382135">
        <w:rPr>
          <w:rFonts w:cs="Arial"/>
          <w:noProof/>
        </w:rPr>
        <w:t>5</w:t>
      </w:r>
      <w:r w:rsidRPr="00382135">
        <w:rPr>
          <w:rFonts w:cs="Arial"/>
          <w:noProof/>
        </w:rPr>
        <w:fldChar w:fldCharType="end"/>
      </w:r>
      <w:r w:rsidRPr="00382135">
        <w:rPr>
          <w:rFonts w:cs="Arial"/>
          <w:noProof/>
        </w:rPr>
        <w:t>: Debt-to-Equity Ratio / Source: Self-made</w:t>
      </w:r>
    </w:p>
    <w:p w14:paraId="7B53B8A3" w14:textId="14F9854D" w:rsidR="00254D8C" w:rsidRPr="00382135" w:rsidRDefault="00254D8C" w:rsidP="00382135">
      <w:pPr>
        <w:ind w:left="720"/>
        <w:jc w:val="center"/>
        <w:rPr>
          <w:rFonts w:cs="Arial"/>
          <w:noProof/>
        </w:rPr>
      </w:pPr>
      <w:r w:rsidRPr="00382135">
        <w:rPr>
          <w:rFonts w:cs="Arial"/>
          <w:noProof/>
        </w:rPr>
        <w:drawing>
          <wp:inline distT="0" distB="0" distL="0" distR="0" wp14:anchorId="4DCABA2D" wp14:editId="75552264">
            <wp:extent cx="4846740" cy="1425063"/>
            <wp:effectExtent l="0" t="0" r="0" b="3810"/>
            <wp:docPr id="172372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24551" name=""/>
                    <pic:cNvPicPr/>
                  </pic:nvPicPr>
                  <pic:blipFill>
                    <a:blip r:embed="rId13"/>
                    <a:stretch>
                      <a:fillRect/>
                    </a:stretch>
                  </pic:blipFill>
                  <pic:spPr>
                    <a:xfrm>
                      <a:off x="0" y="0"/>
                      <a:ext cx="4846740" cy="1425063"/>
                    </a:xfrm>
                    <a:prstGeom prst="rect">
                      <a:avLst/>
                    </a:prstGeom>
                  </pic:spPr>
                </pic:pic>
              </a:graphicData>
            </a:graphic>
          </wp:inline>
        </w:drawing>
      </w:r>
    </w:p>
    <w:p w14:paraId="7ED4872F" w14:textId="00BFE4DA" w:rsidR="00650DF4" w:rsidRPr="00382135" w:rsidRDefault="008C438E" w:rsidP="00382135">
      <w:pPr>
        <w:rPr>
          <w:rFonts w:cs="Arial"/>
          <w:noProof/>
        </w:rPr>
      </w:pPr>
      <w:r w:rsidRPr="00382135">
        <w:rPr>
          <w:rFonts w:cs="Arial"/>
          <w:noProof/>
        </w:rPr>
        <w:t xml:space="preserve">The budgetary analysis of </w:t>
      </w:r>
      <w:r w:rsidR="00990AE3" w:rsidRPr="00382135">
        <w:rPr>
          <w:rFonts w:cs="Arial"/>
          <w:noProof/>
        </w:rPr>
        <w:t xml:space="preserve">the </w:t>
      </w:r>
      <w:r w:rsidRPr="00382135">
        <w:rPr>
          <w:rFonts w:cs="Arial"/>
          <w:noProof/>
        </w:rPr>
        <w:t>proposed Urban Heights Hotel is not so encouraging and contains some unfavo</w:t>
      </w:r>
      <w:r w:rsidR="00990AE3" w:rsidRPr="00382135">
        <w:rPr>
          <w:rFonts w:cs="Arial"/>
          <w:noProof/>
        </w:rPr>
        <w:t>u</w:t>
      </w:r>
      <w:r w:rsidRPr="00382135">
        <w:rPr>
          <w:rFonts w:cs="Arial"/>
          <w:noProof/>
        </w:rPr>
        <w:t>rable characteristics. The financial performance indicators such as; decreased revenues, increase in the operational costs and overhead costs, low operating margins and poor liquidity ratios necessitate strategic management interventions</w:t>
      </w:r>
      <w:r w:rsidR="00FE1AE1" w:rsidRPr="00382135">
        <w:rPr>
          <w:rFonts w:cs="Arial"/>
          <w:noProof/>
        </w:rPr>
        <w:t xml:space="preserve"> </w:t>
      </w:r>
      <w:r w:rsidR="004B3EE4" w:rsidRPr="00382135">
        <w:rPr>
          <w:rFonts w:cs="Arial"/>
          <w:noProof/>
        </w:rPr>
        <w:t xml:space="preserve">(Coltman and Jagels, 2015). </w:t>
      </w:r>
      <w:r w:rsidRPr="00382135">
        <w:rPr>
          <w:rFonts w:cs="Arial"/>
          <w:noProof/>
        </w:rPr>
        <w:t>These financial problems have to be solved by the hotel through the right management of costs better sources of income and operating central business to achieve the desired and sustainable financial status.</w:t>
      </w:r>
    </w:p>
    <w:p w14:paraId="104FB6A0" w14:textId="2F582E5D" w:rsidR="002B71FB" w:rsidRPr="00382135" w:rsidRDefault="002B71FB" w:rsidP="00382135">
      <w:pPr>
        <w:pStyle w:val="Heading2"/>
        <w:rPr>
          <w:rFonts w:cs="Arial"/>
          <w:noProof/>
          <w:color w:val="auto"/>
        </w:rPr>
      </w:pPr>
      <w:bookmarkStart w:id="3" w:name="_Toc168351876"/>
      <w:r w:rsidRPr="00382135">
        <w:rPr>
          <w:rFonts w:cs="Arial"/>
          <w:noProof/>
          <w:color w:val="auto"/>
        </w:rPr>
        <w:t>Reasons for Declining Profitability</w:t>
      </w:r>
      <w:bookmarkEnd w:id="3"/>
    </w:p>
    <w:p w14:paraId="3E216C98" w14:textId="2D77865D" w:rsidR="008C438E" w:rsidRPr="00382135" w:rsidRDefault="008C438E" w:rsidP="00382135">
      <w:pPr>
        <w:rPr>
          <w:rFonts w:cs="Arial"/>
          <w:noProof/>
        </w:rPr>
      </w:pPr>
      <w:r w:rsidRPr="00382135">
        <w:rPr>
          <w:rFonts w:cs="Arial"/>
          <w:b/>
          <w:bCs/>
          <w:noProof/>
        </w:rPr>
        <w:t>Economic Conditions:</w:t>
      </w:r>
      <w:r w:rsidRPr="00382135">
        <w:rPr>
          <w:rFonts w:cs="Arial"/>
          <w:noProof/>
        </w:rPr>
        <w:t xml:space="preserve"> It has been run by the impact of recession in particular which has had </w:t>
      </w:r>
      <w:r w:rsidR="00990AE3" w:rsidRPr="00382135">
        <w:rPr>
          <w:rFonts w:cs="Arial"/>
          <w:noProof/>
        </w:rPr>
        <w:t xml:space="preserve">an </w:t>
      </w:r>
      <w:r w:rsidRPr="00382135">
        <w:rPr>
          <w:rFonts w:cs="Arial"/>
          <w:noProof/>
        </w:rPr>
        <w:t xml:space="preserve">impact on </w:t>
      </w:r>
      <w:r w:rsidR="00990AE3" w:rsidRPr="00382135">
        <w:rPr>
          <w:rFonts w:cs="Arial"/>
          <w:noProof/>
        </w:rPr>
        <w:t xml:space="preserve">the </w:t>
      </w:r>
      <w:r w:rsidRPr="00382135">
        <w:rPr>
          <w:rFonts w:cs="Arial"/>
          <w:noProof/>
        </w:rPr>
        <w:t>reduction in people’s disposable income. This has helped to lessen the revenues from travel and tourism which can be directly affiliated to other related issues within the economy</w:t>
      </w:r>
      <w:r w:rsidR="00FE1AE1" w:rsidRPr="00382135">
        <w:rPr>
          <w:rFonts w:cs="Arial"/>
          <w:noProof/>
        </w:rPr>
        <w:t xml:space="preserve"> </w:t>
      </w:r>
      <w:r w:rsidR="004B3EE4" w:rsidRPr="00382135">
        <w:rPr>
          <w:rFonts w:cs="Arial"/>
          <w:noProof/>
        </w:rPr>
        <w:t>(Enz and Canina, 2022).</w:t>
      </w:r>
    </w:p>
    <w:p w14:paraId="1E501F1D" w14:textId="5B18D8D4" w:rsidR="008C438E" w:rsidRPr="00382135" w:rsidRDefault="008C438E" w:rsidP="00382135">
      <w:pPr>
        <w:rPr>
          <w:rFonts w:cs="Arial"/>
          <w:noProof/>
        </w:rPr>
      </w:pPr>
      <w:r w:rsidRPr="00382135">
        <w:rPr>
          <w:rFonts w:cs="Arial"/>
          <w:b/>
          <w:bCs/>
          <w:noProof/>
        </w:rPr>
        <w:t>Competitive Landscape:</w:t>
      </w:r>
      <w:r w:rsidRPr="00382135">
        <w:rPr>
          <w:rFonts w:cs="Arial"/>
          <w:noProof/>
        </w:rPr>
        <w:t xml:space="preserve"> In this perspective, rivalry has increased and more players are being witnessed either as entrants in the market or those already in the system thus reducing the market share of the Urban Heights Hotel. This is because the trends in the use of accommodations through the use of online marketplaces such as Airbnb lowers clientele business</w:t>
      </w:r>
      <w:r w:rsidR="00FE1AE1" w:rsidRPr="00382135">
        <w:rPr>
          <w:rFonts w:cs="Arial"/>
          <w:noProof/>
        </w:rPr>
        <w:t xml:space="preserve"> </w:t>
      </w:r>
      <w:r w:rsidR="0045125C" w:rsidRPr="00382135">
        <w:rPr>
          <w:rFonts w:cs="Arial"/>
          <w:noProof/>
        </w:rPr>
        <w:t>(</w:t>
      </w:r>
      <w:r w:rsidR="0045125C" w:rsidRPr="0045125C">
        <w:rPr>
          <w:rFonts w:cs="Arial"/>
          <w:noProof/>
        </w:rPr>
        <w:t>Turner and Hesford</w:t>
      </w:r>
      <w:r w:rsidR="0045125C" w:rsidRPr="00382135">
        <w:rPr>
          <w:rFonts w:cs="Arial"/>
          <w:noProof/>
        </w:rPr>
        <w:t>, 2019)</w:t>
      </w:r>
      <w:r w:rsidRPr="00382135">
        <w:rPr>
          <w:rFonts w:cs="Arial"/>
          <w:noProof/>
        </w:rPr>
        <w:t xml:space="preserve">. </w:t>
      </w:r>
    </w:p>
    <w:p w14:paraId="1C8EFFF0" w14:textId="6C322908" w:rsidR="008C438E" w:rsidRPr="00382135" w:rsidRDefault="008C438E" w:rsidP="00382135">
      <w:pPr>
        <w:rPr>
          <w:rFonts w:cs="Arial"/>
          <w:noProof/>
        </w:rPr>
      </w:pPr>
      <w:r w:rsidRPr="00382135">
        <w:rPr>
          <w:rFonts w:cs="Arial"/>
          <w:b/>
          <w:bCs/>
          <w:noProof/>
        </w:rPr>
        <w:t>Operational Inefficiencies:</w:t>
      </w:r>
      <w:r w:rsidRPr="00382135">
        <w:rPr>
          <w:rFonts w:cs="Arial"/>
          <w:noProof/>
        </w:rPr>
        <w:t xml:space="preserve"> This problem can be evidenced by the sophisticated changes in the hotels’ operating cost</w:t>
      </w:r>
      <w:r w:rsidR="00990AE3" w:rsidRPr="00382135">
        <w:rPr>
          <w:rFonts w:cs="Arial"/>
          <w:noProof/>
        </w:rPr>
        <w:t>s</w:t>
      </w:r>
      <w:r w:rsidRPr="00382135">
        <w:rPr>
          <w:rFonts w:cs="Arial"/>
          <w:noProof/>
        </w:rPr>
        <w:t>, signifying inefficiency. Costs have increased because of the following unsound practices: Cost control has not been properly practi</w:t>
      </w:r>
      <w:r w:rsidR="00990AE3" w:rsidRPr="00382135">
        <w:rPr>
          <w:rFonts w:cs="Arial"/>
          <w:noProof/>
        </w:rPr>
        <w:t>s</w:t>
      </w:r>
      <w:r w:rsidRPr="00382135">
        <w:rPr>
          <w:rFonts w:cs="Arial"/>
          <w:noProof/>
        </w:rPr>
        <w:t xml:space="preserve">ed here in the best way it could be, People and workforce: the employees have not been </w:t>
      </w:r>
      <w:r w:rsidRPr="00382135">
        <w:rPr>
          <w:rFonts w:cs="Arial"/>
          <w:noProof/>
        </w:rPr>
        <w:lastRenderedPageBreak/>
        <w:t>fully utilized in terms of their potential and System: the organi</w:t>
      </w:r>
      <w:r w:rsidR="006F42A3" w:rsidRPr="00382135">
        <w:rPr>
          <w:rFonts w:cs="Arial"/>
          <w:noProof/>
        </w:rPr>
        <w:t>s</w:t>
      </w:r>
      <w:r w:rsidRPr="00382135">
        <w:rPr>
          <w:rFonts w:cs="Arial"/>
          <w:noProof/>
        </w:rPr>
        <w:t>ation has not upgraded to the latest and effective systems</w:t>
      </w:r>
      <w:r w:rsidR="00FE1AE1" w:rsidRPr="00382135">
        <w:rPr>
          <w:rFonts w:cs="Arial"/>
          <w:noProof/>
        </w:rPr>
        <w:t xml:space="preserve"> </w:t>
      </w:r>
      <w:r w:rsidR="00257AB0" w:rsidRPr="00382135">
        <w:rPr>
          <w:rFonts w:cs="Arial"/>
          <w:noProof/>
        </w:rPr>
        <w:t>(Walker, 2021).</w:t>
      </w:r>
      <w:r w:rsidRPr="00382135">
        <w:rPr>
          <w:rFonts w:cs="Arial"/>
          <w:noProof/>
        </w:rPr>
        <w:t xml:space="preserve"> </w:t>
      </w:r>
    </w:p>
    <w:p w14:paraId="353AC4F7" w14:textId="1BDD6E3B" w:rsidR="008C438E" w:rsidRPr="00382135" w:rsidRDefault="008C438E" w:rsidP="00382135">
      <w:pPr>
        <w:rPr>
          <w:rFonts w:cs="Arial"/>
          <w:noProof/>
        </w:rPr>
      </w:pPr>
      <w:r w:rsidRPr="00382135">
        <w:rPr>
          <w:rFonts w:cs="Arial"/>
          <w:b/>
          <w:bCs/>
          <w:noProof/>
        </w:rPr>
        <w:t>External Factors:</w:t>
      </w:r>
      <w:r w:rsidRPr="00382135">
        <w:rPr>
          <w:rFonts w:cs="Arial"/>
          <w:noProof/>
        </w:rPr>
        <w:t xml:space="preserve"> This means that the production lines of various organi</w:t>
      </w:r>
      <w:r w:rsidR="006F42A3" w:rsidRPr="00382135">
        <w:rPr>
          <w:rFonts w:cs="Arial"/>
          <w:noProof/>
        </w:rPr>
        <w:t>s</w:t>
      </w:r>
      <w:r w:rsidRPr="00382135">
        <w:rPr>
          <w:rFonts w:cs="Arial"/>
          <w:noProof/>
        </w:rPr>
        <w:t>ations are affected by the extended vices of COVID-19 as a pandemic disease. New obligatory measures impacted computation for compliance expenses because the necessity of health and safe</w:t>
      </w:r>
      <w:r w:rsidR="00990AE3" w:rsidRPr="00382135">
        <w:rPr>
          <w:rFonts w:cs="Arial"/>
          <w:noProof/>
        </w:rPr>
        <w:t>ty</w:t>
      </w:r>
      <w:r w:rsidRPr="00382135">
        <w:rPr>
          <w:rFonts w:cs="Arial"/>
          <w:noProof/>
        </w:rPr>
        <w:t xml:space="preserve"> lifted the prices more, along with suppl</w:t>
      </w:r>
      <w:r w:rsidR="00990AE3" w:rsidRPr="00382135">
        <w:rPr>
          <w:rFonts w:cs="Arial"/>
          <w:noProof/>
        </w:rPr>
        <w:t>y</w:t>
      </w:r>
      <w:r w:rsidRPr="00382135">
        <w:rPr>
          <w:rFonts w:cs="Arial"/>
          <w:noProof/>
        </w:rPr>
        <w:t xml:space="preserve"> chain breakdown and lack of staffers</w:t>
      </w:r>
      <w:r w:rsidR="00FE1AE1" w:rsidRPr="00382135">
        <w:rPr>
          <w:rFonts w:cs="Arial"/>
          <w:noProof/>
        </w:rPr>
        <w:t xml:space="preserve"> </w:t>
      </w:r>
      <w:r w:rsidR="004B3EE4" w:rsidRPr="00382135">
        <w:rPr>
          <w:rFonts w:cs="Arial"/>
          <w:noProof/>
        </w:rPr>
        <w:t>(</w:t>
      </w:r>
      <w:r w:rsidR="004B3EE4" w:rsidRPr="004B3EE4">
        <w:rPr>
          <w:rFonts w:cs="Arial"/>
          <w:noProof/>
        </w:rPr>
        <w:t>Radwan and Radwan</w:t>
      </w:r>
      <w:r w:rsidR="004B3EE4" w:rsidRPr="00382135">
        <w:rPr>
          <w:rFonts w:cs="Arial"/>
          <w:noProof/>
        </w:rPr>
        <w:t>, 2017).</w:t>
      </w:r>
      <w:r w:rsidRPr="00382135">
        <w:rPr>
          <w:rFonts w:cs="Arial"/>
          <w:noProof/>
        </w:rPr>
        <w:t xml:space="preserve"> </w:t>
      </w:r>
    </w:p>
    <w:p w14:paraId="54D8D4F6" w14:textId="77777777" w:rsidR="002B71FB" w:rsidRPr="00382135" w:rsidRDefault="002B71FB" w:rsidP="00382135">
      <w:pPr>
        <w:pStyle w:val="Heading1"/>
        <w:rPr>
          <w:rFonts w:cs="Arial"/>
          <w:noProof/>
          <w:color w:val="auto"/>
        </w:rPr>
      </w:pPr>
      <w:bookmarkStart w:id="4" w:name="_Toc168351877"/>
      <w:r w:rsidRPr="00382135">
        <w:rPr>
          <w:rFonts w:cs="Arial"/>
          <w:noProof/>
          <w:color w:val="auto"/>
        </w:rPr>
        <w:t>Turnaround Strategy or Viable Financial Outcome</w:t>
      </w:r>
      <w:bookmarkEnd w:id="4"/>
    </w:p>
    <w:p w14:paraId="4F70E914" w14:textId="3FCE9CFC" w:rsidR="00751830" w:rsidRPr="00382135" w:rsidRDefault="00751830" w:rsidP="00382135">
      <w:pPr>
        <w:rPr>
          <w:rFonts w:cs="Arial"/>
          <w:noProof/>
        </w:rPr>
      </w:pPr>
      <w:r w:rsidRPr="00382135">
        <w:rPr>
          <w:rFonts w:cs="Arial"/>
          <w:noProof/>
        </w:rPr>
        <w:t>When analy</w:t>
      </w:r>
      <w:r w:rsidR="00EE06F4" w:rsidRPr="00382135">
        <w:rPr>
          <w:rFonts w:cs="Arial"/>
          <w:noProof/>
        </w:rPr>
        <w:t>s</w:t>
      </w:r>
      <w:r w:rsidRPr="00382135">
        <w:rPr>
          <w:rFonts w:cs="Arial"/>
          <w:noProof/>
        </w:rPr>
        <w:t>ing Urban Heights Hotel's annual financial report, in clear terms identif</w:t>
      </w:r>
      <w:r w:rsidR="00EB2484" w:rsidRPr="00382135">
        <w:rPr>
          <w:rFonts w:cs="Arial"/>
          <w:noProof/>
        </w:rPr>
        <w:t>ied</w:t>
      </w:r>
      <w:r w:rsidRPr="00382135">
        <w:rPr>
          <w:rFonts w:cs="Arial"/>
          <w:noProof/>
        </w:rPr>
        <w:t xml:space="preserve"> the key challenges the establishment is going through that are reflected in the declining profitability level, liquidity constraints, and shrinking equity position. To deal with all these factors a comprehensive turnaround plan </w:t>
      </w:r>
      <w:r w:rsidR="007C3C83" w:rsidRPr="00382135">
        <w:rPr>
          <w:rFonts w:cs="Arial"/>
          <w:noProof/>
        </w:rPr>
        <w:t>will be</w:t>
      </w:r>
      <w:r w:rsidRPr="00382135">
        <w:rPr>
          <w:rFonts w:cs="Arial"/>
          <w:noProof/>
        </w:rPr>
        <w:t xml:space="preserve"> designed aiming at putting the assets of the hotel in order and at making the hotel popular again</w:t>
      </w:r>
      <w:r w:rsidR="008D6A82" w:rsidRPr="00382135">
        <w:rPr>
          <w:rFonts w:cs="Arial"/>
          <w:noProof/>
        </w:rPr>
        <w:t xml:space="preserve"> (</w:t>
      </w:r>
      <w:r w:rsidR="001105E7" w:rsidRPr="00382135">
        <w:rPr>
          <w:rFonts w:cs="Arial"/>
          <w:noProof/>
        </w:rPr>
        <w:t>Igosheva et al.</w:t>
      </w:r>
      <w:r w:rsidR="008D6A82" w:rsidRPr="00382135">
        <w:rPr>
          <w:rFonts w:cs="Arial"/>
          <w:noProof/>
        </w:rPr>
        <w:t>, 202</w:t>
      </w:r>
      <w:r w:rsidR="001105E7" w:rsidRPr="00382135">
        <w:rPr>
          <w:rFonts w:cs="Arial"/>
          <w:noProof/>
        </w:rPr>
        <w:t>4</w:t>
      </w:r>
      <w:r w:rsidR="008D6A82" w:rsidRPr="00382135">
        <w:rPr>
          <w:rFonts w:cs="Arial"/>
          <w:noProof/>
        </w:rPr>
        <w:t>)</w:t>
      </w:r>
      <w:r w:rsidRPr="00382135">
        <w:rPr>
          <w:rFonts w:cs="Arial"/>
          <w:noProof/>
        </w:rPr>
        <w:t xml:space="preserve">. </w:t>
      </w:r>
    </w:p>
    <w:p w14:paraId="3B41BB3D" w14:textId="2962D422" w:rsidR="002B71FB" w:rsidRPr="00382135" w:rsidRDefault="002B71FB" w:rsidP="00382135">
      <w:pPr>
        <w:pStyle w:val="Heading2"/>
        <w:rPr>
          <w:rFonts w:cs="Arial"/>
          <w:noProof/>
          <w:color w:val="auto"/>
        </w:rPr>
      </w:pPr>
      <w:bookmarkStart w:id="5" w:name="_Toc168351878"/>
      <w:r w:rsidRPr="00382135">
        <w:rPr>
          <w:rFonts w:cs="Arial"/>
          <w:noProof/>
          <w:color w:val="auto"/>
        </w:rPr>
        <w:t>Turnaround Strategy</w:t>
      </w:r>
      <w:bookmarkEnd w:id="5"/>
    </w:p>
    <w:p w14:paraId="63B8E25C" w14:textId="185ED1E3" w:rsidR="002B71FB" w:rsidRPr="00382135" w:rsidRDefault="002B71FB" w:rsidP="00382135">
      <w:pPr>
        <w:rPr>
          <w:rFonts w:cs="Arial"/>
          <w:b/>
          <w:bCs/>
          <w:noProof/>
        </w:rPr>
      </w:pPr>
      <w:r w:rsidRPr="00382135">
        <w:rPr>
          <w:rFonts w:cs="Arial"/>
          <w:b/>
          <w:bCs/>
          <w:noProof/>
        </w:rPr>
        <w:t>Revenue Enhancement Strategies:</w:t>
      </w:r>
    </w:p>
    <w:p w14:paraId="584F0FF6" w14:textId="1D2AD55E" w:rsidR="00751830" w:rsidRPr="00382135" w:rsidRDefault="00751830" w:rsidP="00382135">
      <w:pPr>
        <w:rPr>
          <w:rFonts w:cs="Arial"/>
          <w:noProof/>
        </w:rPr>
      </w:pPr>
      <w:r w:rsidRPr="00382135">
        <w:rPr>
          <w:rFonts w:cs="Arial"/>
          <w:b/>
          <w:bCs/>
          <w:noProof/>
        </w:rPr>
        <w:t>Revamp marketing and advertising efforts:</w:t>
      </w:r>
      <w:r w:rsidRPr="00382135">
        <w:rPr>
          <w:rFonts w:cs="Arial"/>
          <w:noProof/>
        </w:rPr>
        <w:t xml:space="preserve"> A multi-purpose selected marketing campaign of advert composite and app will bring both new clients and keep the previous ones ready to be engaged. Using social networks, celebrities' advertisements, and limited-time suggestions can make the target audience informed about what </w:t>
      </w:r>
      <w:r w:rsidR="00EB2484" w:rsidRPr="00382135">
        <w:rPr>
          <w:rFonts w:cs="Arial"/>
          <w:noProof/>
        </w:rPr>
        <w:t>it</w:t>
      </w:r>
      <w:r w:rsidRPr="00382135">
        <w:rPr>
          <w:rFonts w:cs="Arial"/>
          <w:noProof/>
        </w:rPr>
        <w:t xml:space="preserve"> do</w:t>
      </w:r>
      <w:r w:rsidR="00EB2484" w:rsidRPr="00382135">
        <w:rPr>
          <w:rFonts w:cs="Arial"/>
          <w:noProof/>
        </w:rPr>
        <w:t>es</w:t>
      </w:r>
      <w:r w:rsidRPr="00382135">
        <w:rPr>
          <w:rFonts w:cs="Arial"/>
          <w:noProof/>
        </w:rPr>
        <w:t>, and make reservations much easier</w:t>
      </w:r>
      <w:r w:rsidR="008D6A82" w:rsidRPr="00382135">
        <w:rPr>
          <w:rFonts w:cs="Arial"/>
          <w:noProof/>
        </w:rPr>
        <w:t xml:space="preserve"> (</w:t>
      </w:r>
      <w:r w:rsidR="00390678" w:rsidRPr="00382135">
        <w:rPr>
          <w:rFonts w:cs="Arial"/>
          <w:noProof/>
        </w:rPr>
        <w:t>Henriksson and Karlsson Eriksson</w:t>
      </w:r>
      <w:r w:rsidR="008D6A82" w:rsidRPr="00382135">
        <w:rPr>
          <w:rFonts w:cs="Arial"/>
          <w:noProof/>
        </w:rPr>
        <w:t>, 2021)</w:t>
      </w:r>
      <w:r w:rsidRPr="00382135">
        <w:rPr>
          <w:rFonts w:cs="Arial"/>
          <w:noProof/>
        </w:rPr>
        <w:t>.</w:t>
      </w:r>
    </w:p>
    <w:p w14:paraId="4F054E7D" w14:textId="4A260D74" w:rsidR="00751830" w:rsidRPr="00382135" w:rsidRDefault="00751830" w:rsidP="00382135">
      <w:pPr>
        <w:rPr>
          <w:rFonts w:cs="Arial"/>
          <w:noProof/>
        </w:rPr>
      </w:pPr>
      <w:r w:rsidRPr="00382135">
        <w:rPr>
          <w:rFonts w:cs="Arial"/>
          <w:b/>
          <w:bCs/>
          <w:noProof/>
        </w:rPr>
        <w:t>Evaluate pricing strategies:</w:t>
      </w:r>
      <w:r w:rsidRPr="00382135">
        <w:rPr>
          <w:rFonts w:cs="Arial"/>
          <w:noProof/>
        </w:rPr>
        <w:t xml:space="preserve"> Determine the hotel pricing strategy and compare these rates with the rival's prices in the market. Check for heading for </w:t>
      </w:r>
      <w:r w:rsidR="00990AE3" w:rsidRPr="00382135">
        <w:rPr>
          <w:rFonts w:cs="Arial"/>
          <w:noProof/>
        </w:rPr>
        <w:t xml:space="preserve">a </w:t>
      </w:r>
      <w:r w:rsidRPr="00382135">
        <w:rPr>
          <w:rFonts w:cs="Arial"/>
          <w:noProof/>
        </w:rPr>
        <w:t>market-based price, bundling package as an offer and discount as an offer to amplify the revenue</w:t>
      </w:r>
      <w:r w:rsidR="008472F0" w:rsidRPr="00382135">
        <w:rPr>
          <w:rFonts w:cs="Arial"/>
          <w:noProof/>
        </w:rPr>
        <w:t xml:space="preserve"> </w:t>
      </w:r>
      <w:r w:rsidR="003E7822" w:rsidRPr="00382135">
        <w:rPr>
          <w:rFonts w:cs="Arial"/>
          <w:noProof/>
        </w:rPr>
        <w:t>(Enz and Canina, 2022).</w:t>
      </w:r>
    </w:p>
    <w:p w14:paraId="46EFE0D4" w14:textId="146D3B57" w:rsidR="00751830" w:rsidRPr="00382135" w:rsidRDefault="00751830" w:rsidP="00382135">
      <w:pPr>
        <w:rPr>
          <w:rFonts w:cs="Arial"/>
          <w:noProof/>
        </w:rPr>
      </w:pPr>
      <w:r w:rsidRPr="00382135">
        <w:rPr>
          <w:rFonts w:cs="Arial"/>
          <w:b/>
          <w:bCs/>
          <w:noProof/>
        </w:rPr>
        <w:lastRenderedPageBreak/>
        <w:t>Expand revenue streams:</w:t>
      </w:r>
      <w:r w:rsidRPr="00382135">
        <w:rPr>
          <w:rFonts w:cs="Arial"/>
          <w:noProof/>
        </w:rPr>
        <w:t xml:space="preserve"> Figure out and make the money generating items e. g. development of top cuisines, events organi</w:t>
      </w:r>
      <w:r w:rsidR="006F42A3" w:rsidRPr="00382135">
        <w:rPr>
          <w:rFonts w:cs="Arial"/>
          <w:noProof/>
        </w:rPr>
        <w:t>s</w:t>
      </w:r>
      <w:r w:rsidRPr="00382135">
        <w:rPr>
          <w:rFonts w:cs="Arial"/>
          <w:noProof/>
        </w:rPr>
        <w:t>ation and new service introduction that suit the upcoming customer needs</w:t>
      </w:r>
      <w:r w:rsidR="00FE1AE1" w:rsidRPr="00382135">
        <w:rPr>
          <w:rFonts w:cs="Arial"/>
          <w:noProof/>
        </w:rPr>
        <w:t xml:space="preserve"> </w:t>
      </w:r>
      <w:r w:rsidR="006A39B7" w:rsidRPr="00382135">
        <w:rPr>
          <w:rFonts w:cs="Arial"/>
          <w:noProof/>
        </w:rPr>
        <w:t>(Crespí-Cladera et al., 2021).</w:t>
      </w:r>
    </w:p>
    <w:p w14:paraId="6471554C" w14:textId="1935FB21" w:rsidR="002B71FB" w:rsidRPr="00382135" w:rsidRDefault="002B71FB" w:rsidP="00382135">
      <w:pPr>
        <w:rPr>
          <w:rFonts w:cs="Arial"/>
          <w:b/>
          <w:bCs/>
          <w:noProof/>
        </w:rPr>
      </w:pPr>
      <w:r w:rsidRPr="00382135">
        <w:rPr>
          <w:rFonts w:cs="Arial"/>
          <w:b/>
          <w:bCs/>
          <w:noProof/>
        </w:rPr>
        <w:t xml:space="preserve">Operational Efficiency Improvements: </w:t>
      </w:r>
    </w:p>
    <w:p w14:paraId="64F38B12" w14:textId="08542C64" w:rsidR="00474F26" w:rsidRPr="00382135" w:rsidRDefault="00474F26" w:rsidP="00382135">
      <w:pPr>
        <w:rPr>
          <w:rFonts w:cs="Arial"/>
          <w:b/>
          <w:bCs/>
          <w:noProof/>
        </w:rPr>
      </w:pPr>
      <w:r w:rsidRPr="00382135">
        <w:rPr>
          <w:rFonts w:cs="Arial"/>
          <w:b/>
          <w:bCs/>
          <w:noProof/>
        </w:rPr>
        <w:drawing>
          <wp:inline distT="0" distB="0" distL="0" distR="0" wp14:anchorId="2037B2B3" wp14:editId="6C4EFA69">
            <wp:extent cx="5753100" cy="3657600"/>
            <wp:effectExtent l="38100" t="0" r="38100" b="0"/>
            <wp:docPr id="14730086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ECB3A02" w14:textId="1143824E" w:rsidR="002B71FB" w:rsidRPr="00382135" w:rsidRDefault="002B71FB" w:rsidP="00382135">
      <w:pPr>
        <w:rPr>
          <w:rFonts w:cs="Arial"/>
          <w:b/>
          <w:bCs/>
          <w:noProof/>
        </w:rPr>
      </w:pPr>
      <w:r w:rsidRPr="00382135">
        <w:rPr>
          <w:rFonts w:cs="Arial"/>
          <w:b/>
          <w:bCs/>
          <w:noProof/>
        </w:rPr>
        <w:t xml:space="preserve">Guest Experience Enhancement: </w:t>
      </w:r>
    </w:p>
    <w:p w14:paraId="40C8CF8F" w14:textId="210F9D34" w:rsidR="00751830" w:rsidRPr="00382135" w:rsidRDefault="00751830" w:rsidP="00382135">
      <w:pPr>
        <w:rPr>
          <w:rFonts w:cs="Arial"/>
          <w:noProof/>
        </w:rPr>
      </w:pPr>
      <w:r w:rsidRPr="00382135">
        <w:rPr>
          <w:rFonts w:cs="Arial"/>
          <w:b/>
          <w:bCs/>
          <w:noProof/>
        </w:rPr>
        <w:t>Revitalize facilities and amenities:</w:t>
      </w:r>
      <w:r w:rsidRPr="00382135">
        <w:rPr>
          <w:rFonts w:cs="Arial"/>
          <w:noProof/>
        </w:rPr>
        <w:t xml:space="preserve"> </w:t>
      </w:r>
      <w:r w:rsidR="00427468" w:rsidRPr="00382135">
        <w:rPr>
          <w:rFonts w:cs="Arial"/>
          <w:noProof/>
        </w:rPr>
        <w:t>To figure out what makes the hotel a popular vacation spot and what it could do to improve the service or rooms, look at how it works from the guests' point of view (Zarezadeh et al., 2022). Fix up the hotel by painting and renewing the public areas to make service better and give the impression that the hotel has been updated and renovated.</w:t>
      </w:r>
    </w:p>
    <w:p w14:paraId="5D3660C1" w14:textId="22A99288" w:rsidR="00751830" w:rsidRPr="00382135" w:rsidRDefault="00751830" w:rsidP="00382135">
      <w:pPr>
        <w:rPr>
          <w:rFonts w:cs="Arial"/>
          <w:noProof/>
        </w:rPr>
      </w:pPr>
      <w:r w:rsidRPr="00382135">
        <w:rPr>
          <w:rFonts w:cs="Arial"/>
          <w:b/>
          <w:bCs/>
          <w:noProof/>
        </w:rPr>
        <w:t>Focus on customer service excellence:</w:t>
      </w:r>
      <w:r w:rsidRPr="00382135">
        <w:rPr>
          <w:rFonts w:cs="Arial"/>
          <w:noProof/>
        </w:rPr>
        <w:t xml:space="preserve"> Notwithstanding the excellence of the staff training process, still the best customer service experience's objective may be at risk to this plan. As a result, their service delivery model for customers should</w:t>
      </w:r>
      <w:r w:rsidR="008D6A82" w:rsidRPr="00382135">
        <w:rPr>
          <w:rFonts w:cs="Arial"/>
          <w:noProof/>
        </w:rPr>
        <w:t xml:space="preserve"> </w:t>
      </w:r>
      <w:r w:rsidR="00EB2484" w:rsidRPr="00382135">
        <w:rPr>
          <w:rFonts w:cs="Arial"/>
          <w:noProof/>
        </w:rPr>
        <w:t>be raised</w:t>
      </w:r>
      <w:r w:rsidR="008D6A82" w:rsidRPr="00382135">
        <w:rPr>
          <w:rFonts w:cs="Arial"/>
          <w:noProof/>
        </w:rPr>
        <w:t xml:space="preserve"> </w:t>
      </w:r>
      <w:r w:rsidRPr="00382135">
        <w:rPr>
          <w:rFonts w:cs="Arial"/>
          <w:noProof/>
        </w:rPr>
        <w:t>to the highest standard</w:t>
      </w:r>
      <w:r w:rsidR="008D6A82" w:rsidRPr="00382135">
        <w:rPr>
          <w:rFonts w:cs="Arial"/>
          <w:noProof/>
        </w:rPr>
        <w:t xml:space="preserve"> (Bhatia, 2019)</w:t>
      </w:r>
      <w:r w:rsidRPr="00382135">
        <w:rPr>
          <w:rFonts w:cs="Arial"/>
          <w:noProof/>
        </w:rPr>
        <w:t xml:space="preserve">. The psychological effect that comes with this interaction </w:t>
      </w:r>
      <w:r w:rsidRPr="00382135">
        <w:rPr>
          <w:rFonts w:cs="Arial"/>
          <w:noProof/>
        </w:rPr>
        <w:lastRenderedPageBreak/>
        <w:t>through answering human messages goes for one part while the major point to note is this aspect.</w:t>
      </w:r>
    </w:p>
    <w:p w14:paraId="685A05F9" w14:textId="6763E54E" w:rsidR="00751830" w:rsidRPr="00382135" w:rsidRDefault="00751830" w:rsidP="00382135">
      <w:pPr>
        <w:rPr>
          <w:rFonts w:cs="Arial"/>
          <w:noProof/>
        </w:rPr>
      </w:pPr>
      <w:r w:rsidRPr="00382135">
        <w:rPr>
          <w:rFonts w:cs="Arial"/>
          <w:b/>
          <w:bCs/>
          <w:noProof/>
        </w:rPr>
        <w:t>Leverage technology for enhanced guest experiences:</w:t>
      </w:r>
      <w:r w:rsidRPr="00382135">
        <w:rPr>
          <w:rFonts w:cs="Arial"/>
          <w:noProof/>
        </w:rPr>
        <w:t xml:space="preserve"> Provide evidence to highlight the advantages and disadvantages of technology such as mobile phone check-in and check-out, guest entertainment devices and digital concierge services, which are intended to benefit the guests</w:t>
      </w:r>
      <w:r w:rsidR="008D6A82" w:rsidRPr="00382135">
        <w:rPr>
          <w:rFonts w:cs="Arial"/>
          <w:noProof/>
        </w:rPr>
        <w:t xml:space="preserve"> (Ericsson </w:t>
      </w:r>
      <w:r w:rsidR="007C0589" w:rsidRPr="00382135">
        <w:rPr>
          <w:rFonts w:cs="Arial"/>
          <w:noProof/>
        </w:rPr>
        <w:t>and</w:t>
      </w:r>
      <w:r w:rsidR="008D6A82" w:rsidRPr="00382135">
        <w:rPr>
          <w:rFonts w:cs="Arial"/>
          <w:noProof/>
        </w:rPr>
        <w:t xml:space="preserve"> Solvoll, 2021)</w:t>
      </w:r>
      <w:r w:rsidRPr="00382135">
        <w:rPr>
          <w:rFonts w:cs="Arial"/>
          <w:noProof/>
        </w:rPr>
        <w:t>.</w:t>
      </w:r>
    </w:p>
    <w:p w14:paraId="30DA2665" w14:textId="2764FD66" w:rsidR="002B71FB" w:rsidRPr="00382135" w:rsidRDefault="002B71FB" w:rsidP="00382135">
      <w:pPr>
        <w:rPr>
          <w:rFonts w:cs="Arial"/>
          <w:b/>
          <w:bCs/>
          <w:noProof/>
        </w:rPr>
      </w:pPr>
      <w:r w:rsidRPr="00382135">
        <w:rPr>
          <w:rFonts w:cs="Arial"/>
          <w:b/>
          <w:bCs/>
          <w:noProof/>
        </w:rPr>
        <w:t xml:space="preserve">Strategic Partnerships and Collaborations: </w:t>
      </w:r>
    </w:p>
    <w:p w14:paraId="3BFFC9A2" w14:textId="2E930CF2" w:rsidR="002B71FB" w:rsidRPr="00382135" w:rsidRDefault="002B71FB" w:rsidP="00382135">
      <w:pPr>
        <w:rPr>
          <w:rFonts w:cs="Arial"/>
          <w:noProof/>
        </w:rPr>
      </w:pPr>
      <w:r w:rsidRPr="00382135">
        <w:rPr>
          <w:rFonts w:cs="Arial"/>
          <w:b/>
          <w:bCs/>
          <w:noProof/>
        </w:rPr>
        <w:t>Establish partnerships with travel agencies, online booking platforms, and corporate clients:</w:t>
      </w:r>
      <w:r w:rsidRPr="00382135">
        <w:rPr>
          <w:rFonts w:cs="Arial"/>
          <w:noProof/>
        </w:rPr>
        <w:t xml:space="preserve"> Seek strategic partnerships with key industry players to expand the hotel's reach and tap into new customer segments</w:t>
      </w:r>
      <w:r w:rsidR="007C3C83" w:rsidRPr="00382135">
        <w:rPr>
          <w:rFonts w:cs="Arial"/>
          <w:noProof/>
        </w:rPr>
        <w:t xml:space="preserve"> (Igosheva et al., 2024)</w:t>
      </w:r>
      <w:r w:rsidRPr="00382135">
        <w:rPr>
          <w:rFonts w:cs="Arial"/>
          <w:noProof/>
        </w:rPr>
        <w:t>.</w:t>
      </w:r>
    </w:p>
    <w:p w14:paraId="5EE716A1" w14:textId="59B4F317" w:rsidR="002B71FB" w:rsidRPr="00382135" w:rsidRDefault="002B71FB" w:rsidP="00382135">
      <w:pPr>
        <w:rPr>
          <w:rFonts w:cs="Arial"/>
          <w:noProof/>
        </w:rPr>
      </w:pPr>
      <w:r w:rsidRPr="00382135">
        <w:rPr>
          <w:rFonts w:cs="Arial"/>
          <w:b/>
          <w:bCs/>
          <w:noProof/>
        </w:rPr>
        <w:t>Explore opportunities for cross-promotion and bundled offerings:</w:t>
      </w:r>
      <w:r w:rsidRPr="00382135">
        <w:rPr>
          <w:rFonts w:cs="Arial"/>
          <w:noProof/>
        </w:rPr>
        <w:t xml:space="preserve"> Collaborate with local attractions, restaurants, or event venues to offer bundled packages or cross-promotional deals, creating added value for guests</w:t>
      </w:r>
      <w:r w:rsidR="007C0589" w:rsidRPr="00382135">
        <w:rPr>
          <w:rFonts w:cs="Arial"/>
          <w:noProof/>
        </w:rPr>
        <w:t xml:space="preserve"> (Walker, 2021)</w:t>
      </w:r>
      <w:r w:rsidRPr="00382135">
        <w:rPr>
          <w:rFonts w:cs="Arial"/>
          <w:noProof/>
        </w:rPr>
        <w:t>.</w:t>
      </w:r>
    </w:p>
    <w:p w14:paraId="625C02F7" w14:textId="3F5AC295" w:rsidR="002B71FB" w:rsidRPr="00382135" w:rsidRDefault="002B71FB" w:rsidP="00382135">
      <w:pPr>
        <w:pStyle w:val="Heading2"/>
        <w:rPr>
          <w:rFonts w:cs="Arial"/>
          <w:noProof/>
          <w:color w:val="auto"/>
        </w:rPr>
      </w:pPr>
      <w:bookmarkStart w:id="6" w:name="_Toc168351879"/>
      <w:r w:rsidRPr="00382135">
        <w:rPr>
          <w:rFonts w:cs="Arial"/>
          <w:noProof/>
          <w:color w:val="auto"/>
        </w:rPr>
        <w:t>Projections and Potential Impact</w:t>
      </w:r>
      <w:bookmarkEnd w:id="6"/>
    </w:p>
    <w:p w14:paraId="7EEAADD2" w14:textId="26143F04" w:rsidR="002B71FB" w:rsidRPr="00382135" w:rsidRDefault="002B71FB" w:rsidP="00382135">
      <w:pPr>
        <w:rPr>
          <w:rFonts w:cs="Arial"/>
          <w:noProof/>
        </w:rPr>
      </w:pPr>
      <w:r w:rsidRPr="00382135">
        <w:rPr>
          <w:rFonts w:cs="Arial"/>
          <w:noProof/>
        </w:rPr>
        <w:t>Based on industry benchmarks and conservative estimates, the following projections can be anticipated:</w:t>
      </w:r>
    </w:p>
    <w:p w14:paraId="37C0721C" w14:textId="20229FF9" w:rsidR="00C40098" w:rsidRPr="00382135" w:rsidRDefault="00C40098" w:rsidP="00382135">
      <w:pPr>
        <w:rPr>
          <w:rFonts w:cs="Arial"/>
          <w:noProof/>
        </w:rPr>
      </w:pPr>
      <w:r w:rsidRPr="00382135">
        <w:rPr>
          <w:rFonts w:cs="Arial"/>
          <w:noProof/>
        </w:rPr>
        <w:lastRenderedPageBreak/>
        <w:drawing>
          <wp:inline distT="0" distB="0" distL="0" distR="0" wp14:anchorId="6B5FE713" wp14:editId="302C6AD5">
            <wp:extent cx="6267450" cy="3248025"/>
            <wp:effectExtent l="19050" t="0" r="19050" b="0"/>
            <wp:docPr id="105970864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82FE477" w14:textId="38107E79" w:rsidR="00C40098" w:rsidRPr="00382135" w:rsidRDefault="00C40098" w:rsidP="00382135">
      <w:pPr>
        <w:jc w:val="center"/>
        <w:rPr>
          <w:rFonts w:cs="Arial"/>
          <w:noProof/>
        </w:rPr>
      </w:pPr>
      <w:r w:rsidRPr="00382135">
        <w:rPr>
          <w:rFonts w:cs="Arial"/>
          <w:noProof/>
        </w:rPr>
        <w:t>Source: Self-made</w:t>
      </w:r>
    </w:p>
    <w:p w14:paraId="308A8B74" w14:textId="5F41EBF3" w:rsidR="002B71FB" w:rsidRPr="00382135" w:rsidRDefault="002B71FB" w:rsidP="00382135">
      <w:pPr>
        <w:pStyle w:val="Heading2"/>
        <w:rPr>
          <w:rFonts w:cs="Arial"/>
          <w:noProof/>
          <w:color w:val="auto"/>
        </w:rPr>
      </w:pPr>
      <w:bookmarkStart w:id="7" w:name="_Toc168351880"/>
      <w:r w:rsidRPr="00382135">
        <w:rPr>
          <w:rFonts w:cs="Arial"/>
          <w:noProof/>
          <w:color w:val="auto"/>
        </w:rPr>
        <w:t>Alternative Financial Outcome</w:t>
      </w:r>
      <w:bookmarkEnd w:id="7"/>
    </w:p>
    <w:p w14:paraId="4E14A15B" w14:textId="77777777" w:rsidR="002B71FB" w:rsidRPr="00382135" w:rsidRDefault="002B71FB" w:rsidP="00382135">
      <w:pPr>
        <w:rPr>
          <w:rFonts w:cs="Arial"/>
          <w:noProof/>
        </w:rPr>
      </w:pPr>
      <w:r w:rsidRPr="00382135">
        <w:rPr>
          <w:rFonts w:cs="Arial"/>
          <w:noProof/>
        </w:rPr>
        <w:t>If the turnaround efforts fail to yield the desired results despite diligent implementation, the owner may need to explore alternative financial outcomes. These options could include:</w:t>
      </w:r>
    </w:p>
    <w:p w14:paraId="087EED17" w14:textId="77777777" w:rsidR="002B71FB" w:rsidRPr="00382135" w:rsidRDefault="002B71FB" w:rsidP="00382135">
      <w:pPr>
        <w:rPr>
          <w:rFonts w:cs="Arial"/>
          <w:b/>
          <w:bCs/>
          <w:noProof/>
        </w:rPr>
      </w:pPr>
      <w:r w:rsidRPr="00382135">
        <w:rPr>
          <w:rFonts w:cs="Arial"/>
          <w:b/>
          <w:bCs/>
          <w:noProof/>
        </w:rPr>
        <w:t xml:space="preserve">Selling the business: </w:t>
      </w:r>
    </w:p>
    <w:p w14:paraId="085A3458" w14:textId="77777777" w:rsidR="002B71FB" w:rsidRPr="00382135" w:rsidRDefault="002B71FB" w:rsidP="00382135">
      <w:pPr>
        <w:pStyle w:val="ListParagraph"/>
        <w:numPr>
          <w:ilvl w:val="0"/>
          <w:numId w:val="15"/>
        </w:numPr>
        <w:rPr>
          <w:rFonts w:cs="Arial"/>
          <w:noProof/>
        </w:rPr>
      </w:pPr>
      <w:r w:rsidRPr="00382135">
        <w:rPr>
          <w:rFonts w:cs="Arial"/>
          <w:noProof/>
        </w:rPr>
        <w:t>Conduct a thorough valuation of the hotel's assets, including property, equipment, and brand value.</w:t>
      </w:r>
    </w:p>
    <w:p w14:paraId="0796D529" w14:textId="77777777" w:rsidR="002B71FB" w:rsidRPr="00382135" w:rsidRDefault="002B71FB" w:rsidP="00382135">
      <w:pPr>
        <w:pStyle w:val="ListParagraph"/>
        <w:numPr>
          <w:ilvl w:val="0"/>
          <w:numId w:val="15"/>
        </w:numPr>
        <w:rPr>
          <w:rFonts w:cs="Arial"/>
          <w:noProof/>
        </w:rPr>
      </w:pPr>
      <w:r w:rsidRPr="00382135">
        <w:rPr>
          <w:rFonts w:cs="Arial"/>
          <w:noProof/>
        </w:rPr>
        <w:t>Identify potential buyers, such as investors, hotel chains, or real estate developers.</w:t>
      </w:r>
    </w:p>
    <w:p w14:paraId="407C3A6B" w14:textId="2198F667" w:rsidR="002B71FB" w:rsidRPr="00382135" w:rsidRDefault="002B71FB" w:rsidP="00382135">
      <w:pPr>
        <w:pStyle w:val="ListParagraph"/>
        <w:numPr>
          <w:ilvl w:val="0"/>
          <w:numId w:val="15"/>
        </w:numPr>
        <w:rPr>
          <w:rFonts w:cs="Arial"/>
          <w:noProof/>
        </w:rPr>
      </w:pPr>
      <w:r w:rsidRPr="00382135">
        <w:rPr>
          <w:rFonts w:cs="Arial"/>
          <w:noProof/>
        </w:rPr>
        <w:t>Negotiate the sale terms and conditions to maximize the potential return on investment</w:t>
      </w:r>
      <w:r w:rsidR="004E0E39" w:rsidRPr="00382135">
        <w:rPr>
          <w:rFonts w:cs="Arial"/>
          <w:noProof/>
        </w:rPr>
        <w:t xml:space="preserve"> </w:t>
      </w:r>
      <w:r w:rsidR="003E7822" w:rsidRPr="00382135">
        <w:rPr>
          <w:rFonts w:cs="Arial"/>
          <w:noProof/>
        </w:rPr>
        <w:t>(Brotherton, 2020).</w:t>
      </w:r>
    </w:p>
    <w:p w14:paraId="78DA015F" w14:textId="77777777" w:rsidR="002B71FB" w:rsidRPr="00382135" w:rsidRDefault="002B71FB" w:rsidP="00382135">
      <w:pPr>
        <w:pStyle w:val="ListParagraph"/>
        <w:numPr>
          <w:ilvl w:val="0"/>
          <w:numId w:val="15"/>
        </w:numPr>
        <w:rPr>
          <w:rFonts w:cs="Arial"/>
          <w:noProof/>
        </w:rPr>
      </w:pPr>
      <w:r w:rsidRPr="00382135">
        <w:rPr>
          <w:rFonts w:cs="Arial"/>
          <w:noProof/>
        </w:rPr>
        <w:t>Consider the tax implications and potential consequences for employees and stakeholders.</w:t>
      </w:r>
    </w:p>
    <w:p w14:paraId="5E7385EE" w14:textId="77777777" w:rsidR="002B71FB" w:rsidRPr="00382135" w:rsidRDefault="002B71FB" w:rsidP="00382135">
      <w:pPr>
        <w:rPr>
          <w:rFonts w:cs="Arial"/>
          <w:b/>
          <w:bCs/>
          <w:noProof/>
        </w:rPr>
      </w:pPr>
      <w:r w:rsidRPr="00382135">
        <w:rPr>
          <w:rFonts w:cs="Arial"/>
          <w:b/>
          <w:bCs/>
          <w:noProof/>
        </w:rPr>
        <w:t xml:space="preserve">Restructuring debt: </w:t>
      </w:r>
    </w:p>
    <w:p w14:paraId="10E5F55F" w14:textId="77777777" w:rsidR="002B71FB" w:rsidRPr="00382135" w:rsidRDefault="002B71FB" w:rsidP="00382135">
      <w:pPr>
        <w:pStyle w:val="ListParagraph"/>
        <w:numPr>
          <w:ilvl w:val="0"/>
          <w:numId w:val="14"/>
        </w:numPr>
        <w:rPr>
          <w:rFonts w:cs="Arial"/>
          <w:noProof/>
        </w:rPr>
      </w:pPr>
      <w:r w:rsidRPr="00382135">
        <w:rPr>
          <w:rFonts w:cs="Arial"/>
          <w:noProof/>
        </w:rPr>
        <w:lastRenderedPageBreak/>
        <w:t>Negotiate with lenders to restructure the existing long-term debt, potentially reducing interest rates or extending repayment terms.</w:t>
      </w:r>
    </w:p>
    <w:p w14:paraId="6103054B" w14:textId="77777777" w:rsidR="002B71FB" w:rsidRPr="00382135" w:rsidRDefault="002B71FB" w:rsidP="00382135">
      <w:pPr>
        <w:pStyle w:val="ListParagraph"/>
        <w:numPr>
          <w:ilvl w:val="0"/>
          <w:numId w:val="14"/>
        </w:numPr>
        <w:rPr>
          <w:rFonts w:cs="Arial"/>
          <w:noProof/>
        </w:rPr>
      </w:pPr>
      <w:r w:rsidRPr="00382135">
        <w:rPr>
          <w:rFonts w:cs="Arial"/>
          <w:noProof/>
        </w:rPr>
        <w:t>Explore debt consolidation options or seek additional financing to improve liquidity and cash flow.</w:t>
      </w:r>
    </w:p>
    <w:p w14:paraId="4BEEE889" w14:textId="35F4038D" w:rsidR="002B71FB" w:rsidRPr="00382135" w:rsidRDefault="002B71FB" w:rsidP="00382135">
      <w:pPr>
        <w:pStyle w:val="ListParagraph"/>
        <w:numPr>
          <w:ilvl w:val="0"/>
          <w:numId w:val="14"/>
        </w:numPr>
        <w:rPr>
          <w:rFonts w:cs="Arial"/>
          <w:noProof/>
        </w:rPr>
      </w:pPr>
      <w:r w:rsidRPr="00382135">
        <w:rPr>
          <w:rFonts w:cs="Arial"/>
          <w:noProof/>
        </w:rPr>
        <w:t>Evaluate the impact of debt restructuring on the hotel's financial position and future operations</w:t>
      </w:r>
      <w:r w:rsidR="004E0E39" w:rsidRPr="00382135">
        <w:rPr>
          <w:rFonts w:cs="Arial"/>
          <w:noProof/>
        </w:rPr>
        <w:t xml:space="preserve"> </w:t>
      </w:r>
      <w:r w:rsidR="00C00594" w:rsidRPr="00382135">
        <w:rPr>
          <w:rFonts w:cs="Arial"/>
          <w:noProof/>
        </w:rPr>
        <w:t>(Coltman and Jagels, 2015).</w:t>
      </w:r>
    </w:p>
    <w:p w14:paraId="275BA4E4" w14:textId="77777777" w:rsidR="002B71FB" w:rsidRPr="00382135" w:rsidRDefault="002B71FB" w:rsidP="00382135">
      <w:pPr>
        <w:rPr>
          <w:rFonts w:cs="Arial"/>
          <w:b/>
          <w:bCs/>
          <w:noProof/>
        </w:rPr>
      </w:pPr>
      <w:r w:rsidRPr="00382135">
        <w:rPr>
          <w:rFonts w:cs="Arial"/>
          <w:b/>
          <w:bCs/>
          <w:noProof/>
        </w:rPr>
        <w:t xml:space="preserve">Liquidation of assets: </w:t>
      </w:r>
    </w:p>
    <w:p w14:paraId="01D17F7F" w14:textId="77777777" w:rsidR="002B71FB" w:rsidRPr="00382135" w:rsidRDefault="002B71FB" w:rsidP="00382135">
      <w:pPr>
        <w:pStyle w:val="ListParagraph"/>
        <w:numPr>
          <w:ilvl w:val="0"/>
          <w:numId w:val="13"/>
        </w:numPr>
        <w:rPr>
          <w:rFonts w:cs="Arial"/>
          <w:noProof/>
        </w:rPr>
      </w:pPr>
      <w:r w:rsidRPr="00382135">
        <w:rPr>
          <w:rFonts w:cs="Arial"/>
          <w:noProof/>
        </w:rPr>
        <w:t>Assess the value of individual assets, such as property, equipment, and inventory.</w:t>
      </w:r>
    </w:p>
    <w:p w14:paraId="5D14D53F" w14:textId="1A1159E3" w:rsidR="002B71FB" w:rsidRPr="00382135" w:rsidRDefault="002B71FB" w:rsidP="00382135">
      <w:pPr>
        <w:pStyle w:val="ListParagraph"/>
        <w:numPr>
          <w:ilvl w:val="0"/>
          <w:numId w:val="13"/>
        </w:numPr>
        <w:rPr>
          <w:rFonts w:cs="Arial"/>
          <w:noProof/>
        </w:rPr>
      </w:pPr>
      <w:r w:rsidRPr="00382135">
        <w:rPr>
          <w:rFonts w:cs="Arial"/>
          <w:noProof/>
        </w:rPr>
        <w:t>Identify potential buyers or auction houses to facilitate the liquidation process</w:t>
      </w:r>
      <w:r w:rsidR="004E0E39" w:rsidRPr="00382135">
        <w:rPr>
          <w:rFonts w:cs="Arial"/>
          <w:noProof/>
        </w:rPr>
        <w:t xml:space="preserve"> </w:t>
      </w:r>
      <w:r w:rsidR="00072F93" w:rsidRPr="00382135">
        <w:rPr>
          <w:rFonts w:cs="Arial"/>
          <w:noProof/>
        </w:rPr>
        <w:t>(Bhatia, 2019).</w:t>
      </w:r>
    </w:p>
    <w:p w14:paraId="0345AEE1" w14:textId="77777777" w:rsidR="002B71FB" w:rsidRPr="00382135" w:rsidRDefault="002B71FB" w:rsidP="00382135">
      <w:pPr>
        <w:pStyle w:val="ListParagraph"/>
        <w:numPr>
          <w:ilvl w:val="0"/>
          <w:numId w:val="13"/>
        </w:numPr>
        <w:rPr>
          <w:rFonts w:cs="Arial"/>
          <w:noProof/>
        </w:rPr>
      </w:pPr>
      <w:r w:rsidRPr="00382135">
        <w:rPr>
          <w:rFonts w:cs="Arial"/>
          <w:noProof/>
        </w:rPr>
        <w:t>Use the proceeds from asset liquidation to settle outstanding liabilities and debts.</w:t>
      </w:r>
    </w:p>
    <w:p w14:paraId="2352A1D1" w14:textId="77777777" w:rsidR="002B71FB" w:rsidRPr="00382135" w:rsidRDefault="002B71FB" w:rsidP="00382135">
      <w:pPr>
        <w:pStyle w:val="ListParagraph"/>
        <w:numPr>
          <w:ilvl w:val="0"/>
          <w:numId w:val="13"/>
        </w:numPr>
        <w:rPr>
          <w:rFonts w:cs="Arial"/>
          <w:noProof/>
        </w:rPr>
      </w:pPr>
      <w:r w:rsidRPr="00382135">
        <w:rPr>
          <w:rFonts w:cs="Arial"/>
          <w:noProof/>
        </w:rPr>
        <w:t>Consider the implications for employees, suppliers, and other stakeholders.</w:t>
      </w:r>
    </w:p>
    <w:p w14:paraId="34168B9F" w14:textId="77777777" w:rsidR="002B71FB" w:rsidRPr="00382135" w:rsidRDefault="002B71FB" w:rsidP="00382135">
      <w:pPr>
        <w:rPr>
          <w:rFonts w:cs="Arial"/>
          <w:b/>
          <w:bCs/>
          <w:noProof/>
        </w:rPr>
      </w:pPr>
      <w:r w:rsidRPr="00382135">
        <w:rPr>
          <w:rFonts w:cs="Arial"/>
          <w:b/>
          <w:bCs/>
          <w:noProof/>
        </w:rPr>
        <w:t xml:space="preserve">Conversion or repurposing of the property: </w:t>
      </w:r>
    </w:p>
    <w:p w14:paraId="5FF7222F" w14:textId="77777777" w:rsidR="002B71FB" w:rsidRPr="00382135" w:rsidRDefault="002B71FB" w:rsidP="00382135">
      <w:pPr>
        <w:pStyle w:val="ListParagraph"/>
        <w:numPr>
          <w:ilvl w:val="0"/>
          <w:numId w:val="12"/>
        </w:numPr>
        <w:rPr>
          <w:rFonts w:cs="Arial"/>
          <w:noProof/>
        </w:rPr>
      </w:pPr>
      <w:r w:rsidRPr="00382135">
        <w:rPr>
          <w:rFonts w:cs="Arial"/>
          <w:noProof/>
        </w:rPr>
        <w:t>Explore alternative uses for the hotel property, such as converting it into residential units, office spaces, or other commercial purposes.</w:t>
      </w:r>
    </w:p>
    <w:p w14:paraId="26E75398" w14:textId="57B35A4E" w:rsidR="002B71FB" w:rsidRPr="00382135" w:rsidRDefault="002B71FB" w:rsidP="00382135">
      <w:pPr>
        <w:pStyle w:val="ListParagraph"/>
        <w:numPr>
          <w:ilvl w:val="0"/>
          <w:numId w:val="12"/>
        </w:numPr>
        <w:rPr>
          <w:rFonts w:cs="Arial"/>
          <w:noProof/>
        </w:rPr>
      </w:pPr>
      <w:r w:rsidRPr="00382135">
        <w:rPr>
          <w:rFonts w:cs="Arial"/>
          <w:noProof/>
        </w:rPr>
        <w:t>Conduct feasibility studies and market research to assess the viability of potential conversion options</w:t>
      </w:r>
      <w:r w:rsidR="004E0E39" w:rsidRPr="00382135">
        <w:rPr>
          <w:rFonts w:cs="Arial"/>
          <w:noProof/>
        </w:rPr>
        <w:t xml:space="preserve"> </w:t>
      </w:r>
      <w:r w:rsidR="005A20A3" w:rsidRPr="00382135">
        <w:rPr>
          <w:rFonts w:cs="Arial"/>
          <w:noProof/>
        </w:rPr>
        <w:t>(Crespí-Cladera et al., 2021).</w:t>
      </w:r>
    </w:p>
    <w:p w14:paraId="137EC4FD" w14:textId="77777777" w:rsidR="002B71FB" w:rsidRPr="00382135" w:rsidRDefault="002B71FB" w:rsidP="00382135">
      <w:pPr>
        <w:pStyle w:val="ListParagraph"/>
        <w:numPr>
          <w:ilvl w:val="0"/>
          <w:numId w:val="12"/>
        </w:numPr>
        <w:rPr>
          <w:rFonts w:cs="Arial"/>
          <w:noProof/>
        </w:rPr>
      </w:pPr>
      <w:r w:rsidRPr="00382135">
        <w:rPr>
          <w:rFonts w:cs="Arial"/>
          <w:noProof/>
        </w:rPr>
        <w:t>Evaluate the required investments, zoning regulations, and potential returns on the repurposed property.</w:t>
      </w:r>
    </w:p>
    <w:p w14:paraId="35D09263" w14:textId="6355A433" w:rsidR="002B71FB" w:rsidRPr="00382135" w:rsidRDefault="00EE06F4" w:rsidP="00382135">
      <w:pPr>
        <w:rPr>
          <w:rFonts w:cs="Arial"/>
          <w:noProof/>
        </w:rPr>
      </w:pPr>
      <w:r w:rsidRPr="00382135">
        <w:rPr>
          <w:rFonts w:cs="Arial"/>
          <w:noProof/>
        </w:rPr>
        <w:t>It creates conventional financial effects, thus results are interconnected. So many repercussions mean the matter is complicated, making it a complex task. The owner should know their skills and knowledge to make the same policy commitments and accept expert viewpoints to make the best selection for long- and short-term goals.</w:t>
      </w:r>
    </w:p>
    <w:p w14:paraId="56261E66" w14:textId="77777777" w:rsidR="00385581" w:rsidRPr="00382135" w:rsidRDefault="00385581" w:rsidP="00382135">
      <w:pPr>
        <w:spacing w:before="0" w:after="160"/>
        <w:jc w:val="left"/>
        <w:rPr>
          <w:rFonts w:eastAsiaTheme="majorEastAsia" w:cs="Arial"/>
          <w:b/>
          <w:noProof/>
          <w:sz w:val="32"/>
          <w:szCs w:val="32"/>
        </w:rPr>
      </w:pPr>
      <w:r w:rsidRPr="00382135">
        <w:rPr>
          <w:rFonts w:cs="Arial"/>
          <w:noProof/>
        </w:rPr>
        <w:br w:type="page"/>
      </w:r>
    </w:p>
    <w:p w14:paraId="7C5889FB" w14:textId="79B5FFE0" w:rsidR="002B71FB" w:rsidRPr="00382135" w:rsidRDefault="002B71FB" w:rsidP="00382135">
      <w:pPr>
        <w:pStyle w:val="Heading1"/>
        <w:rPr>
          <w:rFonts w:cs="Arial"/>
          <w:noProof/>
          <w:color w:val="auto"/>
        </w:rPr>
      </w:pPr>
      <w:bookmarkStart w:id="8" w:name="_Toc168351881"/>
      <w:r w:rsidRPr="00382135">
        <w:rPr>
          <w:rFonts w:cs="Arial"/>
          <w:noProof/>
          <w:color w:val="auto"/>
        </w:rPr>
        <w:lastRenderedPageBreak/>
        <w:t>Conclusion</w:t>
      </w:r>
      <w:bookmarkEnd w:id="8"/>
    </w:p>
    <w:p w14:paraId="56072BE4" w14:textId="43B3FDFB" w:rsidR="002B71FB" w:rsidRPr="00382135" w:rsidRDefault="00EB2484" w:rsidP="00382135">
      <w:pPr>
        <w:rPr>
          <w:rFonts w:cs="Arial"/>
          <w:noProof/>
        </w:rPr>
      </w:pPr>
      <w:r w:rsidRPr="00382135">
        <w:rPr>
          <w:rFonts w:cs="Arial"/>
          <w:noProof/>
        </w:rPr>
        <w:t>A f</w:t>
      </w:r>
      <w:r w:rsidR="00EE06F4" w:rsidRPr="00382135">
        <w:rPr>
          <w:rFonts w:cs="Arial"/>
          <w:noProof/>
        </w:rPr>
        <w:t xml:space="preserve">inancial review of Urban </w:t>
      </w:r>
      <w:r w:rsidR="00DD5E2B" w:rsidRPr="00382135">
        <w:rPr>
          <w:rFonts w:cs="Arial"/>
          <w:noProof/>
        </w:rPr>
        <w:t xml:space="preserve">Heights </w:t>
      </w:r>
      <w:r w:rsidR="00EE06F4" w:rsidRPr="00382135">
        <w:rPr>
          <w:rFonts w:cs="Arial"/>
          <w:noProof/>
        </w:rPr>
        <w:t>Hotel showed their financial situation was dire. Recessions caused more expenses, lower revenues, lower profits, tighter liquidity, and lower equity prices. Since management prioritise</w:t>
      </w:r>
      <w:r w:rsidRPr="00382135">
        <w:rPr>
          <w:rFonts w:cs="Arial"/>
          <w:noProof/>
        </w:rPr>
        <w:t>s</w:t>
      </w:r>
      <w:r w:rsidR="00EE06F4" w:rsidRPr="00382135">
        <w:rPr>
          <w:rFonts w:cs="Arial"/>
          <w:noProof/>
        </w:rPr>
        <w:t xml:space="preserve"> short-term solutions, this challenge could undermine the hotel's company</w:t>
      </w:r>
      <w:r w:rsidR="00390678" w:rsidRPr="00382135">
        <w:rPr>
          <w:rFonts w:cs="Arial"/>
          <w:noProof/>
        </w:rPr>
        <w:t xml:space="preserve">. </w:t>
      </w:r>
      <w:r w:rsidR="00EE06F4" w:rsidRPr="00382135">
        <w:rPr>
          <w:rFonts w:cs="Arial"/>
          <w:noProof/>
        </w:rPr>
        <w:t xml:space="preserve">Hotel management turnaround comprises revenue growth, cost management, financial restructuring, and reputation management programmes. These tactics will help </w:t>
      </w:r>
      <w:r w:rsidR="00FE1AE1" w:rsidRPr="00382135">
        <w:rPr>
          <w:rFonts w:cs="Arial"/>
          <w:noProof/>
        </w:rPr>
        <w:t>the</w:t>
      </w:r>
      <w:r w:rsidR="00EE06F4" w:rsidRPr="00382135">
        <w:rPr>
          <w:rFonts w:cs="Arial"/>
          <w:noProof/>
        </w:rPr>
        <w:t xml:space="preserve"> hotel avoid profitability loss and make it a local leader in internal liquidity and financial health. The establishment may favour bankruptcy, asset sale, debt reorganisation, or strategic partnerships if the turnaround mode is unexpected. </w:t>
      </w:r>
      <w:r w:rsidR="00E36B19" w:rsidRPr="00382135">
        <w:rPr>
          <w:rFonts w:cs="Arial"/>
          <w:noProof/>
        </w:rPr>
        <w:t xml:space="preserve">For Urban Heights Hotel to achieve success and recover the owner's investment, it is necessary to resolve these financial concerns. </w:t>
      </w:r>
      <w:r w:rsidR="002B71FB" w:rsidRPr="00382135">
        <w:rPr>
          <w:rFonts w:cs="Arial"/>
          <w:noProof/>
        </w:rPr>
        <w:br w:type="page"/>
      </w:r>
    </w:p>
    <w:p w14:paraId="44F9E87A" w14:textId="55D26FF4" w:rsidR="002B71FB" w:rsidRPr="00382135" w:rsidRDefault="002B71FB" w:rsidP="00382135">
      <w:pPr>
        <w:pStyle w:val="Heading1"/>
        <w:rPr>
          <w:rFonts w:cs="Arial"/>
          <w:noProof/>
          <w:color w:val="auto"/>
        </w:rPr>
      </w:pPr>
      <w:bookmarkStart w:id="9" w:name="_Toc168351882"/>
      <w:r w:rsidRPr="00382135">
        <w:rPr>
          <w:rFonts w:cs="Arial"/>
          <w:noProof/>
          <w:color w:val="auto"/>
        </w:rPr>
        <w:lastRenderedPageBreak/>
        <w:t>Reference</w:t>
      </w:r>
      <w:r w:rsidR="00F012B1" w:rsidRPr="00382135">
        <w:rPr>
          <w:rFonts w:cs="Arial"/>
          <w:noProof/>
          <w:color w:val="auto"/>
        </w:rPr>
        <w:t xml:space="preserve"> List</w:t>
      </w:r>
      <w:bookmarkEnd w:id="9"/>
    </w:p>
    <w:p w14:paraId="3FFCFBE3" w14:textId="77777777" w:rsidR="007C3C83" w:rsidRPr="00382135" w:rsidRDefault="007C3C83" w:rsidP="00382135">
      <w:pPr>
        <w:rPr>
          <w:rFonts w:cs="Arial"/>
          <w:noProof/>
        </w:rPr>
      </w:pPr>
      <w:r w:rsidRPr="00382135">
        <w:rPr>
          <w:rFonts w:cs="Arial"/>
          <w:noProof/>
        </w:rPr>
        <w:t xml:space="preserve">Atrill, P. and McLaney, E. (2022) </w:t>
      </w:r>
      <w:r w:rsidRPr="00382135">
        <w:rPr>
          <w:rFonts w:cs="Arial"/>
          <w:i/>
          <w:iCs/>
          <w:noProof/>
        </w:rPr>
        <w:t>Management accounting for decision makers</w:t>
      </w:r>
      <w:r w:rsidRPr="00382135">
        <w:rPr>
          <w:rFonts w:cs="Arial"/>
          <w:noProof/>
        </w:rPr>
        <w:t xml:space="preserve">. FT Prentice Hall. </w:t>
      </w:r>
    </w:p>
    <w:p w14:paraId="6757FDCB" w14:textId="77777777" w:rsidR="007C3C83" w:rsidRPr="00382135" w:rsidRDefault="007C3C83" w:rsidP="00382135">
      <w:pPr>
        <w:rPr>
          <w:rFonts w:cs="Arial"/>
          <w:noProof/>
        </w:rPr>
      </w:pPr>
      <w:r w:rsidRPr="00382135">
        <w:rPr>
          <w:rFonts w:cs="Arial"/>
          <w:noProof/>
        </w:rPr>
        <w:t xml:space="preserve">Bhatia, A. K. (2019) </w:t>
      </w:r>
      <w:r w:rsidRPr="00382135">
        <w:rPr>
          <w:rFonts w:cs="Arial"/>
          <w:i/>
          <w:iCs/>
          <w:noProof/>
        </w:rPr>
        <w:t>Hospitality financial management: Theory and practice</w:t>
      </w:r>
      <w:r w:rsidRPr="00382135">
        <w:rPr>
          <w:rFonts w:cs="Arial"/>
          <w:noProof/>
        </w:rPr>
        <w:t xml:space="preserve">. Wordsmith Publications. </w:t>
      </w:r>
    </w:p>
    <w:p w14:paraId="35B04CC8" w14:textId="77777777" w:rsidR="007C3C83" w:rsidRPr="00382135" w:rsidRDefault="007C3C83" w:rsidP="00382135">
      <w:pPr>
        <w:rPr>
          <w:rFonts w:cs="Arial"/>
          <w:noProof/>
        </w:rPr>
      </w:pPr>
      <w:r w:rsidRPr="00382135">
        <w:rPr>
          <w:rFonts w:cs="Arial"/>
          <w:noProof/>
        </w:rPr>
        <w:t xml:space="preserve">Brotherton, B. (2020) </w:t>
      </w:r>
      <w:r w:rsidRPr="00382135">
        <w:rPr>
          <w:rFonts w:cs="Arial"/>
          <w:i/>
          <w:iCs/>
          <w:noProof/>
        </w:rPr>
        <w:t>Hospitality financial management</w:t>
      </w:r>
      <w:r w:rsidRPr="00382135">
        <w:rPr>
          <w:rFonts w:cs="Arial"/>
          <w:noProof/>
        </w:rPr>
        <w:t xml:space="preserve">. Sage Publications. </w:t>
      </w:r>
    </w:p>
    <w:p w14:paraId="477E6E0C" w14:textId="77777777" w:rsidR="007C3C83" w:rsidRPr="00382135" w:rsidRDefault="007C3C83" w:rsidP="00382135">
      <w:pPr>
        <w:rPr>
          <w:rFonts w:cs="Arial"/>
          <w:noProof/>
        </w:rPr>
      </w:pPr>
      <w:r w:rsidRPr="00382135">
        <w:rPr>
          <w:rFonts w:cs="Arial"/>
          <w:noProof/>
        </w:rPr>
        <w:t xml:space="preserve">Coltman, M. M. and Jagels, M. G. (2015) </w:t>
      </w:r>
      <w:r w:rsidRPr="00382135">
        <w:rPr>
          <w:rFonts w:cs="Arial"/>
          <w:i/>
          <w:iCs/>
          <w:noProof/>
        </w:rPr>
        <w:t>Hospitality management accounting</w:t>
      </w:r>
      <w:r w:rsidRPr="00382135">
        <w:rPr>
          <w:rFonts w:cs="Arial"/>
          <w:noProof/>
        </w:rPr>
        <w:t xml:space="preserve">. John Wiley &amp; Sons. </w:t>
      </w:r>
    </w:p>
    <w:p w14:paraId="58509095" w14:textId="77777777" w:rsidR="007C3C83" w:rsidRPr="00382135" w:rsidRDefault="007C3C83" w:rsidP="00382135">
      <w:pPr>
        <w:rPr>
          <w:rFonts w:cs="Arial"/>
          <w:noProof/>
        </w:rPr>
      </w:pPr>
      <w:r w:rsidRPr="00382135">
        <w:rPr>
          <w:rFonts w:cs="Arial"/>
          <w:noProof/>
        </w:rPr>
        <w:t xml:space="preserve">Crespí-Cladera, R., Martín-Oliver, A. and Pascual-Fuster, B. (2021) Financial distress in the hospitality industry during the Covid-19 disaster. </w:t>
      </w:r>
      <w:r w:rsidRPr="00382135">
        <w:rPr>
          <w:rFonts w:cs="Arial"/>
          <w:i/>
          <w:iCs/>
          <w:noProof/>
        </w:rPr>
        <w:t>Tourism Management</w:t>
      </w:r>
      <w:r w:rsidRPr="00382135">
        <w:rPr>
          <w:rFonts w:cs="Arial"/>
          <w:noProof/>
        </w:rPr>
        <w:t xml:space="preserve">, </w:t>
      </w:r>
      <w:r w:rsidRPr="00382135">
        <w:rPr>
          <w:rFonts w:cs="Arial"/>
          <w:i/>
          <w:iCs/>
          <w:noProof/>
        </w:rPr>
        <w:t>85</w:t>
      </w:r>
      <w:r w:rsidRPr="00382135">
        <w:rPr>
          <w:rFonts w:cs="Arial"/>
          <w:noProof/>
        </w:rPr>
        <w:t>, p.104301.</w:t>
      </w:r>
    </w:p>
    <w:p w14:paraId="25C7963F" w14:textId="77777777" w:rsidR="007C3C83" w:rsidRPr="00382135" w:rsidRDefault="007C3C83" w:rsidP="00382135">
      <w:pPr>
        <w:rPr>
          <w:rFonts w:cs="Arial"/>
          <w:noProof/>
        </w:rPr>
      </w:pPr>
      <w:r w:rsidRPr="00382135">
        <w:rPr>
          <w:rFonts w:cs="Arial"/>
          <w:noProof/>
        </w:rPr>
        <w:t xml:space="preserve">Enz, C. A. and Canina, L. (2022) </w:t>
      </w:r>
      <w:r w:rsidRPr="00382135">
        <w:rPr>
          <w:rFonts w:cs="Arial"/>
          <w:i/>
          <w:iCs/>
          <w:noProof/>
        </w:rPr>
        <w:t>Hotel revenue management: Pricing, analytics, and strategies.</w:t>
      </w:r>
      <w:r w:rsidRPr="00382135">
        <w:rPr>
          <w:rFonts w:cs="Arial"/>
          <w:noProof/>
        </w:rPr>
        <w:t xml:space="preserve"> Routledge. </w:t>
      </w:r>
    </w:p>
    <w:p w14:paraId="74DBBADC" w14:textId="77777777" w:rsidR="007C3C83" w:rsidRPr="00382135" w:rsidRDefault="007C3C83" w:rsidP="00382135">
      <w:pPr>
        <w:rPr>
          <w:rFonts w:cs="Arial"/>
          <w:noProof/>
        </w:rPr>
      </w:pPr>
      <w:r w:rsidRPr="00382135">
        <w:rPr>
          <w:rFonts w:cs="Arial"/>
          <w:noProof/>
        </w:rPr>
        <w:t xml:space="preserve">Ericsson, M. and Solvoll, S. (2021) The financial performance of hotels: A study of the Norwegian hotel industry during the COVID-19 pandemic. </w:t>
      </w:r>
      <w:r w:rsidRPr="00382135">
        <w:rPr>
          <w:rFonts w:cs="Arial"/>
          <w:i/>
          <w:iCs/>
          <w:noProof/>
        </w:rPr>
        <w:t>Scandinavian Journal of Hospitality and Tourism</w:t>
      </w:r>
      <w:r w:rsidRPr="00382135">
        <w:rPr>
          <w:rFonts w:cs="Arial"/>
          <w:noProof/>
        </w:rPr>
        <w:t xml:space="preserve">, 21(4), 335-353. </w:t>
      </w:r>
    </w:p>
    <w:p w14:paraId="2C9C912B" w14:textId="77777777" w:rsidR="007C3C83" w:rsidRPr="00382135" w:rsidRDefault="007C3C83" w:rsidP="00382135">
      <w:pPr>
        <w:rPr>
          <w:rFonts w:cs="Arial"/>
          <w:noProof/>
        </w:rPr>
      </w:pPr>
      <w:r w:rsidRPr="00382135">
        <w:rPr>
          <w:rFonts w:cs="Arial"/>
          <w:noProof/>
        </w:rPr>
        <w:t xml:space="preserve">Guilding, C. (2014) </w:t>
      </w:r>
      <w:r w:rsidRPr="00382135">
        <w:rPr>
          <w:rFonts w:cs="Arial"/>
          <w:i/>
          <w:iCs/>
          <w:noProof/>
        </w:rPr>
        <w:t>Accounting Essentials for Hospitality Managers</w:t>
      </w:r>
      <w:r w:rsidRPr="00382135">
        <w:rPr>
          <w:rFonts w:cs="Arial"/>
          <w:noProof/>
        </w:rPr>
        <w:t>. 3rd Edition. London: Routledge.</w:t>
      </w:r>
    </w:p>
    <w:p w14:paraId="0D79F338" w14:textId="77777777" w:rsidR="007C3C83" w:rsidRPr="00382135" w:rsidRDefault="007C3C83" w:rsidP="00382135">
      <w:pPr>
        <w:rPr>
          <w:rFonts w:cs="Arial"/>
          <w:noProof/>
        </w:rPr>
      </w:pPr>
      <w:r w:rsidRPr="00382135">
        <w:rPr>
          <w:rFonts w:cs="Arial"/>
          <w:noProof/>
        </w:rPr>
        <w:t>Henriksson, J. and Karlsson Eriksson, O. (2021) Managing brand equity during an ongoing pandemic: A qualitative study in the tourism and hospitality industry during COVID-19. Available at: https://www.diva-portal.org/smash/get/diva2:1566529/FULLTEXT01.pdf</w:t>
      </w:r>
    </w:p>
    <w:p w14:paraId="1A746198" w14:textId="77777777" w:rsidR="007C3C83" w:rsidRPr="00382135" w:rsidRDefault="007C3C83" w:rsidP="00382135">
      <w:pPr>
        <w:rPr>
          <w:rFonts w:cs="Arial"/>
          <w:noProof/>
        </w:rPr>
      </w:pPr>
      <w:r w:rsidRPr="00382135">
        <w:rPr>
          <w:rFonts w:cs="Arial"/>
          <w:noProof/>
        </w:rPr>
        <w:t xml:space="preserve">Igosheva, L., Filimonau, V., Ciraulo, M., Ashton, M. and Ermolaev, V.A. (2024) Revisiting the taxonomy of market exit strategies in hotels. </w:t>
      </w:r>
      <w:r w:rsidRPr="00382135">
        <w:rPr>
          <w:rFonts w:cs="Arial"/>
          <w:i/>
          <w:iCs/>
          <w:noProof/>
        </w:rPr>
        <w:t>International Journal of Hospitality Management</w:t>
      </w:r>
      <w:r w:rsidRPr="00382135">
        <w:rPr>
          <w:rFonts w:cs="Arial"/>
          <w:noProof/>
        </w:rPr>
        <w:t xml:space="preserve">, </w:t>
      </w:r>
      <w:r w:rsidRPr="00382135">
        <w:rPr>
          <w:rFonts w:cs="Arial"/>
          <w:i/>
          <w:iCs/>
          <w:noProof/>
        </w:rPr>
        <w:t>120</w:t>
      </w:r>
      <w:r w:rsidRPr="00382135">
        <w:rPr>
          <w:rFonts w:cs="Arial"/>
          <w:noProof/>
        </w:rPr>
        <w:t>, p.103777.</w:t>
      </w:r>
    </w:p>
    <w:p w14:paraId="7DD0CB2C" w14:textId="77777777" w:rsidR="007C3C83" w:rsidRPr="00382135" w:rsidRDefault="007C3C83" w:rsidP="00382135">
      <w:pPr>
        <w:rPr>
          <w:rFonts w:cs="Arial"/>
          <w:noProof/>
        </w:rPr>
      </w:pPr>
      <w:r w:rsidRPr="00382135">
        <w:rPr>
          <w:rFonts w:cs="Arial"/>
          <w:noProof/>
        </w:rPr>
        <w:lastRenderedPageBreak/>
        <w:t xml:space="preserve">Legrand, W., Chen, J.S. and Laeis, G.C. (2022) </w:t>
      </w:r>
      <w:r w:rsidRPr="00382135">
        <w:rPr>
          <w:rFonts w:cs="Arial"/>
          <w:i/>
          <w:iCs/>
          <w:noProof/>
        </w:rPr>
        <w:t>Sustainability in the hospitality industry: Principles of sustainable operations</w:t>
      </w:r>
      <w:r w:rsidRPr="00382135">
        <w:rPr>
          <w:rFonts w:cs="Arial"/>
          <w:noProof/>
        </w:rPr>
        <w:t>. Routledge.</w:t>
      </w:r>
    </w:p>
    <w:p w14:paraId="4E0F57B6" w14:textId="77777777" w:rsidR="007C3C83" w:rsidRPr="00382135" w:rsidRDefault="007C3C83" w:rsidP="00382135">
      <w:pPr>
        <w:rPr>
          <w:rFonts w:cs="Arial"/>
          <w:noProof/>
        </w:rPr>
      </w:pPr>
      <w:bookmarkStart w:id="10" w:name="_Hlk167142671"/>
      <w:r w:rsidRPr="00382135">
        <w:rPr>
          <w:rFonts w:cs="Arial"/>
          <w:noProof/>
        </w:rPr>
        <w:t xml:space="preserve">Radwan, H.R.I. and Radwan, I. (2017) Managing hotels during economic challenges: A case study on hotels in Sharm El-Sheikh and Hurghada, Egypt. </w:t>
      </w:r>
      <w:r w:rsidRPr="00382135">
        <w:rPr>
          <w:rFonts w:cs="Arial"/>
          <w:i/>
          <w:iCs/>
          <w:noProof/>
        </w:rPr>
        <w:t>Journal of Tourism and Hospitality Management</w:t>
      </w:r>
      <w:r w:rsidRPr="00382135">
        <w:rPr>
          <w:rFonts w:cs="Arial"/>
          <w:noProof/>
        </w:rPr>
        <w:t xml:space="preserve">, </w:t>
      </w:r>
      <w:r w:rsidRPr="00382135">
        <w:rPr>
          <w:rFonts w:cs="Arial"/>
          <w:i/>
          <w:iCs/>
          <w:noProof/>
        </w:rPr>
        <w:t>5</w:t>
      </w:r>
      <w:r w:rsidRPr="00382135">
        <w:rPr>
          <w:rFonts w:cs="Arial"/>
          <w:noProof/>
        </w:rPr>
        <w:t>(2), pp.84-100.</w:t>
      </w:r>
    </w:p>
    <w:p w14:paraId="3DA4BD5B" w14:textId="77777777" w:rsidR="007C3C83" w:rsidRPr="00382135" w:rsidRDefault="007C3C83" w:rsidP="00382135">
      <w:pPr>
        <w:rPr>
          <w:rFonts w:cs="Arial"/>
          <w:noProof/>
        </w:rPr>
      </w:pPr>
      <w:r w:rsidRPr="00382135">
        <w:rPr>
          <w:rFonts w:cs="Arial"/>
          <w:noProof/>
        </w:rPr>
        <w:t xml:space="preserve">Tranter, K. Stuart-Hill, T. and Parker, J. (2014) </w:t>
      </w:r>
      <w:r w:rsidRPr="00382135">
        <w:rPr>
          <w:rFonts w:cs="Arial"/>
          <w:i/>
          <w:iCs/>
          <w:noProof/>
        </w:rPr>
        <w:t>Introduction to Revenue Management for the Hospitality Industry</w:t>
      </w:r>
      <w:r w:rsidRPr="00382135">
        <w:rPr>
          <w:rFonts w:cs="Arial"/>
          <w:noProof/>
        </w:rPr>
        <w:t>. London, Pearson.</w:t>
      </w:r>
    </w:p>
    <w:bookmarkEnd w:id="10"/>
    <w:p w14:paraId="74011689" w14:textId="77777777" w:rsidR="007C3C83" w:rsidRPr="00382135" w:rsidRDefault="007C3C83" w:rsidP="00382135">
      <w:pPr>
        <w:rPr>
          <w:rFonts w:cs="Arial"/>
          <w:noProof/>
        </w:rPr>
      </w:pPr>
      <w:r w:rsidRPr="00382135">
        <w:rPr>
          <w:rFonts w:cs="Arial"/>
          <w:noProof/>
        </w:rPr>
        <w:t xml:space="preserve">Turner, M.J. and Hesford, J.W. (2019) The impact of renovation capital expenditure on hotel property performance. </w:t>
      </w:r>
      <w:r w:rsidRPr="00382135">
        <w:rPr>
          <w:rFonts w:cs="Arial"/>
          <w:i/>
          <w:iCs/>
          <w:noProof/>
        </w:rPr>
        <w:t>Cornell Hospitality Quarterly</w:t>
      </w:r>
      <w:r w:rsidRPr="00382135">
        <w:rPr>
          <w:rFonts w:cs="Arial"/>
          <w:noProof/>
        </w:rPr>
        <w:t xml:space="preserve">, </w:t>
      </w:r>
      <w:r w:rsidRPr="00382135">
        <w:rPr>
          <w:rFonts w:cs="Arial"/>
          <w:i/>
          <w:iCs/>
          <w:noProof/>
        </w:rPr>
        <w:t>60</w:t>
      </w:r>
      <w:r w:rsidRPr="00382135">
        <w:rPr>
          <w:rFonts w:cs="Arial"/>
          <w:noProof/>
        </w:rPr>
        <w:t>(1), pp.25-39.</w:t>
      </w:r>
    </w:p>
    <w:p w14:paraId="68CA74BC" w14:textId="77777777" w:rsidR="007C3C83" w:rsidRPr="00382135" w:rsidRDefault="007C3C83" w:rsidP="00382135">
      <w:pPr>
        <w:rPr>
          <w:rFonts w:cs="Arial"/>
          <w:noProof/>
        </w:rPr>
      </w:pPr>
      <w:r w:rsidRPr="00382135">
        <w:rPr>
          <w:rFonts w:cs="Arial"/>
          <w:noProof/>
        </w:rPr>
        <w:t xml:space="preserve">Walker, J. (2021) </w:t>
      </w:r>
      <w:r w:rsidRPr="00382135">
        <w:rPr>
          <w:rFonts w:cs="Arial"/>
          <w:i/>
          <w:iCs/>
          <w:noProof/>
        </w:rPr>
        <w:t>Introduction to Hospitality</w:t>
      </w:r>
      <w:r w:rsidRPr="00382135">
        <w:rPr>
          <w:rFonts w:cs="Arial"/>
          <w:noProof/>
        </w:rPr>
        <w:t>. Harlow, Pearson.</w:t>
      </w:r>
    </w:p>
    <w:p w14:paraId="39ED50F3" w14:textId="77777777" w:rsidR="007C3C83" w:rsidRPr="00382135" w:rsidRDefault="007C3C83" w:rsidP="00382135">
      <w:pPr>
        <w:rPr>
          <w:rFonts w:cs="Arial"/>
          <w:noProof/>
        </w:rPr>
      </w:pPr>
      <w:r w:rsidRPr="00382135">
        <w:rPr>
          <w:rFonts w:cs="Arial"/>
          <w:noProof/>
        </w:rPr>
        <w:t xml:space="preserve">Zarezadeh, Z.Z., Rastegar, R. and Xiang, Z. (2022) Big data analytics and hotel guest experience: a critical analysis of the literature. </w:t>
      </w:r>
      <w:r w:rsidRPr="00382135">
        <w:rPr>
          <w:rFonts w:cs="Arial"/>
          <w:i/>
          <w:iCs/>
          <w:noProof/>
        </w:rPr>
        <w:t>International Journal of Contemporary Hospitality Management</w:t>
      </w:r>
      <w:r w:rsidRPr="00382135">
        <w:rPr>
          <w:rFonts w:cs="Arial"/>
          <w:noProof/>
        </w:rPr>
        <w:t xml:space="preserve">, </w:t>
      </w:r>
      <w:r w:rsidRPr="00382135">
        <w:rPr>
          <w:rFonts w:cs="Arial"/>
          <w:i/>
          <w:iCs/>
          <w:noProof/>
        </w:rPr>
        <w:t>34</w:t>
      </w:r>
      <w:r w:rsidRPr="00382135">
        <w:rPr>
          <w:rFonts w:cs="Arial"/>
          <w:noProof/>
        </w:rPr>
        <w:t>(6), pp.2320-2336.</w:t>
      </w:r>
    </w:p>
    <w:p w14:paraId="60EBEE88" w14:textId="77777777" w:rsidR="004B3EE4" w:rsidRPr="00382135" w:rsidRDefault="004B3EE4" w:rsidP="00382135">
      <w:pPr>
        <w:rPr>
          <w:rFonts w:cs="Arial"/>
          <w:noProof/>
        </w:rPr>
      </w:pPr>
    </w:p>
    <w:sectPr w:rsidR="004B3EE4" w:rsidRPr="00382135" w:rsidSect="00B0523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AD5637" w14:textId="77777777" w:rsidR="009D3B53" w:rsidRDefault="009D3B53" w:rsidP="00EB2484">
      <w:pPr>
        <w:spacing w:before="0" w:after="0" w:line="240" w:lineRule="auto"/>
      </w:pPr>
      <w:r>
        <w:separator/>
      </w:r>
    </w:p>
  </w:endnote>
  <w:endnote w:type="continuationSeparator" w:id="0">
    <w:p w14:paraId="3215681E" w14:textId="77777777" w:rsidR="009D3B53" w:rsidRDefault="009D3B53" w:rsidP="00EB24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57724"/>
      <w:docPartObj>
        <w:docPartGallery w:val="Page Numbers (Bottom of Page)"/>
        <w:docPartUnique/>
      </w:docPartObj>
    </w:sdtPr>
    <w:sdtContent>
      <w:p w14:paraId="2F715BD2" w14:textId="64787C42" w:rsidR="00EB2484" w:rsidRDefault="00EB2484">
        <w:pPr>
          <w:pStyle w:val="Footer"/>
          <w:jc w:val="center"/>
        </w:pPr>
        <w:r>
          <w:t>[</w:t>
        </w:r>
        <w:r>
          <w:fldChar w:fldCharType="begin"/>
        </w:r>
        <w:r>
          <w:instrText>PAGE   \* MERGEFORMAT</w:instrText>
        </w:r>
        <w:r>
          <w:fldChar w:fldCharType="separate"/>
        </w:r>
        <w:r>
          <w:t>2</w:t>
        </w:r>
        <w:r>
          <w:fldChar w:fldCharType="end"/>
        </w:r>
        <w:r>
          <w:t>]</w:t>
        </w:r>
      </w:p>
    </w:sdtContent>
  </w:sdt>
  <w:p w14:paraId="4CB3DFFD" w14:textId="77777777" w:rsidR="00EB2484" w:rsidRDefault="00EB2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5F89EF" w14:textId="77777777" w:rsidR="009D3B53" w:rsidRDefault="009D3B53" w:rsidP="00EB2484">
      <w:pPr>
        <w:spacing w:before="0" w:after="0" w:line="240" w:lineRule="auto"/>
      </w:pPr>
      <w:r>
        <w:separator/>
      </w:r>
    </w:p>
  </w:footnote>
  <w:footnote w:type="continuationSeparator" w:id="0">
    <w:p w14:paraId="265A9F69" w14:textId="77777777" w:rsidR="009D3B53" w:rsidRDefault="009D3B53" w:rsidP="00EB248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E1221"/>
    <w:multiLevelType w:val="hybridMultilevel"/>
    <w:tmpl w:val="43EA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758D"/>
    <w:multiLevelType w:val="multilevel"/>
    <w:tmpl w:val="FFC0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C22D5"/>
    <w:multiLevelType w:val="hybridMultilevel"/>
    <w:tmpl w:val="F0104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64A13"/>
    <w:multiLevelType w:val="multilevel"/>
    <w:tmpl w:val="E72AF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350DB"/>
    <w:multiLevelType w:val="hybridMultilevel"/>
    <w:tmpl w:val="5576E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07402C"/>
    <w:multiLevelType w:val="multilevel"/>
    <w:tmpl w:val="225C9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1A2D3E"/>
    <w:multiLevelType w:val="multilevel"/>
    <w:tmpl w:val="DE3E9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D6701E"/>
    <w:multiLevelType w:val="multilevel"/>
    <w:tmpl w:val="FDBE1A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1E335E"/>
    <w:multiLevelType w:val="multilevel"/>
    <w:tmpl w:val="B978B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9F438E"/>
    <w:multiLevelType w:val="hybridMultilevel"/>
    <w:tmpl w:val="DD689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AE6C38"/>
    <w:multiLevelType w:val="multilevel"/>
    <w:tmpl w:val="DE6EB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7B26C0"/>
    <w:multiLevelType w:val="multilevel"/>
    <w:tmpl w:val="A290F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BE258A"/>
    <w:multiLevelType w:val="multilevel"/>
    <w:tmpl w:val="AF18A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6B16CE"/>
    <w:multiLevelType w:val="multilevel"/>
    <w:tmpl w:val="27C8A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9A6A4D"/>
    <w:multiLevelType w:val="hybridMultilevel"/>
    <w:tmpl w:val="D2FA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FC5CB7"/>
    <w:multiLevelType w:val="hybridMultilevel"/>
    <w:tmpl w:val="3AD21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63186C"/>
    <w:multiLevelType w:val="hybridMultilevel"/>
    <w:tmpl w:val="498E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A10F6"/>
    <w:multiLevelType w:val="multilevel"/>
    <w:tmpl w:val="BAAE4D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6F10F7"/>
    <w:multiLevelType w:val="hybridMultilevel"/>
    <w:tmpl w:val="1018B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297559"/>
    <w:multiLevelType w:val="hybridMultilevel"/>
    <w:tmpl w:val="36409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A13315"/>
    <w:multiLevelType w:val="multilevel"/>
    <w:tmpl w:val="D7CC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E24F5B"/>
    <w:multiLevelType w:val="multilevel"/>
    <w:tmpl w:val="2144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9847745">
    <w:abstractNumId w:val="11"/>
  </w:num>
  <w:num w:numId="2" w16cid:durableId="1263302547">
    <w:abstractNumId w:val="1"/>
  </w:num>
  <w:num w:numId="3" w16cid:durableId="427628157">
    <w:abstractNumId w:val="6"/>
  </w:num>
  <w:num w:numId="4" w16cid:durableId="1590650182">
    <w:abstractNumId w:val="5"/>
  </w:num>
  <w:num w:numId="5" w16cid:durableId="1992437957">
    <w:abstractNumId w:val="12"/>
  </w:num>
  <w:num w:numId="6" w16cid:durableId="793982187">
    <w:abstractNumId w:val="8"/>
  </w:num>
  <w:num w:numId="7" w16cid:durableId="47413581">
    <w:abstractNumId w:val="10"/>
  </w:num>
  <w:num w:numId="8" w16cid:durableId="1560554754">
    <w:abstractNumId w:val="17"/>
  </w:num>
  <w:num w:numId="9" w16cid:durableId="1751851181">
    <w:abstractNumId w:val="3"/>
  </w:num>
  <w:num w:numId="10" w16cid:durableId="887491863">
    <w:abstractNumId w:val="7"/>
  </w:num>
  <w:num w:numId="11" w16cid:durableId="703603730">
    <w:abstractNumId w:val="0"/>
  </w:num>
  <w:num w:numId="12" w16cid:durableId="1251234157">
    <w:abstractNumId w:val="4"/>
  </w:num>
  <w:num w:numId="13" w16cid:durableId="1230265104">
    <w:abstractNumId w:val="14"/>
  </w:num>
  <w:num w:numId="14" w16cid:durableId="1352218412">
    <w:abstractNumId w:val="19"/>
  </w:num>
  <w:num w:numId="15" w16cid:durableId="2010138934">
    <w:abstractNumId w:val="15"/>
  </w:num>
  <w:num w:numId="16" w16cid:durableId="1795710680">
    <w:abstractNumId w:val="16"/>
  </w:num>
  <w:num w:numId="17" w16cid:durableId="1736195797">
    <w:abstractNumId w:val="9"/>
  </w:num>
  <w:num w:numId="18" w16cid:durableId="1179660976">
    <w:abstractNumId w:val="18"/>
  </w:num>
  <w:num w:numId="19" w16cid:durableId="1797525018">
    <w:abstractNumId w:val="20"/>
  </w:num>
  <w:num w:numId="20" w16cid:durableId="864827452">
    <w:abstractNumId w:val="13"/>
  </w:num>
  <w:num w:numId="21" w16cid:durableId="489909068">
    <w:abstractNumId w:val="21"/>
  </w:num>
  <w:num w:numId="22" w16cid:durableId="855801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2NrQwMre0MDUyNzJR0lEKTi0uzszPAykwqwUANSoDNywAAAA="/>
  </w:docVars>
  <w:rsids>
    <w:rsidRoot w:val="001B3C69"/>
    <w:rsid w:val="00011540"/>
    <w:rsid w:val="00015DF7"/>
    <w:rsid w:val="000431D9"/>
    <w:rsid w:val="00065541"/>
    <w:rsid w:val="00072F93"/>
    <w:rsid w:val="00083CBE"/>
    <w:rsid w:val="00095471"/>
    <w:rsid w:val="000A41B2"/>
    <w:rsid w:val="000A74C4"/>
    <w:rsid w:val="000B0FFC"/>
    <w:rsid w:val="000F2FB2"/>
    <w:rsid w:val="001105E7"/>
    <w:rsid w:val="001B3C69"/>
    <w:rsid w:val="001D1F2C"/>
    <w:rsid w:val="001F3629"/>
    <w:rsid w:val="00216D92"/>
    <w:rsid w:val="00230DDD"/>
    <w:rsid w:val="00243804"/>
    <w:rsid w:val="00251D71"/>
    <w:rsid w:val="00254D8C"/>
    <w:rsid w:val="00257AB0"/>
    <w:rsid w:val="00270566"/>
    <w:rsid w:val="002823D4"/>
    <w:rsid w:val="002871FC"/>
    <w:rsid w:val="002A4975"/>
    <w:rsid w:val="002B1287"/>
    <w:rsid w:val="002B71FB"/>
    <w:rsid w:val="00320D91"/>
    <w:rsid w:val="00382135"/>
    <w:rsid w:val="00385581"/>
    <w:rsid w:val="00390678"/>
    <w:rsid w:val="003B5983"/>
    <w:rsid w:val="003E7822"/>
    <w:rsid w:val="00415C9B"/>
    <w:rsid w:val="00427468"/>
    <w:rsid w:val="0045125C"/>
    <w:rsid w:val="00474F26"/>
    <w:rsid w:val="004A4AD9"/>
    <w:rsid w:val="004B0019"/>
    <w:rsid w:val="004B3EE4"/>
    <w:rsid w:val="004E0E39"/>
    <w:rsid w:val="00506F98"/>
    <w:rsid w:val="0057745F"/>
    <w:rsid w:val="005A20A3"/>
    <w:rsid w:val="005B05D4"/>
    <w:rsid w:val="005D2DA5"/>
    <w:rsid w:val="005D3FE2"/>
    <w:rsid w:val="005D409F"/>
    <w:rsid w:val="005F06F2"/>
    <w:rsid w:val="0060284F"/>
    <w:rsid w:val="006072D1"/>
    <w:rsid w:val="00650DF4"/>
    <w:rsid w:val="006A39B7"/>
    <w:rsid w:val="006B6593"/>
    <w:rsid w:val="006E4BC8"/>
    <w:rsid w:val="006F42A3"/>
    <w:rsid w:val="00727435"/>
    <w:rsid w:val="00751830"/>
    <w:rsid w:val="00796223"/>
    <w:rsid w:val="007A2ADA"/>
    <w:rsid w:val="007A7E8F"/>
    <w:rsid w:val="007C0589"/>
    <w:rsid w:val="007C29EF"/>
    <w:rsid w:val="007C3C83"/>
    <w:rsid w:val="008472F0"/>
    <w:rsid w:val="00856332"/>
    <w:rsid w:val="00862CA9"/>
    <w:rsid w:val="00882A0B"/>
    <w:rsid w:val="008C438E"/>
    <w:rsid w:val="008D6A82"/>
    <w:rsid w:val="00942018"/>
    <w:rsid w:val="00990AE3"/>
    <w:rsid w:val="009C4A62"/>
    <w:rsid w:val="009D3B53"/>
    <w:rsid w:val="009F0751"/>
    <w:rsid w:val="009F3672"/>
    <w:rsid w:val="00AA2AF1"/>
    <w:rsid w:val="00AC08FB"/>
    <w:rsid w:val="00B05239"/>
    <w:rsid w:val="00B265D0"/>
    <w:rsid w:val="00B61AB2"/>
    <w:rsid w:val="00B84850"/>
    <w:rsid w:val="00BB7C27"/>
    <w:rsid w:val="00BD2B92"/>
    <w:rsid w:val="00BF684F"/>
    <w:rsid w:val="00C00594"/>
    <w:rsid w:val="00C327E9"/>
    <w:rsid w:val="00C40098"/>
    <w:rsid w:val="00C50647"/>
    <w:rsid w:val="00C603BF"/>
    <w:rsid w:val="00CA26A0"/>
    <w:rsid w:val="00CB0E94"/>
    <w:rsid w:val="00CD4D0A"/>
    <w:rsid w:val="00D037E0"/>
    <w:rsid w:val="00D24361"/>
    <w:rsid w:val="00D32FBE"/>
    <w:rsid w:val="00D3606E"/>
    <w:rsid w:val="00D6419F"/>
    <w:rsid w:val="00DC0822"/>
    <w:rsid w:val="00DD5E2B"/>
    <w:rsid w:val="00E17D57"/>
    <w:rsid w:val="00E224AE"/>
    <w:rsid w:val="00E2747F"/>
    <w:rsid w:val="00E36B19"/>
    <w:rsid w:val="00E67390"/>
    <w:rsid w:val="00EA29FE"/>
    <w:rsid w:val="00EB2484"/>
    <w:rsid w:val="00EE06F4"/>
    <w:rsid w:val="00EF7BE9"/>
    <w:rsid w:val="00F012B1"/>
    <w:rsid w:val="00FE1A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BEC0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ADA"/>
    <w:pPr>
      <w:spacing w:before="120" w:after="240" w:line="360" w:lineRule="auto"/>
      <w:jc w:val="both"/>
    </w:pPr>
    <w:rPr>
      <w:rFonts w:ascii="Arial" w:hAnsi="Arial"/>
      <w:kern w:val="2"/>
      <w:sz w:val="24"/>
    </w:rPr>
  </w:style>
  <w:style w:type="paragraph" w:styleId="Heading1">
    <w:name w:val="heading 1"/>
    <w:basedOn w:val="Normal"/>
    <w:next w:val="Normal"/>
    <w:link w:val="Heading1Char"/>
    <w:uiPriority w:val="9"/>
    <w:qFormat/>
    <w:rsid w:val="00EA29FE"/>
    <w:pPr>
      <w:keepNext/>
      <w:keepLines/>
      <w:pBdr>
        <w:bottom w:val="single" w:sz="4" w:space="1" w:color="auto"/>
      </w:pBd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D3FE2"/>
    <w:pPr>
      <w:keepNext/>
      <w:keepLines/>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650DF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D3FE2"/>
    <w:rPr>
      <w:rFonts w:ascii="Times New Roman" w:eastAsiaTheme="majorEastAsia" w:hAnsi="Times New Roman" w:cstheme="majorBidi"/>
      <w:b/>
      <w:color w:val="000000" w:themeColor="text1"/>
      <w:sz w:val="24"/>
      <w:szCs w:val="24"/>
      <w:lang w:eastAsia="en-GB"/>
      <w14:ligatures w14:val="none"/>
    </w:rPr>
  </w:style>
  <w:style w:type="paragraph" w:customStyle="1" w:styleId="whitespace-pre-wrap">
    <w:name w:val="whitespace-pre-wrap"/>
    <w:basedOn w:val="Normal"/>
    <w:rsid w:val="002B71FB"/>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ListParagraph">
    <w:name w:val="List Paragraph"/>
    <w:basedOn w:val="Normal"/>
    <w:uiPriority w:val="34"/>
    <w:qFormat/>
    <w:rsid w:val="002B71FB"/>
    <w:pPr>
      <w:ind w:left="720"/>
      <w:contextualSpacing/>
    </w:pPr>
  </w:style>
  <w:style w:type="character" w:styleId="Hyperlink">
    <w:name w:val="Hyperlink"/>
    <w:basedOn w:val="DefaultParagraphFont"/>
    <w:uiPriority w:val="99"/>
    <w:unhideWhenUsed/>
    <w:rsid w:val="002B71FB"/>
    <w:rPr>
      <w:color w:val="0000FF"/>
      <w:u w:val="single"/>
    </w:rPr>
  </w:style>
  <w:style w:type="paragraph" w:styleId="TOCHeading">
    <w:name w:val="TOC Heading"/>
    <w:basedOn w:val="Heading1"/>
    <w:next w:val="Normal"/>
    <w:uiPriority w:val="39"/>
    <w:unhideWhenUsed/>
    <w:qFormat/>
    <w:rsid w:val="00EB2484"/>
    <w:pPr>
      <w:pBdr>
        <w:bottom w:val="none" w:sz="0" w:space="0" w:color="auto"/>
      </w:pBd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EB2484"/>
    <w:pPr>
      <w:spacing w:after="100"/>
    </w:pPr>
  </w:style>
  <w:style w:type="paragraph" w:styleId="TOC2">
    <w:name w:val="toc 2"/>
    <w:basedOn w:val="Normal"/>
    <w:next w:val="Normal"/>
    <w:autoRedefine/>
    <w:uiPriority w:val="39"/>
    <w:unhideWhenUsed/>
    <w:rsid w:val="00EB2484"/>
    <w:pPr>
      <w:spacing w:after="100"/>
      <w:ind w:left="240"/>
    </w:pPr>
  </w:style>
  <w:style w:type="paragraph" w:styleId="Header">
    <w:name w:val="header"/>
    <w:basedOn w:val="Normal"/>
    <w:link w:val="HeaderChar"/>
    <w:uiPriority w:val="99"/>
    <w:unhideWhenUsed/>
    <w:rsid w:val="00EB248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B2484"/>
    <w:rPr>
      <w:rFonts w:ascii="Times New Roman" w:hAnsi="Times New Roman"/>
      <w:kern w:val="2"/>
      <w:sz w:val="24"/>
    </w:rPr>
  </w:style>
  <w:style w:type="paragraph" w:styleId="Footer">
    <w:name w:val="footer"/>
    <w:basedOn w:val="Normal"/>
    <w:link w:val="FooterChar"/>
    <w:uiPriority w:val="99"/>
    <w:unhideWhenUsed/>
    <w:rsid w:val="00EB248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B2484"/>
    <w:rPr>
      <w:rFonts w:ascii="Times New Roman" w:hAnsi="Times New Roman"/>
      <w:kern w:val="2"/>
      <w:sz w:val="24"/>
    </w:rPr>
  </w:style>
  <w:style w:type="character" w:styleId="CommentReference">
    <w:name w:val="annotation reference"/>
    <w:basedOn w:val="DefaultParagraphFont"/>
    <w:uiPriority w:val="99"/>
    <w:semiHidden/>
    <w:unhideWhenUsed/>
    <w:rsid w:val="001D1F2C"/>
    <w:rPr>
      <w:sz w:val="16"/>
      <w:szCs w:val="16"/>
    </w:rPr>
  </w:style>
  <w:style w:type="paragraph" w:styleId="CommentText">
    <w:name w:val="annotation text"/>
    <w:basedOn w:val="Normal"/>
    <w:link w:val="CommentTextChar"/>
    <w:uiPriority w:val="99"/>
    <w:unhideWhenUsed/>
    <w:rsid w:val="001D1F2C"/>
    <w:pPr>
      <w:spacing w:line="240" w:lineRule="auto"/>
    </w:pPr>
    <w:rPr>
      <w:sz w:val="20"/>
      <w:szCs w:val="20"/>
    </w:rPr>
  </w:style>
  <w:style w:type="character" w:customStyle="1" w:styleId="CommentTextChar">
    <w:name w:val="Comment Text Char"/>
    <w:basedOn w:val="DefaultParagraphFont"/>
    <w:link w:val="CommentText"/>
    <w:uiPriority w:val="99"/>
    <w:rsid w:val="001D1F2C"/>
    <w:rPr>
      <w:rFonts w:ascii="Arial" w:hAnsi="Arial"/>
      <w:kern w:val="2"/>
      <w:sz w:val="20"/>
      <w:szCs w:val="20"/>
    </w:rPr>
  </w:style>
  <w:style w:type="paragraph" w:styleId="CommentSubject">
    <w:name w:val="annotation subject"/>
    <w:basedOn w:val="CommentText"/>
    <w:next w:val="CommentText"/>
    <w:link w:val="CommentSubjectChar"/>
    <w:uiPriority w:val="99"/>
    <w:semiHidden/>
    <w:unhideWhenUsed/>
    <w:rsid w:val="001D1F2C"/>
    <w:rPr>
      <w:b/>
      <w:bCs/>
    </w:rPr>
  </w:style>
  <w:style w:type="character" w:customStyle="1" w:styleId="CommentSubjectChar">
    <w:name w:val="Comment Subject Char"/>
    <w:basedOn w:val="CommentTextChar"/>
    <w:link w:val="CommentSubject"/>
    <w:uiPriority w:val="99"/>
    <w:semiHidden/>
    <w:rsid w:val="001D1F2C"/>
    <w:rPr>
      <w:rFonts w:ascii="Arial" w:hAnsi="Arial"/>
      <w:b/>
      <w:bCs/>
      <w:kern w:val="2"/>
      <w:sz w:val="20"/>
      <w:szCs w:val="20"/>
    </w:rPr>
  </w:style>
  <w:style w:type="character" w:customStyle="1" w:styleId="Heading4Char">
    <w:name w:val="Heading 4 Char"/>
    <w:basedOn w:val="DefaultParagraphFont"/>
    <w:link w:val="Heading4"/>
    <w:uiPriority w:val="9"/>
    <w:semiHidden/>
    <w:rsid w:val="00650DF4"/>
    <w:rPr>
      <w:rFonts w:asciiTheme="majorHAnsi" w:eastAsiaTheme="majorEastAsia" w:hAnsiTheme="majorHAnsi" w:cstheme="majorBidi"/>
      <w:i/>
      <w:iCs/>
      <w:color w:val="2F5496" w:themeColor="accent1" w:themeShade="BF"/>
      <w:kern w:val="2"/>
      <w:sz w:val="24"/>
    </w:rPr>
  </w:style>
  <w:style w:type="paragraph" w:styleId="Caption">
    <w:name w:val="caption"/>
    <w:basedOn w:val="Normal"/>
    <w:next w:val="Normal"/>
    <w:uiPriority w:val="35"/>
    <w:semiHidden/>
    <w:unhideWhenUsed/>
    <w:qFormat/>
    <w:rsid w:val="00727435"/>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718609">
      <w:bodyDiv w:val="1"/>
      <w:marLeft w:val="0"/>
      <w:marRight w:val="0"/>
      <w:marTop w:val="0"/>
      <w:marBottom w:val="0"/>
      <w:divBdr>
        <w:top w:val="none" w:sz="0" w:space="0" w:color="auto"/>
        <w:left w:val="none" w:sz="0" w:space="0" w:color="auto"/>
        <w:bottom w:val="none" w:sz="0" w:space="0" w:color="auto"/>
        <w:right w:val="none" w:sz="0" w:space="0" w:color="auto"/>
      </w:divBdr>
      <w:divsChild>
        <w:div w:id="398090537">
          <w:marLeft w:val="0"/>
          <w:marRight w:val="0"/>
          <w:marTop w:val="0"/>
          <w:marBottom w:val="0"/>
          <w:divBdr>
            <w:top w:val="none" w:sz="0" w:space="0" w:color="auto"/>
            <w:left w:val="none" w:sz="0" w:space="0" w:color="auto"/>
            <w:bottom w:val="none" w:sz="0" w:space="0" w:color="auto"/>
            <w:right w:val="none" w:sz="0" w:space="0" w:color="auto"/>
          </w:divBdr>
        </w:div>
      </w:divsChild>
    </w:div>
    <w:div w:id="271518375">
      <w:bodyDiv w:val="1"/>
      <w:marLeft w:val="0"/>
      <w:marRight w:val="0"/>
      <w:marTop w:val="0"/>
      <w:marBottom w:val="0"/>
      <w:divBdr>
        <w:top w:val="none" w:sz="0" w:space="0" w:color="auto"/>
        <w:left w:val="none" w:sz="0" w:space="0" w:color="auto"/>
        <w:bottom w:val="none" w:sz="0" w:space="0" w:color="auto"/>
        <w:right w:val="none" w:sz="0" w:space="0" w:color="auto"/>
      </w:divBdr>
    </w:div>
    <w:div w:id="367528927">
      <w:bodyDiv w:val="1"/>
      <w:marLeft w:val="0"/>
      <w:marRight w:val="0"/>
      <w:marTop w:val="0"/>
      <w:marBottom w:val="0"/>
      <w:divBdr>
        <w:top w:val="none" w:sz="0" w:space="0" w:color="auto"/>
        <w:left w:val="none" w:sz="0" w:space="0" w:color="auto"/>
        <w:bottom w:val="none" w:sz="0" w:space="0" w:color="auto"/>
        <w:right w:val="none" w:sz="0" w:space="0" w:color="auto"/>
      </w:divBdr>
    </w:div>
    <w:div w:id="464395116">
      <w:bodyDiv w:val="1"/>
      <w:marLeft w:val="0"/>
      <w:marRight w:val="0"/>
      <w:marTop w:val="0"/>
      <w:marBottom w:val="0"/>
      <w:divBdr>
        <w:top w:val="none" w:sz="0" w:space="0" w:color="auto"/>
        <w:left w:val="none" w:sz="0" w:space="0" w:color="auto"/>
        <w:bottom w:val="none" w:sz="0" w:space="0" w:color="auto"/>
        <w:right w:val="none" w:sz="0" w:space="0" w:color="auto"/>
      </w:divBdr>
    </w:div>
    <w:div w:id="468745123">
      <w:bodyDiv w:val="1"/>
      <w:marLeft w:val="0"/>
      <w:marRight w:val="0"/>
      <w:marTop w:val="0"/>
      <w:marBottom w:val="0"/>
      <w:divBdr>
        <w:top w:val="none" w:sz="0" w:space="0" w:color="auto"/>
        <w:left w:val="none" w:sz="0" w:space="0" w:color="auto"/>
        <w:bottom w:val="none" w:sz="0" w:space="0" w:color="auto"/>
        <w:right w:val="none" w:sz="0" w:space="0" w:color="auto"/>
      </w:divBdr>
    </w:div>
    <w:div w:id="502936651">
      <w:bodyDiv w:val="1"/>
      <w:marLeft w:val="0"/>
      <w:marRight w:val="0"/>
      <w:marTop w:val="0"/>
      <w:marBottom w:val="0"/>
      <w:divBdr>
        <w:top w:val="none" w:sz="0" w:space="0" w:color="auto"/>
        <w:left w:val="none" w:sz="0" w:space="0" w:color="auto"/>
        <w:bottom w:val="none" w:sz="0" w:space="0" w:color="auto"/>
        <w:right w:val="none" w:sz="0" w:space="0" w:color="auto"/>
      </w:divBdr>
    </w:div>
    <w:div w:id="520516286">
      <w:bodyDiv w:val="1"/>
      <w:marLeft w:val="0"/>
      <w:marRight w:val="0"/>
      <w:marTop w:val="0"/>
      <w:marBottom w:val="0"/>
      <w:divBdr>
        <w:top w:val="none" w:sz="0" w:space="0" w:color="auto"/>
        <w:left w:val="none" w:sz="0" w:space="0" w:color="auto"/>
        <w:bottom w:val="none" w:sz="0" w:space="0" w:color="auto"/>
        <w:right w:val="none" w:sz="0" w:space="0" w:color="auto"/>
      </w:divBdr>
    </w:div>
    <w:div w:id="565772291">
      <w:bodyDiv w:val="1"/>
      <w:marLeft w:val="0"/>
      <w:marRight w:val="0"/>
      <w:marTop w:val="0"/>
      <w:marBottom w:val="0"/>
      <w:divBdr>
        <w:top w:val="none" w:sz="0" w:space="0" w:color="auto"/>
        <w:left w:val="none" w:sz="0" w:space="0" w:color="auto"/>
        <w:bottom w:val="none" w:sz="0" w:space="0" w:color="auto"/>
        <w:right w:val="none" w:sz="0" w:space="0" w:color="auto"/>
      </w:divBdr>
      <w:divsChild>
        <w:div w:id="15355547">
          <w:marLeft w:val="0"/>
          <w:marRight w:val="0"/>
          <w:marTop w:val="0"/>
          <w:marBottom w:val="0"/>
          <w:divBdr>
            <w:top w:val="none" w:sz="0" w:space="0" w:color="auto"/>
            <w:left w:val="none" w:sz="0" w:space="0" w:color="auto"/>
            <w:bottom w:val="none" w:sz="0" w:space="0" w:color="auto"/>
            <w:right w:val="none" w:sz="0" w:space="0" w:color="auto"/>
          </w:divBdr>
        </w:div>
      </w:divsChild>
    </w:div>
    <w:div w:id="622417504">
      <w:bodyDiv w:val="1"/>
      <w:marLeft w:val="0"/>
      <w:marRight w:val="0"/>
      <w:marTop w:val="0"/>
      <w:marBottom w:val="0"/>
      <w:divBdr>
        <w:top w:val="none" w:sz="0" w:space="0" w:color="auto"/>
        <w:left w:val="none" w:sz="0" w:space="0" w:color="auto"/>
        <w:bottom w:val="none" w:sz="0" w:space="0" w:color="auto"/>
        <w:right w:val="none" w:sz="0" w:space="0" w:color="auto"/>
      </w:divBdr>
    </w:div>
    <w:div w:id="758257681">
      <w:bodyDiv w:val="1"/>
      <w:marLeft w:val="0"/>
      <w:marRight w:val="0"/>
      <w:marTop w:val="0"/>
      <w:marBottom w:val="0"/>
      <w:divBdr>
        <w:top w:val="none" w:sz="0" w:space="0" w:color="auto"/>
        <w:left w:val="none" w:sz="0" w:space="0" w:color="auto"/>
        <w:bottom w:val="none" w:sz="0" w:space="0" w:color="auto"/>
        <w:right w:val="none" w:sz="0" w:space="0" w:color="auto"/>
      </w:divBdr>
    </w:div>
    <w:div w:id="770131045">
      <w:bodyDiv w:val="1"/>
      <w:marLeft w:val="0"/>
      <w:marRight w:val="0"/>
      <w:marTop w:val="0"/>
      <w:marBottom w:val="0"/>
      <w:divBdr>
        <w:top w:val="none" w:sz="0" w:space="0" w:color="auto"/>
        <w:left w:val="none" w:sz="0" w:space="0" w:color="auto"/>
        <w:bottom w:val="none" w:sz="0" w:space="0" w:color="auto"/>
        <w:right w:val="none" w:sz="0" w:space="0" w:color="auto"/>
      </w:divBdr>
    </w:div>
    <w:div w:id="798766812">
      <w:bodyDiv w:val="1"/>
      <w:marLeft w:val="0"/>
      <w:marRight w:val="0"/>
      <w:marTop w:val="0"/>
      <w:marBottom w:val="0"/>
      <w:divBdr>
        <w:top w:val="none" w:sz="0" w:space="0" w:color="auto"/>
        <w:left w:val="none" w:sz="0" w:space="0" w:color="auto"/>
        <w:bottom w:val="none" w:sz="0" w:space="0" w:color="auto"/>
        <w:right w:val="none" w:sz="0" w:space="0" w:color="auto"/>
      </w:divBdr>
    </w:div>
    <w:div w:id="1192766329">
      <w:bodyDiv w:val="1"/>
      <w:marLeft w:val="0"/>
      <w:marRight w:val="0"/>
      <w:marTop w:val="0"/>
      <w:marBottom w:val="0"/>
      <w:divBdr>
        <w:top w:val="none" w:sz="0" w:space="0" w:color="auto"/>
        <w:left w:val="none" w:sz="0" w:space="0" w:color="auto"/>
        <w:bottom w:val="none" w:sz="0" w:space="0" w:color="auto"/>
        <w:right w:val="none" w:sz="0" w:space="0" w:color="auto"/>
      </w:divBdr>
    </w:div>
    <w:div w:id="1196191405">
      <w:bodyDiv w:val="1"/>
      <w:marLeft w:val="0"/>
      <w:marRight w:val="0"/>
      <w:marTop w:val="0"/>
      <w:marBottom w:val="0"/>
      <w:divBdr>
        <w:top w:val="none" w:sz="0" w:space="0" w:color="auto"/>
        <w:left w:val="none" w:sz="0" w:space="0" w:color="auto"/>
        <w:bottom w:val="none" w:sz="0" w:space="0" w:color="auto"/>
        <w:right w:val="none" w:sz="0" w:space="0" w:color="auto"/>
      </w:divBdr>
      <w:divsChild>
        <w:div w:id="246378816">
          <w:marLeft w:val="0"/>
          <w:marRight w:val="0"/>
          <w:marTop w:val="0"/>
          <w:marBottom w:val="0"/>
          <w:divBdr>
            <w:top w:val="none" w:sz="0" w:space="0" w:color="auto"/>
            <w:left w:val="none" w:sz="0" w:space="0" w:color="auto"/>
            <w:bottom w:val="none" w:sz="0" w:space="0" w:color="auto"/>
            <w:right w:val="none" w:sz="0" w:space="0" w:color="auto"/>
          </w:divBdr>
        </w:div>
      </w:divsChild>
    </w:div>
    <w:div w:id="1262451350">
      <w:bodyDiv w:val="1"/>
      <w:marLeft w:val="0"/>
      <w:marRight w:val="0"/>
      <w:marTop w:val="0"/>
      <w:marBottom w:val="0"/>
      <w:divBdr>
        <w:top w:val="none" w:sz="0" w:space="0" w:color="auto"/>
        <w:left w:val="none" w:sz="0" w:space="0" w:color="auto"/>
        <w:bottom w:val="none" w:sz="0" w:space="0" w:color="auto"/>
        <w:right w:val="none" w:sz="0" w:space="0" w:color="auto"/>
      </w:divBdr>
    </w:div>
    <w:div w:id="1264070678">
      <w:bodyDiv w:val="1"/>
      <w:marLeft w:val="0"/>
      <w:marRight w:val="0"/>
      <w:marTop w:val="0"/>
      <w:marBottom w:val="0"/>
      <w:divBdr>
        <w:top w:val="none" w:sz="0" w:space="0" w:color="auto"/>
        <w:left w:val="none" w:sz="0" w:space="0" w:color="auto"/>
        <w:bottom w:val="none" w:sz="0" w:space="0" w:color="auto"/>
        <w:right w:val="none" w:sz="0" w:space="0" w:color="auto"/>
      </w:divBdr>
    </w:div>
    <w:div w:id="1479684186">
      <w:bodyDiv w:val="1"/>
      <w:marLeft w:val="0"/>
      <w:marRight w:val="0"/>
      <w:marTop w:val="0"/>
      <w:marBottom w:val="0"/>
      <w:divBdr>
        <w:top w:val="none" w:sz="0" w:space="0" w:color="auto"/>
        <w:left w:val="none" w:sz="0" w:space="0" w:color="auto"/>
        <w:bottom w:val="none" w:sz="0" w:space="0" w:color="auto"/>
        <w:right w:val="none" w:sz="0" w:space="0" w:color="auto"/>
      </w:divBdr>
    </w:div>
    <w:div w:id="1615598010">
      <w:bodyDiv w:val="1"/>
      <w:marLeft w:val="0"/>
      <w:marRight w:val="0"/>
      <w:marTop w:val="0"/>
      <w:marBottom w:val="0"/>
      <w:divBdr>
        <w:top w:val="none" w:sz="0" w:space="0" w:color="auto"/>
        <w:left w:val="none" w:sz="0" w:space="0" w:color="auto"/>
        <w:bottom w:val="none" w:sz="0" w:space="0" w:color="auto"/>
        <w:right w:val="none" w:sz="0" w:space="0" w:color="auto"/>
      </w:divBdr>
      <w:divsChild>
        <w:div w:id="1027216945">
          <w:marLeft w:val="0"/>
          <w:marRight w:val="0"/>
          <w:marTop w:val="0"/>
          <w:marBottom w:val="0"/>
          <w:divBdr>
            <w:top w:val="none" w:sz="0" w:space="0" w:color="auto"/>
            <w:left w:val="none" w:sz="0" w:space="0" w:color="auto"/>
            <w:bottom w:val="none" w:sz="0" w:space="0" w:color="auto"/>
            <w:right w:val="none" w:sz="0" w:space="0" w:color="auto"/>
          </w:divBdr>
        </w:div>
      </w:divsChild>
    </w:div>
    <w:div w:id="1807963620">
      <w:bodyDiv w:val="1"/>
      <w:marLeft w:val="0"/>
      <w:marRight w:val="0"/>
      <w:marTop w:val="0"/>
      <w:marBottom w:val="0"/>
      <w:divBdr>
        <w:top w:val="none" w:sz="0" w:space="0" w:color="auto"/>
        <w:left w:val="none" w:sz="0" w:space="0" w:color="auto"/>
        <w:bottom w:val="none" w:sz="0" w:space="0" w:color="auto"/>
        <w:right w:val="none" w:sz="0" w:space="0" w:color="auto"/>
      </w:divBdr>
      <w:divsChild>
        <w:div w:id="464084371">
          <w:marLeft w:val="0"/>
          <w:marRight w:val="0"/>
          <w:marTop w:val="0"/>
          <w:marBottom w:val="0"/>
          <w:divBdr>
            <w:top w:val="none" w:sz="0" w:space="0" w:color="auto"/>
            <w:left w:val="none" w:sz="0" w:space="0" w:color="auto"/>
            <w:bottom w:val="none" w:sz="0" w:space="0" w:color="auto"/>
            <w:right w:val="none" w:sz="0" w:space="0" w:color="auto"/>
          </w:divBdr>
        </w:div>
      </w:divsChild>
    </w:div>
    <w:div w:id="1871448871">
      <w:bodyDiv w:val="1"/>
      <w:marLeft w:val="0"/>
      <w:marRight w:val="0"/>
      <w:marTop w:val="0"/>
      <w:marBottom w:val="0"/>
      <w:divBdr>
        <w:top w:val="none" w:sz="0" w:space="0" w:color="auto"/>
        <w:left w:val="none" w:sz="0" w:space="0" w:color="auto"/>
        <w:bottom w:val="none" w:sz="0" w:space="0" w:color="auto"/>
        <w:right w:val="none" w:sz="0" w:space="0" w:color="auto"/>
      </w:divBdr>
    </w:div>
    <w:div w:id="1891377808">
      <w:bodyDiv w:val="1"/>
      <w:marLeft w:val="0"/>
      <w:marRight w:val="0"/>
      <w:marTop w:val="0"/>
      <w:marBottom w:val="0"/>
      <w:divBdr>
        <w:top w:val="none" w:sz="0" w:space="0" w:color="auto"/>
        <w:left w:val="none" w:sz="0" w:space="0" w:color="auto"/>
        <w:bottom w:val="none" w:sz="0" w:space="0" w:color="auto"/>
        <w:right w:val="none" w:sz="0" w:space="0" w:color="auto"/>
      </w:divBdr>
      <w:divsChild>
        <w:div w:id="923031461">
          <w:marLeft w:val="0"/>
          <w:marRight w:val="0"/>
          <w:marTop w:val="0"/>
          <w:marBottom w:val="0"/>
          <w:divBdr>
            <w:top w:val="none" w:sz="0" w:space="0" w:color="auto"/>
            <w:left w:val="none" w:sz="0" w:space="0" w:color="auto"/>
            <w:bottom w:val="none" w:sz="0" w:space="0" w:color="auto"/>
            <w:right w:val="none" w:sz="0" w:space="0" w:color="auto"/>
          </w:divBdr>
        </w:div>
      </w:divsChild>
    </w:div>
    <w:div w:id="2069186402">
      <w:bodyDiv w:val="1"/>
      <w:marLeft w:val="0"/>
      <w:marRight w:val="0"/>
      <w:marTop w:val="0"/>
      <w:marBottom w:val="0"/>
      <w:divBdr>
        <w:top w:val="none" w:sz="0" w:space="0" w:color="auto"/>
        <w:left w:val="none" w:sz="0" w:space="0" w:color="auto"/>
        <w:bottom w:val="none" w:sz="0" w:space="0" w:color="auto"/>
        <w:right w:val="none" w:sz="0" w:space="0" w:color="auto"/>
      </w:divBdr>
      <w:divsChild>
        <w:div w:id="16517846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10" Type="http://schemas.openxmlformats.org/officeDocument/2006/relationships/image" Target="media/image3.png"/><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1E40D1-41E1-4DC8-BD28-8A49160A07E8}" type="doc">
      <dgm:prSet loTypeId="urn:microsoft.com/office/officeart/2008/layout/LinedList" loCatId="list" qsTypeId="urn:microsoft.com/office/officeart/2005/8/quickstyle/simple1" qsCatId="simple" csTypeId="urn:microsoft.com/office/officeart/2005/8/colors/accent3_1" csCatId="accent3" phldr="1"/>
      <dgm:spPr/>
      <dgm:t>
        <a:bodyPr/>
        <a:lstStyle/>
        <a:p>
          <a:endParaRPr lang="en-GB"/>
        </a:p>
      </dgm:t>
    </dgm:pt>
    <dgm:pt modelId="{D6C00B30-3524-43DC-A20A-1F5E039BC120}">
      <dgm:prSet phldrT="[Text]" custT="1"/>
      <dgm:spPr/>
      <dgm:t>
        <a:bodyPr/>
        <a:lstStyle/>
        <a:p>
          <a:pPr algn="just"/>
          <a:r>
            <a:rPr lang="en-GB" sz="1200" b="1">
              <a:latin typeface="Arial" panose="020B0604020202020204" pitchFamily="34" charset="0"/>
              <a:cs typeface="Arial" panose="020B0604020202020204" pitchFamily="34" charset="0"/>
            </a:rPr>
            <a:t>Conduct a comprehensive cost analysis:</a:t>
          </a:r>
          <a:r>
            <a:rPr lang="en-GB" sz="1200">
              <a:latin typeface="Arial" panose="020B0604020202020204" pitchFamily="34" charset="0"/>
              <a:cs typeface="Arial" panose="020B0604020202020204" pitchFamily="34" charset="0"/>
            </a:rPr>
            <a:t> Certain things alone are to be expected in the deconstruction of every single cost component and this shows the duplication of ways that will motivate savings (Ericsson and Solvoll, 2021). Therefore, this can be accomplished both ways: through turning the agreements of their partners with suppliers in order, for example, to apply the energy-efficiency improvements or reorganise the urgent activities (which is necessary in such cases).</a:t>
          </a:r>
        </a:p>
      </dgm:t>
    </dgm:pt>
    <dgm:pt modelId="{21976FAB-A2C1-41E2-93BC-1222CF31BDF7}" type="parTrans" cxnId="{E8E61FC1-E49D-498B-AB7E-BCE41E4213A2}">
      <dgm:prSet/>
      <dgm:spPr/>
      <dgm:t>
        <a:bodyPr/>
        <a:lstStyle/>
        <a:p>
          <a:endParaRPr lang="en-GB"/>
        </a:p>
      </dgm:t>
    </dgm:pt>
    <dgm:pt modelId="{F169CB2D-C000-4C9A-BEF8-AB0BF993E284}" type="sibTrans" cxnId="{E8E61FC1-E49D-498B-AB7E-BCE41E4213A2}">
      <dgm:prSet/>
      <dgm:spPr/>
      <dgm:t>
        <a:bodyPr/>
        <a:lstStyle/>
        <a:p>
          <a:endParaRPr lang="en-GB"/>
        </a:p>
      </dgm:t>
    </dgm:pt>
    <dgm:pt modelId="{0D088DFD-A784-4CD0-8074-FE2474E33D3F}">
      <dgm:prSet custT="1"/>
      <dgm:spPr/>
      <dgm:t>
        <a:bodyPr/>
        <a:lstStyle/>
        <a:p>
          <a:pPr algn="just"/>
          <a:r>
            <a:rPr lang="en-GB" sz="1200" b="1">
              <a:latin typeface="Arial" panose="020B0604020202020204" pitchFamily="34" charset="0"/>
              <a:cs typeface="Arial" panose="020B0604020202020204" pitchFamily="34" charset="0"/>
            </a:rPr>
            <a:t>Optimize staffing levels and resource allocation:</a:t>
          </a:r>
          <a:r>
            <a:rPr lang="en-GB" sz="1200">
              <a:latin typeface="Arial" panose="020B0604020202020204" pitchFamily="34" charset="0"/>
              <a:cs typeface="Arial" panose="020B0604020202020204" pitchFamily="34" charset="0"/>
            </a:rPr>
            <a:t> Sustainable companies save resources and have more productive employees. If recruiting is limited, it is possible to cross-train and increase hourly flexibility for current workers, or if they are absent, it can lift their flexibility (Legrand et al., 2022). One can delegate all weaker services and use the case to cover the basics. </a:t>
          </a:r>
        </a:p>
      </dgm:t>
    </dgm:pt>
    <dgm:pt modelId="{17286CA2-3749-4F13-B21F-0C5B800FDC9A}" type="parTrans" cxnId="{7905E982-8063-476E-8D5E-754540BDF000}">
      <dgm:prSet/>
      <dgm:spPr/>
      <dgm:t>
        <a:bodyPr/>
        <a:lstStyle/>
        <a:p>
          <a:endParaRPr lang="en-GB"/>
        </a:p>
      </dgm:t>
    </dgm:pt>
    <dgm:pt modelId="{AC9E83B7-2ACE-4FEA-BF59-871D83DF788C}" type="sibTrans" cxnId="{7905E982-8063-476E-8D5E-754540BDF000}">
      <dgm:prSet/>
      <dgm:spPr/>
      <dgm:t>
        <a:bodyPr/>
        <a:lstStyle/>
        <a:p>
          <a:endParaRPr lang="en-GB"/>
        </a:p>
      </dgm:t>
    </dgm:pt>
    <dgm:pt modelId="{436BAD28-BBD9-480D-9955-4C5798E4B86E}">
      <dgm:prSet custT="1"/>
      <dgm:spPr/>
      <dgm:t>
        <a:bodyPr/>
        <a:lstStyle/>
        <a:p>
          <a:pPr algn="just"/>
          <a:r>
            <a:rPr lang="en-GB" sz="1200" b="1">
              <a:latin typeface="Arial" panose="020B0604020202020204" pitchFamily="34" charset="0"/>
              <a:cs typeface="Arial" panose="020B0604020202020204" pitchFamily="34" charset="0"/>
            </a:rPr>
            <a:t>Upgrade technology and systems:</a:t>
          </a:r>
          <a:r>
            <a:rPr lang="en-GB" sz="1200">
              <a:latin typeface="Arial" panose="020B0604020202020204" pitchFamily="34" charset="0"/>
              <a:cs typeface="Arial" panose="020B0604020202020204" pitchFamily="34" charset="0"/>
            </a:rPr>
            <a:t> In particular, make use of the technologies and the already existing processes that are in the workplace for giving the staff training to enhance production, elevate the guest experience, as well as reduce labour costs. (Walker, 2021) The programming of these machines, which perform support functions such as check-in/check-out and analysis, is critical.</a:t>
          </a:r>
        </a:p>
      </dgm:t>
    </dgm:pt>
    <dgm:pt modelId="{A8BA2B8E-A9B3-460A-BC37-38717136B827}" type="parTrans" cxnId="{24A8AC99-433E-40B8-9D6D-A15F824A8881}">
      <dgm:prSet/>
      <dgm:spPr/>
      <dgm:t>
        <a:bodyPr/>
        <a:lstStyle/>
        <a:p>
          <a:endParaRPr lang="en-GB"/>
        </a:p>
      </dgm:t>
    </dgm:pt>
    <dgm:pt modelId="{A69EA39E-D7E0-4946-92A5-3F2AC6BF7914}" type="sibTrans" cxnId="{24A8AC99-433E-40B8-9D6D-A15F824A8881}">
      <dgm:prSet/>
      <dgm:spPr/>
      <dgm:t>
        <a:bodyPr/>
        <a:lstStyle/>
        <a:p>
          <a:endParaRPr lang="en-GB"/>
        </a:p>
      </dgm:t>
    </dgm:pt>
    <dgm:pt modelId="{5AAAAA50-F987-4454-8623-D511A4E77287}" type="pres">
      <dgm:prSet presAssocID="{711E40D1-41E1-4DC8-BD28-8A49160A07E8}" presName="vert0" presStyleCnt="0">
        <dgm:presLayoutVars>
          <dgm:dir/>
          <dgm:animOne val="branch"/>
          <dgm:animLvl val="lvl"/>
        </dgm:presLayoutVars>
      </dgm:prSet>
      <dgm:spPr/>
    </dgm:pt>
    <dgm:pt modelId="{C3472CE1-BF20-4F8B-9447-852EB4D8C791}" type="pres">
      <dgm:prSet presAssocID="{D6C00B30-3524-43DC-A20A-1F5E039BC120}" presName="thickLine" presStyleLbl="alignNode1" presStyleIdx="0" presStyleCnt="3"/>
      <dgm:spPr/>
    </dgm:pt>
    <dgm:pt modelId="{0AA1A81D-59D7-41A1-A663-0074F3E32050}" type="pres">
      <dgm:prSet presAssocID="{D6C00B30-3524-43DC-A20A-1F5E039BC120}" presName="horz1" presStyleCnt="0"/>
      <dgm:spPr/>
    </dgm:pt>
    <dgm:pt modelId="{63DDE759-7E2E-4022-91A6-C919B3467D12}" type="pres">
      <dgm:prSet presAssocID="{D6C00B30-3524-43DC-A20A-1F5E039BC120}" presName="tx1" presStyleLbl="revTx" presStyleIdx="0" presStyleCnt="3" custScaleY="253465"/>
      <dgm:spPr/>
    </dgm:pt>
    <dgm:pt modelId="{2C559F59-8B9A-4DE3-ADDA-38F649278F19}" type="pres">
      <dgm:prSet presAssocID="{D6C00B30-3524-43DC-A20A-1F5E039BC120}" presName="vert1" presStyleCnt="0"/>
      <dgm:spPr/>
    </dgm:pt>
    <dgm:pt modelId="{C6C515C7-E065-4269-A1F6-378435F9D042}" type="pres">
      <dgm:prSet presAssocID="{0D088DFD-A784-4CD0-8074-FE2474E33D3F}" presName="thickLine" presStyleLbl="alignNode1" presStyleIdx="1" presStyleCnt="3"/>
      <dgm:spPr/>
    </dgm:pt>
    <dgm:pt modelId="{F423FCDA-F635-4D06-955B-9BBC843B13F3}" type="pres">
      <dgm:prSet presAssocID="{0D088DFD-A784-4CD0-8074-FE2474E33D3F}" presName="horz1" presStyleCnt="0"/>
      <dgm:spPr/>
    </dgm:pt>
    <dgm:pt modelId="{9D00343F-D250-4899-944A-1E861991DD88}" type="pres">
      <dgm:prSet presAssocID="{0D088DFD-A784-4CD0-8074-FE2474E33D3F}" presName="tx1" presStyleLbl="revTx" presStyleIdx="1" presStyleCnt="3" custScaleY="253465"/>
      <dgm:spPr/>
    </dgm:pt>
    <dgm:pt modelId="{EE626A32-7676-4B99-BB73-59406A39D0C0}" type="pres">
      <dgm:prSet presAssocID="{0D088DFD-A784-4CD0-8074-FE2474E33D3F}" presName="vert1" presStyleCnt="0"/>
      <dgm:spPr/>
    </dgm:pt>
    <dgm:pt modelId="{A69075FB-1C02-47C3-A056-FF7969CC9C2E}" type="pres">
      <dgm:prSet presAssocID="{436BAD28-BBD9-480D-9955-4C5798E4B86E}" presName="thickLine" presStyleLbl="alignNode1" presStyleIdx="2" presStyleCnt="3"/>
      <dgm:spPr/>
    </dgm:pt>
    <dgm:pt modelId="{A52DB6B4-01E5-44F5-B0C4-4147BD926499}" type="pres">
      <dgm:prSet presAssocID="{436BAD28-BBD9-480D-9955-4C5798E4B86E}" presName="horz1" presStyleCnt="0"/>
      <dgm:spPr/>
    </dgm:pt>
    <dgm:pt modelId="{B2E0696F-19C6-4A08-A193-C5800E772CDE}" type="pres">
      <dgm:prSet presAssocID="{436BAD28-BBD9-480D-9955-4C5798E4B86E}" presName="tx1" presStyleLbl="revTx" presStyleIdx="2" presStyleCnt="3" custScaleY="253465"/>
      <dgm:spPr/>
    </dgm:pt>
    <dgm:pt modelId="{24427B92-6A82-4192-8928-D125A844BB48}" type="pres">
      <dgm:prSet presAssocID="{436BAD28-BBD9-480D-9955-4C5798E4B86E}" presName="vert1" presStyleCnt="0"/>
      <dgm:spPr/>
    </dgm:pt>
  </dgm:ptLst>
  <dgm:cxnLst>
    <dgm:cxn modelId="{CFA0FA0E-5B61-4693-94EA-B0D61D3952EC}" type="presOf" srcId="{711E40D1-41E1-4DC8-BD28-8A49160A07E8}" destId="{5AAAAA50-F987-4454-8623-D511A4E77287}" srcOrd="0" destOrd="0" presId="urn:microsoft.com/office/officeart/2008/layout/LinedList"/>
    <dgm:cxn modelId="{999CF629-6CE3-4C58-AE27-9D0109B5F095}" type="presOf" srcId="{436BAD28-BBD9-480D-9955-4C5798E4B86E}" destId="{B2E0696F-19C6-4A08-A193-C5800E772CDE}" srcOrd="0" destOrd="0" presId="urn:microsoft.com/office/officeart/2008/layout/LinedList"/>
    <dgm:cxn modelId="{70514058-7B58-4D4C-B8BA-DB479FEA375E}" type="presOf" srcId="{D6C00B30-3524-43DC-A20A-1F5E039BC120}" destId="{63DDE759-7E2E-4022-91A6-C919B3467D12}" srcOrd="0" destOrd="0" presId="urn:microsoft.com/office/officeart/2008/layout/LinedList"/>
    <dgm:cxn modelId="{7905E982-8063-476E-8D5E-754540BDF000}" srcId="{711E40D1-41E1-4DC8-BD28-8A49160A07E8}" destId="{0D088DFD-A784-4CD0-8074-FE2474E33D3F}" srcOrd="1" destOrd="0" parTransId="{17286CA2-3749-4F13-B21F-0C5B800FDC9A}" sibTransId="{AC9E83B7-2ACE-4FEA-BF59-871D83DF788C}"/>
    <dgm:cxn modelId="{81F7E88E-9B3F-42DD-993B-9445A53D1A5C}" type="presOf" srcId="{0D088DFD-A784-4CD0-8074-FE2474E33D3F}" destId="{9D00343F-D250-4899-944A-1E861991DD88}" srcOrd="0" destOrd="0" presId="urn:microsoft.com/office/officeart/2008/layout/LinedList"/>
    <dgm:cxn modelId="{24A8AC99-433E-40B8-9D6D-A15F824A8881}" srcId="{711E40D1-41E1-4DC8-BD28-8A49160A07E8}" destId="{436BAD28-BBD9-480D-9955-4C5798E4B86E}" srcOrd="2" destOrd="0" parTransId="{A8BA2B8E-A9B3-460A-BC37-38717136B827}" sibTransId="{A69EA39E-D7E0-4946-92A5-3F2AC6BF7914}"/>
    <dgm:cxn modelId="{E8E61FC1-E49D-498B-AB7E-BCE41E4213A2}" srcId="{711E40D1-41E1-4DC8-BD28-8A49160A07E8}" destId="{D6C00B30-3524-43DC-A20A-1F5E039BC120}" srcOrd="0" destOrd="0" parTransId="{21976FAB-A2C1-41E2-93BC-1222CF31BDF7}" sibTransId="{F169CB2D-C000-4C9A-BEF8-AB0BF993E284}"/>
    <dgm:cxn modelId="{31C2A191-2450-4AFC-BD09-8CDCDA365134}" type="presParOf" srcId="{5AAAAA50-F987-4454-8623-D511A4E77287}" destId="{C3472CE1-BF20-4F8B-9447-852EB4D8C791}" srcOrd="0" destOrd="0" presId="urn:microsoft.com/office/officeart/2008/layout/LinedList"/>
    <dgm:cxn modelId="{8001E0CF-1851-454E-A31F-6EA879AC46D5}" type="presParOf" srcId="{5AAAAA50-F987-4454-8623-D511A4E77287}" destId="{0AA1A81D-59D7-41A1-A663-0074F3E32050}" srcOrd="1" destOrd="0" presId="urn:microsoft.com/office/officeart/2008/layout/LinedList"/>
    <dgm:cxn modelId="{90D08CC6-6A44-4ECF-93A5-81733246F216}" type="presParOf" srcId="{0AA1A81D-59D7-41A1-A663-0074F3E32050}" destId="{63DDE759-7E2E-4022-91A6-C919B3467D12}" srcOrd="0" destOrd="0" presId="urn:microsoft.com/office/officeart/2008/layout/LinedList"/>
    <dgm:cxn modelId="{086F2B9F-C0F2-410C-A95D-E51E7D2C0EF4}" type="presParOf" srcId="{0AA1A81D-59D7-41A1-A663-0074F3E32050}" destId="{2C559F59-8B9A-4DE3-ADDA-38F649278F19}" srcOrd="1" destOrd="0" presId="urn:microsoft.com/office/officeart/2008/layout/LinedList"/>
    <dgm:cxn modelId="{EC463E28-6371-4C21-8478-EA41A159C468}" type="presParOf" srcId="{5AAAAA50-F987-4454-8623-D511A4E77287}" destId="{C6C515C7-E065-4269-A1F6-378435F9D042}" srcOrd="2" destOrd="0" presId="urn:microsoft.com/office/officeart/2008/layout/LinedList"/>
    <dgm:cxn modelId="{77DB0072-0C8F-47FF-B397-CF30139194F9}" type="presParOf" srcId="{5AAAAA50-F987-4454-8623-D511A4E77287}" destId="{F423FCDA-F635-4D06-955B-9BBC843B13F3}" srcOrd="3" destOrd="0" presId="urn:microsoft.com/office/officeart/2008/layout/LinedList"/>
    <dgm:cxn modelId="{BFB9371D-DAD7-4C5D-B8AA-18F2563662B0}" type="presParOf" srcId="{F423FCDA-F635-4D06-955B-9BBC843B13F3}" destId="{9D00343F-D250-4899-944A-1E861991DD88}" srcOrd="0" destOrd="0" presId="urn:microsoft.com/office/officeart/2008/layout/LinedList"/>
    <dgm:cxn modelId="{1C937E6F-F2DD-4DC2-92B8-EE20CF3E9D28}" type="presParOf" srcId="{F423FCDA-F635-4D06-955B-9BBC843B13F3}" destId="{EE626A32-7676-4B99-BB73-59406A39D0C0}" srcOrd="1" destOrd="0" presId="urn:microsoft.com/office/officeart/2008/layout/LinedList"/>
    <dgm:cxn modelId="{84239EC2-34B5-433D-AFD6-CC45CDE662CA}" type="presParOf" srcId="{5AAAAA50-F987-4454-8623-D511A4E77287}" destId="{A69075FB-1C02-47C3-A056-FF7969CC9C2E}" srcOrd="4" destOrd="0" presId="urn:microsoft.com/office/officeart/2008/layout/LinedList"/>
    <dgm:cxn modelId="{929BBA38-8D68-4817-89ED-2B743859BE39}" type="presParOf" srcId="{5AAAAA50-F987-4454-8623-D511A4E77287}" destId="{A52DB6B4-01E5-44F5-B0C4-4147BD926499}" srcOrd="5" destOrd="0" presId="urn:microsoft.com/office/officeart/2008/layout/LinedList"/>
    <dgm:cxn modelId="{6E17C662-FEE2-4FC1-93CC-19B266B22FC4}" type="presParOf" srcId="{A52DB6B4-01E5-44F5-B0C4-4147BD926499}" destId="{B2E0696F-19C6-4A08-A193-C5800E772CDE}" srcOrd="0" destOrd="0" presId="urn:microsoft.com/office/officeart/2008/layout/LinedList"/>
    <dgm:cxn modelId="{7A741DD8-0544-4EAA-BF6C-F34EF39AB15A}" type="presParOf" srcId="{A52DB6B4-01E5-44F5-B0C4-4147BD926499}" destId="{24427B92-6A82-4192-8928-D125A844BB48}" srcOrd="1" destOrd="0" presId="urn:microsoft.com/office/officeart/2008/layout/Lin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B3B39E-A522-45C7-AF16-10EBADDCDB3D}" type="doc">
      <dgm:prSet loTypeId="urn:microsoft.com/office/officeart/2005/8/layout/process1" loCatId="process" qsTypeId="urn:microsoft.com/office/officeart/2005/8/quickstyle/simple1" qsCatId="simple" csTypeId="urn:microsoft.com/office/officeart/2005/8/colors/accent1_1" csCatId="accent1" phldr="1"/>
      <dgm:spPr/>
    </dgm:pt>
    <dgm:pt modelId="{D99B25B1-88AB-4115-9F8F-3DC42F0F698E}">
      <dgm:prSet phldrT="[Text]" custT="1"/>
      <dgm:spPr/>
      <dgm:t>
        <a:bodyPr/>
        <a:lstStyle/>
        <a:p>
          <a:pPr algn="just">
            <a:buFont typeface="Symbol" panose="05050102010706020507" pitchFamily="18" charset="2"/>
            <a:buChar char=""/>
          </a:pPr>
          <a:r>
            <a:rPr lang="en-GB" sz="1200">
              <a:latin typeface="Arial" panose="020B0604020202020204" pitchFamily="34" charset="0"/>
              <a:cs typeface="Arial" panose="020B0604020202020204" pitchFamily="34" charset="0"/>
            </a:rPr>
            <a:t>Revenue growth of 15-20% annually through increased occupancy rates, optimized pricing, and expanded revenue streams.</a:t>
          </a:r>
        </a:p>
      </dgm:t>
    </dgm:pt>
    <dgm:pt modelId="{612A7969-6E02-4F05-8848-59BBFCB80939}" type="parTrans" cxnId="{9DCA3AFF-DCE1-42C1-82BF-9EBABCD51968}">
      <dgm:prSet/>
      <dgm:spPr/>
      <dgm:t>
        <a:bodyPr/>
        <a:lstStyle/>
        <a:p>
          <a:endParaRPr lang="en-GB"/>
        </a:p>
      </dgm:t>
    </dgm:pt>
    <dgm:pt modelId="{C3F8EFD1-8B79-49D7-8754-A0864C3B30EE}" type="sibTrans" cxnId="{9DCA3AFF-DCE1-42C1-82BF-9EBABCD51968}">
      <dgm:prSet/>
      <dgm:spPr/>
      <dgm:t>
        <a:bodyPr/>
        <a:lstStyle/>
        <a:p>
          <a:endParaRPr lang="en-GB"/>
        </a:p>
      </dgm:t>
    </dgm:pt>
    <dgm:pt modelId="{FEB66072-CB39-489F-9417-4274C5DF7B3B}">
      <dgm:prSet custT="1"/>
      <dgm:spPr/>
      <dgm:t>
        <a:bodyPr/>
        <a:lstStyle/>
        <a:p>
          <a:pPr algn="just">
            <a:buFont typeface="Symbol" panose="05050102010706020507" pitchFamily="18" charset="2"/>
            <a:buChar char=""/>
          </a:pPr>
          <a:r>
            <a:rPr lang="en-GB" sz="1200">
              <a:latin typeface="Arial" panose="020B0604020202020204" pitchFamily="34" charset="0"/>
              <a:cs typeface="Arial" panose="020B0604020202020204" pitchFamily="34" charset="0"/>
            </a:rPr>
            <a:t>Expense reduction of 10-15% through operational efficiency improvements and cost-cutting measures.</a:t>
          </a:r>
        </a:p>
      </dgm:t>
    </dgm:pt>
    <dgm:pt modelId="{1B11D7CC-F76C-4309-A85A-0DB94956EACD}" type="parTrans" cxnId="{C9F92DFC-CB35-4B33-BF90-5135850F71D5}">
      <dgm:prSet/>
      <dgm:spPr/>
      <dgm:t>
        <a:bodyPr/>
        <a:lstStyle/>
        <a:p>
          <a:endParaRPr lang="en-GB"/>
        </a:p>
      </dgm:t>
    </dgm:pt>
    <dgm:pt modelId="{110DDAB2-EAFB-4C1C-BCF6-1D5E3780FC9B}" type="sibTrans" cxnId="{C9F92DFC-CB35-4B33-BF90-5135850F71D5}">
      <dgm:prSet/>
      <dgm:spPr/>
      <dgm:t>
        <a:bodyPr/>
        <a:lstStyle/>
        <a:p>
          <a:endParaRPr lang="en-GB"/>
        </a:p>
      </dgm:t>
    </dgm:pt>
    <dgm:pt modelId="{A92E6B68-F8B0-4C6B-BE8D-25A483567B37}">
      <dgm:prSet custT="1"/>
      <dgm:spPr/>
      <dgm:t>
        <a:bodyPr/>
        <a:lstStyle/>
        <a:p>
          <a:pPr algn="just">
            <a:buFont typeface="Symbol" panose="05050102010706020507" pitchFamily="18" charset="2"/>
            <a:buChar char=""/>
          </a:pPr>
          <a:r>
            <a:rPr lang="en-GB" sz="1200">
              <a:latin typeface="Arial" panose="020B0604020202020204" pitchFamily="34" charset="0"/>
              <a:cs typeface="Arial" panose="020B0604020202020204" pitchFamily="34" charset="0"/>
            </a:rPr>
            <a:t>Improved profitability, with a targeted net profit margin of 15-20% within the first two years.</a:t>
          </a:r>
        </a:p>
      </dgm:t>
    </dgm:pt>
    <dgm:pt modelId="{424814B3-5B5C-4293-A926-73A32AB0AFE7}" type="parTrans" cxnId="{F06E3A39-5DF9-4C19-9427-F4914639FD40}">
      <dgm:prSet/>
      <dgm:spPr/>
      <dgm:t>
        <a:bodyPr/>
        <a:lstStyle/>
        <a:p>
          <a:endParaRPr lang="en-GB"/>
        </a:p>
      </dgm:t>
    </dgm:pt>
    <dgm:pt modelId="{16BE435A-379E-444F-8B69-EA236C91397A}" type="sibTrans" cxnId="{F06E3A39-5DF9-4C19-9427-F4914639FD40}">
      <dgm:prSet/>
      <dgm:spPr/>
      <dgm:t>
        <a:bodyPr/>
        <a:lstStyle/>
        <a:p>
          <a:endParaRPr lang="en-GB"/>
        </a:p>
      </dgm:t>
    </dgm:pt>
    <dgm:pt modelId="{77A5341B-DEB8-494D-9C09-4E9AC535DBC8}">
      <dgm:prSet custT="1"/>
      <dgm:spPr/>
      <dgm:t>
        <a:bodyPr/>
        <a:lstStyle/>
        <a:p>
          <a:pPr algn="just">
            <a:buFont typeface="Symbol" panose="05050102010706020507" pitchFamily="18" charset="2"/>
            <a:buChar char=""/>
          </a:pPr>
          <a:r>
            <a:rPr lang="en-GB" sz="1200">
              <a:latin typeface="Arial" panose="020B0604020202020204" pitchFamily="34" charset="0"/>
              <a:cs typeface="Arial" panose="020B0604020202020204" pitchFamily="34" charset="0"/>
            </a:rPr>
            <a:t>Improved liquidity position, with a current ratio of 1.2 or higher, ensuring better cash flow management.</a:t>
          </a:r>
        </a:p>
      </dgm:t>
    </dgm:pt>
    <dgm:pt modelId="{24C858EA-82F0-4E8E-A907-F30B913AAFE9}" type="parTrans" cxnId="{2E9579DD-76E9-4285-AEF9-9D4682A2EEBF}">
      <dgm:prSet/>
      <dgm:spPr/>
      <dgm:t>
        <a:bodyPr/>
        <a:lstStyle/>
        <a:p>
          <a:endParaRPr lang="en-GB"/>
        </a:p>
      </dgm:t>
    </dgm:pt>
    <dgm:pt modelId="{C19D258D-66A4-4630-AA47-1A43C7DC6A84}" type="sibTrans" cxnId="{2E9579DD-76E9-4285-AEF9-9D4682A2EEBF}">
      <dgm:prSet/>
      <dgm:spPr/>
      <dgm:t>
        <a:bodyPr/>
        <a:lstStyle/>
        <a:p>
          <a:endParaRPr lang="en-GB"/>
        </a:p>
      </dgm:t>
    </dgm:pt>
    <dgm:pt modelId="{0C0B1745-61A9-46A9-BC2B-D8426272D8DC}">
      <dgm:prSet custT="1"/>
      <dgm:spPr/>
      <dgm:t>
        <a:bodyPr/>
        <a:lstStyle/>
        <a:p>
          <a:pPr algn="just">
            <a:buFont typeface="Symbol" panose="05050102010706020507" pitchFamily="18" charset="2"/>
            <a:buChar char=""/>
          </a:pPr>
          <a:r>
            <a:rPr lang="en-GB" sz="1200">
              <a:latin typeface="Arial" panose="020B0604020202020204" pitchFamily="34" charset="0"/>
              <a:cs typeface="Arial" panose="020B0604020202020204" pitchFamily="34" charset="0"/>
            </a:rPr>
            <a:t>Strengthened equity position, reflecting the hotel's improved financial health and long-term viability.</a:t>
          </a:r>
        </a:p>
      </dgm:t>
    </dgm:pt>
    <dgm:pt modelId="{6CB66899-4F89-4E80-9640-2E8355794DBA}" type="parTrans" cxnId="{0C28315C-E549-41C7-8111-BEE5F845EBA9}">
      <dgm:prSet/>
      <dgm:spPr/>
      <dgm:t>
        <a:bodyPr/>
        <a:lstStyle/>
        <a:p>
          <a:endParaRPr lang="en-GB"/>
        </a:p>
      </dgm:t>
    </dgm:pt>
    <dgm:pt modelId="{57FD093A-7EE8-4473-951F-B598D81701EC}" type="sibTrans" cxnId="{0C28315C-E549-41C7-8111-BEE5F845EBA9}">
      <dgm:prSet/>
      <dgm:spPr/>
      <dgm:t>
        <a:bodyPr/>
        <a:lstStyle/>
        <a:p>
          <a:endParaRPr lang="en-GB"/>
        </a:p>
      </dgm:t>
    </dgm:pt>
    <dgm:pt modelId="{C4220DA9-F660-4B4D-B4E2-CD57A77E3219}" type="pres">
      <dgm:prSet presAssocID="{72B3B39E-A522-45C7-AF16-10EBADDCDB3D}" presName="Name0" presStyleCnt="0">
        <dgm:presLayoutVars>
          <dgm:dir/>
          <dgm:resizeHandles val="exact"/>
        </dgm:presLayoutVars>
      </dgm:prSet>
      <dgm:spPr/>
    </dgm:pt>
    <dgm:pt modelId="{891480A2-9C62-49FA-93B4-BE2BFA57229C}" type="pres">
      <dgm:prSet presAssocID="{D99B25B1-88AB-4115-9F8F-3DC42F0F698E}" presName="node" presStyleLbl="node1" presStyleIdx="0" presStyleCnt="5" custScaleX="197324">
        <dgm:presLayoutVars>
          <dgm:bulletEnabled val="1"/>
        </dgm:presLayoutVars>
      </dgm:prSet>
      <dgm:spPr/>
    </dgm:pt>
    <dgm:pt modelId="{50B71194-A00C-4CCD-BB62-93303A0C35FE}" type="pres">
      <dgm:prSet presAssocID="{C3F8EFD1-8B79-49D7-8754-A0864C3B30EE}" presName="sibTrans" presStyleLbl="sibTrans2D1" presStyleIdx="0" presStyleCnt="4"/>
      <dgm:spPr/>
    </dgm:pt>
    <dgm:pt modelId="{D0254B88-9CF8-42C7-9D4E-EA58726C50E6}" type="pres">
      <dgm:prSet presAssocID="{C3F8EFD1-8B79-49D7-8754-A0864C3B30EE}" presName="connectorText" presStyleLbl="sibTrans2D1" presStyleIdx="0" presStyleCnt="4"/>
      <dgm:spPr/>
    </dgm:pt>
    <dgm:pt modelId="{6D976AA4-2C0C-42C1-90A1-B06DA6DFFA02}" type="pres">
      <dgm:prSet presAssocID="{FEB66072-CB39-489F-9417-4274C5DF7B3B}" presName="node" presStyleLbl="node1" presStyleIdx="1" presStyleCnt="5" custScaleX="197324">
        <dgm:presLayoutVars>
          <dgm:bulletEnabled val="1"/>
        </dgm:presLayoutVars>
      </dgm:prSet>
      <dgm:spPr/>
    </dgm:pt>
    <dgm:pt modelId="{A9547703-A085-481C-A580-354685D67CFC}" type="pres">
      <dgm:prSet presAssocID="{110DDAB2-EAFB-4C1C-BCF6-1D5E3780FC9B}" presName="sibTrans" presStyleLbl="sibTrans2D1" presStyleIdx="1" presStyleCnt="4"/>
      <dgm:spPr/>
    </dgm:pt>
    <dgm:pt modelId="{3BBE095A-1E54-4B49-AC40-92C8B5072443}" type="pres">
      <dgm:prSet presAssocID="{110DDAB2-EAFB-4C1C-BCF6-1D5E3780FC9B}" presName="connectorText" presStyleLbl="sibTrans2D1" presStyleIdx="1" presStyleCnt="4"/>
      <dgm:spPr/>
    </dgm:pt>
    <dgm:pt modelId="{2816E5F8-AB7D-4D4E-8221-85BF59D208FF}" type="pres">
      <dgm:prSet presAssocID="{A92E6B68-F8B0-4C6B-BE8D-25A483567B37}" presName="node" presStyleLbl="node1" presStyleIdx="2" presStyleCnt="5" custScaleX="197324">
        <dgm:presLayoutVars>
          <dgm:bulletEnabled val="1"/>
        </dgm:presLayoutVars>
      </dgm:prSet>
      <dgm:spPr/>
    </dgm:pt>
    <dgm:pt modelId="{3ADFC648-DA89-4A0D-A02E-AA3848957277}" type="pres">
      <dgm:prSet presAssocID="{16BE435A-379E-444F-8B69-EA236C91397A}" presName="sibTrans" presStyleLbl="sibTrans2D1" presStyleIdx="2" presStyleCnt="4"/>
      <dgm:spPr/>
    </dgm:pt>
    <dgm:pt modelId="{C1D404C7-60B9-4606-81F3-59906A9A2A8B}" type="pres">
      <dgm:prSet presAssocID="{16BE435A-379E-444F-8B69-EA236C91397A}" presName="connectorText" presStyleLbl="sibTrans2D1" presStyleIdx="2" presStyleCnt="4"/>
      <dgm:spPr/>
    </dgm:pt>
    <dgm:pt modelId="{9A3A0629-D706-40E0-88F8-FD6701B80EED}" type="pres">
      <dgm:prSet presAssocID="{77A5341B-DEB8-494D-9C09-4E9AC535DBC8}" presName="node" presStyleLbl="node1" presStyleIdx="3" presStyleCnt="5" custScaleX="197324">
        <dgm:presLayoutVars>
          <dgm:bulletEnabled val="1"/>
        </dgm:presLayoutVars>
      </dgm:prSet>
      <dgm:spPr/>
    </dgm:pt>
    <dgm:pt modelId="{AA776C7D-F13C-4509-89BC-54470A23DD92}" type="pres">
      <dgm:prSet presAssocID="{C19D258D-66A4-4630-AA47-1A43C7DC6A84}" presName="sibTrans" presStyleLbl="sibTrans2D1" presStyleIdx="3" presStyleCnt="4"/>
      <dgm:spPr/>
    </dgm:pt>
    <dgm:pt modelId="{7B6EE030-21ED-4438-94C7-CB142315A574}" type="pres">
      <dgm:prSet presAssocID="{C19D258D-66A4-4630-AA47-1A43C7DC6A84}" presName="connectorText" presStyleLbl="sibTrans2D1" presStyleIdx="3" presStyleCnt="4"/>
      <dgm:spPr/>
    </dgm:pt>
    <dgm:pt modelId="{41D553FF-9B31-476E-BD17-7A41D2266307}" type="pres">
      <dgm:prSet presAssocID="{0C0B1745-61A9-46A9-BC2B-D8426272D8DC}" presName="node" presStyleLbl="node1" presStyleIdx="4" presStyleCnt="5" custScaleX="197324">
        <dgm:presLayoutVars>
          <dgm:bulletEnabled val="1"/>
        </dgm:presLayoutVars>
      </dgm:prSet>
      <dgm:spPr/>
    </dgm:pt>
  </dgm:ptLst>
  <dgm:cxnLst>
    <dgm:cxn modelId="{2C15D808-6969-4A9E-8B29-433E039FBBF0}" type="presOf" srcId="{A92E6B68-F8B0-4C6B-BE8D-25A483567B37}" destId="{2816E5F8-AB7D-4D4E-8221-85BF59D208FF}" srcOrd="0" destOrd="0" presId="urn:microsoft.com/office/officeart/2005/8/layout/process1"/>
    <dgm:cxn modelId="{82825715-DA04-4293-8C6D-6DA6D0F97B5F}" type="presOf" srcId="{77A5341B-DEB8-494D-9C09-4E9AC535DBC8}" destId="{9A3A0629-D706-40E0-88F8-FD6701B80EED}" srcOrd="0" destOrd="0" presId="urn:microsoft.com/office/officeart/2005/8/layout/process1"/>
    <dgm:cxn modelId="{577E3B2A-F726-4132-BA34-C3055669D136}" type="presOf" srcId="{FEB66072-CB39-489F-9417-4274C5DF7B3B}" destId="{6D976AA4-2C0C-42C1-90A1-B06DA6DFFA02}" srcOrd="0" destOrd="0" presId="urn:microsoft.com/office/officeart/2005/8/layout/process1"/>
    <dgm:cxn modelId="{F06E3A39-5DF9-4C19-9427-F4914639FD40}" srcId="{72B3B39E-A522-45C7-AF16-10EBADDCDB3D}" destId="{A92E6B68-F8B0-4C6B-BE8D-25A483567B37}" srcOrd="2" destOrd="0" parTransId="{424814B3-5B5C-4293-A926-73A32AB0AFE7}" sibTransId="{16BE435A-379E-444F-8B69-EA236C91397A}"/>
    <dgm:cxn modelId="{0C28315C-E549-41C7-8111-BEE5F845EBA9}" srcId="{72B3B39E-A522-45C7-AF16-10EBADDCDB3D}" destId="{0C0B1745-61A9-46A9-BC2B-D8426272D8DC}" srcOrd="4" destOrd="0" parTransId="{6CB66899-4F89-4E80-9640-2E8355794DBA}" sibTransId="{57FD093A-7EE8-4473-951F-B598D81701EC}"/>
    <dgm:cxn modelId="{041A8E63-43B9-4C16-B080-501A6EF9E90B}" type="presOf" srcId="{C3F8EFD1-8B79-49D7-8754-A0864C3B30EE}" destId="{D0254B88-9CF8-42C7-9D4E-EA58726C50E6}" srcOrd="1" destOrd="0" presId="urn:microsoft.com/office/officeart/2005/8/layout/process1"/>
    <dgm:cxn modelId="{902A604C-FB66-49A7-8805-D6D8A7AD2955}" type="presOf" srcId="{110DDAB2-EAFB-4C1C-BCF6-1D5E3780FC9B}" destId="{A9547703-A085-481C-A580-354685D67CFC}" srcOrd="0" destOrd="0" presId="urn:microsoft.com/office/officeart/2005/8/layout/process1"/>
    <dgm:cxn modelId="{3E2B0151-11D2-4B84-9864-3505EC702F32}" type="presOf" srcId="{C3F8EFD1-8B79-49D7-8754-A0864C3B30EE}" destId="{50B71194-A00C-4CCD-BB62-93303A0C35FE}" srcOrd="0" destOrd="0" presId="urn:microsoft.com/office/officeart/2005/8/layout/process1"/>
    <dgm:cxn modelId="{732EEC55-EF08-400D-B6D6-CD5D91269624}" type="presOf" srcId="{D99B25B1-88AB-4115-9F8F-3DC42F0F698E}" destId="{891480A2-9C62-49FA-93B4-BE2BFA57229C}" srcOrd="0" destOrd="0" presId="urn:microsoft.com/office/officeart/2005/8/layout/process1"/>
    <dgm:cxn modelId="{9575749D-0B4F-4EE2-A2D8-86F82A403FDD}" type="presOf" srcId="{C19D258D-66A4-4630-AA47-1A43C7DC6A84}" destId="{7B6EE030-21ED-4438-94C7-CB142315A574}" srcOrd="1" destOrd="0" presId="urn:microsoft.com/office/officeart/2005/8/layout/process1"/>
    <dgm:cxn modelId="{C134B8BB-6FC6-43FC-A7BD-D5B3CB512174}" type="presOf" srcId="{110DDAB2-EAFB-4C1C-BCF6-1D5E3780FC9B}" destId="{3BBE095A-1E54-4B49-AC40-92C8B5072443}" srcOrd="1" destOrd="0" presId="urn:microsoft.com/office/officeart/2005/8/layout/process1"/>
    <dgm:cxn modelId="{C3A2C7C4-08B5-461E-909A-7DDF2916F79F}" type="presOf" srcId="{0C0B1745-61A9-46A9-BC2B-D8426272D8DC}" destId="{41D553FF-9B31-476E-BD17-7A41D2266307}" srcOrd="0" destOrd="0" presId="urn:microsoft.com/office/officeart/2005/8/layout/process1"/>
    <dgm:cxn modelId="{D7E400DC-F224-4BA6-ACE7-A7770A12C6C7}" type="presOf" srcId="{16BE435A-379E-444F-8B69-EA236C91397A}" destId="{C1D404C7-60B9-4606-81F3-59906A9A2A8B}" srcOrd="1" destOrd="0" presId="urn:microsoft.com/office/officeart/2005/8/layout/process1"/>
    <dgm:cxn modelId="{095ED3DC-EF60-472C-BCF8-189801A2F1BC}" type="presOf" srcId="{72B3B39E-A522-45C7-AF16-10EBADDCDB3D}" destId="{C4220DA9-F660-4B4D-B4E2-CD57A77E3219}" srcOrd="0" destOrd="0" presId="urn:microsoft.com/office/officeart/2005/8/layout/process1"/>
    <dgm:cxn modelId="{2E9579DD-76E9-4285-AEF9-9D4682A2EEBF}" srcId="{72B3B39E-A522-45C7-AF16-10EBADDCDB3D}" destId="{77A5341B-DEB8-494D-9C09-4E9AC535DBC8}" srcOrd="3" destOrd="0" parTransId="{24C858EA-82F0-4E8E-A907-F30B913AAFE9}" sibTransId="{C19D258D-66A4-4630-AA47-1A43C7DC6A84}"/>
    <dgm:cxn modelId="{12588EF1-CDB8-427C-863C-99397DF72497}" type="presOf" srcId="{16BE435A-379E-444F-8B69-EA236C91397A}" destId="{3ADFC648-DA89-4A0D-A02E-AA3848957277}" srcOrd="0" destOrd="0" presId="urn:microsoft.com/office/officeart/2005/8/layout/process1"/>
    <dgm:cxn modelId="{DCF223F2-C78D-4BAF-8E8E-E136E5070B5E}" type="presOf" srcId="{C19D258D-66A4-4630-AA47-1A43C7DC6A84}" destId="{AA776C7D-F13C-4509-89BC-54470A23DD92}" srcOrd="0" destOrd="0" presId="urn:microsoft.com/office/officeart/2005/8/layout/process1"/>
    <dgm:cxn modelId="{C9F92DFC-CB35-4B33-BF90-5135850F71D5}" srcId="{72B3B39E-A522-45C7-AF16-10EBADDCDB3D}" destId="{FEB66072-CB39-489F-9417-4274C5DF7B3B}" srcOrd="1" destOrd="0" parTransId="{1B11D7CC-F76C-4309-A85A-0DB94956EACD}" sibTransId="{110DDAB2-EAFB-4C1C-BCF6-1D5E3780FC9B}"/>
    <dgm:cxn modelId="{9DCA3AFF-DCE1-42C1-82BF-9EBABCD51968}" srcId="{72B3B39E-A522-45C7-AF16-10EBADDCDB3D}" destId="{D99B25B1-88AB-4115-9F8F-3DC42F0F698E}" srcOrd="0" destOrd="0" parTransId="{612A7969-6E02-4F05-8848-59BBFCB80939}" sibTransId="{C3F8EFD1-8B79-49D7-8754-A0864C3B30EE}"/>
    <dgm:cxn modelId="{509411A9-3AF0-43F5-A9DB-CD774E1F21DB}" type="presParOf" srcId="{C4220DA9-F660-4B4D-B4E2-CD57A77E3219}" destId="{891480A2-9C62-49FA-93B4-BE2BFA57229C}" srcOrd="0" destOrd="0" presId="urn:microsoft.com/office/officeart/2005/8/layout/process1"/>
    <dgm:cxn modelId="{78FC0208-20B9-4E50-A3C2-A44DCD68CFFB}" type="presParOf" srcId="{C4220DA9-F660-4B4D-B4E2-CD57A77E3219}" destId="{50B71194-A00C-4CCD-BB62-93303A0C35FE}" srcOrd="1" destOrd="0" presId="urn:microsoft.com/office/officeart/2005/8/layout/process1"/>
    <dgm:cxn modelId="{4CBD87D9-3B93-4EDD-AF5B-4F52F701BA89}" type="presParOf" srcId="{50B71194-A00C-4CCD-BB62-93303A0C35FE}" destId="{D0254B88-9CF8-42C7-9D4E-EA58726C50E6}" srcOrd="0" destOrd="0" presId="urn:microsoft.com/office/officeart/2005/8/layout/process1"/>
    <dgm:cxn modelId="{9803FC27-1F55-4E1D-8F5D-DB09C88080C9}" type="presParOf" srcId="{C4220DA9-F660-4B4D-B4E2-CD57A77E3219}" destId="{6D976AA4-2C0C-42C1-90A1-B06DA6DFFA02}" srcOrd="2" destOrd="0" presId="urn:microsoft.com/office/officeart/2005/8/layout/process1"/>
    <dgm:cxn modelId="{3482835F-354C-4C35-96ED-94E3616C5DDB}" type="presParOf" srcId="{C4220DA9-F660-4B4D-B4E2-CD57A77E3219}" destId="{A9547703-A085-481C-A580-354685D67CFC}" srcOrd="3" destOrd="0" presId="urn:microsoft.com/office/officeart/2005/8/layout/process1"/>
    <dgm:cxn modelId="{07AC929B-E378-4CA8-84E1-70D4CC47CA74}" type="presParOf" srcId="{A9547703-A085-481C-A580-354685D67CFC}" destId="{3BBE095A-1E54-4B49-AC40-92C8B5072443}" srcOrd="0" destOrd="0" presId="urn:microsoft.com/office/officeart/2005/8/layout/process1"/>
    <dgm:cxn modelId="{C540F17A-4EC7-4281-92E7-3D0E23735946}" type="presParOf" srcId="{C4220DA9-F660-4B4D-B4E2-CD57A77E3219}" destId="{2816E5F8-AB7D-4D4E-8221-85BF59D208FF}" srcOrd="4" destOrd="0" presId="urn:microsoft.com/office/officeart/2005/8/layout/process1"/>
    <dgm:cxn modelId="{3624FF1D-C315-4188-B386-7C0766862F2A}" type="presParOf" srcId="{C4220DA9-F660-4B4D-B4E2-CD57A77E3219}" destId="{3ADFC648-DA89-4A0D-A02E-AA3848957277}" srcOrd="5" destOrd="0" presId="urn:microsoft.com/office/officeart/2005/8/layout/process1"/>
    <dgm:cxn modelId="{14C4D72D-D5A6-4161-84D0-40FBF7367CFB}" type="presParOf" srcId="{3ADFC648-DA89-4A0D-A02E-AA3848957277}" destId="{C1D404C7-60B9-4606-81F3-59906A9A2A8B}" srcOrd="0" destOrd="0" presId="urn:microsoft.com/office/officeart/2005/8/layout/process1"/>
    <dgm:cxn modelId="{F8686671-3BDC-409F-B99B-5B097142C82A}" type="presParOf" srcId="{C4220DA9-F660-4B4D-B4E2-CD57A77E3219}" destId="{9A3A0629-D706-40E0-88F8-FD6701B80EED}" srcOrd="6" destOrd="0" presId="urn:microsoft.com/office/officeart/2005/8/layout/process1"/>
    <dgm:cxn modelId="{00C2F998-6963-4E0E-981B-1503E495A3DD}" type="presParOf" srcId="{C4220DA9-F660-4B4D-B4E2-CD57A77E3219}" destId="{AA776C7D-F13C-4509-89BC-54470A23DD92}" srcOrd="7" destOrd="0" presId="urn:microsoft.com/office/officeart/2005/8/layout/process1"/>
    <dgm:cxn modelId="{9D6C2E5F-76E5-4ECE-95E9-D8D18FE75BA9}" type="presParOf" srcId="{AA776C7D-F13C-4509-89BC-54470A23DD92}" destId="{7B6EE030-21ED-4438-94C7-CB142315A574}" srcOrd="0" destOrd="0" presId="urn:microsoft.com/office/officeart/2005/8/layout/process1"/>
    <dgm:cxn modelId="{E4147707-B40F-4744-8EDE-ECCA92F887E0}" type="presParOf" srcId="{C4220DA9-F660-4B4D-B4E2-CD57A77E3219}" destId="{41D553FF-9B31-476E-BD17-7A41D2266307}" srcOrd="8" destOrd="0" presId="urn:microsoft.com/office/officeart/2005/8/layout/process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472CE1-BF20-4F8B-9447-852EB4D8C791}">
      <dsp:nvSpPr>
        <dsp:cNvPr id="0" name=""/>
        <dsp:cNvSpPr/>
      </dsp:nvSpPr>
      <dsp:spPr>
        <a:xfrm>
          <a:off x="0" y="2265"/>
          <a:ext cx="5753100"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DDE759-7E2E-4022-91A6-C919B3467D12}">
      <dsp:nvSpPr>
        <dsp:cNvPr id="0" name=""/>
        <dsp:cNvSpPr/>
      </dsp:nvSpPr>
      <dsp:spPr>
        <a:xfrm>
          <a:off x="0" y="2265"/>
          <a:ext cx="5747481" cy="12176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Conduct a comprehensive cost analysis:</a:t>
          </a:r>
          <a:r>
            <a:rPr lang="en-GB" sz="1200" kern="1200">
              <a:latin typeface="Arial" panose="020B0604020202020204" pitchFamily="34" charset="0"/>
              <a:cs typeface="Arial" panose="020B0604020202020204" pitchFamily="34" charset="0"/>
            </a:rPr>
            <a:t> Certain things alone are to be expected in the deconstruction of every single cost component and this shows the duplication of ways that will motivate savings (Ericsson and Solvoll, 2021). Therefore, this can be accomplished both ways: through turning the agreements of their partners with suppliers in order, for example, to apply the energy-efficiency improvements or reorganise the urgent activities (which is necessary in such cases).</a:t>
          </a:r>
        </a:p>
      </dsp:txBody>
      <dsp:txXfrm>
        <a:off x="0" y="2265"/>
        <a:ext cx="5747481" cy="1217689"/>
      </dsp:txXfrm>
    </dsp:sp>
    <dsp:sp modelId="{C6C515C7-E065-4269-A1F6-378435F9D042}">
      <dsp:nvSpPr>
        <dsp:cNvPr id="0" name=""/>
        <dsp:cNvSpPr/>
      </dsp:nvSpPr>
      <dsp:spPr>
        <a:xfrm>
          <a:off x="0" y="1219955"/>
          <a:ext cx="5753100"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00343F-D250-4899-944A-1E861991DD88}">
      <dsp:nvSpPr>
        <dsp:cNvPr id="0" name=""/>
        <dsp:cNvSpPr/>
      </dsp:nvSpPr>
      <dsp:spPr>
        <a:xfrm>
          <a:off x="0" y="1219955"/>
          <a:ext cx="5747481" cy="12176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Optimize staffing levels and resource allocation:</a:t>
          </a:r>
          <a:r>
            <a:rPr lang="en-GB" sz="1200" kern="1200">
              <a:latin typeface="Arial" panose="020B0604020202020204" pitchFamily="34" charset="0"/>
              <a:cs typeface="Arial" panose="020B0604020202020204" pitchFamily="34" charset="0"/>
            </a:rPr>
            <a:t> Sustainable companies save resources and have more productive employees. If recruiting is limited, it is possible to cross-train and increase hourly flexibility for current workers, or if they are absent, it can lift their flexibility (Legrand et al., 2022). One can delegate all weaker services and use the case to cover the basics. </a:t>
          </a:r>
        </a:p>
      </dsp:txBody>
      <dsp:txXfrm>
        <a:off x="0" y="1219955"/>
        <a:ext cx="5747481" cy="1217689"/>
      </dsp:txXfrm>
    </dsp:sp>
    <dsp:sp modelId="{A69075FB-1C02-47C3-A056-FF7969CC9C2E}">
      <dsp:nvSpPr>
        <dsp:cNvPr id="0" name=""/>
        <dsp:cNvSpPr/>
      </dsp:nvSpPr>
      <dsp:spPr>
        <a:xfrm>
          <a:off x="0" y="2437644"/>
          <a:ext cx="5753100"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2E0696F-19C6-4A08-A193-C5800E772CDE}">
      <dsp:nvSpPr>
        <dsp:cNvPr id="0" name=""/>
        <dsp:cNvSpPr/>
      </dsp:nvSpPr>
      <dsp:spPr>
        <a:xfrm>
          <a:off x="0" y="2437644"/>
          <a:ext cx="5747481" cy="12176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Upgrade technology and systems:</a:t>
          </a:r>
          <a:r>
            <a:rPr lang="en-GB" sz="1200" kern="1200">
              <a:latin typeface="Arial" panose="020B0604020202020204" pitchFamily="34" charset="0"/>
              <a:cs typeface="Arial" panose="020B0604020202020204" pitchFamily="34" charset="0"/>
            </a:rPr>
            <a:t> In particular, make use of the technologies and the already existing processes that are in the workplace for giving the staff training to enhance production, elevate the guest experience, as well as reduce labour costs. (Walker, 2021) The programming of these machines, which perform support functions such as check-in/check-out and analysis, is critical.</a:t>
          </a:r>
        </a:p>
      </dsp:txBody>
      <dsp:txXfrm>
        <a:off x="0" y="2437644"/>
        <a:ext cx="5747481" cy="12176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1480A2-9C62-49FA-93B4-BE2BFA57229C}">
      <dsp:nvSpPr>
        <dsp:cNvPr id="0" name=""/>
        <dsp:cNvSpPr/>
      </dsp:nvSpPr>
      <dsp:spPr>
        <a:xfrm>
          <a:off x="5021" y="569211"/>
          <a:ext cx="1076848" cy="2109602"/>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Revenue growth of 15-20% annually through increased occupancy rates, optimized pricing, and expanded revenue streams.</a:t>
          </a:r>
        </a:p>
      </dsp:txBody>
      <dsp:txXfrm>
        <a:off x="36561" y="600751"/>
        <a:ext cx="1013768" cy="2046522"/>
      </dsp:txXfrm>
    </dsp:sp>
    <dsp:sp modelId="{50B71194-A00C-4CCD-BB62-93303A0C35FE}">
      <dsp:nvSpPr>
        <dsp:cNvPr id="0" name=""/>
        <dsp:cNvSpPr/>
      </dsp:nvSpPr>
      <dsp:spPr>
        <a:xfrm>
          <a:off x="1136443" y="1556342"/>
          <a:ext cx="115693" cy="1353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136443" y="1583410"/>
        <a:ext cx="80985" cy="81204"/>
      </dsp:txXfrm>
    </dsp:sp>
    <dsp:sp modelId="{6D976AA4-2C0C-42C1-90A1-B06DA6DFFA02}">
      <dsp:nvSpPr>
        <dsp:cNvPr id="0" name=""/>
        <dsp:cNvSpPr/>
      </dsp:nvSpPr>
      <dsp:spPr>
        <a:xfrm>
          <a:off x="1300161" y="569211"/>
          <a:ext cx="1076848" cy="2109602"/>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Expense reduction of 10-15% through operational efficiency improvements and cost-cutting measures.</a:t>
          </a:r>
        </a:p>
      </dsp:txBody>
      <dsp:txXfrm>
        <a:off x="1331701" y="600751"/>
        <a:ext cx="1013768" cy="2046522"/>
      </dsp:txXfrm>
    </dsp:sp>
    <dsp:sp modelId="{A9547703-A085-481C-A580-354685D67CFC}">
      <dsp:nvSpPr>
        <dsp:cNvPr id="0" name=""/>
        <dsp:cNvSpPr/>
      </dsp:nvSpPr>
      <dsp:spPr>
        <a:xfrm>
          <a:off x="2431582" y="1556342"/>
          <a:ext cx="115693" cy="1353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1582" y="1583410"/>
        <a:ext cx="80985" cy="81204"/>
      </dsp:txXfrm>
    </dsp:sp>
    <dsp:sp modelId="{2816E5F8-AB7D-4D4E-8221-85BF59D208FF}">
      <dsp:nvSpPr>
        <dsp:cNvPr id="0" name=""/>
        <dsp:cNvSpPr/>
      </dsp:nvSpPr>
      <dsp:spPr>
        <a:xfrm>
          <a:off x="2595300" y="569211"/>
          <a:ext cx="1076848" cy="2109602"/>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Improved profitability, with a targeted net profit margin of 15-20% within the first two years.</a:t>
          </a:r>
        </a:p>
      </dsp:txBody>
      <dsp:txXfrm>
        <a:off x="2626840" y="600751"/>
        <a:ext cx="1013768" cy="2046522"/>
      </dsp:txXfrm>
    </dsp:sp>
    <dsp:sp modelId="{3ADFC648-DA89-4A0D-A02E-AA3848957277}">
      <dsp:nvSpPr>
        <dsp:cNvPr id="0" name=""/>
        <dsp:cNvSpPr/>
      </dsp:nvSpPr>
      <dsp:spPr>
        <a:xfrm>
          <a:off x="3726722" y="1556342"/>
          <a:ext cx="115693" cy="1353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26722" y="1583410"/>
        <a:ext cx="80985" cy="81204"/>
      </dsp:txXfrm>
    </dsp:sp>
    <dsp:sp modelId="{9A3A0629-D706-40E0-88F8-FD6701B80EED}">
      <dsp:nvSpPr>
        <dsp:cNvPr id="0" name=""/>
        <dsp:cNvSpPr/>
      </dsp:nvSpPr>
      <dsp:spPr>
        <a:xfrm>
          <a:off x="3890439" y="569211"/>
          <a:ext cx="1076848" cy="2109602"/>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Improved liquidity position, with a current ratio of 1.2 or higher, ensuring better cash flow management.</a:t>
          </a:r>
        </a:p>
      </dsp:txBody>
      <dsp:txXfrm>
        <a:off x="3921979" y="600751"/>
        <a:ext cx="1013768" cy="2046522"/>
      </dsp:txXfrm>
    </dsp:sp>
    <dsp:sp modelId="{AA776C7D-F13C-4509-89BC-54470A23DD92}">
      <dsp:nvSpPr>
        <dsp:cNvPr id="0" name=""/>
        <dsp:cNvSpPr/>
      </dsp:nvSpPr>
      <dsp:spPr>
        <a:xfrm>
          <a:off x="5021861" y="1556342"/>
          <a:ext cx="115693" cy="1353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021861" y="1583410"/>
        <a:ext cx="80985" cy="81204"/>
      </dsp:txXfrm>
    </dsp:sp>
    <dsp:sp modelId="{41D553FF-9B31-476E-BD17-7A41D2266307}">
      <dsp:nvSpPr>
        <dsp:cNvPr id="0" name=""/>
        <dsp:cNvSpPr/>
      </dsp:nvSpPr>
      <dsp:spPr>
        <a:xfrm>
          <a:off x="5185579" y="569211"/>
          <a:ext cx="1076848" cy="2109602"/>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Strengthened equity position, reflecting the hotel's improved financial health and long-term viability.</a:t>
          </a:r>
        </a:p>
      </dsp:txBody>
      <dsp:txXfrm>
        <a:off x="5217119" y="600751"/>
        <a:ext cx="1013768" cy="2046522"/>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5D3D3-6131-4353-ABB9-F7FAA7050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3027</Words>
  <Characters>17258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2024-05-20T17:12:00Z</dcterms:created>
  <dcterms:modified xsi:type="dcterms:W3CDTF">2024-06-03T21:29:00Z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2024-05-20T17:12:27Z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04025ffd-a3da-4084-ab78-af24d8ada099</vt:lpwstr>
  </property>
  <property fmtid="{D5CDD505-2E9C-101B-9397-08002B2CF9AE}" pid="8" name="MSIP_Label_defa4170-0d19-0005-0004-bc88714345d2_ContentBits">
    <vt:lpwstr>0</vt:lpwstr>
  </property>
</Properties>
</file>