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F97297" w14:textId="1ED9790A" w:rsidR="00066A9D" w:rsidRDefault="00066A9D" w:rsidP="00274B50">
      <w:pPr>
        <w:spacing w:line="360" w:lineRule="auto"/>
        <w:jc w:val="both"/>
        <w:rPr>
          <w:rFonts w:ascii="Arial" w:hAnsi="Arial" w:cs="Arial"/>
          <w:b/>
          <w:bCs/>
          <w:u w:val="single"/>
        </w:rPr>
      </w:pPr>
      <w:r>
        <w:rPr>
          <w:rFonts w:ascii="Arial" w:hAnsi="Arial" w:cs="Arial"/>
          <w:b/>
          <w:bCs/>
          <w:u w:val="single"/>
        </w:rPr>
        <w:t>Ryan Winney Essays</w:t>
      </w:r>
    </w:p>
    <w:p w14:paraId="1E031426" w14:textId="77777777" w:rsidR="00066A9D" w:rsidRDefault="00066A9D" w:rsidP="00274B50">
      <w:pPr>
        <w:spacing w:line="360" w:lineRule="auto"/>
        <w:jc w:val="both"/>
        <w:rPr>
          <w:rFonts w:ascii="Arial" w:hAnsi="Arial" w:cs="Arial"/>
          <w:b/>
          <w:bCs/>
          <w:u w:val="single"/>
        </w:rPr>
      </w:pPr>
    </w:p>
    <w:p w14:paraId="7BD46672" w14:textId="7728BC29" w:rsidR="004E773C" w:rsidRPr="00274B50" w:rsidRDefault="008B3F16" w:rsidP="00274B50">
      <w:pPr>
        <w:spacing w:line="360" w:lineRule="auto"/>
        <w:jc w:val="both"/>
        <w:rPr>
          <w:rFonts w:ascii="Arial" w:hAnsi="Arial" w:cs="Arial"/>
          <w:b/>
          <w:bCs/>
          <w:u w:val="single"/>
        </w:rPr>
      </w:pPr>
      <w:r w:rsidRPr="00274B50">
        <w:rPr>
          <w:rFonts w:ascii="Arial" w:hAnsi="Arial" w:cs="Arial"/>
          <w:b/>
          <w:bCs/>
          <w:u w:val="single"/>
        </w:rPr>
        <w:t xml:space="preserve">Essay one - How effectively has the police service adapted to accommodate diversity within the UK? Consider the police force itself and/or the way police engage with diverse communities. </w:t>
      </w:r>
    </w:p>
    <w:p w14:paraId="7EAD5EAD" w14:textId="77777777" w:rsidR="008B3F16" w:rsidRPr="00274B50" w:rsidRDefault="008B3F16" w:rsidP="00274B50">
      <w:pPr>
        <w:spacing w:line="360" w:lineRule="auto"/>
        <w:jc w:val="both"/>
        <w:rPr>
          <w:rFonts w:ascii="Arial" w:hAnsi="Arial" w:cs="Arial"/>
        </w:rPr>
      </w:pPr>
    </w:p>
    <w:p w14:paraId="11508F33" w14:textId="64FA1C43" w:rsidR="008B3F16" w:rsidRPr="008B3F16" w:rsidRDefault="008B3F16" w:rsidP="00274B50">
      <w:pPr>
        <w:spacing w:line="360" w:lineRule="auto"/>
        <w:jc w:val="both"/>
        <w:rPr>
          <w:rFonts w:ascii="Arial" w:hAnsi="Arial" w:cs="Arial"/>
        </w:rPr>
      </w:pPr>
      <w:r w:rsidRPr="008B3F16">
        <w:rPr>
          <w:rFonts w:ascii="Arial" w:hAnsi="Arial" w:cs="Arial"/>
        </w:rPr>
        <w:t xml:space="preserve">Diversity within policing has become increasingly significant in modern law enforcement, especially within the United Kingdom. As the UK has become more multicultural, efforts have been made within the police service to reflect this diversity both within its ranks and in the </w:t>
      </w:r>
      <w:r w:rsidRPr="00274B50">
        <w:rPr>
          <w:rFonts w:ascii="Arial" w:hAnsi="Arial" w:cs="Arial"/>
        </w:rPr>
        <w:t xml:space="preserve">way </w:t>
      </w:r>
      <w:r w:rsidRPr="008B3F16">
        <w:rPr>
          <w:rFonts w:ascii="Arial" w:hAnsi="Arial" w:cs="Arial"/>
        </w:rPr>
        <w:t>it engages with different communities. This essay explores how effectively the police service has adapted to accommodate diversity, focusing on two key areas: the diversification of the police force itself and the strategies used to engage with diverse communities.</w:t>
      </w:r>
    </w:p>
    <w:p w14:paraId="3A1D6DFC" w14:textId="266D5D9D" w:rsidR="008B3F16" w:rsidRPr="008B3F16" w:rsidRDefault="008B3F16" w:rsidP="00274B50">
      <w:pPr>
        <w:spacing w:line="360" w:lineRule="auto"/>
        <w:jc w:val="both"/>
        <w:rPr>
          <w:rFonts w:ascii="Arial" w:hAnsi="Arial" w:cs="Arial"/>
        </w:rPr>
      </w:pPr>
    </w:p>
    <w:p w14:paraId="2A5268D1" w14:textId="77777777" w:rsidR="008B3F16" w:rsidRPr="008B3F16" w:rsidRDefault="008B3F16" w:rsidP="00274B50">
      <w:pPr>
        <w:spacing w:line="360" w:lineRule="auto"/>
        <w:jc w:val="both"/>
        <w:rPr>
          <w:rFonts w:ascii="Arial" w:hAnsi="Arial" w:cs="Arial"/>
        </w:rPr>
      </w:pPr>
      <w:r w:rsidRPr="008B3F16">
        <w:rPr>
          <w:rFonts w:ascii="Arial" w:hAnsi="Arial" w:cs="Arial"/>
        </w:rPr>
        <w:t>One of the primary indicators of progress towards a more diverse police force is the representation of minority ethnic groups and women within the ranks. Historically, the UK police force was predominantly white and male, which posed significant challenges in terms of trust and legitimacy, especially in communities with significant ethnic diversity. Over the last two decades, substantial efforts have been made to diversify the force, with mixed success.</w:t>
      </w:r>
    </w:p>
    <w:p w14:paraId="4C3EB628" w14:textId="77777777" w:rsidR="008B3F16" w:rsidRPr="008B3F16" w:rsidRDefault="008B3F16" w:rsidP="00274B50">
      <w:pPr>
        <w:spacing w:line="360" w:lineRule="auto"/>
        <w:jc w:val="both"/>
        <w:rPr>
          <w:rFonts w:ascii="Arial" w:hAnsi="Arial" w:cs="Arial"/>
        </w:rPr>
      </w:pPr>
    </w:p>
    <w:p w14:paraId="1CDEEC1C" w14:textId="63F23407" w:rsidR="008B3F16" w:rsidRPr="008B3F16" w:rsidRDefault="008B3F16" w:rsidP="00274B50">
      <w:pPr>
        <w:spacing w:line="360" w:lineRule="auto"/>
        <w:jc w:val="both"/>
        <w:rPr>
          <w:rFonts w:ascii="Arial" w:hAnsi="Arial" w:cs="Arial"/>
        </w:rPr>
      </w:pPr>
      <w:r w:rsidRPr="008B3F16">
        <w:rPr>
          <w:rFonts w:ascii="Arial" w:hAnsi="Arial" w:cs="Arial"/>
        </w:rPr>
        <w:t xml:space="preserve">The recruitment of officers from minority ethnic backgrounds has been a central focus of diversity initiatives. The introduction of targets and schemes designed to encourage minority applicants, such as the Positive Action Programme under the Equality Act 2010, has led to incremental increases in diversity. According to the Home Office, in March 2022, 9.6% of police officers in England and Wales were from minority ethnic backgrounds, up from 6.6% in 2015 (Home Office, 2022). While this increase demonstrates progress, it remains below the proportion of minority ethnic individuals in the general population, which stands at around 14% (ONS, 2021). This discrepancy suggests that while initiatives have been somewhat effective, there are still barriers </w:t>
      </w:r>
      <w:r w:rsidRPr="00274B50">
        <w:rPr>
          <w:rFonts w:ascii="Arial" w:hAnsi="Arial" w:cs="Arial"/>
        </w:rPr>
        <w:t xml:space="preserve">in the </w:t>
      </w:r>
      <w:r w:rsidRPr="008B3F16">
        <w:rPr>
          <w:rFonts w:ascii="Arial" w:hAnsi="Arial" w:cs="Arial"/>
        </w:rPr>
        <w:t>recruitment</w:t>
      </w:r>
      <w:r w:rsidRPr="00274B50">
        <w:rPr>
          <w:rFonts w:ascii="Arial" w:hAnsi="Arial" w:cs="Arial"/>
        </w:rPr>
        <w:t xml:space="preserve"> process</w:t>
      </w:r>
      <w:r w:rsidRPr="008B3F16">
        <w:rPr>
          <w:rFonts w:ascii="Arial" w:hAnsi="Arial" w:cs="Arial"/>
        </w:rPr>
        <w:t>.</w:t>
      </w:r>
    </w:p>
    <w:p w14:paraId="2F149DE7" w14:textId="77777777" w:rsidR="008B3F16" w:rsidRPr="008B3F16" w:rsidRDefault="008B3F16" w:rsidP="00274B50">
      <w:pPr>
        <w:spacing w:line="360" w:lineRule="auto"/>
        <w:jc w:val="both"/>
        <w:rPr>
          <w:rFonts w:ascii="Arial" w:hAnsi="Arial" w:cs="Arial"/>
        </w:rPr>
      </w:pPr>
    </w:p>
    <w:p w14:paraId="44FA7571" w14:textId="77777777" w:rsidR="008B3F16" w:rsidRPr="008B3F16" w:rsidRDefault="008B3F16" w:rsidP="00274B50">
      <w:pPr>
        <w:spacing w:line="360" w:lineRule="auto"/>
        <w:jc w:val="both"/>
        <w:rPr>
          <w:rFonts w:ascii="Arial" w:hAnsi="Arial" w:cs="Arial"/>
        </w:rPr>
      </w:pPr>
      <w:r w:rsidRPr="008B3F16">
        <w:rPr>
          <w:rFonts w:ascii="Arial" w:hAnsi="Arial" w:cs="Arial"/>
        </w:rPr>
        <w:t xml:space="preserve">Gender diversity has also been a significant focus. Women now account for approximately 30% of police officers in England and Wales, a notable improvement from previous decades (Home Office, 2022). Despite this progress, gender representation at senior levels remains a </w:t>
      </w:r>
      <w:r w:rsidRPr="008B3F16">
        <w:rPr>
          <w:rFonts w:ascii="Arial" w:hAnsi="Arial" w:cs="Arial"/>
        </w:rPr>
        <w:lastRenderedPageBreak/>
        <w:t>challenge, with women underrepresented in leadership roles, indicating persistent structural barriers (Brown, 2020).</w:t>
      </w:r>
    </w:p>
    <w:p w14:paraId="298C00C6" w14:textId="77777777" w:rsidR="008B3F16" w:rsidRPr="008B3F16" w:rsidRDefault="008B3F16" w:rsidP="00274B50">
      <w:pPr>
        <w:spacing w:line="360" w:lineRule="auto"/>
        <w:jc w:val="both"/>
        <w:rPr>
          <w:rFonts w:ascii="Arial" w:hAnsi="Arial" w:cs="Arial"/>
        </w:rPr>
      </w:pPr>
    </w:p>
    <w:p w14:paraId="7B06725C" w14:textId="7B345BCB" w:rsidR="008B3F16" w:rsidRPr="008B3F16" w:rsidRDefault="008B3F16" w:rsidP="00274B50">
      <w:pPr>
        <w:spacing w:line="360" w:lineRule="auto"/>
        <w:jc w:val="both"/>
        <w:rPr>
          <w:rFonts w:ascii="Arial" w:hAnsi="Arial" w:cs="Arial"/>
        </w:rPr>
      </w:pPr>
      <w:r w:rsidRPr="008B3F16">
        <w:rPr>
          <w:rFonts w:ascii="Arial" w:hAnsi="Arial" w:cs="Arial"/>
        </w:rPr>
        <w:t>Several factors continue to hinder full diversification within the police. Institutional racism remains a deeply embedded issue, as highlighted by the Macpherson Report (1999), which followed the investigation into the murder of Stephen Lawrence. The report concluded that the Metropolitan Police was "institutionally racist," a label that still resonates today. Despite the implementation of numerous recommendations from the report, including reforms to recruitment and training, the perception of racism within the police persists, affecting recruitment and retention of minority officers (Phillips, 2021).</w:t>
      </w:r>
    </w:p>
    <w:p w14:paraId="415E29BC" w14:textId="77777777" w:rsidR="008B3F16" w:rsidRPr="008B3F16" w:rsidRDefault="008B3F16" w:rsidP="00274B50">
      <w:pPr>
        <w:spacing w:line="360" w:lineRule="auto"/>
        <w:jc w:val="both"/>
        <w:rPr>
          <w:rFonts w:ascii="Arial" w:hAnsi="Arial" w:cs="Arial"/>
        </w:rPr>
      </w:pPr>
    </w:p>
    <w:p w14:paraId="5473E3F1" w14:textId="1BF8FFBD" w:rsidR="008B3F16" w:rsidRPr="008B3F16" w:rsidRDefault="008B3F16" w:rsidP="00274B50">
      <w:pPr>
        <w:spacing w:line="360" w:lineRule="auto"/>
        <w:jc w:val="both"/>
        <w:rPr>
          <w:rFonts w:ascii="Arial" w:hAnsi="Arial" w:cs="Arial"/>
        </w:rPr>
      </w:pPr>
      <w:r w:rsidRPr="00274B50">
        <w:rPr>
          <w:rFonts w:ascii="Arial" w:hAnsi="Arial" w:cs="Arial"/>
        </w:rPr>
        <w:t>T</w:t>
      </w:r>
      <w:r w:rsidRPr="008B3F16">
        <w:rPr>
          <w:rFonts w:ascii="Arial" w:hAnsi="Arial" w:cs="Arial"/>
        </w:rPr>
        <w:t>here are ongoing challenges related to the retention of officers from minority backgrounds. Studies have shown that minority officers are more likely to leave the police early in their careers due to experiences of discrimination, lack of career progression, and a sense of not belonging (Cashmore, 2020). These challenges suggest that while recruitment may have improved, retention and progression remain problematic, limiting the overall effectiveness of diversification efforts.</w:t>
      </w:r>
    </w:p>
    <w:p w14:paraId="415F17E5" w14:textId="77777777" w:rsidR="008B3F16" w:rsidRPr="008B3F16" w:rsidRDefault="008B3F16" w:rsidP="00274B50">
      <w:pPr>
        <w:spacing w:line="360" w:lineRule="auto"/>
        <w:jc w:val="both"/>
        <w:rPr>
          <w:rFonts w:ascii="Arial" w:hAnsi="Arial" w:cs="Arial"/>
        </w:rPr>
      </w:pPr>
    </w:p>
    <w:p w14:paraId="782477CA" w14:textId="5B5BB3EC" w:rsidR="008B3F16" w:rsidRPr="008B3F16" w:rsidRDefault="008B3F16" w:rsidP="00274B50">
      <w:pPr>
        <w:spacing w:line="360" w:lineRule="auto"/>
        <w:jc w:val="both"/>
        <w:rPr>
          <w:rFonts w:ascii="Arial" w:hAnsi="Arial" w:cs="Arial"/>
        </w:rPr>
      </w:pPr>
      <w:r w:rsidRPr="008B3F16">
        <w:rPr>
          <w:rFonts w:ascii="Arial" w:hAnsi="Arial" w:cs="Arial"/>
        </w:rPr>
        <w:t>Beyond internal diversification</w:t>
      </w:r>
      <w:r w:rsidRPr="00274B50">
        <w:rPr>
          <w:rFonts w:ascii="Arial" w:hAnsi="Arial" w:cs="Arial"/>
        </w:rPr>
        <w:t xml:space="preserve"> of the police as a workforce</w:t>
      </w:r>
      <w:r w:rsidRPr="008B3F16">
        <w:rPr>
          <w:rFonts w:ascii="Arial" w:hAnsi="Arial" w:cs="Arial"/>
        </w:rPr>
        <w:t>, effective policing also requires that the police engage meaningfully with diverse communities. This involves building trust, addressing specific community needs, and adapting policing practices to be more culturally sensitive. The relationship between the police and minority communities in the UK has historically been fraught, particularly due to incidents of racial profiling, stop-and-search practices, and a lack of community trust.</w:t>
      </w:r>
    </w:p>
    <w:p w14:paraId="1D8E933C" w14:textId="77777777" w:rsidR="008B3F16" w:rsidRPr="008B3F16" w:rsidRDefault="008B3F16" w:rsidP="00274B50">
      <w:pPr>
        <w:spacing w:line="360" w:lineRule="auto"/>
        <w:jc w:val="both"/>
        <w:rPr>
          <w:rFonts w:ascii="Arial" w:hAnsi="Arial" w:cs="Arial"/>
        </w:rPr>
      </w:pPr>
    </w:p>
    <w:p w14:paraId="01B31B46" w14:textId="14C47C2C" w:rsidR="008B3F16" w:rsidRPr="008B3F16" w:rsidRDefault="008B3F16" w:rsidP="00274B50">
      <w:pPr>
        <w:spacing w:line="360" w:lineRule="auto"/>
        <w:jc w:val="both"/>
        <w:rPr>
          <w:rFonts w:ascii="Arial" w:hAnsi="Arial" w:cs="Arial"/>
        </w:rPr>
      </w:pPr>
      <w:r w:rsidRPr="008B3F16">
        <w:rPr>
          <w:rFonts w:ascii="Arial" w:hAnsi="Arial" w:cs="Arial"/>
        </w:rPr>
        <w:t>Community policing has been one of the primary strategies employed to improve relations with diverse communities. This model emphasi</w:t>
      </w:r>
      <w:r w:rsidR="00447F18">
        <w:rPr>
          <w:rFonts w:ascii="Arial" w:hAnsi="Arial" w:cs="Arial"/>
        </w:rPr>
        <w:t>s</w:t>
      </w:r>
      <w:r w:rsidRPr="008B3F16">
        <w:rPr>
          <w:rFonts w:ascii="Arial" w:hAnsi="Arial" w:cs="Arial"/>
        </w:rPr>
        <w:t>es proactive engagement, partnership building, and problem-solving tailored to the needs of specific communities. For instance, the Metropolitan Police has implemented various initiatives aimed at increasing visibility and dialogue within minority communities, such as working with faith leaders and local organizations to address concerns (Metropolitan Police, 2021).</w:t>
      </w:r>
      <w:r w:rsidR="00226418" w:rsidRPr="00274B50">
        <w:rPr>
          <w:rFonts w:ascii="Arial" w:hAnsi="Arial" w:cs="Arial"/>
        </w:rPr>
        <w:t xml:space="preserve"> The role of a Police Community Support Officer heavily relies on building these relationships with the communities. </w:t>
      </w:r>
    </w:p>
    <w:p w14:paraId="4F2A01EE" w14:textId="77777777" w:rsidR="008B3F16" w:rsidRPr="008B3F16" w:rsidRDefault="008B3F16" w:rsidP="00274B50">
      <w:pPr>
        <w:spacing w:line="360" w:lineRule="auto"/>
        <w:jc w:val="both"/>
        <w:rPr>
          <w:rFonts w:ascii="Arial" w:hAnsi="Arial" w:cs="Arial"/>
        </w:rPr>
      </w:pPr>
    </w:p>
    <w:p w14:paraId="1998D577" w14:textId="77777777" w:rsidR="008B3F16" w:rsidRPr="008B3F16" w:rsidRDefault="008B3F16" w:rsidP="00274B50">
      <w:pPr>
        <w:spacing w:line="360" w:lineRule="auto"/>
        <w:jc w:val="both"/>
        <w:rPr>
          <w:rFonts w:ascii="Arial" w:hAnsi="Arial" w:cs="Arial"/>
        </w:rPr>
      </w:pPr>
      <w:r w:rsidRPr="008B3F16">
        <w:rPr>
          <w:rFonts w:ascii="Arial" w:hAnsi="Arial" w:cs="Arial"/>
        </w:rPr>
        <w:lastRenderedPageBreak/>
        <w:t>However, the success of these initiatives has been uneven. In some areas, there have been notable improvements in community relations, particularly where police officers have invested time in building long-term relationships. However, in other areas, community policing efforts have been undermined by a lack of resources and inconsistent application across different regions. Additionally, community policing can sometimes be seen as superficial if it is not backed by deeper changes in policing culture and strategy (Crawford, 2020).</w:t>
      </w:r>
    </w:p>
    <w:p w14:paraId="49FC4680" w14:textId="77777777" w:rsidR="008B3F16" w:rsidRPr="00274B50" w:rsidRDefault="008B3F16" w:rsidP="00274B50">
      <w:pPr>
        <w:spacing w:line="360" w:lineRule="auto"/>
        <w:jc w:val="both"/>
        <w:rPr>
          <w:rFonts w:ascii="Arial" w:hAnsi="Arial" w:cs="Arial"/>
        </w:rPr>
      </w:pPr>
    </w:p>
    <w:p w14:paraId="09DCAA51" w14:textId="77777777" w:rsidR="003C4049" w:rsidRPr="008B3F16" w:rsidRDefault="003C4049" w:rsidP="00274B50">
      <w:pPr>
        <w:spacing w:line="360" w:lineRule="auto"/>
        <w:jc w:val="both"/>
        <w:rPr>
          <w:rFonts w:ascii="Arial" w:hAnsi="Arial" w:cs="Arial"/>
        </w:rPr>
      </w:pPr>
    </w:p>
    <w:p w14:paraId="6E297B82" w14:textId="2112EF37" w:rsidR="008B3F16" w:rsidRPr="008B3F16" w:rsidRDefault="008B3F16" w:rsidP="00274B50">
      <w:pPr>
        <w:spacing w:line="360" w:lineRule="auto"/>
        <w:jc w:val="both"/>
        <w:rPr>
          <w:rFonts w:ascii="Arial" w:hAnsi="Arial" w:cs="Arial"/>
        </w:rPr>
      </w:pPr>
      <w:r w:rsidRPr="008B3F16">
        <w:rPr>
          <w:rFonts w:ascii="Arial" w:hAnsi="Arial" w:cs="Arial"/>
        </w:rPr>
        <w:t xml:space="preserve">One of the most contentious aspects of policing in diverse communities has been the use of stop-and-search powers. The disproportionate targeting of Black and ethnic minority individuals in stop-and-search operations has been a significant source of tension and mistrust. Data consistently shows that </w:t>
      </w:r>
      <w:r w:rsidR="003C4049" w:rsidRPr="00274B50">
        <w:rPr>
          <w:rFonts w:ascii="Arial" w:hAnsi="Arial" w:cs="Arial"/>
        </w:rPr>
        <w:t>b</w:t>
      </w:r>
      <w:r w:rsidRPr="008B3F16">
        <w:rPr>
          <w:rFonts w:ascii="Arial" w:hAnsi="Arial" w:cs="Arial"/>
        </w:rPr>
        <w:t>lack people are stopped and searched at a rate much higher than their white counterparts, a practice that has been criticized as racially biased and counterproductive to building trust (Home Office, 2022).</w:t>
      </w:r>
    </w:p>
    <w:p w14:paraId="4874105B" w14:textId="77777777" w:rsidR="008B3F16" w:rsidRPr="008B3F16" w:rsidRDefault="008B3F16" w:rsidP="00274B50">
      <w:pPr>
        <w:spacing w:line="360" w:lineRule="auto"/>
        <w:jc w:val="both"/>
        <w:rPr>
          <w:rFonts w:ascii="Arial" w:hAnsi="Arial" w:cs="Arial"/>
        </w:rPr>
      </w:pPr>
    </w:p>
    <w:p w14:paraId="27A43CB7" w14:textId="77777777" w:rsidR="008B3F16" w:rsidRPr="008B3F16" w:rsidRDefault="008B3F16" w:rsidP="00274B50">
      <w:pPr>
        <w:spacing w:line="360" w:lineRule="auto"/>
        <w:jc w:val="both"/>
        <w:rPr>
          <w:rFonts w:ascii="Arial" w:hAnsi="Arial" w:cs="Arial"/>
        </w:rPr>
      </w:pPr>
      <w:r w:rsidRPr="008B3F16">
        <w:rPr>
          <w:rFonts w:ascii="Arial" w:hAnsi="Arial" w:cs="Arial"/>
        </w:rPr>
        <w:t>Despite reforms aimed at reducing disproportionality, such as the introduction of body-worn cameras and increased scrutiny of stop-and-search practices, disparities remain. The Lammy Review (2017) highlighted that these practices continue to disproportionately affect minority communities, contributing to feelings of alienation and distrust towards the police. Efforts to address this issue have included improved training on unconscious bias, greater community oversight, and reforms to the way stop-and-search data is monitored. While these steps represent progress, the persistence of disproportionality suggests that more radical changes may be needed to address underlying biases within the system (Lammy, 2017).</w:t>
      </w:r>
    </w:p>
    <w:p w14:paraId="62BA0129" w14:textId="77777777" w:rsidR="008B3F16" w:rsidRPr="008B3F16" w:rsidRDefault="008B3F16" w:rsidP="00274B50">
      <w:pPr>
        <w:spacing w:line="360" w:lineRule="auto"/>
        <w:jc w:val="both"/>
        <w:rPr>
          <w:rFonts w:ascii="Arial" w:hAnsi="Arial" w:cs="Arial"/>
        </w:rPr>
      </w:pPr>
    </w:p>
    <w:p w14:paraId="59A4C04B" w14:textId="77777777" w:rsidR="008B3F16" w:rsidRPr="008B3F16" w:rsidRDefault="008B3F16" w:rsidP="00274B50">
      <w:pPr>
        <w:spacing w:line="360" w:lineRule="auto"/>
        <w:jc w:val="both"/>
        <w:rPr>
          <w:rFonts w:ascii="Arial" w:hAnsi="Arial" w:cs="Arial"/>
        </w:rPr>
      </w:pPr>
    </w:p>
    <w:p w14:paraId="2071E8C5" w14:textId="77777777" w:rsidR="008B3F16" w:rsidRPr="008B3F16" w:rsidRDefault="008B3F16" w:rsidP="00274B50">
      <w:pPr>
        <w:spacing w:line="360" w:lineRule="auto"/>
        <w:jc w:val="both"/>
        <w:rPr>
          <w:rFonts w:ascii="Arial" w:hAnsi="Arial" w:cs="Arial"/>
        </w:rPr>
      </w:pPr>
      <w:r w:rsidRPr="008B3F16">
        <w:rPr>
          <w:rFonts w:ascii="Arial" w:hAnsi="Arial" w:cs="Arial"/>
        </w:rPr>
        <w:t>Cultural competency training has been another strategy used to improve police interactions with diverse communities. This training aims to increase awareness of different cultural practices, reduce stereotyping, and equip officers with the skills to engage sensitively with individuals from various backgrounds. While cultural competency training is now more widespread, its effectiveness is often questioned. Critics argue that one-off training sessions are insufficient to change deeply ingrained attitudes and that a more comprehensive approach is needed, including ongoing education and systemic reforms (NPIA, 2021).</w:t>
      </w:r>
    </w:p>
    <w:p w14:paraId="4CFB9A25" w14:textId="77777777" w:rsidR="008B3F16" w:rsidRPr="008B3F16" w:rsidRDefault="008B3F16" w:rsidP="00274B50">
      <w:pPr>
        <w:spacing w:line="360" w:lineRule="auto"/>
        <w:jc w:val="both"/>
        <w:rPr>
          <w:rFonts w:ascii="Arial" w:hAnsi="Arial" w:cs="Arial"/>
        </w:rPr>
      </w:pPr>
    </w:p>
    <w:p w14:paraId="6B554957" w14:textId="52A30F9E" w:rsidR="008B3F16" w:rsidRPr="008B3F16" w:rsidRDefault="008B3F16" w:rsidP="00274B50">
      <w:pPr>
        <w:spacing w:line="360" w:lineRule="auto"/>
        <w:jc w:val="both"/>
        <w:rPr>
          <w:rFonts w:ascii="Arial" w:hAnsi="Arial" w:cs="Arial"/>
        </w:rPr>
      </w:pPr>
      <w:r w:rsidRPr="008B3F16">
        <w:rPr>
          <w:rFonts w:ascii="Arial" w:hAnsi="Arial" w:cs="Arial"/>
        </w:rPr>
        <w:lastRenderedPageBreak/>
        <w:t xml:space="preserve">In addition to training, some police forces have introduced specialist roles, such as diversity officers, who focus on building relations with specific communities. While these roles can be effective in </w:t>
      </w:r>
      <w:r w:rsidR="003C4049" w:rsidRPr="00274B50">
        <w:rPr>
          <w:rFonts w:ascii="Arial" w:hAnsi="Arial" w:cs="Arial"/>
        </w:rPr>
        <w:t xml:space="preserve">building long-term </w:t>
      </w:r>
      <w:r w:rsidRPr="008B3F16">
        <w:rPr>
          <w:rFonts w:ascii="Arial" w:hAnsi="Arial" w:cs="Arial"/>
        </w:rPr>
        <w:t>trust, they are often under-resourced, limiting their impact (Rowe, 2020). Moreover, the reliance on specialist officers rather than integrating cultural awareness throughout the entire police force can lead to diversity being treated as an add-on rather than a core aspect of policing strategy.</w:t>
      </w:r>
    </w:p>
    <w:p w14:paraId="41EB8EE2" w14:textId="77777777" w:rsidR="008B3F16" w:rsidRPr="008B3F16" w:rsidRDefault="008B3F16" w:rsidP="00274B50">
      <w:pPr>
        <w:spacing w:line="360" w:lineRule="auto"/>
        <w:jc w:val="both"/>
        <w:rPr>
          <w:rFonts w:ascii="Arial" w:hAnsi="Arial" w:cs="Arial"/>
        </w:rPr>
      </w:pPr>
    </w:p>
    <w:p w14:paraId="05EDEA4C" w14:textId="77777777" w:rsidR="008B3F16" w:rsidRPr="008B3F16" w:rsidRDefault="008B3F16" w:rsidP="00274B50">
      <w:pPr>
        <w:spacing w:line="360" w:lineRule="auto"/>
        <w:jc w:val="both"/>
        <w:rPr>
          <w:rFonts w:ascii="Arial" w:hAnsi="Arial" w:cs="Arial"/>
        </w:rPr>
      </w:pPr>
    </w:p>
    <w:p w14:paraId="13420DD9" w14:textId="30B5439D" w:rsidR="008B3F16" w:rsidRPr="008B3F16" w:rsidRDefault="003C4049" w:rsidP="00274B50">
      <w:pPr>
        <w:spacing w:line="360" w:lineRule="auto"/>
        <w:jc w:val="both"/>
        <w:rPr>
          <w:rFonts w:ascii="Arial" w:hAnsi="Arial" w:cs="Arial"/>
        </w:rPr>
      </w:pPr>
      <w:r w:rsidRPr="00274B50">
        <w:rPr>
          <w:rFonts w:ascii="Arial" w:hAnsi="Arial" w:cs="Arial"/>
        </w:rPr>
        <w:t>In conclusion, t</w:t>
      </w:r>
      <w:r w:rsidR="008B3F16" w:rsidRPr="008B3F16">
        <w:rPr>
          <w:rFonts w:ascii="Arial" w:hAnsi="Arial" w:cs="Arial"/>
        </w:rPr>
        <w:t>he UK police service has made significant strides in adapting to accommodate diversity, both in terms of increasing representation within the force and improving engagement with diverse communities. However, these efforts have been met with varying degrees of success. While there have been improvements in recruitment and some positive initiatives in community policing, challenges related to institutional racism, retention of minority officers, and discriminatory practices like stop-and-search continue to undermine progress. To achieve genuine diversity and better relations with diverse communities, deeper structural changes are needed, including a more holistic approach to training, greater accountability for biased practices, and sustained investment in community engagement. Only through such comprehensive reforms can the police service fully reflect and effectively serve the diverse society it is meant to protect.</w:t>
      </w:r>
    </w:p>
    <w:p w14:paraId="681A0610" w14:textId="77777777" w:rsidR="008B3F16" w:rsidRPr="008B3F16" w:rsidRDefault="008B3F16" w:rsidP="00274B50">
      <w:pPr>
        <w:spacing w:line="360" w:lineRule="auto"/>
        <w:jc w:val="both"/>
        <w:rPr>
          <w:rFonts w:ascii="Arial" w:hAnsi="Arial" w:cs="Arial"/>
        </w:rPr>
      </w:pPr>
    </w:p>
    <w:p w14:paraId="4967718C" w14:textId="6ADA483C" w:rsidR="008B3F16" w:rsidRPr="008B3F16" w:rsidRDefault="008B3F16" w:rsidP="00274B50">
      <w:pPr>
        <w:spacing w:line="360" w:lineRule="auto"/>
        <w:jc w:val="both"/>
        <w:rPr>
          <w:rFonts w:ascii="Arial" w:hAnsi="Arial" w:cs="Arial"/>
        </w:rPr>
      </w:pPr>
      <w:r w:rsidRPr="008B3F16">
        <w:rPr>
          <w:rFonts w:ascii="Arial" w:hAnsi="Arial" w:cs="Arial"/>
        </w:rPr>
        <w:t>References</w:t>
      </w:r>
    </w:p>
    <w:p w14:paraId="4CE4724F" w14:textId="181ACE06" w:rsidR="008B3F16" w:rsidRPr="008B3F16" w:rsidRDefault="008B3F16" w:rsidP="00274B50">
      <w:pPr>
        <w:spacing w:line="360" w:lineRule="auto"/>
        <w:jc w:val="both"/>
        <w:rPr>
          <w:rFonts w:ascii="Arial" w:hAnsi="Arial" w:cs="Arial"/>
        </w:rPr>
      </w:pPr>
      <w:r w:rsidRPr="008B3F16">
        <w:rPr>
          <w:rFonts w:ascii="Arial" w:hAnsi="Arial" w:cs="Arial"/>
        </w:rPr>
        <w:t xml:space="preserve">Brown, J. (2020). </w:t>
      </w:r>
      <w:r w:rsidR="003C4049" w:rsidRPr="00274B50">
        <w:rPr>
          <w:rFonts w:ascii="Arial" w:hAnsi="Arial" w:cs="Arial"/>
        </w:rPr>
        <w:t>‘</w:t>
      </w:r>
      <w:r w:rsidRPr="008B3F16">
        <w:rPr>
          <w:rFonts w:ascii="Arial" w:hAnsi="Arial" w:cs="Arial"/>
        </w:rPr>
        <w:t>Gender and Policing: Comparative Perspectives</w:t>
      </w:r>
      <w:r w:rsidR="003C4049" w:rsidRPr="00274B50">
        <w:rPr>
          <w:rFonts w:ascii="Arial" w:hAnsi="Arial" w:cs="Arial"/>
        </w:rPr>
        <w:t>’.</w:t>
      </w:r>
      <w:r w:rsidRPr="008B3F16">
        <w:rPr>
          <w:rFonts w:ascii="Arial" w:hAnsi="Arial" w:cs="Arial"/>
        </w:rPr>
        <w:t xml:space="preserve"> Routledge.</w:t>
      </w:r>
    </w:p>
    <w:p w14:paraId="5724261E" w14:textId="77777777" w:rsidR="003C4049" w:rsidRPr="00274B50" w:rsidRDefault="003C4049" w:rsidP="00274B50">
      <w:pPr>
        <w:spacing w:line="360" w:lineRule="auto"/>
        <w:jc w:val="both"/>
        <w:rPr>
          <w:rFonts w:ascii="Arial" w:hAnsi="Arial" w:cs="Arial"/>
        </w:rPr>
      </w:pPr>
    </w:p>
    <w:p w14:paraId="33EEC43A" w14:textId="0150E51D" w:rsidR="008B3F16" w:rsidRPr="008B3F16" w:rsidRDefault="008B3F16" w:rsidP="00274B50">
      <w:pPr>
        <w:spacing w:line="360" w:lineRule="auto"/>
        <w:jc w:val="both"/>
        <w:rPr>
          <w:rFonts w:ascii="Arial" w:hAnsi="Arial" w:cs="Arial"/>
        </w:rPr>
      </w:pPr>
      <w:r w:rsidRPr="008B3F16">
        <w:rPr>
          <w:rFonts w:ascii="Arial" w:hAnsi="Arial" w:cs="Arial"/>
        </w:rPr>
        <w:t xml:space="preserve">Cashmore, E. (2020). </w:t>
      </w:r>
      <w:r w:rsidR="003C4049" w:rsidRPr="00274B50">
        <w:rPr>
          <w:rFonts w:ascii="Arial" w:hAnsi="Arial" w:cs="Arial"/>
        </w:rPr>
        <w:t>‘</w:t>
      </w:r>
      <w:r w:rsidRPr="008B3F16">
        <w:rPr>
          <w:rFonts w:ascii="Arial" w:hAnsi="Arial" w:cs="Arial"/>
        </w:rPr>
        <w:t>Black Cops: The Real Experience of Black Police Officers</w:t>
      </w:r>
      <w:r w:rsidR="003C4049" w:rsidRPr="00274B50">
        <w:rPr>
          <w:rFonts w:ascii="Arial" w:hAnsi="Arial" w:cs="Arial"/>
        </w:rPr>
        <w:t>’</w:t>
      </w:r>
      <w:r w:rsidRPr="008B3F16">
        <w:rPr>
          <w:rFonts w:ascii="Arial" w:hAnsi="Arial" w:cs="Arial"/>
        </w:rPr>
        <w:t>. Bloomsbury.</w:t>
      </w:r>
    </w:p>
    <w:p w14:paraId="7AA51EEE" w14:textId="77777777" w:rsidR="003C4049" w:rsidRPr="00274B50" w:rsidRDefault="003C4049" w:rsidP="00274B50">
      <w:pPr>
        <w:spacing w:line="360" w:lineRule="auto"/>
        <w:jc w:val="both"/>
        <w:rPr>
          <w:rFonts w:ascii="Arial" w:hAnsi="Arial" w:cs="Arial"/>
        </w:rPr>
      </w:pPr>
    </w:p>
    <w:p w14:paraId="6C015574" w14:textId="5E16DAA3" w:rsidR="008B3F16" w:rsidRPr="008B3F16" w:rsidRDefault="008B3F16" w:rsidP="00274B50">
      <w:pPr>
        <w:spacing w:line="360" w:lineRule="auto"/>
        <w:jc w:val="both"/>
        <w:rPr>
          <w:rFonts w:ascii="Arial" w:hAnsi="Arial" w:cs="Arial"/>
        </w:rPr>
      </w:pPr>
      <w:r w:rsidRPr="008B3F16">
        <w:rPr>
          <w:rFonts w:ascii="Arial" w:hAnsi="Arial" w:cs="Arial"/>
        </w:rPr>
        <w:t xml:space="preserve">Crawford, A. (2020). </w:t>
      </w:r>
      <w:r w:rsidR="003C4049" w:rsidRPr="00274B50">
        <w:rPr>
          <w:rFonts w:ascii="Arial" w:hAnsi="Arial" w:cs="Arial"/>
        </w:rPr>
        <w:t>‘</w:t>
      </w:r>
      <w:r w:rsidRPr="008B3F16">
        <w:rPr>
          <w:rFonts w:ascii="Arial" w:hAnsi="Arial" w:cs="Arial"/>
        </w:rPr>
        <w:t>Community Policing and Diversity: Lessons from the UK</w:t>
      </w:r>
      <w:r w:rsidR="003C4049" w:rsidRPr="00274B50">
        <w:rPr>
          <w:rFonts w:ascii="Arial" w:hAnsi="Arial" w:cs="Arial"/>
        </w:rPr>
        <w:t>’.</w:t>
      </w:r>
      <w:r w:rsidRPr="008B3F16">
        <w:rPr>
          <w:rFonts w:ascii="Arial" w:hAnsi="Arial" w:cs="Arial"/>
        </w:rPr>
        <w:t xml:space="preserve"> Palgrave Macmillan.</w:t>
      </w:r>
    </w:p>
    <w:p w14:paraId="0A383F00" w14:textId="77777777" w:rsidR="008B3F16" w:rsidRPr="008B3F16" w:rsidRDefault="008B3F16" w:rsidP="00274B50">
      <w:pPr>
        <w:spacing w:line="360" w:lineRule="auto"/>
        <w:jc w:val="both"/>
        <w:rPr>
          <w:rFonts w:ascii="Arial" w:hAnsi="Arial" w:cs="Arial"/>
        </w:rPr>
      </w:pPr>
    </w:p>
    <w:p w14:paraId="2AD5A038" w14:textId="2724A30C" w:rsidR="008B3F16" w:rsidRPr="008B3F16" w:rsidRDefault="008B3F16" w:rsidP="00274B50">
      <w:pPr>
        <w:spacing w:line="360" w:lineRule="auto"/>
        <w:jc w:val="both"/>
        <w:rPr>
          <w:rFonts w:ascii="Arial" w:hAnsi="Arial" w:cs="Arial"/>
        </w:rPr>
      </w:pPr>
      <w:r w:rsidRPr="008B3F16">
        <w:rPr>
          <w:rFonts w:ascii="Arial" w:hAnsi="Arial" w:cs="Arial"/>
        </w:rPr>
        <w:t xml:space="preserve">Home Office. (2022). </w:t>
      </w:r>
      <w:r w:rsidR="003C4049" w:rsidRPr="00274B50">
        <w:rPr>
          <w:rFonts w:ascii="Arial" w:hAnsi="Arial" w:cs="Arial"/>
        </w:rPr>
        <w:t>‘</w:t>
      </w:r>
      <w:r w:rsidRPr="008B3F16">
        <w:rPr>
          <w:rFonts w:ascii="Arial" w:hAnsi="Arial" w:cs="Arial"/>
        </w:rPr>
        <w:t>Police Workforce, England and Wales, 31 March 2022</w:t>
      </w:r>
      <w:r w:rsidR="003C4049" w:rsidRPr="00274B50">
        <w:rPr>
          <w:rFonts w:ascii="Arial" w:hAnsi="Arial" w:cs="Arial"/>
        </w:rPr>
        <w:t>’</w:t>
      </w:r>
      <w:r w:rsidRPr="008B3F16">
        <w:rPr>
          <w:rFonts w:ascii="Arial" w:hAnsi="Arial" w:cs="Arial"/>
        </w:rPr>
        <w:t xml:space="preserve">. Available at: </w:t>
      </w:r>
      <w:hyperlink r:id="rId4" w:history="1">
        <w:r w:rsidRPr="008B3F16">
          <w:rPr>
            <w:rStyle w:val="Hyperlink"/>
            <w:rFonts w:ascii="Arial" w:hAnsi="Arial" w:cs="Arial"/>
          </w:rPr>
          <w:t>https://gbr01.safelinks.protection.outlook.com/?url=https%3A%2F%2Fwww.gov.uk%2Fgovernment%2Fstatistics%2Fpolice-workforce-england-and-wales-31-march-2022&amp;data=05%7C02%7Cryan.winney%40south-</w:t>
        </w:r>
        <w:r w:rsidRPr="008B3F16">
          <w:rPr>
            <w:rStyle w:val="Hyperlink"/>
            <w:rFonts w:ascii="Arial" w:hAnsi="Arial" w:cs="Arial"/>
          </w:rPr>
          <w:lastRenderedPageBreak/>
          <w:t>wales.police.uk%7C3f82c8b3b66849e7b5fa08dcbd4ef76e%7C270c2f4dfd0c4f0892a9e5bdd8a87e09%7C0%7C0%7C638593394070047437%7CUnknown%7CTWFpbGZsb3d8eyJWIjoiMC4wLjAwMDAiLCJQIjoiV2luMzIiLCJBTiI6Ik1haWwiLCJXVCI6Mn0%3D%7C0%7C%7C%7C&amp;sdata=mJa0d8XAUtB%2BWzhryeV3aMgcDw0%2FxyNMyTM3P4kxX3M%3D&amp;reserved=0</w:t>
        </w:r>
      </w:hyperlink>
    </w:p>
    <w:p w14:paraId="6070472E" w14:textId="77777777" w:rsidR="008B3F16" w:rsidRPr="008B3F16" w:rsidRDefault="008B3F16" w:rsidP="00274B50">
      <w:pPr>
        <w:spacing w:line="360" w:lineRule="auto"/>
        <w:jc w:val="both"/>
        <w:rPr>
          <w:rFonts w:ascii="Arial" w:hAnsi="Arial" w:cs="Arial"/>
        </w:rPr>
      </w:pPr>
    </w:p>
    <w:p w14:paraId="4E678A73" w14:textId="3ECB4905" w:rsidR="008B3F16" w:rsidRPr="008B3F16" w:rsidRDefault="008B3F16" w:rsidP="00274B50">
      <w:pPr>
        <w:spacing w:line="360" w:lineRule="auto"/>
        <w:jc w:val="both"/>
        <w:rPr>
          <w:rFonts w:ascii="Arial" w:hAnsi="Arial" w:cs="Arial"/>
        </w:rPr>
      </w:pPr>
      <w:r w:rsidRPr="008B3F16">
        <w:rPr>
          <w:rFonts w:ascii="Arial" w:hAnsi="Arial" w:cs="Arial"/>
        </w:rPr>
        <w:t xml:space="preserve">Lammy, D. (2017). </w:t>
      </w:r>
      <w:r w:rsidR="003C4049" w:rsidRPr="00274B50">
        <w:rPr>
          <w:rFonts w:ascii="Arial" w:hAnsi="Arial" w:cs="Arial"/>
        </w:rPr>
        <w:t>‘</w:t>
      </w:r>
      <w:r w:rsidRPr="008B3F16">
        <w:rPr>
          <w:rFonts w:ascii="Arial" w:hAnsi="Arial" w:cs="Arial"/>
        </w:rPr>
        <w:t>The Lammy Review: An Independent Review into the Treatment of, and Outcomes for, Black, Asian and Minority Ethnic Individuals in the Criminal Justice System</w:t>
      </w:r>
      <w:r w:rsidR="003C4049" w:rsidRPr="00274B50">
        <w:rPr>
          <w:rFonts w:ascii="Arial" w:hAnsi="Arial" w:cs="Arial"/>
        </w:rPr>
        <w:t>’</w:t>
      </w:r>
      <w:r w:rsidRPr="008B3F16">
        <w:rPr>
          <w:rFonts w:ascii="Arial" w:hAnsi="Arial" w:cs="Arial"/>
        </w:rPr>
        <w:t>. UK Government.</w:t>
      </w:r>
    </w:p>
    <w:p w14:paraId="75373657" w14:textId="77777777" w:rsidR="008B3F16" w:rsidRPr="008B3F16" w:rsidRDefault="008B3F16" w:rsidP="00274B50">
      <w:pPr>
        <w:spacing w:line="360" w:lineRule="auto"/>
        <w:jc w:val="both"/>
        <w:rPr>
          <w:rFonts w:ascii="Arial" w:hAnsi="Arial" w:cs="Arial"/>
        </w:rPr>
      </w:pPr>
    </w:p>
    <w:p w14:paraId="622C9C44" w14:textId="7D7139CC" w:rsidR="008B3F16" w:rsidRPr="008B3F16" w:rsidRDefault="008B3F16" w:rsidP="00274B50">
      <w:pPr>
        <w:spacing w:line="360" w:lineRule="auto"/>
        <w:jc w:val="both"/>
        <w:rPr>
          <w:rFonts w:ascii="Arial" w:hAnsi="Arial" w:cs="Arial"/>
        </w:rPr>
      </w:pPr>
      <w:r w:rsidRPr="008B3F16">
        <w:rPr>
          <w:rFonts w:ascii="Arial" w:hAnsi="Arial" w:cs="Arial"/>
        </w:rPr>
        <w:t xml:space="preserve">Macpherson, W. (1999). </w:t>
      </w:r>
      <w:r w:rsidR="003C4049" w:rsidRPr="00274B50">
        <w:rPr>
          <w:rFonts w:ascii="Arial" w:hAnsi="Arial" w:cs="Arial"/>
        </w:rPr>
        <w:t>‘</w:t>
      </w:r>
      <w:r w:rsidRPr="008B3F16">
        <w:rPr>
          <w:rFonts w:ascii="Arial" w:hAnsi="Arial" w:cs="Arial"/>
        </w:rPr>
        <w:t>The Stephen Lawrence Inquiry</w:t>
      </w:r>
      <w:r w:rsidR="003C4049" w:rsidRPr="00274B50">
        <w:rPr>
          <w:rFonts w:ascii="Arial" w:hAnsi="Arial" w:cs="Arial"/>
        </w:rPr>
        <w:t>’</w:t>
      </w:r>
      <w:r w:rsidRPr="008B3F16">
        <w:rPr>
          <w:rFonts w:ascii="Arial" w:hAnsi="Arial" w:cs="Arial"/>
        </w:rPr>
        <w:t>. London: HMSO.</w:t>
      </w:r>
    </w:p>
    <w:p w14:paraId="6473D5DC" w14:textId="77777777" w:rsidR="008B3F16" w:rsidRPr="008B3F16" w:rsidRDefault="008B3F16" w:rsidP="00274B50">
      <w:pPr>
        <w:spacing w:line="360" w:lineRule="auto"/>
        <w:jc w:val="both"/>
        <w:rPr>
          <w:rFonts w:ascii="Arial" w:hAnsi="Arial" w:cs="Arial"/>
        </w:rPr>
      </w:pPr>
    </w:p>
    <w:p w14:paraId="4AE04E1C" w14:textId="4D812FB9" w:rsidR="008B3F16" w:rsidRPr="008B3F16" w:rsidRDefault="008B3F16" w:rsidP="00274B50">
      <w:pPr>
        <w:spacing w:line="360" w:lineRule="auto"/>
        <w:jc w:val="both"/>
        <w:rPr>
          <w:rFonts w:ascii="Arial" w:hAnsi="Arial" w:cs="Arial"/>
        </w:rPr>
      </w:pPr>
      <w:r w:rsidRPr="008B3F16">
        <w:rPr>
          <w:rFonts w:ascii="Arial" w:hAnsi="Arial" w:cs="Arial"/>
        </w:rPr>
        <w:t xml:space="preserve">Metropolitan Police. (2021). </w:t>
      </w:r>
      <w:r w:rsidR="003C4049" w:rsidRPr="00274B50">
        <w:rPr>
          <w:rFonts w:ascii="Arial" w:hAnsi="Arial" w:cs="Arial"/>
        </w:rPr>
        <w:t>‘</w:t>
      </w:r>
      <w:r w:rsidRPr="008B3F16">
        <w:rPr>
          <w:rFonts w:ascii="Arial" w:hAnsi="Arial" w:cs="Arial"/>
        </w:rPr>
        <w:t>Community Engagement and Outreach Strategy</w:t>
      </w:r>
      <w:r w:rsidR="003C4049" w:rsidRPr="00274B50">
        <w:rPr>
          <w:rFonts w:ascii="Arial" w:hAnsi="Arial" w:cs="Arial"/>
        </w:rPr>
        <w:t>’</w:t>
      </w:r>
      <w:r w:rsidRPr="008B3F16">
        <w:rPr>
          <w:rFonts w:ascii="Arial" w:hAnsi="Arial" w:cs="Arial"/>
        </w:rPr>
        <w:t xml:space="preserve">. Available at: </w:t>
      </w:r>
      <w:hyperlink r:id="rId5" w:history="1">
        <w:r w:rsidRPr="008B3F16">
          <w:rPr>
            <w:rStyle w:val="Hyperlink"/>
            <w:rFonts w:ascii="Arial" w:hAnsi="Arial" w:cs="Arial"/>
          </w:rPr>
          <w:t>https://gbr01.safelinks.protection.outlook.com/?url=https%3A%2F%2Fwww.met.police.uk%2F&amp;data=05%7C02%7Cryan.winney%40south-wales.police.uk%7C3f82c8b3b66849e7b5fa08dcbd4ef76e%7C270c2f4dfd0c4f0892a9e5bdd8a87e09%7C0%7C0%7C638593394070057352%7CUnknown%7CTWFpbGZsb3d8eyJWIjoiMC4wLjAwMDAiLCJQIjoiV2luMzIiLCJBTiI6Ik1haWwiLCJXVCI6Mn0%3D%7C0%7C%7C%7C&amp;sdata=0o1F9lY2GaS%2F4SdTURmOLm94x83zrr9hJyyKcBLXDNs%3D&amp;reserved=0</w:t>
        </w:r>
      </w:hyperlink>
    </w:p>
    <w:p w14:paraId="1A21654F" w14:textId="77777777" w:rsidR="008B3F16" w:rsidRPr="008B3F16" w:rsidRDefault="008B3F16" w:rsidP="00274B50">
      <w:pPr>
        <w:spacing w:line="360" w:lineRule="auto"/>
        <w:jc w:val="both"/>
        <w:rPr>
          <w:rFonts w:ascii="Arial" w:hAnsi="Arial" w:cs="Arial"/>
        </w:rPr>
      </w:pPr>
    </w:p>
    <w:p w14:paraId="0E385913" w14:textId="6A52700B" w:rsidR="008B3F16" w:rsidRPr="008B3F16" w:rsidRDefault="008B3F16" w:rsidP="00274B50">
      <w:pPr>
        <w:spacing w:line="360" w:lineRule="auto"/>
        <w:jc w:val="both"/>
        <w:rPr>
          <w:rFonts w:ascii="Arial" w:hAnsi="Arial" w:cs="Arial"/>
        </w:rPr>
      </w:pPr>
      <w:r w:rsidRPr="008B3F16">
        <w:rPr>
          <w:rFonts w:ascii="Arial" w:hAnsi="Arial" w:cs="Arial"/>
        </w:rPr>
        <w:t xml:space="preserve">National Policing Improvement Agency (NPIA). (2021). </w:t>
      </w:r>
      <w:r w:rsidR="003C4049" w:rsidRPr="00274B50">
        <w:rPr>
          <w:rFonts w:ascii="Arial" w:hAnsi="Arial" w:cs="Arial"/>
        </w:rPr>
        <w:t>‘</w:t>
      </w:r>
      <w:r w:rsidRPr="008B3F16">
        <w:rPr>
          <w:rFonts w:ascii="Arial" w:hAnsi="Arial" w:cs="Arial"/>
        </w:rPr>
        <w:t>Cultural Competency Training in UK Policing: An Evaluation Report</w:t>
      </w:r>
      <w:r w:rsidR="003C4049" w:rsidRPr="00274B50">
        <w:rPr>
          <w:rFonts w:ascii="Arial" w:hAnsi="Arial" w:cs="Arial"/>
        </w:rPr>
        <w:t>’</w:t>
      </w:r>
      <w:r w:rsidRPr="008B3F16">
        <w:rPr>
          <w:rFonts w:ascii="Arial" w:hAnsi="Arial" w:cs="Arial"/>
        </w:rPr>
        <w:t>. NPIA Publications.</w:t>
      </w:r>
    </w:p>
    <w:p w14:paraId="22BDEB6C" w14:textId="77777777" w:rsidR="008B3F16" w:rsidRPr="008B3F16" w:rsidRDefault="008B3F16" w:rsidP="00274B50">
      <w:pPr>
        <w:spacing w:line="360" w:lineRule="auto"/>
        <w:jc w:val="both"/>
        <w:rPr>
          <w:rFonts w:ascii="Arial" w:hAnsi="Arial" w:cs="Arial"/>
        </w:rPr>
      </w:pPr>
    </w:p>
    <w:p w14:paraId="6AFD4694" w14:textId="549899C3" w:rsidR="008B3F16" w:rsidRPr="008B3F16" w:rsidRDefault="008B3F16" w:rsidP="00274B50">
      <w:pPr>
        <w:spacing w:line="360" w:lineRule="auto"/>
        <w:jc w:val="both"/>
        <w:rPr>
          <w:rFonts w:ascii="Arial" w:hAnsi="Arial" w:cs="Arial"/>
        </w:rPr>
      </w:pPr>
      <w:r w:rsidRPr="008B3F16">
        <w:rPr>
          <w:rFonts w:ascii="Arial" w:hAnsi="Arial" w:cs="Arial"/>
        </w:rPr>
        <w:t xml:space="preserve">Office for National Statistics (ONS). (2021). </w:t>
      </w:r>
      <w:r w:rsidR="003C4049" w:rsidRPr="00274B50">
        <w:rPr>
          <w:rFonts w:ascii="Arial" w:hAnsi="Arial" w:cs="Arial"/>
        </w:rPr>
        <w:t>‘</w:t>
      </w:r>
      <w:r w:rsidRPr="008B3F16">
        <w:rPr>
          <w:rFonts w:ascii="Arial" w:hAnsi="Arial" w:cs="Arial"/>
        </w:rPr>
        <w:t>Ethnicity and National Identity in England and Wales: 2021 Census Data</w:t>
      </w:r>
      <w:r w:rsidR="003C4049" w:rsidRPr="00274B50">
        <w:rPr>
          <w:rFonts w:ascii="Arial" w:hAnsi="Arial" w:cs="Arial"/>
        </w:rPr>
        <w:t>’</w:t>
      </w:r>
      <w:r w:rsidRPr="008B3F16">
        <w:rPr>
          <w:rFonts w:ascii="Arial" w:hAnsi="Arial" w:cs="Arial"/>
        </w:rPr>
        <w:t xml:space="preserve">. Available at: </w:t>
      </w:r>
      <w:hyperlink r:id="rId6" w:history="1">
        <w:r w:rsidR="003C4049" w:rsidRPr="008B3F16">
          <w:rPr>
            <w:rStyle w:val="Hyperlink"/>
            <w:rFonts w:ascii="Arial" w:hAnsi="Arial" w:cs="Arial"/>
          </w:rPr>
          <w:t>https://gbr01.safelinks.protection.outlook.com/?url=https%3A%2F%2Fwww.ons.gov.uk%2F&amp;data=05%7C02%7Cryan.winney%40south-wales.police.uk%7C3f82c8b3b66849e7b5fa08dcbd4ef76e%7C270c2f4dfd0c4f0892a9e5bdd8a87e09%7C0%7C0%7C638593394070063703%7CUnknown%7CTWFpbGZsb3d8eyJWIjoiMC4wLjAwMDAiLCJQIjoiV2luMzIiLCJBTiI6Ik1haWwiLCJXVCI6Mn0%3D%7C0%7C%7C%7C&amp;sdata=uiv%2B5o7H210f6HFYZXIq0cClgfZQG8q55j%2BWQZEU4%2F4%3D&amp;reserved=0</w:t>
        </w:r>
      </w:hyperlink>
    </w:p>
    <w:p w14:paraId="11898C63" w14:textId="77777777" w:rsidR="008B3F16" w:rsidRPr="008B3F16" w:rsidRDefault="008B3F16" w:rsidP="00274B50">
      <w:pPr>
        <w:spacing w:line="360" w:lineRule="auto"/>
        <w:jc w:val="both"/>
        <w:rPr>
          <w:rFonts w:ascii="Arial" w:hAnsi="Arial" w:cs="Arial"/>
        </w:rPr>
      </w:pPr>
    </w:p>
    <w:p w14:paraId="64DB65BD" w14:textId="1D6BF755" w:rsidR="008B3F16" w:rsidRPr="008B3F16" w:rsidRDefault="008B3F16" w:rsidP="00274B50">
      <w:pPr>
        <w:spacing w:line="360" w:lineRule="auto"/>
        <w:jc w:val="both"/>
        <w:rPr>
          <w:rFonts w:ascii="Arial" w:hAnsi="Arial" w:cs="Arial"/>
        </w:rPr>
      </w:pPr>
      <w:r w:rsidRPr="008B3F16">
        <w:rPr>
          <w:rFonts w:ascii="Arial" w:hAnsi="Arial" w:cs="Arial"/>
        </w:rPr>
        <w:t xml:space="preserve">Phillips, C. (2021). </w:t>
      </w:r>
      <w:r w:rsidR="003C4049" w:rsidRPr="00274B50">
        <w:rPr>
          <w:rFonts w:ascii="Arial" w:hAnsi="Arial" w:cs="Arial"/>
        </w:rPr>
        <w:t>‘</w:t>
      </w:r>
      <w:r w:rsidRPr="008B3F16">
        <w:rPr>
          <w:rFonts w:ascii="Arial" w:hAnsi="Arial" w:cs="Arial"/>
        </w:rPr>
        <w:t>Institutional Racism in the UK: A Critical Analysis Post-Macpherson</w:t>
      </w:r>
      <w:r w:rsidR="003C4049" w:rsidRPr="00274B50">
        <w:rPr>
          <w:rFonts w:ascii="Arial" w:hAnsi="Arial" w:cs="Arial"/>
        </w:rPr>
        <w:t>’</w:t>
      </w:r>
      <w:r w:rsidRPr="008B3F16">
        <w:rPr>
          <w:rFonts w:ascii="Arial" w:hAnsi="Arial" w:cs="Arial"/>
        </w:rPr>
        <w:t>. Polity Press.</w:t>
      </w:r>
    </w:p>
    <w:p w14:paraId="4FDAF134" w14:textId="77777777" w:rsidR="008B3F16" w:rsidRPr="008B3F16" w:rsidRDefault="008B3F16" w:rsidP="00274B50">
      <w:pPr>
        <w:spacing w:line="360" w:lineRule="auto"/>
        <w:jc w:val="both"/>
        <w:rPr>
          <w:rFonts w:ascii="Arial" w:hAnsi="Arial" w:cs="Arial"/>
        </w:rPr>
      </w:pPr>
    </w:p>
    <w:p w14:paraId="1D644729" w14:textId="010400E2" w:rsidR="008B3F16" w:rsidRPr="00274B50" w:rsidRDefault="008B3F16" w:rsidP="00274B50">
      <w:pPr>
        <w:spacing w:line="360" w:lineRule="auto"/>
        <w:jc w:val="both"/>
        <w:rPr>
          <w:rFonts w:ascii="Arial" w:hAnsi="Arial" w:cs="Arial"/>
        </w:rPr>
      </w:pPr>
      <w:r w:rsidRPr="008B3F16">
        <w:rPr>
          <w:rFonts w:ascii="Arial" w:hAnsi="Arial" w:cs="Arial"/>
        </w:rPr>
        <w:t xml:space="preserve">Rowe, M. (2020). </w:t>
      </w:r>
      <w:r w:rsidR="003C4049" w:rsidRPr="00274B50">
        <w:rPr>
          <w:rFonts w:ascii="Arial" w:hAnsi="Arial" w:cs="Arial"/>
        </w:rPr>
        <w:t>‘</w:t>
      </w:r>
      <w:r w:rsidRPr="008B3F16">
        <w:rPr>
          <w:rFonts w:ascii="Arial" w:hAnsi="Arial" w:cs="Arial"/>
        </w:rPr>
        <w:t>Policing Diversity: The Case for Cultural Change</w:t>
      </w:r>
      <w:r w:rsidR="003C4049" w:rsidRPr="00274B50">
        <w:rPr>
          <w:rFonts w:ascii="Arial" w:hAnsi="Arial" w:cs="Arial"/>
        </w:rPr>
        <w:t>’</w:t>
      </w:r>
      <w:r w:rsidRPr="008B3F16">
        <w:rPr>
          <w:rFonts w:ascii="Arial" w:hAnsi="Arial" w:cs="Arial"/>
        </w:rPr>
        <w:t>. Sage Publications.</w:t>
      </w:r>
    </w:p>
    <w:p w14:paraId="23B4F814" w14:textId="77777777" w:rsidR="003C4049" w:rsidRPr="00274B50" w:rsidRDefault="003C4049" w:rsidP="00274B50">
      <w:pPr>
        <w:spacing w:line="360" w:lineRule="auto"/>
        <w:jc w:val="both"/>
        <w:rPr>
          <w:rFonts w:ascii="Arial" w:hAnsi="Arial" w:cs="Arial"/>
        </w:rPr>
      </w:pPr>
    </w:p>
    <w:p w14:paraId="75F6BD63" w14:textId="36257583" w:rsidR="003C4049" w:rsidRPr="00274B50" w:rsidRDefault="003C4049" w:rsidP="00274B50">
      <w:pPr>
        <w:spacing w:line="360" w:lineRule="auto"/>
        <w:jc w:val="both"/>
        <w:rPr>
          <w:rFonts w:ascii="Arial" w:hAnsi="Arial" w:cs="Arial"/>
          <w:b/>
          <w:bCs/>
          <w:u w:val="single"/>
        </w:rPr>
      </w:pPr>
      <w:r w:rsidRPr="00274B50">
        <w:rPr>
          <w:rFonts w:ascii="Arial" w:hAnsi="Arial" w:cs="Arial"/>
          <w:b/>
          <w:bCs/>
          <w:u w:val="single"/>
        </w:rPr>
        <w:t xml:space="preserve">Essay two: </w:t>
      </w:r>
      <w:r w:rsidR="00BB251D" w:rsidRPr="00274B50">
        <w:rPr>
          <w:rFonts w:ascii="Arial" w:hAnsi="Arial" w:cs="Arial"/>
          <w:b/>
          <w:bCs/>
          <w:u w:val="single"/>
        </w:rPr>
        <w:t>How might terrorist groups’ involvement in other forms of criminality inform counter-terrorism policing?</w:t>
      </w:r>
    </w:p>
    <w:p w14:paraId="461770BB" w14:textId="77777777" w:rsidR="00B01B2A" w:rsidRPr="00274B50" w:rsidRDefault="00B01B2A" w:rsidP="00274B50">
      <w:pPr>
        <w:pStyle w:val="PlainText"/>
        <w:spacing w:line="360" w:lineRule="auto"/>
        <w:jc w:val="both"/>
        <w:rPr>
          <w:rFonts w:ascii="Arial" w:hAnsi="Arial" w:cs="Arial"/>
          <w:szCs w:val="22"/>
        </w:rPr>
      </w:pPr>
    </w:p>
    <w:p w14:paraId="790EE72F" w14:textId="7345BD30" w:rsidR="00B01B2A" w:rsidRPr="00274B50" w:rsidRDefault="00B01B2A" w:rsidP="00274B50">
      <w:pPr>
        <w:pStyle w:val="PlainText"/>
        <w:spacing w:line="360" w:lineRule="auto"/>
        <w:jc w:val="both"/>
        <w:rPr>
          <w:rFonts w:ascii="Arial" w:hAnsi="Arial" w:cs="Arial"/>
          <w:szCs w:val="22"/>
        </w:rPr>
      </w:pPr>
      <w:r w:rsidRPr="00274B50">
        <w:rPr>
          <w:rFonts w:ascii="Arial" w:hAnsi="Arial" w:cs="Arial"/>
          <w:szCs w:val="22"/>
        </w:rPr>
        <w:t>The involvement of terrorist groups in other forms of criminality is a significant concern for counterterrorism policing. Terrorist organisations often engage in a wide range of criminal activities, such as drug trafficking, human smuggling, fraud, and organised crime, to fund their operations and further their ideological goals. Understanding the connection between terrorism and criminality is essential for counterterrorism strategies as it helps law enforcement agencies detect, disrupt, and prevent terrorist activities. This essay explores how terrorist groups’ involvement in other forms of criminality informs counterterrorism policing, focusing on the methods used by these groups, the challenges faced by law enforcement, and the implications for policing strategies within the UK.</w:t>
      </w:r>
    </w:p>
    <w:p w14:paraId="4BC7ED82" w14:textId="77777777" w:rsidR="00B01B2A" w:rsidRPr="00274B50" w:rsidRDefault="00B01B2A" w:rsidP="00274B50">
      <w:pPr>
        <w:pStyle w:val="PlainText"/>
        <w:spacing w:line="360" w:lineRule="auto"/>
        <w:jc w:val="both"/>
        <w:rPr>
          <w:rFonts w:ascii="Arial" w:hAnsi="Arial" w:cs="Arial"/>
          <w:szCs w:val="22"/>
        </w:rPr>
      </w:pPr>
    </w:p>
    <w:p w14:paraId="4FEF82BF" w14:textId="2151A1A5" w:rsidR="00B01B2A" w:rsidRPr="00274B50" w:rsidRDefault="00B01B2A" w:rsidP="00274B50">
      <w:pPr>
        <w:pStyle w:val="PlainText"/>
        <w:spacing w:line="360" w:lineRule="auto"/>
        <w:jc w:val="both"/>
        <w:rPr>
          <w:rFonts w:ascii="Arial" w:hAnsi="Arial" w:cs="Arial"/>
          <w:szCs w:val="22"/>
        </w:rPr>
      </w:pPr>
    </w:p>
    <w:p w14:paraId="3277B028" w14:textId="77777777" w:rsidR="00B01B2A" w:rsidRPr="00274B50" w:rsidRDefault="00B01B2A" w:rsidP="00274B50">
      <w:pPr>
        <w:pStyle w:val="PlainText"/>
        <w:spacing w:line="360" w:lineRule="auto"/>
        <w:jc w:val="both"/>
        <w:rPr>
          <w:rFonts w:ascii="Arial" w:hAnsi="Arial" w:cs="Arial"/>
          <w:szCs w:val="22"/>
        </w:rPr>
      </w:pPr>
    </w:p>
    <w:p w14:paraId="34ADAF0C" w14:textId="79787FF7" w:rsidR="00B01B2A" w:rsidRPr="00274B50" w:rsidRDefault="00B01B2A" w:rsidP="00274B50">
      <w:pPr>
        <w:pStyle w:val="PlainText"/>
        <w:spacing w:line="360" w:lineRule="auto"/>
        <w:jc w:val="both"/>
        <w:rPr>
          <w:rFonts w:ascii="Arial" w:hAnsi="Arial" w:cs="Arial"/>
          <w:szCs w:val="22"/>
        </w:rPr>
      </w:pPr>
      <w:r w:rsidRPr="00274B50">
        <w:rPr>
          <w:rFonts w:ascii="Arial" w:hAnsi="Arial" w:cs="Arial"/>
          <w:szCs w:val="22"/>
        </w:rPr>
        <w:t>Terrorist groups increasingly engage in criminal activities to generate revenue, acquire weapons, and maintain operational capabilities. The lines between terrorism and organised crime have blurred, with many groups operating as “criminal entrepreneurs” who use illicit activities to sustain their operations (Makarenko, 2011). The convergence of these activities has led to the concept of the “crime-terror nexus,” which highlights the connection of organised crime and terrorism.</w:t>
      </w:r>
    </w:p>
    <w:p w14:paraId="062121E6" w14:textId="77777777" w:rsidR="00B01B2A" w:rsidRPr="00274B50" w:rsidRDefault="00B01B2A" w:rsidP="00274B50">
      <w:pPr>
        <w:pStyle w:val="PlainText"/>
        <w:spacing w:line="360" w:lineRule="auto"/>
        <w:jc w:val="both"/>
        <w:rPr>
          <w:rFonts w:ascii="Arial" w:hAnsi="Arial" w:cs="Arial"/>
          <w:szCs w:val="22"/>
        </w:rPr>
      </w:pPr>
    </w:p>
    <w:p w14:paraId="61A778EB" w14:textId="77777777" w:rsidR="00B01B2A" w:rsidRPr="00274B50" w:rsidRDefault="00B01B2A" w:rsidP="00274B50">
      <w:pPr>
        <w:pStyle w:val="PlainText"/>
        <w:spacing w:line="360" w:lineRule="auto"/>
        <w:jc w:val="both"/>
        <w:rPr>
          <w:rFonts w:ascii="Arial" w:hAnsi="Arial" w:cs="Arial"/>
          <w:szCs w:val="22"/>
        </w:rPr>
      </w:pPr>
    </w:p>
    <w:p w14:paraId="70D6C289" w14:textId="0023A574" w:rsidR="00B01B2A" w:rsidRPr="00274B50" w:rsidRDefault="00B01B2A" w:rsidP="00274B50">
      <w:pPr>
        <w:pStyle w:val="PlainText"/>
        <w:spacing w:line="360" w:lineRule="auto"/>
        <w:jc w:val="both"/>
        <w:rPr>
          <w:rFonts w:ascii="Arial" w:hAnsi="Arial" w:cs="Arial"/>
          <w:szCs w:val="22"/>
        </w:rPr>
      </w:pPr>
      <w:r w:rsidRPr="00274B50">
        <w:rPr>
          <w:rFonts w:ascii="Arial" w:hAnsi="Arial" w:cs="Arial"/>
          <w:szCs w:val="22"/>
        </w:rPr>
        <w:t xml:space="preserve">One of the primary ways terrorist groups benefit from criminal activities is through financing. Criminal enterprises such as drug trafficking, extortion, and human trafficking have become key revenue streams for various terrorist organisations. For example, Hezbollah has been heavily involved in the global drug trade, using proceeds to fund its operations in Lebanon and beyond (Levitt, 2013). Similarly, groups like the Taliban have relied on the opium trade in </w:t>
      </w:r>
      <w:r w:rsidRPr="00274B50">
        <w:rPr>
          <w:rFonts w:ascii="Arial" w:hAnsi="Arial" w:cs="Arial"/>
          <w:szCs w:val="22"/>
        </w:rPr>
        <w:lastRenderedPageBreak/>
        <w:t>Afghanistan to finance their insurgency and terrorist activities (</w:t>
      </w:r>
      <w:proofErr w:type="spellStart"/>
      <w:r w:rsidRPr="00274B50">
        <w:rPr>
          <w:rFonts w:ascii="Arial" w:hAnsi="Arial" w:cs="Arial"/>
          <w:szCs w:val="22"/>
        </w:rPr>
        <w:t>Felbab</w:t>
      </w:r>
      <w:proofErr w:type="spellEnd"/>
      <w:r w:rsidRPr="00274B50">
        <w:rPr>
          <w:rFonts w:ascii="Arial" w:hAnsi="Arial" w:cs="Arial"/>
          <w:szCs w:val="22"/>
        </w:rPr>
        <w:t>-Brown, 2020). By recognizing these financial connections, counterterrorism policing can develop more targeted strategies to disrupt terrorist financing networks.</w:t>
      </w:r>
    </w:p>
    <w:p w14:paraId="79F1E293" w14:textId="77777777" w:rsidR="00B01B2A" w:rsidRPr="00274B50" w:rsidRDefault="00B01B2A" w:rsidP="00274B50">
      <w:pPr>
        <w:pStyle w:val="PlainText"/>
        <w:spacing w:line="360" w:lineRule="auto"/>
        <w:jc w:val="both"/>
        <w:rPr>
          <w:rFonts w:ascii="Arial" w:hAnsi="Arial" w:cs="Arial"/>
          <w:szCs w:val="22"/>
        </w:rPr>
      </w:pPr>
    </w:p>
    <w:p w14:paraId="4F8E1551" w14:textId="5AFFC758" w:rsidR="00B01B2A" w:rsidRPr="00274B50" w:rsidRDefault="00B01B2A" w:rsidP="00274B50">
      <w:pPr>
        <w:pStyle w:val="PlainText"/>
        <w:spacing w:line="360" w:lineRule="auto"/>
        <w:jc w:val="both"/>
        <w:rPr>
          <w:rFonts w:ascii="Arial" w:hAnsi="Arial" w:cs="Arial"/>
          <w:szCs w:val="22"/>
        </w:rPr>
      </w:pPr>
      <w:r w:rsidRPr="00274B50">
        <w:rPr>
          <w:rFonts w:ascii="Arial" w:hAnsi="Arial" w:cs="Arial"/>
          <w:szCs w:val="22"/>
        </w:rPr>
        <w:t xml:space="preserve">Counterterrorism policing, therefore, must integrate financial investigation techniques, such as tracking suspicious transactions and monitoring money laundering activities, into their operations. The Financial Action Task Force (FATF) has emphasized the importance of identifying and disrupting financial flows associated with both criminal and terrorist activities (FATF, 2019). By focusing on financial intelligence, law enforcement agencies can trace criminal activities back to terrorist organizations, enabling the disruption of their operations. They have policies in place to recognise suspicious activity and they have strict rules and guidelines which will flag and </w:t>
      </w:r>
      <w:proofErr w:type="gramStart"/>
      <w:r w:rsidRPr="00274B50">
        <w:rPr>
          <w:rFonts w:ascii="Arial" w:hAnsi="Arial" w:cs="Arial"/>
          <w:szCs w:val="22"/>
        </w:rPr>
        <w:t>open up</w:t>
      </w:r>
      <w:proofErr w:type="gramEnd"/>
      <w:r w:rsidRPr="00274B50">
        <w:rPr>
          <w:rFonts w:ascii="Arial" w:hAnsi="Arial" w:cs="Arial"/>
          <w:szCs w:val="22"/>
        </w:rPr>
        <w:t xml:space="preserve"> any investigation necessary to reduce the risk of terrorist activity. </w:t>
      </w:r>
    </w:p>
    <w:p w14:paraId="18D49E44" w14:textId="77777777" w:rsidR="00B01B2A" w:rsidRPr="00274B50" w:rsidRDefault="00B01B2A" w:rsidP="00274B50">
      <w:pPr>
        <w:pStyle w:val="PlainText"/>
        <w:spacing w:line="360" w:lineRule="auto"/>
        <w:jc w:val="both"/>
        <w:rPr>
          <w:rFonts w:ascii="Arial" w:hAnsi="Arial" w:cs="Arial"/>
          <w:szCs w:val="22"/>
        </w:rPr>
      </w:pPr>
    </w:p>
    <w:p w14:paraId="36590444" w14:textId="77777777" w:rsidR="00B01B2A" w:rsidRPr="00274B50" w:rsidRDefault="00B01B2A" w:rsidP="00274B50">
      <w:pPr>
        <w:pStyle w:val="PlainText"/>
        <w:spacing w:line="360" w:lineRule="auto"/>
        <w:jc w:val="both"/>
        <w:rPr>
          <w:rFonts w:ascii="Arial" w:hAnsi="Arial" w:cs="Arial"/>
          <w:szCs w:val="22"/>
        </w:rPr>
      </w:pPr>
    </w:p>
    <w:p w14:paraId="3C16E037" w14:textId="77777777" w:rsidR="00B01B2A" w:rsidRPr="00274B50" w:rsidRDefault="00B01B2A" w:rsidP="00274B50">
      <w:pPr>
        <w:pStyle w:val="PlainText"/>
        <w:spacing w:line="360" w:lineRule="auto"/>
        <w:jc w:val="both"/>
        <w:rPr>
          <w:rFonts w:ascii="Arial" w:hAnsi="Arial" w:cs="Arial"/>
          <w:szCs w:val="22"/>
        </w:rPr>
      </w:pPr>
    </w:p>
    <w:p w14:paraId="54A469F5" w14:textId="337D4C58" w:rsidR="00B01B2A" w:rsidRPr="00274B50" w:rsidRDefault="00B01B2A" w:rsidP="00274B50">
      <w:pPr>
        <w:pStyle w:val="PlainText"/>
        <w:spacing w:line="360" w:lineRule="auto"/>
        <w:jc w:val="both"/>
        <w:rPr>
          <w:rFonts w:ascii="Arial" w:hAnsi="Arial" w:cs="Arial"/>
          <w:szCs w:val="22"/>
        </w:rPr>
      </w:pPr>
      <w:r w:rsidRPr="00274B50">
        <w:rPr>
          <w:rFonts w:ascii="Arial" w:hAnsi="Arial" w:cs="Arial"/>
          <w:szCs w:val="22"/>
        </w:rPr>
        <w:t>The sharing of expertise also works in reverse, with criminal organisations learning from terrorist tactics. Techniques such as bomb-making, cyberattacks, and even radicalization methods can be adopted by criminal enterprises. This blending of criminal and terrorist activities presents a complex challenge for law enforcement, requiring counterterrorism strategies that are adaptable and informed by comprehensive intelligence on both terrorist and criminal networks.</w:t>
      </w:r>
    </w:p>
    <w:p w14:paraId="4281BCE3" w14:textId="77777777" w:rsidR="00B01B2A" w:rsidRPr="00274B50" w:rsidRDefault="00B01B2A" w:rsidP="00274B50">
      <w:pPr>
        <w:pStyle w:val="PlainText"/>
        <w:spacing w:line="360" w:lineRule="auto"/>
        <w:jc w:val="both"/>
        <w:rPr>
          <w:rFonts w:ascii="Arial" w:hAnsi="Arial" w:cs="Arial"/>
          <w:szCs w:val="22"/>
        </w:rPr>
      </w:pPr>
    </w:p>
    <w:p w14:paraId="32EFAD31" w14:textId="77777777" w:rsidR="00B01B2A" w:rsidRPr="00274B50" w:rsidRDefault="00B01B2A" w:rsidP="00274B50">
      <w:pPr>
        <w:pStyle w:val="PlainText"/>
        <w:spacing w:line="360" w:lineRule="auto"/>
        <w:jc w:val="both"/>
        <w:rPr>
          <w:rFonts w:ascii="Arial" w:hAnsi="Arial" w:cs="Arial"/>
          <w:szCs w:val="22"/>
        </w:rPr>
      </w:pPr>
    </w:p>
    <w:p w14:paraId="69733EE5" w14:textId="4381D87B" w:rsidR="00B01B2A" w:rsidRPr="00274B50" w:rsidRDefault="00B01B2A" w:rsidP="00274B50">
      <w:pPr>
        <w:pStyle w:val="PlainText"/>
        <w:spacing w:line="360" w:lineRule="auto"/>
        <w:jc w:val="both"/>
        <w:rPr>
          <w:rFonts w:ascii="Arial" w:hAnsi="Arial" w:cs="Arial"/>
          <w:szCs w:val="22"/>
        </w:rPr>
      </w:pPr>
      <w:r w:rsidRPr="00274B50">
        <w:rPr>
          <w:rFonts w:ascii="Arial" w:hAnsi="Arial" w:cs="Arial"/>
          <w:szCs w:val="22"/>
        </w:rPr>
        <w:t>The convergence of terrorism and criminality presents several challenges for law enforcement agencies, particularly in terms of intelligence gathering, jurisdictional complexities, and the evolving nature of both threats.</w:t>
      </w:r>
      <w:r w:rsidR="00BC6624" w:rsidRPr="00274B50">
        <w:rPr>
          <w:rFonts w:ascii="Arial" w:hAnsi="Arial" w:cs="Arial"/>
          <w:szCs w:val="22"/>
        </w:rPr>
        <w:t xml:space="preserve"> </w:t>
      </w:r>
      <w:r w:rsidRPr="00274B50">
        <w:rPr>
          <w:rFonts w:ascii="Arial" w:hAnsi="Arial" w:cs="Arial"/>
          <w:szCs w:val="22"/>
        </w:rPr>
        <w:t>Effective counterterrorism policing relies heavily on intelligence, which becomes more complicated when dealing with the hybrid nature of criminal-terrorist groups. Traditional criminal intelligence may not fully account for the ideological motivations and operational strategies of terrorist organizations, while counterterrorism intelligence may overlook the criminal dimensions of these groups. This requires an integrated approach that combines insights from both organi</w:t>
      </w:r>
      <w:r w:rsidR="00BC6624" w:rsidRPr="00274B50">
        <w:rPr>
          <w:rFonts w:ascii="Arial" w:hAnsi="Arial" w:cs="Arial"/>
          <w:szCs w:val="22"/>
        </w:rPr>
        <w:t>s</w:t>
      </w:r>
      <w:r w:rsidRPr="00274B50">
        <w:rPr>
          <w:rFonts w:ascii="Arial" w:hAnsi="Arial" w:cs="Arial"/>
          <w:szCs w:val="22"/>
        </w:rPr>
        <w:t>ed crime units and counterterrorism agencies.</w:t>
      </w:r>
    </w:p>
    <w:p w14:paraId="0540C245" w14:textId="77777777" w:rsidR="00B01B2A" w:rsidRPr="00274B50" w:rsidRDefault="00B01B2A" w:rsidP="00274B50">
      <w:pPr>
        <w:pStyle w:val="PlainText"/>
        <w:spacing w:line="360" w:lineRule="auto"/>
        <w:jc w:val="both"/>
        <w:rPr>
          <w:rFonts w:ascii="Arial" w:hAnsi="Arial" w:cs="Arial"/>
          <w:szCs w:val="22"/>
        </w:rPr>
      </w:pPr>
    </w:p>
    <w:p w14:paraId="206973D6" w14:textId="5EDD9C1B" w:rsidR="00B01B2A" w:rsidRPr="00274B50" w:rsidRDefault="00B01B2A" w:rsidP="00274B50">
      <w:pPr>
        <w:pStyle w:val="PlainText"/>
        <w:spacing w:line="360" w:lineRule="auto"/>
        <w:jc w:val="both"/>
        <w:rPr>
          <w:rFonts w:ascii="Arial" w:hAnsi="Arial" w:cs="Arial"/>
          <w:szCs w:val="22"/>
        </w:rPr>
      </w:pPr>
      <w:r w:rsidRPr="00274B50">
        <w:rPr>
          <w:rFonts w:ascii="Arial" w:hAnsi="Arial" w:cs="Arial"/>
          <w:szCs w:val="22"/>
        </w:rPr>
        <w:t xml:space="preserve">However, there are significant obstacles to achieving such integration. Information sharing between different law enforcement agencies, both domestically and internationally, can be hindered by </w:t>
      </w:r>
      <w:r w:rsidR="00BC6624" w:rsidRPr="00274B50">
        <w:rPr>
          <w:rFonts w:ascii="Arial" w:hAnsi="Arial" w:cs="Arial"/>
          <w:szCs w:val="22"/>
        </w:rPr>
        <w:t xml:space="preserve">legislation and </w:t>
      </w:r>
      <w:r w:rsidRPr="00274B50">
        <w:rPr>
          <w:rFonts w:ascii="Arial" w:hAnsi="Arial" w:cs="Arial"/>
          <w:szCs w:val="22"/>
        </w:rPr>
        <w:t xml:space="preserve">differences in priorities, and issues of trust (Gill &amp; Phythian, 2018). </w:t>
      </w:r>
      <w:r w:rsidRPr="00274B50">
        <w:rPr>
          <w:rFonts w:ascii="Arial" w:hAnsi="Arial" w:cs="Arial"/>
          <w:szCs w:val="22"/>
        </w:rPr>
        <w:lastRenderedPageBreak/>
        <w:t>For instance, while financial intelligence is crucial in countering both organized crime and terrorism, different agencies may have varying levels of access to relevant data. To address these issues, counterterrorism policing must prioriti</w:t>
      </w:r>
      <w:r w:rsidR="00BC6624" w:rsidRPr="00274B50">
        <w:rPr>
          <w:rFonts w:ascii="Arial" w:hAnsi="Arial" w:cs="Arial"/>
          <w:szCs w:val="22"/>
        </w:rPr>
        <w:t>s</w:t>
      </w:r>
      <w:r w:rsidRPr="00274B50">
        <w:rPr>
          <w:rFonts w:ascii="Arial" w:hAnsi="Arial" w:cs="Arial"/>
          <w:szCs w:val="22"/>
        </w:rPr>
        <w:t xml:space="preserve">e interagency cooperation, streamline communication channels, and ensure that intelligence is accessible and actionable across different </w:t>
      </w:r>
      <w:r w:rsidR="00BC6624" w:rsidRPr="00274B50">
        <w:rPr>
          <w:rFonts w:ascii="Arial" w:hAnsi="Arial" w:cs="Arial"/>
          <w:szCs w:val="22"/>
        </w:rPr>
        <w:t>safeguarding and law agencies</w:t>
      </w:r>
      <w:r w:rsidRPr="00274B50">
        <w:rPr>
          <w:rFonts w:ascii="Arial" w:hAnsi="Arial" w:cs="Arial"/>
          <w:szCs w:val="22"/>
        </w:rPr>
        <w:t>.</w:t>
      </w:r>
    </w:p>
    <w:p w14:paraId="088D9703" w14:textId="77777777" w:rsidR="00B01B2A" w:rsidRPr="00274B50" w:rsidRDefault="00B01B2A" w:rsidP="00274B50">
      <w:pPr>
        <w:pStyle w:val="PlainText"/>
        <w:spacing w:line="360" w:lineRule="auto"/>
        <w:jc w:val="both"/>
        <w:rPr>
          <w:rFonts w:ascii="Arial" w:hAnsi="Arial" w:cs="Arial"/>
          <w:szCs w:val="22"/>
        </w:rPr>
      </w:pPr>
    </w:p>
    <w:p w14:paraId="4AE08D19" w14:textId="77777777" w:rsidR="00B01B2A" w:rsidRPr="00274B50" w:rsidRDefault="00B01B2A" w:rsidP="00274B50">
      <w:pPr>
        <w:pStyle w:val="PlainText"/>
        <w:spacing w:line="360" w:lineRule="auto"/>
        <w:jc w:val="both"/>
        <w:rPr>
          <w:rFonts w:ascii="Arial" w:hAnsi="Arial" w:cs="Arial"/>
          <w:szCs w:val="22"/>
        </w:rPr>
      </w:pPr>
    </w:p>
    <w:p w14:paraId="2391D5E5" w14:textId="6F443588" w:rsidR="00B01B2A" w:rsidRPr="00274B50" w:rsidRDefault="00B01B2A" w:rsidP="00274B50">
      <w:pPr>
        <w:pStyle w:val="PlainText"/>
        <w:spacing w:line="360" w:lineRule="auto"/>
        <w:jc w:val="both"/>
        <w:rPr>
          <w:rFonts w:ascii="Arial" w:hAnsi="Arial" w:cs="Arial"/>
          <w:szCs w:val="22"/>
        </w:rPr>
      </w:pPr>
      <w:r w:rsidRPr="00274B50">
        <w:rPr>
          <w:rFonts w:ascii="Arial" w:hAnsi="Arial" w:cs="Arial"/>
          <w:szCs w:val="22"/>
        </w:rPr>
        <w:t>Another challenge arises from the transnational nature of both terrorism and organi</w:t>
      </w:r>
      <w:r w:rsidR="00BC6624" w:rsidRPr="00274B50">
        <w:rPr>
          <w:rFonts w:ascii="Arial" w:hAnsi="Arial" w:cs="Arial"/>
          <w:szCs w:val="22"/>
        </w:rPr>
        <w:t>s</w:t>
      </w:r>
      <w:r w:rsidRPr="00274B50">
        <w:rPr>
          <w:rFonts w:ascii="Arial" w:hAnsi="Arial" w:cs="Arial"/>
          <w:szCs w:val="22"/>
        </w:rPr>
        <w:t>ed crime. Terrorist groups often operate across borders, using global criminal networks to move money, people, and weapons. Jurisdictional boundaries can hinder counterterrorism efforts, as law enforcement agencies in different countries may have different legal frameworks, priorities, and capacities. The fragmentation of counterterrorism efforts across multiple jurisdictions can allow criminal-terrorist networks to exploit legal loopholes and evade detection (Shelley, 2014).</w:t>
      </w:r>
    </w:p>
    <w:p w14:paraId="2CC7758E" w14:textId="77777777" w:rsidR="00B01B2A" w:rsidRPr="00274B50" w:rsidRDefault="00B01B2A" w:rsidP="00274B50">
      <w:pPr>
        <w:pStyle w:val="PlainText"/>
        <w:spacing w:line="360" w:lineRule="auto"/>
        <w:jc w:val="both"/>
        <w:rPr>
          <w:rFonts w:ascii="Arial" w:hAnsi="Arial" w:cs="Arial"/>
          <w:szCs w:val="22"/>
        </w:rPr>
      </w:pPr>
    </w:p>
    <w:p w14:paraId="7AF5875F" w14:textId="069A81F4" w:rsidR="00B01B2A" w:rsidRPr="00274B50" w:rsidRDefault="00B01B2A" w:rsidP="00274B50">
      <w:pPr>
        <w:pStyle w:val="PlainText"/>
        <w:spacing w:line="360" w:lineRule="auto"/>
        <w:jc w:val="both"/>
        <w:rPr>
          <w:rFonts w:ascii="Arial" w:hAnsi="Arial" w:cs="Arial"/>
          <w:szCs w:val="22"/>
        </w:rPr>
      </w:pPr>
      <w:r w:rsidRPr="00274B50">
        <w:rPr>
          <w:rFonts w:ascii="Arial" w:hAnsi="Arial" w:cs="Arial"/>
          <w:szCs w:val="22"/>
        </w:rPr>
        <w:t>International cooperation is, therefore, crucial. Multilateral organi</w:t>
      </w:r>
      <w:r w:rsidR="00BC6624" w:rsidRPr="00274B50">
        <w:rPr>
          <w:rFonts w:ascii="Arial" w:hAnsi="Arial" w:cs="Arial"/>
          <w:szCs w:val="22"/>
        </w:rPr>
        <w:t>s</w:t>
      </w:r>
      <w:r w:rsidRPr="00274B50">
        <w:rPr>
          <w:rFonts w:ascii="Arial" w:hAnsi="Arial" w:cs="Arial"/>
          <w:szCs w:val="22"/>
        </w:rPr>
        <w:t>ations like Interpol and Europol play a key role in coordinating cross-border counterterrorism operations and facilitating intelligence sharing. Additionally, frameworks such as the European Arrest Warrant and joint task forces have been developed to enhance collaboration across borders (Europol, 2018). Despite these mechanisms, legal and operational disparities between countries continue to pose challenges, necessitating ongoing efforts to harmoni</w:t>
      </w:r>
      <w:r w:rsidR="00BC6624" w:rsidRPr="00274B50">
        <w:rPr>
          <w:rFonts w:ascii="Arial" w:hAnsi="Arial" w:cs="Arial"/>
          <w:szCs w:val="22"/>
        </w:rPr>
        <w:t>s</w:t>
      </w:r>
      <w:r w:rsidRPr="00274B50">
        <w:rPr>
          <w:rFonts w:ascii="Arial" w:hAnsi="Arial" w:cs="Arial"/>
          <w:szCs w:val="22"/>
        </w:rPr>
        <w:t>e counterterrorism laws and practices on a global scale.</w:t>
      </w:r>
    </w:p>
    <w:p w14:paraId="38574FF5" w14:textId="77777777" w:rsidR="00B01B2A" w:rsidRPr="00274B50" w:rsidRDefault="00B01B2A" w:rsidP="00274B50">
      <w:pPr>
        <w:pStyle w:val="PlainText"/>
        <w:spacing w:line="360" w:lineRule="auto"/>
        <w:jc w:val="both"/>
        <w:rPr>
          <w:rFonts w:ascii="Arial" w:hAnsi="Arial" w:cs="Arial"/>
          <w:szCs w:val="22"/>
        </w:rPr>
      </w:pPr>
    </w:p>
    <w:p w14:paraId="791B5666" w14:textId="77777777" w:rsidR="00B01B2A" w:rsidRPr="00274B50" w:rsidRDefault="00B01B2A" w:rsidP="00274B50">
      <w:pPr>
        <w:pStyle w:val="PlainText"/>
        <w:spacing w:line="360" w:lineRule="auto"/>
        <w:jc w:val="both"/>
        <w:rPr>
          <w:rFonts w:ascii="Arial" w:hAnsi="Arial" w:cs="Arial"/>
          <w:szCs w:val="22"/>
        </w:rPr>
      </w:pPr>
    </w:p>
    <w:p w14:paraId="28CE7A5F" w14:textId="534C48D3" w:rsidR="00B01B2A" w:rsidRPr="00274B50" w:rsidRDefault="00B01B2A" w:rsidP="00274B50">
      <w:pPr>
        <w:pStyle w:val="PlainText"/>
        <w:spacing w:line="360" w:lineRule="auto"/>
        <w:jc w:val="both"/>
        <w:rPr>
          <w:rFonts w:ascii="Arial" w:hAnsi="Arial" w:cs="Arial"/>
          <w:szCs w:val="22"/>
        </w:rPr>
      </w:pPr>
      <w:r w:rsidRPr="00274B50">
        <w:rPr>
          <w:rFonts w:ascii="Arial" w:hAnsi="Arial" w:cs="Arial"/>
          <w:szCs w:val="22"/>
        </w:rPr>
        <w:t>Both terrorist and criminal groups are highly adaptable, constantly changing their tactics and exploiting opportunities. The digital landscape has become a critical arena for both organi</w:t>
      </w:r>
      <w:r w:rsidR="00274B50" w:rsidRPr="00274B50">
        <w:rPr>
          <w:rFonts w:ascii="Arial" w:hAnsi="Arial" w:cs="Arial"/>
          <w:szCs w:val="22"/>
        </w:rPr>
        <w:t>s</w:t>
      </w:r>
      <w:r w:rsidRPr="00274B50">
        <w:rPr>
          <w:rFonts w:ascii="Arial" w:hAnsi="Arial" w:cs="Arial"/>
          <w:szCs w:val="22"/>
        </w:rPr>
        <w:t>ed crime and terrorism. Terrorist organi</w:t>
      </w:r>
      <w:r w:rsidR="00274B50" w:rsidRPr="00274B50">
        <w:rPr>
          <w:rFonts w:ascii="Arial" w:hAnsi="Arial" w:cs="Arial"/>
          <w:szCs w:val="22"/>
        </w:rPr>
        <w:t>s</w:t>
      </w:r>
      <w:r w:rsidRPr="00274B50">
        <w:rPr>
          <w:rFonts w:ascii="Arial" w:hAnsi="Arial" w:cs="Arial"/>
          <w:szCs w:val="22"/>
        </w:rPr>
        <w:t>ations increasingly use online platforms for recruitment, pro</w:t>
      </w:r>
      <w:r w:rsidR="00274B50" w:rsidRPr="00274B50">
        <w:rPr>
          <w:rFonts w:ascii="Arial" w:hAnsi="Arial" w:cs="Arial"/>
          <w:szCs w:val="22"/>
        </w:rPr>
        <w:t>paganda</w:t>
      </w:r>
      <w:r w:rsidRPr="00274B50">
        <w:rPr>
          <w:rFonts w:ascii="Arial" w:hAnsi="Arial" w:cs="Arial"/>
          <w:szCs w:val="22"/>
        </w:rPr>
        <w:t xml:space="preserve"> and even operational planning, while cybercrime has become a lucrative activity for both criminal enterprises and terrorist groups (Weimann, 2016). Counterterrorism policing must, therefore, keep pace with technological advancements, developing cyber capabilities that can monitor online activities, disrupt communications, and prevent attacks planned in virtual spaces.</w:t>
      </w:r>
    </w:p>
    <w:p w14:paraId="143956F8" w14:textId="77777777" w:rsidR="00B01B2A" w:rsidRPr="00274B50" w:rsidRDefault="00B01B2A" w:rsidP="00274B50">
      <w:pPr>
        <w:pStyle w:val="PlainText"/>
        <w:spacing w:line="360" w:lineRule="auto"/>
        <w:jc w:val="both"/>
        <w:rPr>
          <w:rFonts w:ascii="Arial" w:hAnsi="Arial" w:cs="Arial"/>
          <w:szCs w:val="22"/>
        </w:rPr>
      </w:pPr>
    </w:p>
    <w:p w14:paraId="76CA345E" w14:textId="77777777" w:rsidR="00B01B2A" w:rsidRPr="00274B50" w:rsidRDefault="00B01B2A" w:rsidP="00274B50">
      <w:pPr>
        <w:pStyle w:val="PlainText"/>
        <w:spacing w:line="360" w:lineRule="auto"/>
        <w:jc w:val="both"/>
        <w:rPr>
          <w:rFonts w:ascii="Arial" w:hAnsi="Arial" w:cs="Arial"/>
          <w:szCs w:val="22"/>
        </w:rPr>
      </w:pPr>
      <w:r w:rsidRPr="00274B50">
        <w:rPr>
          <w:rFonts w:ascii="Arial" w:hAnsi="Arial" w:cs="Arial"/>
          <w:szCs w:val="22"/>
        </w:rPr>
        <w:t>Additionally, the COVID-19 pandemic and other global crises have shown how quickly criminal and terrorist groups can adapt to new environments. For example, during the pandemic, there was an increase in fraud and cybercrime, with some of these activities linked to terrorist financing (UNODC, 2020). Understanding the fluid nature of these threats and how they intersect is essential for effective counterterrorism policing.</w:t>
      </w:r>
    </w:p>
    <w:p w14:paraId="4647F6E7" w14:textId="77777777" w:rsidR="00B01B2A" w:rsidRPr="00274B50" w:rsidRDefault="00B01B2A" w:rsidP="00274B50">
      <w:pPr>
        <w:pStyle w:val="PlainText"/>
        <w:spacing w:line="360" w:lineRule="auto"/>
        <w:jc w:val="both"/>
        <w:rPr>
          <w:rFonts w:ascii="Arial" w:hAnsi="Arial" w:cs="Arial"/>
          <w:szCs w:val="22"/>
        </w:rPr>
      </w:pPr>
    </w:p>
    <w:p w14:paraId="31778568" w14:textId="77777777" w:rsidR="00B01B2A" w:rsidRPr="00274B50" w:rsidRDefault="00B01B2A" w:rsidP="00274B50">
      <w:pPr>
        <w:pStyle w:val="PlainText"/>
        <w:spacing w:line="360" w:lineRule="auto"/>
        <w:jc w:val="both"/>
        <w:rPr>
          <w:rFonts w:ascii="Arial" w:hAnsi="Arial" w:cs="Arial"/>
          <w:szCs w:val="22"/>
        </w:rPr>
      </w:pPr>
    </w:p>
    <w:p w14:paraId="77B156D5" w14:textId="77777777" w:rsidR="00B01B2A" w:rsidRPr="00274B50" w:rsidRDefault="00B01B2A" w:rsidP="00274B50">
      <w:pPr>
        <w:pStyle w:val="PlainText"/>
        <w:spacing w:line="360" w:lineRule="auto"/>
        <w:jc w:val="both"/>
        <w:rPr>
          <w:rFonts w:ascii="Arial" w:hAnsi="Arial" w:cs="Arial"/>
          <w:szCs w:val="22"/>
        </w:rPr>
      </w:pPr>
    </w:p>
    <w:p w14:paraId="695D2A7A" w14:textId="77777777" w:rsidR="00B01B2A" w:rsidRPr="00274B50" w:rsidRDefault="00B01B2A" w:rsidP="00274B50">
      <w:pPr>
        <w:pStyle w:val="PlainText"/>
        <w:spacing w:line="360" w:lineRule="auto"/>
        <w:jc w:val="both"/>
        <w:rPr>
          <w:rFonts w:ascii="Arial" w:hAnsi="Arial" w:cs="Arial"/>
          <w:szCs w:val="22"/>
        </w:rPr>
      </w:pPr>
      <w:r w:rsidRPr="00274B50">
        <w:rPr>
          <w:rFonts w:ascii="Arial" w:hAnsi="Arial" w:cs="Arial"/>
          <w:szCs w:val="22"/>
        </w:rPr>
        <w:t xml:space="preserve">As discussed, disrupting the financial networks that support both criminal and terrorist activities </w:t>
      </w:r>
      <w:proofErr w:type="gramStart"/>
      <w:r w:rsidRPr="00274B50">
        <w:rPr>
          <w:rFonts w:ascii="Arial" w:hAnsi="Arial" w:cs="Arial"/>
          <w:szCs w:val="22"/>
        </w:rPr>
        <w:t>is</w:t>
      </w:r>
      <w:proofErr w:type="gramEnd"/>
      <w:r w:rsidRPr="00274B50">
        <w:rPr>
          <w:rFonts w:ascii="Arial" w:hAnsi="Arial" w:cs="Arial"/>
          <w:szCs w:val="22"/>
        </w:rPr>
        <w:t xml:space="preserve"> critical. Counterterrorism policing should focus on targeting the illicit economies that fuel terrorist operations, whether through anti-money laundering measures, sanctions, or direct interventions against key revenue-generating activities like drug trafficking. Financial investigations should be integrated into broader counterterrorism operations, with specialized units focusing on tracing and freezing assets linked to criminal-terrorist activities (FATF, 2019).</w:t>
      </w:r>
    </w:p>
    <w:p w14:paraId="36338953" w14:textId="77777777" w:rsidR="00B01B2A" w:rsidRPr="00274B50" w:rsidRDefault="00B01B2A" w:rsidP="00274B50">
      <w:pPr>
        <w:pStyle w:val="PlainText"/>
        <w:spacing w:line="360" w:lineRule="auto"/>
        <w:jc w:val="both"/>
        <w:rPr>
          <w:rFonts w:ascii="Arial" w:hAnsi="Arial" w:cs="Arial"/>
          <w:szCs w:val="22"/>
        </w:rPr>
      </w:pPr>
    </w:p>
    <w:p w14:paraId="56D9BA10" w14:textId="77777777" w:rsidR="00B01B2A" w:rsidRPr="00274B50" w:rsidRDefault="00B01B2A" w:rsidP="00274B50">
      <w:pPr>
        <w:pStyle w:val="PlainText"/>
        <w:spacing w:line="360" w:lineRule="auto"/>
        <w:jc w:val="both"/>
        <w:rPr>
          <w:rFonts w:ascii="Arial" w:hAnsi="Arial" w:cs="Arial"/>
          <w:szCs w:val="22"/>
        </w:rPr>
      </w:pPr>
    </w:p>
    <w:p w14:paraId="6906BD10" w14:textId="77777777" w:rsidR="00B01B2A" w:rsidRPr="00274B50" w:rsidRDefault="00B01B2A" w:rsidP="00274B50">
      <w:pPr>
        <w:pStyle w:val="PlainText"/>
        <w:spacing w:line="360" w:lineRule="auto"/>
        <w:jc w:val="both"/>
        <w:rPr>
          <w:rFonts w:ascii="Arial" w:hAnsi="Arial" w:cs="Arial"/>
          <w:szCs w:val="22"/>
        </w:rPr>
      </w:pPr>
    </w:p>
    <w:p w14:paraId="428FED26" w14:textId="77777777" w:rsidR="00B01B2A" w:rsidRPr="00274B50" w:rsidRDefault="00B01B2A" w:rsidP="00274B50">
      <w:pPr>
        <w:pStyle w:val="PlainText"/>
        <w:spacing w:line="360" w:lineRule="auto"/>
        <w:jc w:val="both"/>
        <w:rPr>
          <w:rFonts w:ascii="Arial" w:hAnsi="Arial" w:cs="Arial"/>
          <w:szCs w:val="22"/>
        </w:rPr>
      </w:pPr>
      <w:r w:rsidRPr="00274B50">
        <w:rPr>
          <w:rFonts w:ascii="Arial" w:hAnsi="Arial" w:cs="Arial"/>
          <w:szCs w:val="22"/>
        </w:rPr>
        <w:t>The increasing role of technology in both criminal and terrorist activities means that counterterrorism policing must invest in advanced cyber capabilities. Monitoring dark web marketplaces, tracking cryptocurrency transactions, and identifying online radicalization efforts are all critical components of a modern counterterrorism strategy (Weimann, 2016). Collaboration with tech companies and private sector partners is also essential, as much of the infrastructure used by criminal-terrorist networks lies outside traditional law enforcement control.</w:t>
      </w:r>
    </w:p>
    <w:p w14:paraId="26899895" w14:textId="77777777" w:rsidR="00B01B2A" w:rsidRPr="00274B50" w:rsidRDefault="00B01B2A" w:rsidP="00274B50">
      <w:pPr>
        <w:pStyle w:val="PlainText"/>
        <w:spacing w:line="360" w:lineRule="auto"/>
        <w:jc w:val="both"/>
        <w:rPr>
          <w:rFonts w:ascii="Arial" w:hAnsi="Arial" w:cs="Arial"/>
          <w:szCs w:val="22"/>
        </w:rPr>
      </w:pPr>
    </w:p>
    <w:p w14:paraId="6C470B07" w14:textId="77777777" w:rsidR="00B01B2A" w:rsidRPr="00274B50" w:rsidRDefault="00B01B2A" w:rsidP="00274B50">
      <w:pPr>
        <w:pStyle w:val="PlainText"/>
        <w:spacing w:line="360" w:lineRule="auto"/>
        <w:jc w:val="both"/>
        <w:rPr>
          <w:rFonts w:ascii="Arial" w:hAnsi="Arial" w:cs="Arial"/>
          <w:szCs w:val="22"/>
        </w:rPr>
      </w:pPr>
    </w:p>
    <w:p w14:paraId="7C7EEA2D" w14:textId="19D7A460" w:rsidR="00B01B2A" w:rsidRPr="00274B50" w:rsidRDefault="00274B50" w:rsidP="00274B50">
      <w:pPr>
        <w:pStyle w:val="PlainText"/>
        <w:spacing w:line="360" w:lineRule="auto"/>
        <w:jc w:val="both"/>
        <w:rPr>
          <w:rFonts w:ascii="Arial" w:hAnsi="Arial" w:cs="Arial"/>
          <w:szCs w:val="22"/>
        </w:rPr>
      </w:pPr>
      <w:r w:rsidRPr="00274B50">
        <w:rPr>
          <w:rFonts w:ascii="Arial" w:hAnsi="Arial" w:cs="Arial"/>
          <w:szCs w:val="22"/>
        </w:rPr>
        <w:t>In conclusion, t</w:t>
      </w:r>
      <w:r w:rsidR="00B01B2A" w:rsidRPr="00274B50">
        <w:rPr>
          <w:rFonts w:ascii="Arial" w:hAnsi="Arial" w:cs="Arial"/>
          <w:szCs w:val="22"/>
        </w:rPr>
        <w:t xml:space="preserve">he involvement of terrorist groups in other forms of criminality presents both challenges and opportunities for counterterrorism policing. By understanding the crime-terror </w:t>
      </w:r>
      <w:r w:rsidRPr="00274B50">
        <w:rPr>
          <w:rFonts w:ascii="Arial" w:hAnsi="Arial" w:cs="Arial"/>
          <w:szCs w:val="22"/>
        </w:rPr>
        <w:t>connection</w:t>
      </w:r>
      <w:r w:rsidR="00B01B2A" w:rsidRPr="00274B50">
        <w:rPr>
          <w:rFonts w:ascii="Arial" w:hAnsi="Arial" w:cs="Arial"/>
          <w:szCs w:val="22"/>
        </w:rPr>
        <w:t>, law enforcement agencies can develop more comprehensive strategies that target the financial, logistical, and operational connections between criminal and terrorist activities. Effective counterterrorism policing requires enhanced intelligence sharing, greater interagency cooperation, and a willingness to adapt to evolving threats in both the physical and digital domains. By addressing these challenges, law enforcement can better prevent and disrupt the criminal activities that sustain terrorist organi</w:t>
      </w:r>
      <w:r w:rsidRPr="00274B50">
        <w:rPr>
          <w:rFonts w:ascii="Arial" w:hAnsi="Arial" w:cs="Arial"/>
          <w:szCs w:val="22"/>
        </w:rPr>
        <w:t>s</w:t>
      </w:r>
      <w:r w:rsidR="00B01B2A" w:rsidRPr="00274B50">
        <w:rPr>
          <w:rFonts w:ascii="Arial" w:hAnsi="Arial" w:cs="Arial"/>
          <w:szCs w:val="22"/>
        </w:rPr>
        <w:t>ations.</w:t>
      </w:r>
    </w:p>
    <w:p w14:paraId="2BEAAA13" w14:textId="77777777" w:rsidR="00B01B2A" w:rsidRDefault="00B01B2A" w:rsidP="00B01B2A">
      <w:pPr>
        <w:pStyle w:val="PlainText"/>
      </w:pPr>
    </w:p>
    <w:p w14:paraId="648B59C4" w14:textId="77777777" w:rsidR="00B01B2A" w:rsidRPr="00B01B2A" w:rsidRDefault="00B01B2A" w:rsidP="00B01B2A">
      <w:pPr>
        <w:pStyle w:val="PlainText"/>
        <w:rPr>
          <w:b/>
          <w:bCs/>
          <w:u w:val="single"/>
        </w:rPr>
      </w:pPr>
      <w:r w:rsidRPr="00B01B2A">
        <w:rPr>
          <w:b/>
          <w:bCs/>
          <w:u w:val="single"/>
        </w:rPr>
        <w:t>References</w:t>
      </w:r>
    </w:p>
    <w:p w14:paraId="50FF9D40" w14:textId="77777777" w:rsidR="00B01B2A" w:rsidRDefault="00B01B2A" w:rsidP="00B01B2A">
      <w:pPr>
        <w:pStyle w:val="PlainText"/>
      </w:pPr>
    </w:p>
    <w:p w14:paraId="79409369" w14:textId="77777777" w:rsidR="00B01B2A" w:rsidRDefault="00B01B2A" w:rsidP="00B01B2A">
      <w:pPr>
        <w:pStyle w:val="PlainText"/>
      </w:pPr>
      <w:r>
        <w:t>Europol. (2018). European Union Terrorism Situation and Trend Report (TE-SAT). Europol.</w:t>
      </w:r>
    </w:p>
    <w:p w14:paraId="3D642A51" w14:textId="77777777" w:rsidR="00B01B2A" w:rsidRDefault="00B01B2A" w:rsidP="00B01B2A">
      <w:pPr>
        <w:pStyle w:val="PlainText"/>
      </w:pPr>
    </w:p>
    <w:p w14:paraId="46B832FA" w14:textId="77777777" w:rsidR="00B01B2A" w:rsidRDefault="00B01B2A" w:rsidP="00B01B2A">
      <w:pPr>
        <w:pStyle w:val="PlainText"/>
      </w:pPr>
      <w:proofErr w:type="spellStart"/>
      <w:r>
        <w:t>Felbab</w:t>
      </w:r>
      <w:proofErr w:type="spellEnd"/>
      <w:r>
        <w:t>-Brown, V. (2020). Afghanistan’s Opium Production and the Taliban’s Narcotics Economy. Brookings Institution.</w:t>
      </w:r>
    </w:p>
    <w:p w14:paraId="23887A96" w14:textId="77777777" w:rsidR="00B01B2A" w:rsidRDefault="00B01B2A" w:rsidP="00B01B2A">
      <w:pPr>
        <w:pStyle w:val="PlainText"/>
      </w:pPr>
    </w:p>
    <w:p w14:paraId="45D39732" w14:textId="77777777" w:rsidR="00B01B2A" w:rsidRDefault="00B01B2A" w:rsidP="00B01B2A">
      <w:pPr>
        <w:pStyle w:val="PlainText"/>
      </w:pPr>
      <w:r>
        <w:t>Financial Action Task Force (FATF). (2019). Terrorist Financing Risk Assessment Guidance. FATF.</w:t>
      </w:r>
    </w:p>
    <w:p w14:paraId="615C36AC" w14:textId="77777777" w:rsidR="00B01B2A" w:rsidRDefault="00B01B2A" w:rsidP="00B01B2A">
      <w:pPr>
        <w:pStyle w:val="PlainText"/>
      </w:pPr>
    </w:p>
    <w:p w14:paraId="29AA58B3" w14:textId="77777777" w:rsidR="00B01B2A" w:rsidRDefault="00B01B2A" w:rsidP="00B01B2A">
      <w:pPr>
        <w:pStyle w:val="PlainText"/>
      </w:pPr>
      <w:r>
        <w:lastRenderedPageBreak/>
        <w:t>Gill, P., &amp; Phythian, M. (2018). Intelligence in an Insecure World (3rd ed.). Polity.</w:t>
      </w:r>
    </w:p>
    <w:p w14:paraId="07199A4E" w14:textId="77777777" w:rsidR="00B01B2A" w:rsidRDefault="00B01B2A" w:rsidP="00B01B2A">
      <w:pPr>
        <w:pStyle w:val="PlainText"/>
      </w:pPr>
    </w:p>
    <w:p w14:paraId="7C415C8D" w14:textId="77777777" w:rsidR="00B01B2A" w:rsidRDefault="00B01B2A" w:rsidP="00B01B2A">
      <w:pPr>
        <w:pStyle w:val="PlainText"/>
      </w:pPr>
      <w:r>
        <w:t>Hutchinson, S., &amp; O’Malley, P. (2007). A Crime-Terror Nexus? Thinking on Some of the Links Between Terrorism and Criminality. Studies in Conflict &amp; Terrorism, 30(12), 1095-1107.</w:t>
      </w:r>
    </w:p>
    <w:p w14:paraId="72889298" w14:textId="77777777" w:rsidR="00B01B2A" w:rsidRDefault="00B01B2A" w:rsidP="00B01B2A">
      <w:pPr>
        <w:pStyle w:val="PlainText"/>
      </w:pPr>
    </w:p>
    <w:p w14:paraId="7C6CB758" w14:textId="77777777" w:rsidR="00B01B2A" w:rsidRDefault="00B01B2A" w:rsidP="00B01B2A">
      <w:pPr>
        <w:pStyle w:val="PlainText"/>
      </w:pPr>
      <w:r>
        <w:t>Levitt, M. (2013). Hezbollah: The Global Footprint of Lebanon’s Party of God. Georgetown University Press.</w:t>
      </w:r>
    </w:p>
    <w:p w14:paraId="71C29AFC" w14:textId="77777777" w:rsidR="00B01B2A" w:rsidRDefault="00B01B2A" w:rsidP="00B01B2A">
      <w:pPr>
        <w:pStyle w:val="PlainText"/>
      </w:pPr>
    </w:p>
    <w:p w14:paraId="51C0A4AA" w14:textId="77777777" w:rsidR="00B01B2A" w:rsidRDefault="00B01B2A" w:rsidP="00B01B2A">
      <w:pPr>
        <w:pStyle w:val="PlainText"/>
      </w:pPr>
      <w:r>
        <w:t>Makarenko, T. (2011). The Crime-Terror Continuum: Tracing the Interplay Between Transnational Organized Crime and Terrorism. Global Crime, 6(1), 129-145.</w:t>
      </w:r>
    </w:p>
    <w:p w14:paraId="6679F5FB" w14:textId="77777777" w:rsidR="00B01B2A" w:rsidRDefault="00B01B2A" w:rsidP="00B01B2A">
      <w:pPr>
        <w:pStyle w:val="PlainText"/>
      </w:pPr>
    </w:p>
    <w:p w14:paraId="6FDE916C" w14:textId="77777777" w:rsidR="00B01B2A" w:rsidRDefault="00B01B2A" w:rsidP="00B01B2A">
      <w:pPr>
        <w:pStyle w:val="PlainText"/>
      </w:pPr>
      <w:r>
        <w:t>Shelley, L. (2014). Dirty Entanglements: Corruption, Crime, and Terrorism. Cambridge University Press.</w:t>
      </w:r>
    </w:p>
    <w:p w14:paraId="487DC403" w14:textId="77777777" w:rsidR="00B01B2A" w:rsidRDefault="00B01B2A" w:rsidP="00B01B2A">
      <w:pPr>
        <w:pStyle w:val="PlainText"/>
      </w:pPr>
    </w:p>
    <w:p w14:paraId="1BD57099" w14:textId="20BB01D2" w:rsidR="00B01B2A" w:rsidRDefault="00B01B2A" w:rsidP="00B01B2A">
      <w:pPr>
        <w:pStyle w:val="PlainText"/>
      </w:pPr>
    </w:p>
    <w:p w14:paraId="3B43F8AC" w14:textId="77777777" w:rsidR="00BB251D" w:rsidRPr="008B3F16" w:rsidRDefault="00BB251D" w:rsidP="008B3F16">
      <w:pPr>
        <w:rPr>
          <w:b/>
          <w:bCs/>
          <w:u w:val="single"/>
        </w:rPr>
      </w:pPr>
    </w:p>
    <w:p w14:paraId="36648B42" w14:textId="09A76480" w:rsidR="00E122CA" w:rsidRPr="000B4A64" w:rsidRDefault="00E122CA" w:rsidP="00E122CA">
      <w:pPr>
        <w:rPr>
          <w:b/>
          <w:bCs/>
        </w:rPr>
      </w:pPr>
      <w:r w:rsidRPr="000B4A64">
        <w:rPr>
          <w:b/>
          <w:bCs/>
        </w:rPr>
        <w:t>Essay three: How might personal attitudes, values and bias impact upon the effective investigation of volume crime?</w:t>
      </w:r>
    </w:p>
    <w:p w14:paraId="43278F7B" w14:textId="77777777" w:rsidR="000B4A64" w:rsidRDefault="000B4A64" w:rsidP="008566C7">
      <w:pPr>
        <w:pStyle w:val="PlainText"/>
        <w:spacing w:line="360" w:lineRule="auto"/>
        <w:jc w:val="both"/>
      </w:pPr>
      <w:r>
        <w:t>Volume crime, encompassing offenses such as burglary, vehicle theft, and vandalism, constitutes the majority of reported criminal activity in many jurisdictions. The effective investigation of these crimes is critical to community safety and trust in law enforcement. However, personal attitudes, values, and biases held by investigators can significantly affect the investigation process. These human factors, when unacknowledged or unchecked, can lead to inconsistent practices, skewed perceptions of offenders or victims, and ultimately, miscarriages of justice. This essay explores how personal attitudes, values, and bias might impact the effective investigation of volume crime, considering both positive and negative effects, and offering recommendations for mitigating the detrimental consequences.</w:t>
      </w:r>
    </w:p>
    <w:p w14:paraId="5FB84569" w14:textId="77777777" w:rsidR="000B4A64" w:rsidRDefault="000B4A64" w:rsidP="008566C7">
      <w:pPr>
        <w:pStyle w:val="PlainText"/>
        <w:spacing w:line="360" w:lineRule="auto"/>
        <w:jc w:val="both"/>
      </w:pPr>
    </w:p>
    <w:p w14:paraId="3B4BC448" w14:textId="77777777" w:rsidR="000B4A64" w:rsidRDefault="000B4A64" w:rsidP="008566C7">
      <w:pPr>
        <w:pStyle w:val="PlainText"/>
        <w:spacing w:line="360" w:lineRule="auto"/>
        <w:jc w:val="both"/>
      </w:pPr>
      <w:r>
        <w:t>Personal Attitudes and Values</w:t>
      </w:r>
    </w:p>
    <w:p w14:paraId="64B5D0A6" w14:textId="77777777" w:rsidR="000B4A64" w:rsidRDefault="000B4A64" w:rsidP="008566C7">
      <w:pPr>
        <w:pStyle w:val="PlainText"/>
        <w:spacing w:line="360" w:lineRule="auto"/>
        <w:jc w:val="both"/>
      </w:pPr>
    </w:p>
    <w:p w14:paraId="2E126FFC" w14:textId="77777777" w:rsidR="000B4A64" w:rsidRDefault="000B4A64" w:rsidP="008566C7">
      <w:pPr>
        <w:pStyle w:val="PlainText"/>
        <w:spacing w:line="360" w:lineRule="auto"/>
        <w:jc w:val="both"/>
      </w:pPr>
      <w:r>
        <w:t xml:space="preserve">Personal attitudes and values are fundamental components of an investigator’s identity, influencing their </w:t>
      </w:r>
      <w:proofErr w:type="spellStart"/>
      <w:r>
        <w:t>behavior</w:t>
      </w:r>
      <w:proofErr w:type="spellEnd"/>
      <w:r>
        <w:t xml:space="preserve"> and decision-making processes. According to Reiner (2010), these attitudes and values are shaped by an individual’s upbringing, socialization, education, and experiences, and can affect their interactions with colleagues, victims, and suspects. In the context of volume crime, an investigator’s perception of the seriousness of these crimes can be influenced by their values. For instance, if an officer places a higher value on investigating more serious crimes like homicide, they may deprioritize volume crime investigations, perceiving them as less worthy of time and resources (Tilley &amp; Laycock, 2016). Consequently, such attitudes can result in minimal effort being invested in solving these crimes, leading to poorer outcomes and reduced public confidence.</w:t>
      </w:r>
    </w:p>
    <w:p w14:paraId="145EDDCF" w14:textId="77777777" w:rsidR="000B4A64" w:rsidRDefault="000B4A64" w:rsidP="008566C7">
      <w:pPr>
        <w:pStyle w:val="PlainText"/>
        <w:spacing w:line="360" w:lineRule="auto"/>
        <w:jc w:val="both"/>
      </w:pPr>
    </w:p>
    <w:p w14:paraId="166FF7B6" w14:textId="77777777" w:rsidR="000B4A64" w:rsidRDefault="000B4A64" w:rsidP="008566C7">
      <w:pPr>
        <w:pStyle w:val="PlainText"/>
        <w:spacing w:line="360" w:lineRule="auto"/>
        <w:jc w:val="both"/>
      </w:pPr>
      <w:r>
        <w:lastRenderedPageBreak/>
        <w:t>Investigators’ personal values might also determine how they engage with victims and suspects. Officers who value compassion and empathy may be more inclined to provide support and reassurance to victims of volume crimes, fostering trust and encouraging victims to cooperate fully in the investigative process (Myhill &amp; Johnson, 2016). Conversely, those who adopt a more detached or cynical attitude may treat victims dismissively, believing that they are exaggerating their suffering or that their case is trivial. Such negative attitudes not only hamper the gathering of crucial evidence but also undermine public trust in the police.</w:t>
      </w:r>
    </w:p>
    <w:p w14:paraId="607ECCB8" w14:textId="77777777" w:rsidR="000B4A64" w:rsidRDefault="000B4A64" w:rsidP="008566C7">
      <w:pPr>
        <w:pStyle w:val="PlainText"/>
        <w:spacing w:line="360" w:lineRule="auto"/>
        <w:jc w:val="both"/>
      </w:pPr>
    </w:p>
    <w:p w14:paraId="7B80933F" w14:textId="77777777" w:rsidR="000B4A64" w:rsidRDefault="000B4A64" w:rsidP="008566C7">
      <w:pPr>
        <w:pStyle w:val="PlainText"/>
        <w:spacing w:line="360" w:lineRule="auto"/>
        <w:jc w:val="both"/>
      </w:pPr>
      <w:r>
        <w:t>Bias and Its Implications</w:t>
      </w:r>
    </w:p>
    <w:p w14:paraId="0E9DC104" w14:textId="77777777" w:rsidR="000B4A64" w:rsidRDefault="000B4A64" w:rsidP="008566C7">
      <w:pPr>
        <w:pStyle w:val="PlainText"/>
        <w:spacing w:line="360" w:lineRule="auto"/>
        <w:jc w:val="both"/>
      </w:pPr>
    </w:p>
    <w:p w14:paraId="550263EF" w14:textId="77777777" w:rsidR="000B4A64" w:rsidRDefault="000B4A64" w:rsidP="008566C7">
      <w:pPr>
        <w:pStyle w:val="PlainText"/>
        <w:spacing w:line="360" w:lineRule="auto"/>
        <w:jc w:val="both"/>
      </w:pPr>
      <w:r>
        <w:t>Bias, whether conscious or unconscious, is one of the most significant factors influencing the investigation of volume crime. Biases can manifest in various forms, including racial, gender, socio-economic, and cognitive biases. Unconscious bias, which refers to attitudes and stereotypes that operate outside of conscious awareness, can significantly affect how officers perceive and respond to different individuals during the investigative process (Doyle, 2020).</w:t>
      </w:r>
    </w:p>
    <w:p w14:paraId="57C0AB7A" w14:textId="77777777" w:rsidR="000B4A64" w:rsidRDefault="000B4A64" w:rsidP="008566C7">
      <w:pPr>
        <w:pStyle w:val="PlainText"/>
        <w:spacing w:line="360" w:lineRule="auto"/>
        <w:jc w:val="both"/>
      </w:pPr>
    </w:p>
    <w:p w14:paraId="157F577E" w14:textId="77777777" w:rsidR="000B4A64" w:rsidRDefault="000B4A64" w:rsidP="008566C7">
      <w:pPr>
        <w:pStyle w:val="PlainText"/>
        <w:spacing w:line="360" w:lineRule="auto"/>
        <w:jc w:val="both"/>
      </w:pPr>
      <w:r>
        <w:t xml:space="preserve">Racial and socio-economic biases are particularly pertinent in volume crime investigations. Research by Bradford, Milani, and Jackson (2017) shows that individuals from marginalized communities are often disproportionately targeted as suspects in criminal investigations due to prevailing stereotypes. For instance, an officer with ingrained biases may be more likely to suspect a person of </w:t>
      </w:r>
      <w:proofErr w:type="spellStart"/>
      <w:r>
        <w:t>color</w:t>
      </w:r>
      <w:proofErr w:type="spellEnd"/>
      <w:r>
        <w:t xml:space="preserve"> or someone from a lower socio-economic background of committing a crime, even in the absence of strong evidence. This can lead to discriminatory practices such as stop-and-search tactics and over-policing in certain </w:t>
      </w:r>
      <w:proofErr w:type="spellStart"/>
      <w:r>
        <w:t>neighborhoods</w:t>
      </w:r>
      <w:proofErr w:type="spellEnd"/>
      <w:r>
        <w:t>, further entrenching distrust between law enforcement and these communities.</w:t>
      </w:r>
    </w:p>
    <w:p w14:paraId="514C2D07" w14:textId="77777777" w:rsidR="000B4A64" w:rsidRDefault="000B4A64" w:rsidP="008566C7">
      <w:pPr>
        <w:pStyle w:val="PlainText"/>
        <w:spacing w:line="360" w:lineRule="auto"/>
        <w:jc w:val="both"/>
      </w:pPr>
    </w:p>
    <w:p w14:paraId="72683E7B" w14:textId="77777777" w:rsidR="000B4A64" w:rsidRDefault="000B4A64" w:rsidP="008566C7">
      <w:pPr>
        <w:pStyle w:val="PlainText"/>
        <w:spacing w:line="360" w:lineRule="auto"/>
        <w:jc w:val="both"/>
      </w:pPr>
      <w:r>
        <w:t xml:space="preserve">Similarly, bias against certain types of victims can lead to differential treatment during investigations. Victims from minority groups, those with mental health issues, or those perceived as socially deviant may not receive the same level of attention or support as other victims (Hoyle &amp; </w:t>
      </w:r>
      <w:proofErr w:type="spellStart"/>
      <w:r>
        <w:t>Zedner</w:t>
      </w:r>
      <w:proofErr w:type="spellEnd"/>
      <w:r>
        <w:t>, 2019). This not only compromises the quality of the investigation but also violates the principles of fairness and justice that underpin effective policing.</w:t>
      </w:r>
    </w:p>
    <w:p w14:paraId="2431E5D4" w14:textId="77777777" w:rsidR="000B4A64" w:rsidRDefault="000B4A64" w:rsidP="008566C7">
      <w:pPr>
        <w:pStyle w:val="PlainText"/>
        <w:spacing w:line="360" w:lineRule="auto"/>
        <w:jc w:val="both"/>
      </w:pPr>
    </w:p>
    <w:p w14:paraId="294AB448" w14:textId="77777777" w:rsidR="000B4A64" w:rsidRDefault="000B4A64" w:rsidP="008566C7">
      <w:pPr>
        <w:pStyle w:val="PlainText"/>
        <w:spacing w:line="360" w:lineRule="auto"/>
        <w:jc w:val="both"/>
      </w:pPr>
      <w:r>
        <w:t xml:space="preserve">Cognitive bias also plays a significant role in volume crime investigations. Confirmation bias, where an investigator might seek out evidence that supports their initial assumptions while disregarding evidence to the contrary, can severely undermine the objectivity required in an investigation (Ask &amp; </w:t>
      </w:r>
      <w:r>
        <w:lastRenderedPageBreak/>
        <w:t>Granhag, 2005). For example, if an officer believes that a particular individual is likely responsible for a spate of burglaries, they may focus predominantly on evidence that corroborates this belief while overlooking alternative suspects or exculpatory evidence. Such biases can lead to wrongful arrests, miscarriages of justice, and unsolved crimes.</w:t>
      </w:r>
    </w:p>
    <w:p w14:paraId="31F305D3" w14:textId="77777777" w:rsidR="000B4A64" w:rsidRDefault="000B4A64" w:rsidP="008566C7">
      <w:pPr>
        <w:pStyle w:val="PlainText"/>
        <w:spacing w:line="360" w:lineRule="auto"/>
        <w:jc w:val="both"/>
      </w:pPr>
    </w:p>
    <w:p w14:paraId="5333370F" w14:textId="77777777" w:rsidR="000B4A64" w:rsidRDefault="000B4A64" w:rsidP="008566C7">
      <w:pPr>
        <w:pStyle w:val="PlainText"/>
        <w:spacing w:line="360" w:lineRule="auto"/>
        <w:jc w:val="both"/>
      </w:pPr>
      <w:r>
        <w:t>The Impact on Decision-Making and Outcomes</w:t>
      </w:r>
    </w:p>
    <w:p w14:paraId="6ED41842" w14:textId="77777777" w:rsidR="000B4A64" w:rsidRDefault="000B4A64" w:rsidP="008566C7">
      <w:pPr>
        <w:pStyle w:val="PlainText"/>
        <w:spacing w:line="360" w:lineRule="auto"/>
        <w:jc w:val="both"/>
      </w:pPr>
    </w:p>
    <w:p w14:paraId="59B385B3" w14:textId="77777777" w:rsidR="000B4A64" w:rsidRDefault="000B4A64" w:rsidP="008566C7">
      <w:pPr>
        <w:pStyle w:val="PlainText"/>
        <w:spacing w:line="360" w:lineRule="auto"/>
        <w:jc w:val="both"/>
      </w:pPr>
      <w:r>
        <w:t>Personal attitudes, values, and biases inevitably shape decision-making in criminal investigations, affecting everything from resource allocation to case prioritization. Volume crimes, by their nature, often involve numerous similar incidents, making it essential for investigators to adopt a systematic approach in identifying patterns, gathering evidence, and apprehending suspects. However, when personal biases and attitudes intervene, this process becomes compromised. As noted by Chan and Dixon (2007), officers may subconsciously apply stereotypes in their decision-making, categorizing certain crimes or individuals based on pre-existing notions rather than objective evidence.</w:t>
      </w:r>
    </w:p>
    <w:p w14:paraId="571D0941" w14:textId="77777777" w:rsidR="000B4A64" w:rsidRDefault="000B4A64" w:rsidP="008566C7">
      <w:pPr>
        <w:pStyle w:val="PlainText"/>
        <w:spacing w:line="360" w:lineRule="auto"/>
        <w:jc w:val="both"/>
      </w:pPr>
    </w:p>
    <w:p w14:paraId="0FF8EBAA" w14:textId="77777777" w:rsidR="000B4A64" w:rsidRDefault="000B4A64" w:rsidP="008566C7">
      <w:pPr>
        <w:pStyle w:val="PlainText"/>
        <w:spacing w:line="360" w:lineRule="auto"/>
        <w:jc w:val="both"/>
      </w:pPr>
      <w:r>
        <w:t xml:space="preserve">The investigative process, from initial crime scene assessment to the final report, is vulnerable to the effects of bias. An officer who </w:t>
      </w:r>
      <w:proofErr w:type="spellStart"/>
      <w:r>
        <w:t>harbors</w:t>
      </w:r>
      <w:proofErr w:type="spellEnd"/>
      <w:r>
        <w:t xml:space="preserve"> negative attitudes toward specific communities may consciously or unconsciously downplay or disregard evidence from those areas, leading to unbalanced policing efforts and neglected cases (Loftus, 2009). Additionally, values-driven decisions can result in some volume crime cases receiving more attention than others based on factors unrelated to the evidence, such as the victim’s perceived respectability or the social impact of the crime. This selective approach can skew crime statistics, misinform public policy, and perpetuate cycles of disadvantage for certain communities.</w:t>
      </w:r>
    </w:p>
    <w:p w14:paraId="5B75A58F" w14:textId="77777777" w:rsidR="000B4A64" w:rsidRDefault="000B4A64" w:rsidP="008566C7">
      <w:pPr>
        <w:pStyle w:val="PlainText"/>
        <w:spacing w:line="360" w:lineRule="auto"/>
        <w:jc w:val="both"/>
      </w:pPr>
    </w:p>
    <w:p w14:paraId="4B5D3FC2" w14:textId="77777777" w:rsidR="000B4A64" w:rsidRDefault="000B4A64" w:rsidP="008566C7">
      <w:pPr>
        <w:pStyle w:val="PlainText"/>
        <w:spacing w:line="360" w:lineRule="auto"/>
        <w:jc w:val="both"/>
      </w:pPr>
      <w:r>
        <w:t>Strategies for Mitigating Bias and Promoting Objectivity</w:t>
      </w:r>
    </w:p>
    <w:p w14:paraId="5363C307" w14:textId="77777777" w:rsidR="000B4A64" w:rsidRDefault="000B4A64" w:rsidP="008566C7">
      <w:pPr>
        <w:pStyle w:val="PlainText"/>
        <w:spacing w:line="360" w:lineRule="auto"/>
        <w:jc w:val="both"/>
      </w:pPr>
    </w:p>
    <w:p w14:paraId="353DBD4F" w14:textId="77777777" w:rsidR="000B4A64" w:rsidRDefault="000B4A64" w:rsidP="008566C7">
      <w:pPr>
        <w:pStyle w:val="PlainText"/>
        <w:spacing w:line="360" w:lineRule="auto"/>
        <w:jc w:val="both"/>
      </w:pPr>
      <w:r>
        <w:t>Given the profound impact of personal attitudes, values, and biases on volume crime investigations, it is essential to implement strategies that promote objectivity and fairness. Training programs focusing on bias awareness and cultural competency can help officers recognize and manage their biases, thereby reducing their influence on investigations (Cox &amp; Kirby, 2018). By integrating regular reflection and supervision into investigative practices, law enforcement agencies can ensure that officers are continually assessing their decision-making processes and considering how their attitudes and values might be influencing their work.</w:t>
      </w:r>
    </w:p>
    <w:p w14:paraId="1C944A68" w14:textId="77777777" w:rsidR="000B4A64" w:rsidRDefault="000B4A64" w:rsidP="008566C7">
      <w:pPr>
        <w:pStyle w:val="PlainText"/>
        <w:spacing w:line="360" w:lineRule="auto"/>
        <w:jc w:val="both"/>
      </w:pPr>
    </w:p>
    <w:p w14:paraId="7FF72EED" w14:textId="77777777" w:rsidR="000B4A64" w:rsidRDefault="000B4A64" w:rsidP="008566C7">
      <w:pPr>
        <w:pStyle w:val="PlainText"/>
        <w:spacing w:line="360" w:lineRule="auto"/>
        <w:jc w:val="both"/>
      </w:pPr>
      <w:r>
        <w:lastRenderedPageBreak/>
        <w:t>In addition to training, promoting diversity within police forces is crucial. A more diverse investigative team can provide a range of perspectives, mitigating the risk of groupthink and reducing the likelihood of biased decisions (Phillips &amp; Bowling, 2012). Furthermore, using structured decision-making tools, such as checklists and standardized protocols, can help limit the impact of individual bias by providing a consistent framework for investigations. Such tools encourage officers to focus on evidence rather than assumptions or stereotypes, leading to more objective outcomes (Mullins, 2020).</w:t>
      </w:r>
    </w:p>
    <w:p w14:paraId="48D02E50" w14:textId="77777777" w:rsidR="000B4A64" w:rsidRDefault="000B4A64" w:rsidP="008566C7">
      <w:pPr>
        <w:pStyle w:val="PlainText"/>
        <w:spacing w:line="360" w:lineRule="auto"/>
        <w:jc w:val="both"/>
      </w:pPr>
    </w:p>
    <w:p w14:paraId="758D8269" w14:textId="77777777" w:rsidR="000B4A64" w:rsidRDefault="000B4A64" w:rsidP="008566C7">
      <w:pPr>
        <w:pStyle w:val="PlainText"/>
        <w:spacing w:line="360" w:lineRule="auto"/>
        <w:jc w:val="both"/>
      </w:pPr>
      <w:r>
        <w:t xml:space="preserve">The role of leadership in cultivating an organizational culture that values fairness and impartiality cannot be understated. Police leaders should champion these values by setting clear expectations, rewarding unbiased practices, and holding officers accountable for biased </w:t>
      </w:r>
      <w:proofErr w:type="spellStart"/>
      <w:r>
        <w:t>behavior</w:t>
      </w:r>
      <w:proofErr w:type="spellEnd"/>
      <w:r>
        <w:t>. Transparency in investigative processes, including the use of independent oversight bodies to review investigations, can further enhance public trust and ensure that investigations are conducted without prejudice.</w:t>
      </w:r>
    </w:p>
    <w:p w14:paraId="50D0DDB2" w14:textId="77777777" w:rsidR="000B4A64" w:rsidRDefault="000B4A64" w:rsidP="008566C7">
      <w:pPr>
        <w:pStyle w:val="PlainText"/>
        <w:spacing w:line="360" w:lineRule="auto"/>
        <w:jc w:val="both"/>
      </w:pPr>
    </w:p>
    <w:p w14:paraId="77D5D0B3" w14:textId="77777777" w:rsidR="000B4A64" w:rsidRDefault="000B4A64" w:rsidP="008566C7">
      <w:pPr>
        <w:pStyle w:val="PlainText"/>
        <w:spacing w:line="360" w:lineRule="auto"/>
        <w:jc w:val="both"/>
      </w:pPr>
      <w:r>
        <w:t>Conclusion</w:t>
      </w:r>
    </w:p>
    <w:p w14:paraId="60B45777" w14:textId="77777777" w:rsidR="000B4A64" w:rsidRDefault="000B4A64" w:rsidP="008566C7">
      <w:pPr>
        <w:pStyle w:val="PlainText"/>
        <w:spacing w:line="360" w:lineRule="auto"/>
        <w:jc w:val="both"/>
      </w:pPr>
    </w:p>
    <w:p w14:paraId="018C5490" w14:textId="77777777" w:rsidR="000B4A64" w:rsidRDefault="000B4A64" w:rsidP="008566C7">
      <w:pPr>
        <w:pStyle w:val="PlainText"/>
        <w:spacing w:line="360" w:lineRule="auto"/>
        <w:jc w:val="both"/>
      </w:pPr>
      <w:r>
        <w:t>Personal attitudes, values, and biases have a profound impact on the effectiveness of volume crime investigations. While positive values such as empathy can enhance victim engagement, negative attitudes and biases can lead to unfair treatment, compromised evidence gathering, and ultimately, injustices. The pervasive influence of bias, whether based on race, socio-economic status, or cognitive distortions, poses significant challenges to achieving objective and equitable investigations. Addressing these issues requires a multifaceted approach, including training, diversity initiatives, and the use of structured decision-making tools. By fostering a culture of fairness and vigilance against bias, law enforcement agencies can improve the effectiveness of volume crime investigations and reinforce public trust in the criminal justice system.</w:t>
      </w:r>
    </w:p>
    <w:p w14:paraId="7F94D41A" w14:textId="77777777" w:rsidR="000B4A64" w:rsidRDefault="000B4A64" w:rsidP="000B4A64">
      <w:pPr>
        <w:pStyle w:val="PlainText"/>
      </w:pPr>
    </w:p>
    <w:p w14:paraId="0B99E7B4" w14:textId="77777777" w:rsidR="000B4A64" w:rsidRDefault="000B4A64" w:rsidP="000B4A64">
      <w:pPr>
        <w:pStyle w:val="PlainText"/>
      </w:pPr>
      <w:r>
        <w:t>References</w:t>
      </w:r>
    </w:p>
    <w:p w14:paraId="2A5AA5F4" w14:textId="77777777" w:rsidR="000B4A64" w:rsidRDefault="000B4A64" w:rsidP="000B4A64">
      <w:pPr>
        <w:pStyle w:val="PlainText"/>
      </w:pPr>
    </w:p>
    <w:p w14:paraId="729D5901" w14:textId="77777777" w:rsidR="000B4A64" w:rsidRDefault="000B4A64" w:rsidP="000B4A64">
      <w:pPr>
        <w:pStyle w:val="PlainText"/>
      </w:pPr>
      <w:r>
        <w:t>Ask, K., &amp; Granhag, P. A. (2005). Motivational sources of confirmation bias in criminal investigations: The need for cognitive closure. Journal of Investigative Psychology and Offender Profiling, 2(1), 43-63.</w:t>
      </w:r>
    </w:p>
    <w:p w14:paraId="196C73A0" w14:textId="77777777" w:rsidR="000B4A64" w:rsidRDefault="000B4A64" w:rsidP="000B4A64">
      <w:pPr>
        <w:pStyle w:val="PlainText"/>
      </w:pPr>
    </w:p>
    <w:p w14:paraId="709C8921" w14:textId="77777777" w:rsidR="000B4A64" w:rsidRDefault="000B4A64" w:rsidP="000B4A64">
      <w:pPr>
        <w:pStyle w:val="PlainText"/>
      </w:pPr>
      <w:r>
        <w:t>Bradford, B., Milani, J., &amp; Jackson, J. (2017). Identity, legitimacy and ‘making sense’ of police violence. Policing and Society, 27(2), 229-243.</w:t>
      </w:r>
    </w:p>
    <w:p w14:paraId="4045A62F" w14:textId="77777777" w:rsidR="000B4A64" w:rsidRDefault="000B4A64" w:rsidP="000B4A64">
      <w:pPr>
        <w:pStyle w:val="PlainText"/>
      </w:pPr>
    </w:p>
    <w:p w14:paraId="4B0521D4" w14:textId="77777777" w:rsidR="000B4A64" w:rsidRDefault="000B4A64" w:rsidP="000B4A64">
      <w:pPr>
        <w:pStyle w:val="PlainText"/>
      </w:pPr>
      <w:r>
        <w:t>Chan, J. B., &amp; Dixon, D. (2007). The politics of police reform: Ten years after the Royal Commission into the NSW Police Service. Criminal Justice, 7(4), 443-461.</w:t>
      </w:r>
    </w:p>
    <w:p w14:paraId="1EEFAA2B" w14:textId="77777777" w:rsidR="000B4A64" w:rsidRDefault="000B4A64" w:rsidP="000B4A64">
      <w:pPr>
        <w:pStyle w:val="PlainText"/>
      </w:pPr>
    </w:p>
    <w:p w14:paraId="6B5FF987" w14:textId="77777777" w:rsidR="000B4A64" w:rsidRDefault="000B4A64" w:rsidP="000B4A64">
      <w:pPr>
        <w:pStyle w:val="PlainText"/>
      </w:pPr>
      <w:r>
        <w:t>Cox, C., &amp; Kirby, S. (2018). Police culture, leadership and the investigation of volume crime. Policing: A Journal of Policy and Practice, 12(3), 302-312.</w:t>
      </w:r>
    </w:p>
    <w:p w14:paraId="5BF49BF0" w14:textId="77777777" w:rsidR="000B4A64" w:rsidRDefault="000B4A64" w:rsidP="000B4A64">
      <w:pPr>
        <w:pStyle w:val="PlainText"/>
      </w:pPr>
    </w:p>
    <w:p w14:paraId="520F359B" w14:textId="77777777" w:rsidR="000B4A64" w:rsidRDefault="000B4A64" w:rsidP="000B4A64">
      <w:pPr>
        <w:pStyle w:val="PlainText"/>
      </w:pPr>
      <w:r>
        <w:t>Doyle, C. (2020). Unconscious bias and policing. Policing Insight. Retrieved from policinginsight.com.</w:t>
      </w:r>
    </w:p>
    <w:p w14:paraId="2C8858F8" w14:textId="77777777" w:rsidR="000B4A64" w:rsidRDefault="000B4A64" w:rsidP="000B4A64">
      <w:pPr>
        <w:pStyle w:val="PlainText"/>
      </w:pPr>
    </w:p>
    <w:p w14:paraId="05C9FDE3" w14:textId="77777777" w:rsidR="000B4A64" w:rsidRDefault="000B4A64" w:rsidP="000B4A64">
      <w:pPr>
        <w:pStyle w:val="PlainText"/>
      </w:pPr>
      <w:r>
        <w:t xml:space="preserve">Hoyle, C., &amp; </w:t>
      </w:r>
      <w:proofErr w:type="spellStart"/>
      <w:r>
        <w:t>Zedner</w:t>
      </w:r>
      <w:proofErr w:type="spellEnd"/>
      <w:r>
        <w:t>, L. (2019). Victims, victimisation and criminal justice. The Oxford Handbook of Criminology, 6th ed., Oxford University Press.</w:t>
      </w:r>
    </w:p>
    <w:p w14:paraId="311D8E23" w14:textId="77777777" w:rsidR="000B4A64" w:rsidRDefault="000B4A64" w:rsidP="000B4A64">
      <w:pPr>
        <w:pStyle w:val="PlainText"/>
      </w:pPr>
    </w:p>
    <w:p w14:paraId="55E28FAF" w14:textId="77777777" w:rsidR="000B4A64" w:rsidRDefault="000B4A64" w:rsidP="000B4A64">
      <w:pPr>
        <w:pStyle w:val="PlainText"/>
      </w:pPr>
      <w:r>
        <w:t>Loftus, B. (2009). Police Culture in a Changing World. Oxford University Press.</w:t>
      </w:r>
    </w:p>
    <w:p w14:paraId="6FAF048A" w14:textId="77777777" w:rsidR="000B4A64" w:rsidRDefault="000B4A64" w:rsidP="000B4A64">
      <w:pPr>
        <w:pStyle w:val="PlainText"/>
      </w:pPr>
    </w:p>
    <w:p w14:paraId="284E056A" w14:textId="77777777" w:rsidR="000B4A64" w:rsidRDefault="000B4A64" w:rsidP="000B4A64">
      <w:pPr>
        <w:pStyle w:val="PlainText"/>
      </w:pPr>
      <w:r>
        <w:t>Mullins, C. (2020). The role of structured decision-making tools in reducing bias in criminal investigations. Journal of Criminological Research, 6(1), 67-79.</w:t>
      </w:r>
    </w:p>
    <w:p w14:paraId="543280E8" w14:textId="77777777" w:rsidR="000B4A64" w:rsidRDefault="000B4A64" w:rsidP="000B4A64">
      <w:pPr>
        <w:pStyle w:val="PlainText"/>
      </w:pPr>
    </w:p>
    <w:p w14:paraId="30883679" w14:textId="77777777" w:rsidR="000B4A64" w:rsidRDefault="000B4A64" w:rsidP="000B4A64">
      <w:pPr>
        <w:pStyle w:val="PlainText"/>
      </w:pPr>
      <w:r>
        <w:t>Myhill, A., &amp; Johnson, K. (2016). Police empathy and victim support. Policing: A Journal of Policy and Practice, 10(4), 406-418.</w:t>
      </w:r>
    </w:p>
    <w:p w14:paraId="749E92E6" w14:textId="77777777" w:rsidR="000B4A64" w:rsidRDefault="000B4A64" w:rsidP="000B4A64">
      <w:pPr>
        <w:pStyle w:val="PlainText"/>
      </w:pPr>
    </w:p>
    <w:p w14:paraId="027684AF" w14:textId="77777777" w:rsidR="000B4A64" w:rsidRDefault="000B4A64" w:rsidP="000B4A64">
      <w:pPr>
        <w:pStyle w:val="PlainText"/>
      </w:pPr>
      <w:r>
        <w:t>Phillips, C., &amp; Bowling, B. (2012). Racism, ethnicity and criminology: Developing minority perspectives. The British Journal of Criminology, 43(2), 269-290.</w:t>
      </w:r>
    </w:p>
    <w:p w14:paraId="17CCDC42" w14:textId="77777777" w:rsidR="000B4A64" w:rsidRDefault="000B4A64" w:rsidP="000B4A64">
      <w:pPr>
        <w:pStyle w:val="PlainText"/>
      </w:pPr>
    </w:p>
    <w:p w14:paraId="292A89AD" w14:textId="77777777" w:rsidR="000B4A64" w:rsidRDefault="000B4A64" w:rsidP="000B4A64">
      <w:pPr>
        <w:pStyle w:val="PlainText"/>
      </w:pPr>
      <w:r>
        <w:t>Reiner, R. (2010). The Politics of the Police. 4th ed. Oxford University Press.</w:t>
      </w:r>
    </w:p>
    <w:p w14:paraId="5FF07714" w14:textId="77777777" w:rsidR="000B4A64" w:rsidRDefault="000B4A64" w:rsidP="000B4A64">
      <w:pPr>
        <w:pStyle w:val="PlainText"/>
      </w:pPr>
    </w:p>
    <w:p w14:paraId="2715342D" w14:textId="77777777" w:rsidR="000B4A64" w:rsidRDefault="000B4A64" w:rsidP="000B4A64">
      <w:pPr>
        <w:pStyle w:val="PlainText"/>
      </w:pPr>
      <w:r>
        <w:t>Tilley, N., &amp; Laycock, G. (2016). Problem-oriented policing and partnerships: Implementing an evidence-based approach to crime reduction. Routledge.</w:t>
      </w:r>
    </w:p>
    <w:p w14:paraId="54C63867" w14:textId="75C729FC" w:rsidR="008B3F16" w:rsidRDefault="008B3F16" w:rsidP="00E122CA"/>
    <w:p w14:paraId="0F93CF13" w14:textId="77777777" w:rsidR="000B4A64" w:rsidRDefault="000B4A64" w:rsidP="00E122CA"/>
    <w:p w14:paraId="1998C62C" w14:textId="77777777" w:rsidR="00C77029" w:rsidRDefault="00066A9D" w:rsidP="00C77029">
      <w:pPr>
        <w:rPr>
          <w:b/>
          <w:bCs/>
          <w:u w:val="single"/>
        </w:rPr>
      </w:pPr>
      <w:r w:rsidRPr="00C77029">
        <w:rPr>
          <w:b/>
          <w:bCs/>
          <w:u w:val="single"/>
        </w:rPr>
        <w:t xml:space="preserve">Essay four: </w:t>
      </w:r>
      <w:r w:rsidR="00C77029" w:rsidRPr="00C77029">
        <w:rPr>
          <w:b/>
          <w:bCs/>
          <w:u w:val="single"/>
        </w:rPr>
        <w:t>How effective is early intervention an effective means of preventing young people from offending or re-offending?</w:t>
      </w:r>
    </w:p>
    <w:p w14:paraId="54C0F2A2" w14:textId="77777777" w:rsidR="00C77029" w:rsidRDefault="00C77029" w:rsidP="00C77029">
      <w:pPr>
        <w:rPr>
          <w:b/>
          <w:bCs/>
          <w:u w:val="single"/>
        </w:rPr>
      </w:pPr>
    </w:p>
    <w:p w14:paraId="533AE265" w14:textId="77777777" w:rsidR="00C77029" w:rsidRDefault="00C77029" w:rsidP="00C77029">
      <w:r>
        <w:t>Early intervention by the police service is a proactive approach to prevent young people from offending or re-offending. This strategy focuses on identifying and supporting at-risk youth before they become entrenched in the criminal justice system. In the United Kingdom, the police play a crucial role in early intervention efforts by working with local communities, schools, social services, and other agencies to address the underlying factors that contribute to youth crime. This essay explores the effectiveness of early intervention by the police as a means of preventing youth offending and re-offending, drawing on various case studies and evaluations from the UK.</w:t>
      </w:r>
    </w:p>
    <w:p w14:paraId="150C1C3A" w14:textId="77777777" w:rsidR="00C77029" w:rsidRDefault="00C77029" w:rsidP="00C77029"/>
    <w:p w14:paraId="0CA3A741" w14:textId="77777777" w:rsidR="00C77029" w:rsidRDefault="00C77029" w:rsidP="00C77029">
      <w:r>
        <w:t>The Rationale for Police-Led Early Intervention</w:t>
      </w:r>
    </w:p>
    <w:p w14:paraId="7D541558" w14:textId="77777777" w:rsidR="00C77029" w:rsidRDefault="00C77029" w:rsidP="00C77029"/>
    <w:p w14:paraId="1DC3BBAB" w14:textId="5F33E663" w:rsidR="00C77029" w:rsidRDefault="00C77029" w:rsidP="00C77029">
      <w:r>
        <w:t xml:space="preserve">The concept of early intervention by the police is grounded in the recognition that many young offenders have complex social, familial, and personal issues that contribute to their criminal </w:t>
      </w:r>
      <w:r w:rsidR="006B67A5">
        <w:t>behaviour</w:t>
      </w:r>
      <w:r>
        <w:t xml:space="preserve"> (Goldson, 2005). Police-led early intervention aims to divert these individuals from the criminal justice system by addressing risk factors such as poor school attendance, substance abuse, and exposure to violence at home or in the community. According to McAra and McVie (2010), early intervention helps to build trust between young people and the police, reduce fear of authority, and promote positive </w:t>
      </w:r>
      <w:r w:rsidR="006B67A5">
        <w:t>behaviour</w:t>
      </w:r>
      <w:r>
        <w:t>.</w:t>
      </w:r>
    </w:p>
    <w:p w14:paraId="79035BC5" w14:textId="77777777" w:rsidR="00C77029" w:rsidRDefault="00C77029" w:rsidP="00C77029"/>
    <w:p w14:paraId="10E48DCE" w14:textId="77777777" w:rsidR="00C77029" w:rsidRDefault="00C77029" w:rsidP="00C77029">
      <w:r>
        <w:t>Moreover, early intervention aligns with the principle of restorative justice, which seeks to repair harm rather than punish the offender (Cunneen &amp; Goldson, 2015). In this context, the police work not only to enforce the law but also to engage with young people and their families to prevent criminal activity.</w:t>
      </w:r>
    </w:p>
    <w:p w14:paraId="2B20C76B" w14:textId="77777777" w:rsidR="00C77029" w:rsidRDefault="00C77029" w:rsidP="00C77029"/>
    <w:p w14:paraId="238F1476" w14:textId="77777777" w:rsidR="00C77029" w:rsidRDefault="00C77029" w:rsidP="00C77029">
      <w:r>
        <w:t>Case Study: The Youth Restorative Disposal Program</w:t>
      </w:r>
    </w:p>
    <w:p w14:paraId="4310BC5F" w14:textId="77777777" w:rsidR="00C77029" w:rsidRDefault="00C77029" w:rsidP="00C77029"/>
    <w:p w14:paraId="7417699E" w14:textId="77777777" w:rsidR="00C77029" w:rsidRDefault="00C77029" w:rsidP="00C77029">
      <w:r>
        <w:t>The Youth Restorative Disposal (YRD) program is a police-led initiative aimed at preventing first-time offending among young people. The program was piloted in several regions of England and Wales, providing police officers with the discretion to use restorative approaches as an alternative to formal legal action for minor offenses committed by young people (Hoyle, 2012). Under the YRD, the young person meets with the victim, apologizes, and agrees to a form of restitution or community service.</w:t>
      </w:r>
    </w:p>
    <w:p w14:paraId="413BBBD3" w14:textId="77777777" w:rsidR="00C77029" w:rsidRDefault="00C77029" w:rsidP="00C77029"/>
    <w:p w14:paraId="2BA15702" w14:textId="77777777" w:rsidR="00C77029" w:rsidRDefault="00C77029" w:rsidP="00C77029">
      <w:r>
        <w:t>An evaluation of the YRD program by the Home Office (2011) demonstrated that it was effective in reducing re-offending rates among participants. The report found that 82% of young people who participated in the program did not re-offend within a year. This outcome indicates that restorative practices can have a significant impact on preventing young people from committing further crimes. The success of the YRD program was attributed to its emphasis on accountability, the involvement of victims, and the opportunity for young people to make amends, all of which contributed to a sense of personal responsibility and empathy (Home Office, 2011).</w:t>
      </w:r>
    </w:p>
    <w:p w14:paraId="6793BAE5" w14:textId="77777777" w:rsidR="00C77029" w:rsidRDefault="00C77029" w:rsidP="00C77029"/>
    <w:p w14:paraId="2975D4DC" w14:textId="77777777" w:rsidR="00C77029" w:rsidRDefault="00C77029" w:rsidP="00C77029">
      <w:r>
        <w:t>Case Study: The Triage Program</w:t>
      </w:r>
    </w:p>
    <w:p w14:paraId="2873C474" w14:textId="77777777" w:rsidR="00C77029" w:rsidRDefault="00C77029" w:rsidP="00C77029"/>
    <w:p w14:paraId="7C446962" w14:textId="1997EEB4" w:rsidR="00C77029" w:rsidRDefault="00C77029" w:rsidP="00C77029">
      <w:r>
        <w:t xml:space="preserve">The Triage program, another police-led initiative, was developed by the Youth Justice Board (YJB) in partnership with local police forces to divert first-time young offenders away from the criminal justice system. The program places police officers within youth offending teams to identify and assess young offenders at the point of arrest (Youth Justice Board, 2020). It aims to offer tailored interventions that address the specific needs and circumstances of the individual, such as educational support, mental health services, or substance misuse </w:t>
      </w:r>
      <w:r w:rsidR="006B67A5">
        <w:t>counselling</w:t>
      </w:r>
      <w:r>
        <w:t>.</w:t>
      </w:r>
    </w:p>
    <w:p w14:paraId="678BCD3C" w14:textId="77777777" w:rsidR="00C77029" w:rsidRDefault="00C77029" w:rsidP="00C77029"/>
    <w:p w14:paraId="794D61B7" w14:textId="77777777" w:rsidR="00C77029" w:rsidRDefault="00C77029" w:rsidP="00C77029">
      <w:r>
        <w:t>An evaluation of the Triage program by the Youth Justice Board (2014) revealed that it significantly reduced re-offending rates among participants. The study found that young people who participated in the Triage program were 19% less likely to re-offend than those who went through the formal criminal justice process. The evaluation highlighted that the success of the program was due to its multi-agency approach, which enabled quick assessment and access to relevant services, reducing the likelihood of re-offending (Youth Justice Board, 2014).</w:t>
      </w:r>
    </w:p>
    <w:p w14:paraId="28AAB167" w14:textId="77777777" w:rsidR="00C77029" w:rsidRDefault="00C77029" w:rsidP="00C77029"/>
    <w:p w14:paraId="37648314" w14:textId="77777777" w:rsidR="00C77029" w:rsidRDefault="00C77029" w:rsidP="00C77029">
      <w:r>
        <w:lastRenderedPageBreak/>
        <w:t>The Role of Police Schools Liaison Officers</w:t>
      </w:r>
    </w:p>
    <w:p w14:paraId="260554C2" w14:textId="77777777" w:rsidR="00C77029" w:rsidRDefault="00C77029" w:rsidP="00C77029"/>
    <w:p w14:paraId="35915CAF" w14:textId="306A8D53" w:rsidR="00C77029" w:rsidRDefault="00C77029" w:rsidP="00C77029">
      <w:r>
        <w:t xml:space="preserve">Police Schools Liaison Officers (PSLOs) play a crucial role in early intervention by working directly within schools to engage with young people, provide education on the consequences of crime, and support those at risk of offending (Smith, 2013). The PSLOs serve as a bridge between the police service and young people, fostering positive relationships and trust. Research by Hayden and Martin (2011) shows that the presence of PSLOs in schools is associated with reduced incidents of school-based violence, truancy, and anti-social </w:t>
      </w:r>
      <w:r w:rsidR="006B67A5">
        <w:t>behaviour</w:t>
      </w:r>
      <w:r>
        <w:t>.</w:t>
      </w:r>
    </w:p>
    <w:p w14:paraId="249D86FC" w14:textId="77777777" w:rsidR="00C77029" w:rsidRDefault="00C77029" w:rsidP="00C77029"/>
    <w:p w14:paraId="4A502A1E" w14:textId="77777777" w:rsidR="00C77029" w:rsidRDefault="00C77029" w:rsidP="00C77029">
      <w:r>
        <w:t xml:space="preserve">The effectiveness of PSLOs is evident in the Safer Schools Partnership (SSP) initiative, which was launched in London and later expanded to other areas. The SSP places police officers in schools to work collaboratively with educators, parents, and students to create a safe learning environment and prevent youth crime. An evaluation by the Metropolitan Police Service (2015) found that schools with an SSP officer experienced a 29% reduction in incidents of crime and anti-social </w:t>
      </w:r>
      <w:proofErr w:type="spellStart"/>
      <w:r>
        <w:t>behavior</w:t>
      </w:r>
      <w:proofErr w:type="spellEnd"/>
      <w:r>
        <w:t>. The report attributed this success to the officers’ role in providing early identification and intervention for at-risk students, as well as promoting a culture of respect and accountability (Metropolitan Police Service, 2015).</w:t>
      </w:r>
    </w:p>
    <w:p w14:paraId="006CA010" w14:textId="77777777" w:rsidR="00C77029" w:rsidRDefault="00C77029" w:rsidP="00C77029"/>
    <w:p w14:paraId="62452D26" w14:textId="77777777" w:rsidR="00C77029" w:rsidRDefault="00C77029" w:rsidP="00C77029">
      <w:r>
        <w:t>Multi-Agency Safeguarding Hubs (MASH)</w:t>
      </w:r>
    </w:p>
    <w:p w14:paraId="12E1F282" w14:textId="77777777" w:rsidR="00C77029" w:rsidRDefault="00C77029" w:rsidP="00C77029"/>
    <w:p w14:paraId="01213328" w14:textId="77777777" w:rsidR="00C77029" w:rsidRDefault="00C77029" w:rsidP="00C77029">
      <w:r>
        <w:t>Multi-Agency Safeguarding Hubs (MASH) represent another example of police-led early intervention. MASH units bring together the police, social services, education, health, and other agencies to share information and provide a coordinated response to safeguarding concerns, including those related to youth offending (Home Office, 2014). The police are integral to the MASH model, as they are often the first to identify at-risk young people through their interactions in the community.</w:t>
      </w:r>
    </w:p>
    <w:p w14:paraId="71B43568" w14:textId="77777777" w:rsidR="00C77029" w:rsidRDefault="00C77029" w:rsidP="00C77029"/>
    <w:p w14:paraId="2971D99C" w14:textId="77777777" w:rsidR="00C77029" w:rsidRDefault="00C77029" w:rsidP="00C77029">
      <w:r>
        <w:t>Research conducted by Sidebotham et al. (2016) shows that the MASH model is effective in reducing youth offending by providing a holistic approach to safeguarding. The study found that areas implementing MASH saw a 20% reduction in youth crime, attributing this decrease to the enhanced ability of multiple agencies to collaborate, identify risks early, and intervene before young people become involved in criminal activity (Sidebotham et al., 2016).</w:t>
      </w:r>
    </w:p>
    <w:p w14:paraId="0FB5FA3C" w14:textId="77777777" w:rsidR="00C77029" w:rsidRDefault="00C77029" w:rsidP="00C77029"/>
    <w:p w14:paraId="534D8AFD" w14:textId="77777777" w:rsidR="00C77029" w:rsidRDefault="00C77029" w:rsidP="00C77029">
      <w:r>
        <w:t>Criticisms and Challenges of Police-Led Early Intervention</w:t>
      </w:r>
    </w:p>
    <w:p w14:paraId="60D9F8C7" w14:textId="77777777" w:rsidR="00C77029" w:rsidRDefault="00C77029" w:rsidP="00C77029"/>
    <w:p w14:paraId="2529E793" w14:textId="77777777" w:rsidR="00C77029" w:rsidRDefault="00C77029" w:rsidP="00C77029">
      <w:r>
        <w:t>Despite the positive outcomes associated with police-led early intervention, some criticisms and challenges remain. One criticism is that early intervention strategies can be perceived as “soft policing,” focusing on social work rather than traditional law enforcement. Some police officers may feel that this approach diverts resources away from more serious crime prevention efforts (McAra &amp; McVie, 2010).</w:t>
      </w:r>
    </w:p>
    <w:p w14:paraId="53A5C0DA" w14:textId="77777777" w:rsidR="00C77029" w:rsidRDefault="00C77029" w:rsidP="00C77029"/>
    <w:p w14:paraId="18E44BDB" w14:textId="77777777" w:rsidR="00C77029" w:rsidRDefault="00C77029" w:rsidP="00C77029">
      <w:r>
        <w:t>Additionally, there is the challenge of ensuring consistency and fairness in the implementation of early intervention programs. Studies have found that outcomes can vary depending on the discretion of individual officers and the local policies of different police forces (Smith, 2013). This inconsistency can lead to a lack of trust among communities, particularly in areas with high levels of social and economic disadvantage.</w:t>
      </w:r>
    </w:p>
    <w:p w14:paraId="093ED02D" w14:textId="77777777" w:rsidR="00C77029" w:rsidRDefault="00C77029" w:rsidP="00C77029"/>
    <w:p w14:paraId="49C509FE" w14:textId="77777777" w:rsidR="00C77029" w:rsidRDefault="00C77029" w:rsidP="00C77029">
      <w:r>
        <w:t>Conclusion</w:t>
      </w:r>
    </w:p>
    <w:p w14:paraId="271D1F3B" w14:textId="77777777" w:rsidR="00C77029" w:rsidRDefault="00C77029" w:rsidP="00C77029"/>
    <w:p w14:paraId="2343D8A0" w14:textId="2BED858D" w:rsidR="00C77029" w:rsidRDefault="00C77029" w:rsidP="00C77029">
      <w:r>
        <w:t xml:space="preserve">Early intervention by the police service has proven to be an effective means of preventing young people from offending or re-offending in the UK. Programs such as the Youth Restorative Disposal, the Triage program, and initiatives involving Police Schools Liaison Officers demonstrate that police-led interventions can successfully reduce youth crime rates by addressing the underlying factors that contribute to offending </w:t>
      </w:r>
      <w:r w:rsidR="006B67A5">
        <w:t>behaviour</w:t>
      </w:r>
      <w:r>
        <w:t>. Additionally, multi-agency approaches like MASH enhance the effectiveness of early intervention by providing a coordinated response to the complex needs of at-risk youth.</w:t>
      </w:r>
    </w:p>
    <w:p w14:paraId="7CDA42D2" w14:textId="77777777" w:rsidR="00C77029" w:rsidRDefault="00C77029" w:rsidP="00C77029"/>
    <w:p w14:paraId="5C42642E" w14:textId="77777777" w:rsidR="00C77029" w:rsidRDefault="00C77029" w:rsidP="00C77029">
      <w:r>
        <w:t>However, for these strategies to be consistently effective, there needs to be a commitment to training police officers, fostering collaboration with other agencies, and ensuring fairness in the implementation of these programs. By continuing to build on the successes of current initiatives and addressing these challenges, the police service can play a vital role in preventing youth offending and promoting safer communities.</w:t>
      </w:r>
    </w:p>
    <w:p w14:paraId="7A0A1625" w14:textId="77777777" w:rsidR="00C77029" w:rsidRDefault="00C77029" w:rsidP="00C77029"/>
    <w:p w14:paraId="700076AF" w14:textId="77777777" w:rsidR="00C77029" w:rsidRDefault="00C77029" w:rsidP="00C77029">
      <w:r>
        <w:t>References</w:t>
      </w:r>
    </w:p>
    <w:p w14:paraId="5CD6117B" w14:textId="77777777" w:rsidR="00C77029" w:rsidRDefault="00C77029" w:rsidP="00C77029"/>
    <w:p w14:paraId="1B6989E8" w14:textId="77777777" w:rsidR="00C77029" w:rsidRDefault="00C77029" w:rsidP="00C77029">
      <w:r>
        <w:t>Cunneen, C. &amp; Goldson, B., 2015. Restorative justice in the UK: Conceptual tensions and challenges. London: Routledge.</w:t>
      </w:r>
    </w:p>
    <w:p w14:paraId="3ADC442D" w14:textId="77777777" w:rsidR="00C77029" w:rsidRDefault="00C77029" w:rsidP="00C77029"/>
    <w:p w14:paraId="2F304359" w14:textId="77777777" w:rsidR="00C77029" w:rsidRDefault="00C77029" w:rsidP="00C77029">
      <w:r>
        <w:t>Goldson, B., 2005. Youth justice and early intervention: A critical analysis. London: Palgrave Macmillan.</w:t>
      </w:r>
    </w:p>
    <w:p w14:paraId="69946E5E" w14:textId="77777777" w:rsidR="00C77029" w:rsidRDefault="00C77029" w:rsidP="00C77029"/>
    <w:p w14:paraId="7E5AFF76" w14:textId="77777777" w:rsidR="00C77029" w:rsidRDefault="00C77029" w:rsidP="00C77029">
      <w:r>
        <w:t>Hayden, C. &amp; Martin, N., 2011. The role of schools in early intervention: Developing school and police partnerships. Youth Justice, 11(3), pp. 217-231.</w:t>
      </w:r>
    </w:p>
    <w:p w14:paraId="0407409D" w14:textId="77777777" w:rsidR="00C77029" w:rsidRDefault="00C77029" w:rsidP="00C77029"/>
    <w:p w14:paraId="25468C7F" w14:textId="77777777" w:rsidR="00C77029" w:rsidRDefault="00C77029" w:rsidP="00C77029">
      <w:r>
        <w:t>Home Office, 2011. Youth Restorative Disposal: Evaluation report. London: Home Office.</w:t>
      </w:r>
    </w:p>
    <w:p w14:paraId="1E88A63A" w14:textId="77777777" w:rsidR="00C77029" w:rsidRDefault="00C77029" w:rsidP="00C77029"/>
    <w:p w14:paraId="7B5DBA7C" w14:textId="77777777" w:rsidR="00C77029" w:rsidRDefault="00C77029" w:rsidP="00C77029">
      <w:r>
        <w:lastRenderedPageBreak/>
        <w:t>Home Office, 2014. Multi-Agency Safeguarding Hubs: Effectiveness and impact evaluation. London: Home Office.</w:t>
      </w:r>
    </w:p>
    <w:p w14:paraId="55C828D2" w14:textId="77777777" w:rsidR="00C77029" w:rsidRDefault="00C77029" w:rsidP="00C77029"/>
    <w:p w14:paraId="7AD2F134" w14:textId="77777777" w:rsidR="00C77029" w:rsidRDefault="00C77029" w:rsidP="00C77029">
      <w:r>
        <w:t>Hoyle, C., 2012. Youth restorative disposal: Policy and practice. Oxford: Oxford University Press.</w:t>
      </w:r>
    </w:p>
    <w:p w14:paraId="097C4DD5" w14:textId="77777777" w:rsidR="00C77029" w:rsidRDefault="00C77029" w:rsidP="00C77029"/>
    <w:p w14:paraId="00C29443" w14:textId="77777777" w:rsidR="00C77029" w:rsidRDefault="00C77029" w:rsidP="00C77029">
      <w:r>
        <w:t xml:space="preserve">McAra, L. &amp; McVie, S., 2010. Youth justice? The impact of system </w:t>
      </w:r>
      <w:proofErr w:type="gramStart"/>
      <w:r>
        <w:t>contact</w:t>
      </w:r>
      <w:proofErr w:type="gramEnd"/>
      <w:r>
        <w:t xml:space="preserve"> on patterns of desistance from offending. European Journal of Criminology, 7(1), pp. 45-68.</w:t>
      </w:r>
    </w:p>
    <w:p w14:paraId="43BE8470" w14:textId="77777777" w:rsidR="00C77029" w:rsidRDefault="00C77029" w:rsidP="00C77029"/>
    <w:p w14:paraId="7EEB9C12" w14:textId="77777777" w:rsidR="00C77029" w:rsidRDefault="00C77029" w:rsidP="00C77029">
      <w:r>
        <w:t>Metropolitan Police Service, 2015. Safer Schools Partnership evaluation report. London: MPS.</w:t>
      </w:r>
    </w:p>
    <w:p w14:paraId="2FCF4C9C" w14:textId="77777777" w:rsidR="00C77029" w:rsidRDefault="00C77029" w:rsidP="00C77029"/>
    <w:p w14:paraId="3EBAD011" w14:textId="77777777" w:rsidR="00C77029" w:rsidRDefault="00C77029" w:rsidP="00C77029">
      <w:r>
        <w:t xml:space="preserve">Sidebotham, P., Brandon, M., Bailey, S., </w:t>
      </w:r>
      <w:proofErr w:type="spellStart"/>
      <w:r>
        <w:t>Belderson</w:t>
      </w:r>
      <w:proofErr w:type="spellEnd"/>
      <w:r>
        <w:t>, P., Dodsworth, J., Garstang, J. &amp; Harrison, E., 2016. Multi-Agency Safeguarding Hubs: A realist evaluation. London: NSPCC.</w:t>
      </w:r>
    </w:p>
    <w:p w14:paraId="1FCCFC63" w14:textId="77777777" w:rsidR="00C77029" w:rsidRDefault="00C77029" w:rsidP="00C77029"/>
    <w:p w14:paraId="15FB1E23" w14:textId="77777777" w:rsidR="00C77029" w:rsidRDefault="00C77029" w:rsidP="00C77029">
      <w:r>
        <w:t>Smith, R., 2013. Preventing youth crime through early intervention: A review of the evidence. London: Youth Justice Board.</w:t>
      </w:r>
    </w:p>
    <w:p w14:paraId="5DBFD2B8" w14:textId="77777777" w:rsidR="00C77029" w:rsidRDefault="00C77029" w:rsidP="00C77029"/>
    <w:p w14:paraId="2303CAEA" w14:textId="77777777" w:rsidR="00C77029" w:rsidRDefault="00C77029" w:rsidP="00C77029">
      <w:r>
        <w:t>Youth Justice Board, 2014. Evaluation of the Triage program: Final report. London: YJB.</w:t>
      </w:r>
    </w:p>
    <w:p w14:paraId="638C4654" w14:textId="77777777" w:rsidR="00C77029" w:rsidRDefault="00C77029" w:rsidP="00C77029"/>
    <w:p w14:paraId="0AAAEA83" w14:textId="1772DDC2" w:rsidR="00C77029" w:rsidRPr="00C77029" w:rsidRDefault="00C77029" w:rsidP="00C77029">
      <w:r>
        <w:t>Youth Justice Board, 2020. Youth justice strategy and guidance for practitioners. London: YJB.</w:t>
      </w:r>
    </w:p>
    <w:p w14:paraId="0D1B9EE0" w14:textId="4A3D63C9" w:rsidR="000B4A64" w:rsidRDefault="000B4A64" w:rsidP="00C77029"/>
    <w:p w14:paraId="6A99F128" w14:textId="77777777" w:rsidR="000B4A64" w:rsidRDefault="000B4A64" w:rsidP="00E122CA"/>
    <w:p w14:paraId="69441759" w14:textId="77777777" w:rsidR="000B4A64" w:rsidRDefault="000B4A64" w:rsidP="00E122CA"/>
    <w:p w14:paraId="7057ECE8" w14:textId="77777777" w:rsidR="000B4A64" w:rsidRDefault="000B4A64" w:rsidP="00E122CA"/>
    <w:p w14:paraId="41271136" w14:textId="77777777" w:rsidR="000B4A64" w:rsidRDefault="000B4A64" w:rsidP="00E122CA"/>
    <w:p w14:paraId="3E0F2547" w14:textId="77777777" w:rsidR="000B4A64" w:rsidRDefault="000B4A64" w:rsidP="00E122CA"/>
    <w:p w14:paraId="7065660F" w14:textId="77777777" w:rsidR="000B4A64" w:rsidRDefault="000B4A64" w:rsidP="00E122CA"/>
    <w:p w14:paraId="52F80E69" w14:textId="77777777" w:rsidR="00E122CA" w:rsidRDefault="00E122CA" w:rsidP="00E122CA"/>
    <w:p w14:paraId="51DBA0C9" w14:textId="77777777" w:rsidR="00E122CA" w:rsidRDefault="00E122CA" w:rsidP="00E122CA"/>
    <w:p w14:paraId="284C7D83" w14:textId="77777777" w:rsidR="00E122CA" w:rsidRDefault="00E122CA" w:rsidP="00E122CA"/>
    <w:p w14:paraId="279FE057" w14:textId="77777777" w:rsidR="00E122CA" w:rsidRDefault="00E122CA" w:rsidP="00E122CA"/>
    <w:p w14:paraId="6E9A53E2" w14:textId="7FF916A3" w:rsidR="00E122CA" w:rsidRPr="008B3F16" w:rsidRDefault="00E122CA" w:rsidP="00E122CA">
      <w:r>
        <w:t xml:space="preserve">Essay five: </w:t>
      </w:r>
      <w:r w:rsidRPr="00E122CA">
        <w:t>How effective is early intervention an effective means of preventing young people from offending or re-offending?</w:t>
      </w:r>
    </w:p>
    <w:sectPr w:rsidR="00E122CA" w:rsidRPr="008B3F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F16"/>
    <w:rsid w:val="00066A9D"/>
    <w:rsid w:val="000A35F8"/>
    <w:rsid w:val="000B4A64"/>
    <w:rsid w:val="000E6B21"/>
    <w:rsid w:val="00226418"/>
    <w:rsid w:val="00274B50"/>
    <w:rsid w:val="003C4049"/>
    <w:rsid w:val="00446756"/>
    <w:rsid w:val="00447F18"/>
    <w:rsid w:val="004E773C"/>
    <w:rsid w:val="00633310"/>
    <w:rsid w:val="006B67A5"/>
    <w:rsid w:val="008566C7"/>
    <w:rsid w:val="008B3F16"/>
    <w:rsid w:val="00904740"/>
    <w:rsid w:val="00B01B2A"/>
    <w:rsid w:val="00B44C4B"/>
    <w:rsid w:val="00B51990"/>
    <w:rsid w:val="00BB251D"/>
    <w:rsid w:val="00BC6624"/>
    <w:rsid w:val="00C77029"/>
    <w:rsid w:val="00E122CA"/>
    <w:rsid w:val="00F041E5"/>
    <w:rsid w:val="00F65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271D6"/>
  <w15:chartTrackingRefBased/>
  <w15:docId w15:val="{AF9EC7BA-08A0-4617-8963-52C10FD4B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3F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3F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3F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3F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3F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3F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3F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3F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3F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3F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3F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3F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3F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3F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3F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3F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3F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3F16"/>
    <w:rPr>
      <w:rFonts w:eastAsiaTheme="majorEastAsia" w:cstheme="majorBidi"/>
      <w:color w:val="272727" w:themeColor="text1" w:themeTint="D8"/>
    </w:rPr>
  </w:style>
  <w:style w:type="paragraph" w:styleId="Title">
    <w:name w:val="Title"/>
    <w:basedOn w:val="Normal"/>
    <w:next w:val="Normal"/>
    <w:link w:val="TitleChar"/>
    <w:uiPriority w:val="10"/>
    <w:qFormat/>
    <w:rsid w:val="008B3F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3F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3F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3F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3F16"/>
    <w:pPr>
      <w:spacing w:before="160"/>
      <w:jc w:val="center"/>
    </w:pPr>
    <w:rPr>
      <w:i/>
      <w:iCs/>
      <w:color w:val="404040" w:themeColor="text1" w:themeTint="BF"/>
    </w:rPr>
  </w:style>
  <w:style w:type="character" w:customStyle="1" w:styleId="QuoteChar">
    <w:name w:val="Quote Char"/>
    <w:basedOn w:val="DefaultParagraphFont"/>
    <w:link w:val="Quote"/>
    <w:uiPriority w:val="29"/>
    <w:rsid w:val="008B3F16"/>
    <w:rPr>
      <w:i/>
      <w:iCs/>
      <w:color w:val="404040" w:themeColor="text1" w:themeTint="BF"/>
    </w:rPr>
  </w:style>
  <w:style w:type="paragraph" w:styleId="ListParagraph">
    <w:name w:val="List Paragraph"/>
    <w:basedOn w:val="Normal"/>
    <w:uiPriority w:val="34"/>
    <w:qFormat/>
    <w:rsid w:val="008B3F16"/>
    <w:pPr>
      <w:ind w:left="720"/>
      <w:contextualSpacing/>
    </w:pPr>
  </w:style>
  <w:style w:type="character" w:styleId="IntenseEmphasis">
    <w:name w:val="Intense Emphasis"/>
    <w:basedOn w:val="DefaultParagraphFont"/>
    <w:uiPriority w:val="21"/>
    <w:qFormat/>
    <w:rsid w:val="008B3F16"/>
    <w:rPr>
      <w:i/>
      <w:iCs/>
      <w:color w:val="0F4761" w:themeColor="accent1" w:themeShade="BF"/>
    </w:rPr>
  </w:style>
  <w:style w:type="paragraph" w:styleId="IntenseQuote">
    <w:name w:val="Intense Quote"/>
    <w:basedOn w:val="Normal"/>
    <w:next w:val="Normal"/>
    <w:link w:val="IntenseQuoteChar"/>
    <w:uiPriority w:val="30"/>
    <w:qFormat/>
    <w:rsid w:val="008B3F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3F16"/>
    <w:rPr>
      <w:i/>
      <w:iCs/>
      <w:color w:val="0F4761" w:themeColor="accent1" w:themeShade="BF"/>
    </w:rPr>
  </w:style>
  <w:style w:type="character" w:styleId="IntenseReference">
    <w:name w:val="Intense Reference"/>
    <w:basedOn w:val="DefaultParagraphFont"/>
    <w:uiPriority w:val="32"/>
    <w:qFormat/>
    <w:rsid w:val="008B3F16"/>
    <w:rPr>
      <w:b/>
      <w:bCs/>
      <w:smallCaps/>
      <w:color w:val="0F4761" w:themeColor="accent1" w:themeShade="BF"/>
      <w:spacing w:val="5"/>
    </w:rPr>
  </w:style>
  <w:style w:type="character" w:styleId="Hyperlink">
    <w:name w:val="Hyperlink"/>
    <w:basedOn w:val="DefaultParagraphFont"/>
    <w:uiPriority w:val="99"/>
    <w:unhideWhenUsed/>
    <w:rsid w:val="008B3F16"/>
    <w:rPr>
      <w:color w:val="467886" w:themeColor="hyperlink"/>
      <w:u w:val="single"/>
    </w:rPr>
  </w:style>
  <w:style w:type="character" w:styleId="UnresolvedMention">
    <w:name w:val="Unresolved Mention"/>
    <w:basedOn w:val="DefaultParagraphFont"/>
    <w:uiPriority w:val="99"/>
    <w:semiHidden/>
    <w:unhideWhenUsed/>
    <w:rsid w:val="008B3F16"/>
    <w:rPr>
      <w:color w:val="605E5C"/>
      <w:shd w:val="clear" w:color="auto" w:fill="E1DFDD"/>
    </w:rPr>
  </w:style>
  <w:style w:type="paragraph" w:styleId="PlainText">
    <w:name w:val="Plain Text"/>
    <w:basedOn w:val="Normal"/>
    <w:link w:val="PlainTextChar"/>
    <w:uiPriority w:val="99"/>
    <w:semiHidden/>
    <w:unhideWhenUsed/>
    <w:rsid w:val="00B01B2A"/>
    <w:pPr>
      <w:spacing w:after="0" w:line="240" w:lineRule="auto"/>
    </w:pPr>
    <w:rPr>
      <w:rFonts w:ascii="Calibri" w:eastAsia="Times New Roman" w:hAnsi="Calibri"/>
      <w:szCs w:val="21"/>
    </w:rPr>
  </w:style>
  <w:style w:type="character" w:customStyle="1" w:styleId="PlainTextChar">
    <w:name w:val="Plain Text Char"/>
    <w:basedOn w:val="DefaultParagraphFont"/>
    <w:link w:val="PlainText"/>
    <w:uiPriority w:val="99"/>
    <w:semiHidden/>
    <w:rsid w:val="00B01B2A"/>
    <w:rPr>
      <w:rFonts w:ascii="Calibri" w:eastAsia="Times New Roman"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3902947">
      <w:bodyDiv w:val="1"/>
      <w:marLeft w:val="0"/>
      <w:marRight w:val="0"/>
      <w:marTop w:val="0"/>
      <w:marBottom w:val="0"/>
      <w:divBdr>
        <w:top w:val="none" w:sz="0" w:space="0" w:color="auto"/>
        <w:left w:val="none" w:sz="0" w:space="0" w:color="auto"/>
        <w:bottom w:val="none" w:sz="0" w:space="0" w:color="auto"/>
        <w:right w:val="none" w:sz="0" w:space="0" w:color="auto"/>
      </w:divBdr>
    </w:div>
    <w:div w:id="611203405">
      <w:bodyDiv w:val="1"/>
      <w:marLeft w:val="0"/>
      <w:marRight w:val="0"/>
      <w:marTop w:val="0"/>
      <w:marBottom w:val="0"/>
      <w:divBdr>
        <w:top w:val="none" w:sz="0" w:space="0" w:color="auto"/>
        <w:left w:val="none" w:sz="0" w:space="0" w:color="auto"/>
        <w:bottom w:val="none" w:sz="0" w:space="0" w:color="auto"/>
        <w:right w:val="none" w:sz="0" w:space="0" w:color="auto"/>
      </w:divBdr>
    </w:div>
    <w:div w:id="1403259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br01.safelinks.protection.outlook.com/?url=https%3A%2F%2Fwww.ons.gov.uk%2F&amp;data=05%7C02%7Cryan.winney%40south-wales.police.uk%7C3f82c8b3b66849e7b5fa08dcbd4ef76e%7C270c2f4dfd0c4f0892a9e5bdd8a87e09%7C0%7C0%7C638593394070063703%7CUnknown%7CTWFpbGZsb3d8eyJWIjoiMC4wLjAwMDAiLCJQIjoiV2luMzIiLCJBTiI6Ik1haWwiLCJXVCI6Mn0%3D%7C0%7C%7C%7C&amp;sdata=uiv%2B5o7H210f6HFYZXIq0cClgfZQG8q55j%2BWQZEU4%2F4%3D&amp;reserved=0" TargetMode="External"/><Relationship Id="rId5" Type="http://schemas.openxmlformats.org/officeDocument/2006/relationships/hyperlink" Target="https://gbr01.safelinks.protection.outlook.com/?url=https%3A%2F%2Fwww.met.police.uk%2F&amp;data=05%7C02%7Cryan.winney%40south-wales.police.uk%7C3f82c8b3b66849e7b5fa08dcbd4ef76e%7C270c2f4dfd0c4f0892a9e5bdd8a87e09%7C0%7C0%7C638593394070057352%7CUnknown%7CTWFpbGZsb3d8eyJWIjoiMC4wLjAwMDAiLCJQIjoiV2luMzIiLCJBTiI6Ik1haWwiLCJXVCI6Mn0%3D%7C0%7C%7C%7C&amp;sdata=0o1F9lY2GaS%2F4SdTURmOLm94x83zrr9hJyyKcBLXDNs%3D&amp;reserved=0" TargetMode="External"/><Relationship Id="rId4" Type="http://schemas.openxmlformats.org/officeDocument/2006/relationships/hyperlink" Target="https://gbr01.safelinks.protection.outlook.com/?url=https%3A%2F%2Fwww.gov.uk%2Fgovernment%2Fstatistics%2Fpolice-workforce-england-and-wales-31-march-2022&amp;data=05%7C02%7Cryan.winney%40south-wales.police.uk%7C3f82c8b3b66849e7b5fa08dcbd4ef76e%7C270c2f4dfd0c4f0892a9e5bdd8a87e09%7C0%7C0%7C638593394070047437%7CUnknown%7CTWFpbGZsb3d8eyJWIjoiMC4wLjAwMDAiLCJQIjoiV2luMzIiLCJBTiI6Ik1haWwiLCJXVCI6Mn0%3D%7C0%7C%7C%7C&amp;sdata=mJa0d8XAUtB%2BWzhryeV3aMgcDw0%2FxyNMyTM3P4kxX3M%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18</Pages>
  <Words>6364</Words>
  <Characters>36279</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Winney,Ryan swp8636</dc:creator>
  <cp:keywords/>
  <dc:description/>
  <cp:lastModifiedBy>Winney,Ryan swp8636</cp:lastModifiedBy>
  <cp:revision>5</cp:revision>
  <dcterms:created xsi:type="dcterms:W3CDTF">2024-08-15T17:23:00Z</dcterms:created>
  <dcterms:modified xsi:type="dcterms:W3CDTF">2024-09-02T14:11:00Z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2024-08-15T17:52:11Z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fdc93b8d-e5bc-4924-be34-0f2f581e76bd</vt:lpwstr>
  </property>
  <property fmtid="{D5CDD505-2E9C-101B-9397-08002B2CF9AE}" pid="8" name="MSIP_Label_66cf8fe5-b7b7-4df7-b38d-1c61ac2f6639_ContentBits">
    <vt:lpwstr>0</vt:lpwstr>
  </property>
</Properties>
</file>