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EBE794" w14:textId="718CBBF6" w:rsidR="00453601" w:rsidRPr="00453601" w:rsidRDefault="00453601" w:rsidP="00453601">
      <w:pPr>
        <w:spacing w:line="360" w:lineRule="auto"/>
        <w:jc w:val="center"/>
        <w:rPr>
          <w:rFonts w:ascii="Arial" w:hAnsi="Arial" w:cs="Arial"/>
        </w:rPr>
      </w:pPr>
      <w:r w:rsidRPr="00453601">
        <w:rPr>
          <w:rFonts w:ascii="Arial" w:hAnsi="Arial" w:cs="Arial"/>
          <w:lang w:val="en-US"/>
        </w:rPr>
        <w:t>Tempany Hartwell - 2416686</w:t>
      </w:r>
      <w:r w:rsidRPr="00453601">
        <w:rPr>
          <w:rFonts w:ascii="Arial" w:hAnsi="Arial" w:cs="Arial"/>
        </w:rPr>
        <w:t> </w:t>
      </w:r>
      <w:r w:rsidRPr="00453601">
        <w:rPr>
          <w:rFonts w:ascii="Arial" w:hAnsi="Arial" w:cs="Arial"/>
        </w:rPr>
        <w:br/>
      </w:r>
      <w:r w:rsidRPr="00453601">
        <w:rPr>
          <w:rFonts w:ascii="Arial" w:hAnsi="Arial" w:cs="Arial"/>
          <w:lang w:val="en-US"/>
        </w:rPr>
        <w:t>(</w:t>
      </w:r>
      <w:r w:rsidRPr="00453601">
        <w:rPr>
          <w:rFonts w:ascii="Arial" w:hAnsi="Arial" w:cs="Arial"/>
        </w:rPr>
        <w:t>LCHS4010 </w:t>
      </w:r>
      <w:r w:rsidRPr="00453601">
        <w:rPr>
          <w:rFonts w:ascii="Arial" w:hAnsi="Arial" w:cs="Arial"/>
          <w:lang w:val="en-US"/>
        </w:rPr>
        <w:t>_BIRM)</w:t>
      </w:r>
      <w:r w:rsidRPr="00453601">
        <w:rPr>
          <w:rFonts w:ascii="Arial" w:hAnsi="Arial" w:cs="Arial"/>
        </w:rPr>
        <w:t> </w:t>
      </w:r>
      <w:r w:rsidRPr="00453601">
        <w:rPr>
          <w:rFonts w:ascii="Arial" w:hAnsi="Arial" w:cs="Arial"/>
        </w:rPr>
        <w:br/>
      </w:r>
      <w:r w:rsidRPr="00453601">
        <w:rPr>
          <w:rFonts w:ascii="Arial" w:hAnsi="Arial" w:cs="Arial"/>
          <w:lang w:val="en-US"/>
        </w:rPr>
        <w:t>Category: Birmingham Campus</w:t>
      </w:r>
      <w:r w:rsidRPr="00453601">
        <w:rPr>
          <w:rFonts w:ascii="Arial" w:hAnsi="Arial" w:cs="Arial"/>
        </w:rPr>
        <w:t> </w:t>
      </w:r>
      <w:r w:rsidRPr="00453601">
        <w:rPr>
          <w:rFonts w:ascii="Arial" w:hAnsi="Arial" w:cs="Arial"/>
        </w:rPr>
        <w:br/>
      </w:r>
      <w:r w:rsidRPr="00453601">
        <w:rPr>
          <w:rFonts w:ascii="Arial" w:hAnsi="Arial" w:cs="Arial"/>
          <w:lang w:val="en-US"/>
        </w:rPr>
        <w:t>Lecturer – Kennedy </w:t>
      </w:r>
      <w:proofErr w:type="spellStart"/>
      <w:r w:rsidRPr="00453601">
        <w:rPr>
          <w:rFonts w:ascii="Arial" w:hAnsi="Arial" w:cs="Arial"/>
          <w:lang w:val="en-US"/>
        </w:rPr>
        <w:t>Obohwemu</w:t>
      </w:r>
      <w:proofErr w:type="spellEnd"/>
      <w:r w:rsidRPr="00453601">
        <w:rPr>
          <w:rFonts w:ascii="Arial" w:hAnsi="Arial" w:cs="Arial"/>
        </w:rPr>
        <w:t> </w:t>
      </w:r>
      <w:r w:rsidRPr="00453601">
        <w:rPr>
          <w:rFonts w:ascii="Arial" w:hAnsi="Arial" w:cs="Arial"/>
        </w:rPr>
        <w:br/>
      </w:r>
      <w:r w:rsidRPr="00453601">
        <w:rPr>
          <w:rFonts w:ascii="Arial" w:hAnsi="Arial" w:cs="Arial"/>
          <w:lang w:val="en-US"/>
        </w:rPr>
        <w:t>Component 2</w:t>
      </w:r>
    </w:p>
    <w:p w14:paraId="472025C8" w14:textId="3F13BFFB" w:rsidR="00453601" w:rsidRPr="00453601" w:rsidRDefault="00453601" w:rsidP="00453601">
      <w:pPr>
        <w:spacing w:line="360" w:lineRule="auto"/>
        <w:jc w:val="center"/>
        <w:rPr>
          <w:rFonts w:ascii="Arial" w:hAnsi="Arial" w:cs="Arial"/>
        </w:rPr>
      </w:pPr>
    </w:p>
    <w:p w14:paraId="37563DCD" w14:textId="77777777" w:rsidR="00453601" w:rsidRPr="00453601" w:rsidRDefault="00453601" w:rsidP="00453601">
      <w:pPr>
        <w:spacing w:line="360" w:lineRule="auto"/>
        <w:rPr>
          <w:rFonts w:ascii="Arial" w:hAnsi="Arial" w:cs="Arial"/>
        </w:rPr>
      </w:pPr>
      <w:r w:rsidRPr="00453601">
        <w:rPr>
          <w:rFonts w:ascii="Arial" w:hAnsi="Arial" w:cs="Arial"/>
        </w:rPr>
        <w:t> </w:t>
      </w:r>
    </w:p>
    <w:p w14:paraId="650F45AC" w14:textId="77777777" w:rsidR="00453601" w:rsidRPr="00453601" w:rsidRDefault="00453601" w:rsidP="00453601">
      <w:pPr>
        <w:spacing w:line="360" w:lineRule="auto"/>
        <w:rPr>
          <w:rFonts w:ascii="Arial" w:hAnsi="Arial" w:cs="Arial"/>
        </w:rPr>
      </w:pPr>
    </w:p>
    <w:p w14:paraId="51870404" w14:textId="77777777" w:rsidR="00453601" w:rsidRPr="00453601" w:rsidRDefault="00453601" w:rsidP="00453601">
      <w:pPr>
        <w:spacing w:line="360" w:lineRule="auto"/>
        <w:rPr>
          <w:rFonts w:ascii="Arial" w:hAnsi="Arial" w:cs="Arial"/>
        </w:rPr>
      </w:pPr>
    </w:p>
    <w:p w14:paraId="1D7E3D57" w14:textId="77777777" w:rsidR="00453601" w:rsidRPr="00453601" w:rsidRDefault="00453601" w:rsidP="00453601">
      <w:pPr>
        <w:spacing w:line="360" w:lineRule="auto"/>
        <w:rPr>
          <w:rFonts w:ascii="Arial" w:hAnsi="Arial" w:cs="Arial"/>
        </w:rPr>
      </w:pPr>
    </w:p>
    <w:p w14:paraId="250B94E1" w14:textId="77777777" w:rsidR="00453601" w:rsidRPr="00453601" w:rsidRDefault="00453601" w:rsidP="00453601">
      <w:pPr>
        <w:spacing w:line="360" w:lineRule="auto"/>
        <w:rPr>
          <w:rFonts w:ascii="Arial" w:hAnsi="Arial" w:cs="Arial"/>
        </w:rPr>
      </w:pPr>
    </w:p>
    <w:p w14:paraId="6F2BEBC2" w14:textId="77777777" w:rsidR="00453601" w:rsidRPr="00453601" w:rsidRDefault="00453601" w:rsidP="00453601">
      <w:pPr>
        <w:spacing w:line="360" w:lineRule="auto"/>
        <w:rPr>
          <w:rFonts w:ascii="Arial" w:hAnsi="Arial" w:cs="Arial"/>
        </w:rPr>
      </w:pPr>
    </w:p>
    <w:p w14:paraId="42F093B7" w14:textId="77777777" w:rsidR="00453601" w:rsidRPr="00453601" w:rsidRDefault="00453601" w:rsidP="00453601">
      <w:pPr>
        <w:spacing w:line="360" w:lineRule="auto"/>
        <w:rPr>
          <w:rFonts w:ascii="Arial" w:hAnsi="Arial" w:cs="Arial"/>
        </w:rPr>
      </w:pPr>
    </w:p>
    <w:p w14:paraId="4A163C26" w14:textId="77777777" w:rsidR="00453601" w:rsidRPr="00453601" w:rsidRDefault="00453601" w:rsidP="00453601">
      <w:pPr>
        <w:spacing w:line="360" w:lineRule="auto"/>
        <w:rPr>
          <w:rFonts w:ascii="Arial" w:hAnsi="Arial" w:cs="Arial"/>
        </w:rPr>
      </w:pPr>
    </w:p>
    <w:p w14:paraId="0906407B" w14:textId="77777777" w:rsidR="00453601" w:rsidRPr="00453601" w:rsidRDefault="00453601" w:rsidP="00453601">
      <w:pPr>
        <w:spacing w:line="360" w:lineRule="auto"/>
        <w:rPr>
          <w:rFonts w:ascii="Arial" w:hAnsi="Arial" w:cs="Arial"/>
        </w:rPr>
      </w:pPr>
    </w:p>
    <w:p w14:paraId="0A4E3146" w14:textId="77777777" w:rsidR="00453601" w:rsidRPr="00453601" w:rsidRDefault="00453601" w:rsidP="00453601">
      <w:pPr>
        <w:spacing w:line="360" w:lineRule="auto"/>
        <w:rPr>
          <w:rFonts w:ascii="Arial" w:hAnsi="Arial" w:cs="Arial"/>
        </w:rPr>
      </w:pPr>
    </w:p>
    <w:p w14:paraId="4441FF78" w14:textId="77777777" w:rsidR="00453601" w:rsidRPr="00453601" w:rsidRDefault="00453601" w:rsidP="00453601">
      <w:pPr>
        <w:spacing w:line="360" w:lineRule="auto"/>
        <w:rPr>
          <w:rFonts w:ascii="Arial" w:hAnsi="Arial" w:cs="Arial"/>
        </w:rPr>
      </w:pPr>
    </w:p>
    <w:p w14:paraId="1D6FF010" w14:textId="77777777" w:rsidR="00453601" w:rsidRPr="00453601" w:rsidRDefault="00453601" w:rsidP="00453601">
      <w:pPr>
        <w:spacing w:line="360" w:lineRule="auto"/>
        <w:rPr>
          <w:rFonts w:ascii="Arial" w:hAnsi="Arial" w:cs="Arial"/>
        </w:rPr>
      </w:pPr>
    </w:p>
    <w:p w14:paraId="02E0F992" w14:textId="77777777" w:rsidR="00453601" w:rsidRPr="00453601" w:rsidRDefault="00453601" w:rsidP="00453601">
      <w:pPr>
        <w:spacing w:line="360" w:lineRule="auto"/>
        <w:rPr>
          <w:rFonts w:ascii="Arial" w:hAnsi="Arial" w:cs="Arial"/>
        </w:rPr>
      </w:pPr>
    </w:p>
    <w:p w14:paraId="39016B90" w14:textId="77777777" w:rsidR="00453601" w:rsidRPr="00453601" w:rsidRDefault="00453601" w:rsidP="00453601">
      <w:pPr>
        <w:spacing w:line="360" w:lineRule="auto"/>
        <w:rPr>
          <w:rFonts w:ascii="Arial" w:hAnsi="Arial" w:cs="Arial"/>
        </w:rPr>
      </w:pPr>
    </w:p>
    <w:p w14:paraId="322A5330" w14:textId="77777777" w:rsidR="00453601" w:rsidRPr="00453601" w:rsidRDefault="00453601" w:rsidP="00453601">
      <w:pPr>
        <w:spacing w:line="360" w:lineRule="auto"/>
        <w:rPr>
          <w:rFonts w:ascii="Arial" w:hAnsi="Arial" w:cs="Arial"/>
        </w:rPr>
      </w:pPr>
    </w:p>
    <w:p w14:paraId="793ECE13" w14:textId="77777777" w:rsidR="00453601" w:rsidRPr="00453601" w:rsidRDefault="00453601" w:rsidP="00453601">
      <w:pPr>
        <w:spacing w:line="360" w:lineRule="auto"/>
        <w:rPr>
          <w:rFonts w:ascii="Arial" w:hAnsi="Arial" w:cs="Arial"/>
        </w:rPr>
      </w:pPr>
    </w:p>
    <w:p w14:paraId="0D294814" w14:textId="77777777" w:rsidR="00453601" w:rsidRPr="00453601" w:rsidRDefault="00453601" w:rsidP="00453601">
      <w:pPr>
        <w:spacing w:line="360" w:lineRule="auto"/>
        <w:rPr>
          <w:rFonts w:ascii="Arial" w:hAnsi="Arial" w:cs="Arial"/>
        </w:rPr>
      </w:pPr>
    </w:p>
    <w:p w14:paraId="4BE5FC2D" w14:textId="77777777" w:rsidR="00453601" w:rsidRPr="00453601" w:rsidRDefault="00453601" w:rsidP="00453601">
      <w:pPr>
        <w:spacing w:line="360" w:lineRule="auto"/>
        <w:rPr>
          <w:rFonts w:ascii="Arial" w:hAnsi="Arial" w:cs="Arial"/>
        </w:rPr>
      </w:pPr>
    </w:p>
    <w:p w14:paraId="4397321F" w14:textId="77777777" w:rsidR="00453601" w:rsidRPr="00453601" w:rsidRDefault="00453601" w:rsidP="00453601">
      <w:pPr>
        <w:spacing w:line="360" w:lineRule="auto"/>
        <w:rPr>
          <w:rFonts w:ascii="Arial" w:hAnsi="Arial" w:cs="Arial"/>
        </w:rPr>
      </w:pPr>
    </w:p>
    <w:p w14:paraId="0A6D0A88" w14:textId="77777777" w:rsidR="00453601" w:rsidRPr="00453601" w:rsidRDefault="00453601" w:rsidP="00453601">
      <w:pPr>
        <w:spacing w:line="360" w:lineRule="auto"/>
        <w:rPr>
          <w:rFonts w:ascii="Arial" w:hAnsi="Arial" w:cs="Arial"/>
        </w:rPr>
      </w:pPr>
    </w:p>
    <w:p w14:paraId="075774B0" w14:textId="77777777" w:rsidR="00453601" w:rsidRPr="00453601" w:rsidRDefault="00453601" w:rsidP="00453601">
      <w:pPr>
        <w:spacing w:line="360" w:lineRule="auto"/>
        <w:rPr>
          <w:rFonts w:ascii="Arial" w:hAnsi="Arial" w:cs="Arial"/>
        </w:rPr>
      </w:pPr>
    </w:p>
    <w:p w14:paraId="00B08A00" w14:textId="77777777" w:rsidR="00453601" w:rsidRPr="00453601" w:rsidRDefault="00453601" w:rsidP="00453601">
      <w:pPr>
        <w:spacing w:line="360" w:lineRule="auto"/>
        <w:rPr>
          <w:rFonts w:ascii="Arial" w:hAnsi="Arial" w:cs="Arial"/>
          <w:b/>
          <w:bCs/>
        </w:rPr>
      </w:pPr>
      <w:r w:rsidRPr="00453601">
        <w:rPr>
          <w:rFonts w:ascii="Arial" w:hAnsi="Arial" w:cs="Arial"/>
          <w:b/>
          <w:bCs/>
        </w:rPr>
        <w:lastRenderedPageBreak/>
        <w:t>Supporting Psychological Health in Older Adults with Dementia: A Theoretical and Practical Guide for Health and Social Care Professionals</w:t>
      </w:r>
    </w:p>
    <w:p w14:paraId="0FAAD255" w14:textId="77777777" w:rsidR="00453601" w:rsidRPr="00453601" w:rsidRDefault="00453601" w:rsidP="00453601">
      <w:pPr>
        <w:spacing w:line="360" w:lineRule="auto"/>
        <w:rPr>
          <w:rFonts w:ascii="Arial" w:hAnsi="Arial" w:cs="Arial"/>
          <w:b/>
          <w:bCs/>
        </w:rPr>
      </w:pPr>
      <w:r w:rsidRPr="00453601">
        <w:rPr>
          <w:rFonts w:ascii="Arial" w:hAnsi="Arial" w:cs="Arial"/>
          <w:b/>
          <w:bCs/>
        </w:rPr>
        <w:t>Introduction</w:t>
      </w:r>
    </w:p>
    <w:p w14:paraId="2753C06D" w14:textId="77777777" w:rsidR="00453601" w:rsidRPr="00453601" w:rsidRDefault="00453601" w:rsidP="00453601">
      <w:pPr>
        <w:spacing w:line="360" w:lineRule="auto"/>
        <w:rPr>
          <w:rFonts w:ascii="Arial" w:hAnsi="Arial" w:cs="Arial"/>
        </w:rPr>
      </w:pPr>
      <w:r w:rsidRPr="00453601">
        <w:rPr>
          <w:rFonts w:ascii="Arial" w:hAnsi="Arial" w:cs="Arial"/>
        </w:rPr>
        <w:t>As the global population continues to age, dementia care has emerged as one of the most pressing challenges for health and social care professionals. Dementia is not only a neurological condition but also a profound psychological and social issue that affects millions of older adults worldwide. Adults aged 65 and over who reside in dementia care homes often experience a range of psychological health conditions, including depression, anxiety, agitation, and behavioural disturbances. These difficulties are compounded by cognitive decline, memory loss, and the erosion of autonomy that characterises dementia. For professionals working in these environments, the task is not simply to manage symptoms but to provide holistic care that promotes dignity, engagement, and emotional wellbeing.</w:t>
      </w:r>
    </w:p>
    <w:p w14:paraId="5309E7C1" w14:textId="77777777" w:rsidR="00453601" w:rsidRPr="00453601" w:rsidRDefault="00453601" w:rsidP="00453601">
      <w:pPr>
        <w:spacing w:line="360" w:lineRule="auto"/>
        <w:rPr>
          <w:rFonts w:ascii="Arial" w:hAnsi="Arial" w:cs="Arial"/>
        </w:rPr>
      </w:pPr>
      <w:r w:rsidRPr="00453601">
        <w:rPr>
          <w:rFonts w:ascii="Arial" w:hAnsi="Arial" w:cs="Arial"/>
        </w:rPr>
        <w:t>Psychological theories provide valuable frameworks for understanding the lived experience of dementia and for guiding interventions that support residents’ mental health. This report explores two key psychological theories—Erikson’s Psychosocial Development Theory and the Behavioural Model of Health—and evaluates their relevance and application in dementia care settings. By integrating these theories into practice, health and social care professionals can enhance the quality of care, foster person-centred approaches, and ultimately improve the wellbeing of older adults living with dementia.</w:t>
      </w:r>
    </w:p>
    <w:p w14:paraId="3E0CCA9E" w14:textId="77777777" w:rsidR="00453601" w:rsidRPr="00453601" w:rsidRDefault="00453601" w:rsidP="00453601">
      <w:pPr>
        <w:spacing w:line="360" w:lineRule="auto"/>
        <w:rPr>
          <w:rFonts w:ascii="Arial" w:hAnsi="Arial" w:cs="Arial"/>
          <w:b/>
          <w:bCs/>
        </w:rPr>
      </w:pPr>
      <w:r w:rsidRPr="00453601">
        <w:rPr>
          <w:rFonts w:ascii="Arial" w:hAnsi="Arial" w:cs="Arial"/>
          <w:b/>
          <w:bCs/>
        </w:rPr>
        <w:t>Dementia Care Homes: Context and Challenges</w:t>
      </w:r>
    </w:p>
    <w:p w14:paraId="0BC5D5FC" w14:textId="77777777" w:rsidR="00453601" w:rsidRPr="00453601" w:rsidRDefault="00453601" w:rsidP="00453601">
      <w:pPr>
        <w:spacing w:line="360" w:lineRule="auto"/>
        <w:rPr>
          <w:rFonts w:ascii="Arial" w:hAnsi="Arial" w:cs="Arial"/>
        </w:rPr>
      </w:pPr>
      <w:r w:rsidRPr="00453601">
        <w:rPr>
          <w:rFonts w:ascii="Arial" w:hAnsi="Arial" w:cs="Arial"/>
        </w:rPr>
        <w:t>Dementia care homes provide residential support for older adults who experience progressive cognitive decline, memory loss, and behavioural changes. These settings are designed to offer safety and structure, yet they also present unique challenges. Residents often face psychological difficulties such as confusion, disorientation, depression, and social withdrawal. Agitation and aggression may arise when individuals struggle to make sense of their environment or when their needs are misunderstood. Anxiety is common, particularly when routines are disrupted or when residents feel a loss of control over their daily lives.</w:t>
      </w:r>
    </w:p>
    <w:p w14:paraId="3FAEDC12" w14:textId="77777777" w:rsidR="00453601" w:rsidRPr="00453601" w:rsidRDefault="00453601" w:rsidP="00453601">
      <w:pPr>
        <w:spacing w:line="360" w:lineRule="auto"/>
        <w:rPr>
          <w:rFonts w:ascii="Arial" w:hAnsi="Arial" w:cs="Arial"/>
        </w:rPr>
      </w:pPr>
      <w:r w:rsidRPr="00453601">
        <w:rPr>
          <w:rFonts w:ascii="Arial" w:hAnsi="Arial" w:cs="Arial"/>
        </w:rPr>
        <w:t>These symptoms are frequently exacerbated by environmental stressors, including overstimulation, institutional routines that reduce autonomy, and fragmented social connections. The loss of familiar surroundings and the transition into residential care can intensify feelings of isolation and despair. For health and social care professionals, the challenge lies in adopting psychologically informed approaches that address these complex needs while promoting dignity, engagement, and emotional wellbeing.</w:t>
      </w:r>
    </w:p>
    <w:p w14:paraId="323D68DE" w14:textId="77777777" w:rsidR="00453601" w:rsidRPr="00453601" w:rsidRDefault="00453601" w:rsidP="00453601">
      <w:pPr>
        <w:spacing w:line="360" w:lineRule="auto"/>
        <w:rPr>
          <w:rFonts w:ascii="Arial" w:hAnsi="Arial" w:cs="Arial"/>
          <w:b/>
          <w:bCs/>
        </w:rPr>
      </w:pPr>
      <w:r w:rsidRPr="00453601">
        <w:rPr>
          <w:rFonts w:ascii="Arial" w:hAnsi="Arial" w:cs="Arial"/>
          <w:b/>
          <w:bCs/>
        </w:rPr>
        <w:t>Erikson’s Psychosocial Development Theory</w:t>
      </w:r>
    </w:p>
    <w:p w14:paraId="78ECEDAD" w14:textId="77777777" w:rsidR="00453601" w:rsidRPr="00453601" w:rsidRDefault="00453601" w:rsidP="00453601">
      <w:pPr>
        <w:spacing w:line="360" w:lineRule="auto"/>
        <w:rPr>
          <w:rFonts w:ascii="Arial" w:hAnsi="Arial" w:cs="Arial"/>
        </w:rPr>
      </w:pPr>
      <w:r w:rsidRPr="00453601">
        <w:rPr>
          <w:rFonts w:ascii="Arial" w:hAnsi="Arial" w:cs="Arial"/>
        </w:rPr>
        <w:lastRenderedPageBreak/>
        <w:t>Erikson’s theory of psychosocial development outlines eight stages across the human lifespan, each characterised by a central conflict that shapes identity and psychological growth. The final stage, “Ego Integrity versus Despair,” is particularly relevant to adults aged 65 and over. In this stage, individuals reflect on their life achievements and experiences. A sense of ego integrity arises when individuals feel fulfilled, accept their life journey, and maintain a coherent sense of identity. Conversely, despair emerges when they perceive failure, regret, or a loss of purpose.</w:t>
      </w:r>
    </w:p>
    <w:p w14:paraId="34670EAB" w14:textId="77777777" w:rsidR="00453601" w:rsidRPr="00453601" w:rsidRDefault="00453601" w:rsidP="00453601">
      <w:pPr>
        <w:spacing w:line="360" w:lineRule="auto"/>
        <w:rPr>
          <w:rFonts w:ascii="Arial" w:hAnsi="Arial" w:cs="Arial"/>
        </w:rPr>
      </w:pPr>
      <w:r w:rsidRPr="00453601">
        <w:rPr>
          <w:rFonts w:ascii="Arial" w:hAnsi="Arial" w:cs="Arial"/>
        </w:rPr>
        <w:t>For older adults with dementia, this stage is complicated by memory loss and cognitive impairment. The ability to recall life events may be diminished, and verbal communication may be limited. Yet emotional processing and identity remain vital, even when cognitive faculties decline. Residents may still experience pride, regret, joy, or sadness when prompted by familiar stimuli. This suggests that interventions aimed at supporting ego integrity can be meaningful even in advanced stages of dementia.</w:t>
      </w:r>
    </w:p>
    <w:p w14:paraId="70AA83AB" w14:textId="77777777" w:rsidR="00453601" w:rsidRPr="00453601" w:rsidRDefault="00453601" w:rsidP="00453601">
      <w:pPr>
        <w:spacing w:line="360" w:lineRule="auto"/>
        <w:rPr>
          <w:rFonts w:ascii="Arial" w:hAnsi="Arial" w:cs="Arial"/>
        </w:rPr>
      </w:pPr>
      <w:r w:rsidRPr="00453601">
        <w:rPr>
          <w:rFonts w:ascii="Arial" w:hAnsi="Arial" w:cs="Arial"/>
        </w:rPr>
        <w:t>Life review activities, reminiscence therapy, and validation techniques are particularly valuable in this context. Reminiscence therapy facilitates reflection through photos, music, and storytelling, enabling residents to reconnect with their past and affirm their identity. Validation therapy acknowledges residents’ feelings and perceptions, even when they are based on distorted memories, fostering trust and reducing agitation. Life story work, which involves compiling personal histories to guide care planning, enhances person-centred support by tailoring activities and routines to individual preferences.</w:t>
      </w:r>
    </w:p>
    <w:p w14:paraId="588A373F" w14:textId="47A3B066" w:rsidR="00453601" w:rsidRPr="00453601" w:rsidRDefault="00453601" w:rsidP="00453601">
      <w:pPr>
        <w:spacing w:line="360" w:lineRule="auto"/>
        <w:rPr>
          <w:rFonts w:ascii="Arial" w:hAnsi="Arial" w:cs="Arial"/>
        </w:rPr>
      </w:pPr>
      <w:r w:rsidRPr="00453601">
        <w:rPr>
          <w:rFonts w:ascii="Arial" w:hAnsi="Arial" w:cs="Arial"/>
        </w:rPr>
        <w:t xml:space="preserve">Nevertheless, challenges remain. Severe cognitive decline may limit residents’ ability to engage in verbal reflection, and life review may evoke distressing memories or unresolved grief. Professionals must therefore adopt sensitive strategies, such as using non-verbal cues and sensory prompts to support engagement, training staff in trauma-informed care and emotional regulation </w:t>
      </w:r>
      <w:r w:rsidRPr="00453601">
        <w:rPr>
          <w:rFonts w:ascii="Arial" w:hAnsi="Arial" w:cs="Arial"/>
        </w:rPr>
        <w:t>techniques and</w:t>
      </w:r>
      <w:r w:rsidRPr="00453601">
        <w:rPr>
          <w:rFonts w:ascii="Arial" w:hAnsi="Arial" w:cs="Arial"/>
        </w:rPr>
        <w:t xml:space="preserve"> collaborating with families to co-create life stories that highlight meaningful themes.</w:t>
      </w:r>
    </w:p>
    <w:p w14:paraId="49765D1A" w14:textId="77777777" w:rsidR="00453601" w:rsidRPr="00453601" w:rsidRDefault="00453601" w:rsidP="00453601">
      <w:pPr>
        <w:spacing w:line="360" w:lineRule="auto"/>
        <w:rPr>
          <w:rFonts w:ascii="Arial" w:hAnsi="Arial" w:cs="Arial"/>
          <w:b/>
          <w:bCs/>
        </w:rPr>
      </w:pPr>
      <w:r w:rsidRPr="00453601">
        <w:rPr>
          <w:rFonts w:ascii="Arial" w:hAnsi="Arial" w:cs="Arial"/>
          <w:b/>
          <w:bCs/>
        </w:rPr>
        <w:t>Behavioural Model of Health</w:t>
      </w:r>
    </w:p>
    <w:p w14:paraId="5CDE99E4" w14:textId="77777777" w:rsidR="00453601" w:rsidRPr="00453601" w:rsidRDefault="00453601" w:rsidP="00453601">
      <w:pPr>
        <w:spacing w:line="360" w:lineRule="auto"/>
        <w:rPr>
          <w:rFonts w:ascii="Arial" w:hAnsi="Arial" w:cs="Arial"/>
        </w:rPr>
      </w:pPr>
      <w:r w:rsidRPr="00453601">
        <w:rPr>
          <w:rFonts w:ascii="Arial" w:hAnsi="Arial" w:cs="Arial"/>
        </w:rPr>
        <w:t>The Behavioural Model, rooted in behaviourist psychology, posits that behaviour is learned through conditioning and reinforcement. In dementia care, this model helps explain behavioural symptoms such as aggression, wandering, or repetitive actions. These behaviours may be responses to unmet needs, environmental triggers, or learned patterns. For example, a resident who repeatedly attempts to leave the care home may be expressing a need for autonomy or responding to a past routine of going to work.</w:t>
      </w:r>
    </w:p>
    <w:p w14:paraId="62C2ABCC" w14:textId="77777777" w:rsidR="00453601" w:rsidRPr="00453601" w:rsidRDefault="00453601" w:rsidP="00453601">
      <w:pPr>
        <w:spacing w:line="360" w:lineRule="auto"/>
        <w:rPr>
          <w:rFonts w:ascii="Arial" w:hAnsi="Arial" w:cs="Arial"/>
        </w:rPr>
      </w:pPr>
      <w:r w:rsidRPr="00453601">
        <w:rPr>
          <w:rFonts w:ascii="Arial" w:hAnsi="Arial" w:cs="Arial"/>
        </w:rPr>
        <w:lastRenderedPageBreak/>
        <w:t>By identifying antecedents and consequences of behaviour, professionals can implement behavioural interventions that reduce distress and promote adaptive functioning. ABC charts, which record antecedents, behaviours, and consequences, help staff identify triggers and outcomes, guiding tailored interventions. Positive reinforcement, such as rewarding desired behaviours with praise, comfort, or preferred activities, encourages adaptive functioning. Environmental design, including clear signage, calming colours, and structured spaces, reduces overstimulation and confusion, thereby preventing behavioural disturbances.</w:t>
      </w:r>
    </w:p>
    <w:p w14:paraId="6145A77F" w14:textId="77777777" w:rsidR="00453601" w:rsidRPr="00453601" w:rsidRDefault="00453601" w:rsidP="00453601">
      <w:pPr>
        <w:spacing w:line="360" w:lineRule="auto"/>
        <w:rPr>
          <w:rFonts w:ascii="Arial" w:hAnsi="Arial" w:cs="Arial"/>
        </w:rPr>
      </w:pPr>
      <w:r w:rsidRPr="00453601">
        <w:rPr>
          <w:rFonts w:ascii="Arial" w:hAnsi="Arial" w:cs="Arial"/>
        </w:rPr>
        <w:t>Challenges in applying the behavioural model include the risk of misinterpreting behaviours as intentional rather than symptomatic, and the difficulty of ensuring consistency across staff teams. Behavioural interventions require careful analysis and consistent implementation, which can be demanding in busy care environments. Strategies to address these challenges include providing training in behavioural analysis and dementia-specific communication, developing care plans with input from multidisciplinary teams, and using reflective supervision to support staff understanding and emotional resilience.</w:t>
      </w:r>
    </w:p>
    <w:p w14:paraId="48378CAD" w14:textId="77777777" w:rsidR="00453601" w:rsidRPr="00453601" w:rsidRDefault="00453601" w:rsidP="00453601">
      <w:pPr>
        <w:spacing w:line="360" w:lineRule="auto"/>
        <w:rPr>
          <w:rFonts w:ascii="Arial" w:hAnsi="Arial" w:cs="Arial"/>
          <w:b/>
          <w:bCs/>
        </w:rPr>
      </w:pPr>
      <w:r w:rsidRPr="00453601">
        <w:rPr>
          <w:rFonts w:ascii="Arial" w:hAnsi="Arial" w:cs="Arial"/>
          <w:b/>
          <w:bCs/>
        </w:rPr>
        <w:t>Integrating Erikson’s Theory and the Behavioural Model</w:t>
      </w:r>
    </w:p>
    <w:p w14:paraId="161CA503" w14:textId="77777777" w:rsidR="00453601" w:rsidRPr="00453601" w:rsidRDefault="00453601" w:rsidP="00453601">
      <w:pPr>
        <w:spacing w:line="360" w:lineRule="auto"/>
        <w:rPr>
          <w:rFonts w:ascii="Arial" w:hAnsi="Arial" w:cs="Arial"/>
        </w:rPr>
      </w:pPr>
      <w:r w:rsidRPr="00453601">
        <w:rPr>
          <w:rFonts w:ascii="Arial" w:hAnsi="Arial" w:cs="Arial"/>
        </w:rPr>
        <w:t xml:space="preserve">While Erikson’s theory emphasises identity, reflection, and emotional connection, the behavioural model focuses on observable actions and environmental triggers. Integrating these perspectives allows professionals to address both emotional and behavioural dimensions of dementia. For example, a resident who becomes agitated during mealtimes may be experiencing distress linked to </w:t>
      </w:r>
      <w:proofErr w:type="gramStart"/>
      <w:r w:rsidRPr="00453601">
        <w:rPr>
          <w:rFonts w:ascii="Arial" w:hAnsi="Arial" w:cs="Arial"/>
        </w:rPr>
        <w:t>past memories</w:t>
      </w:r>
      <w:proofErr w:type="gramEnd"/>
      <w:r w:rsidRPr="00453601">
        <w:rPr>
          <w:rFonts w:ascii="Arial" w:hAnsi="Arial" w:cs="Arial"/>
        </w:rPr>
        <w:t>, such as family gatherings, which relates to Erikson’s stage of ego integrity. Alternatively, the agitation may be a response to environmental noise or overstimulation, which can be understood through the behavioural model. By validating the resident’s emotions and modifying the setting, staff can reduce distress and promote comfort.</w:t>
      </w:r>
    </w:p>
    <w:p w14:paraId="63F32799" w14:textId="77777777" w:rsidR="00453601" w:rsidRPr="00453601" w:rsidRDefault="00453601" w:rsidP="00453601">
      <w:pPr>
        <w:spacing w:line="360" w:lineRule="auto"/>
        <w:rPr>
          <w:rFonts w:ascii="Arial" w:hAnsi="Arial" w:cs="Arial"/>
        </w:rPr>
      </w:pPr>
      <w:r w:rsidRPr="00453601">
        <w:rPr>
          <w:rFonts w:ascii="Arial" w:hAnsi="Arial" w:cs="Arial"/>
        </w:rPr>
        <w:t>This integration supports the principles of person-centred care, which emphasise respect, empathy, and individualised support. Psychological insight enables professionals to move beyond task-based care and foster meaningful relationships with residents. Rather than focusing solely on physical needs, staff can attend to emotional and behavioural dimensions, creating a holistic approach that honours the dignity of older adults.</w:t>
      </w:r>
    </w:p>
    <w:p w14:paraId="02430BAD" w14:textId="77777777" w:rsidR="00453601" w:rsidRPr="00453601" w:rsidRDefault="00453601" w:rsidP="00453601">
      <w:pPr>
        <w:spacing w:line="360" w:lineRule="auto"/>
        <w:rPr>
          <w:rFonts w:ascii="Arial" w:hAnsi="Arial" w:cs="Arial"/>
          <w:b/>
          <w:bCs/>
        </w:rPr>
      </w:pPr>
      <w:r w:rsidRPr="00453601">
        <w:rPr>
          <w:rFonts w:ascii="Arial" w:hAnsi="Arial" w:cs="Arial"/>
          <w:b/>
          <w:bCs/>
        </w:rPr>
        <w:t>Practical Implications for Health and Social Care Professionals</w:t>
      </w:r>
    </w:p>
    <w:p w14:paraId="61239F52" w14:textId="77777777" w:rsidR="00453601" w:rsidRPr="00453601" w:rsidRDefault="00453601" w:rsidP="00453601">
      <w:pPr>
        <w:spacing w:line="360" w:lineRule="auto"/>
        <w:rPr>
          <w:rFonts w:ascii="Arial" w:hAnsi="Arial" w:cs="Arial"/>
        </w:rPr>
      </w:pPr>
      <w:r w:rsidRPr="00453601">
        <w:rPr>
          <w:rFonts w:ascii="Arial" w:hAnsi="Arial" w:cs="Arial"/>
        </w:rPr>
        <w:t xml:space="preserve">The application of psychological theories in dementia care has significant practical implications. Staff training and development are essential to ensure that professionals understand and can apply these theories in practice. Ongoing education in psychological frameworks, dementia-specific interventions, and reflective practice helps staff process </w:t>
      </w:r>
      <w:r w:rsidRPr="00453601">
        <w:rPr>
          <w:rFonts w:ascii="Arial" w:hAnsi="Arial" w:cs="Arial"/>
        </w:rPr>
        <w:lastRenderedPageBreak/>
        <w:t>emotional challenges and build resilience. Family involvement is equally important, as relatives can provide valuable insights into residents’ life histories and preferences. Collaborating with families in reminiscence activities and care planning strengthens the person-centred approach and supports continuity of identity.</w:t>
      </w:r>
    </w:p>
    <w:p w14:paraId="2EA404D4" w14:textId="77777777" w:rsidR="00453601" w:rsidRPr="00453601" w:rsidRDefault="00453601" w:rsidP="00453601">
      <w:pPr>
        <w:spacing w:line="360" w:lineRule="auto"/>
        <w:rPr>
          <w:rFonts w:ascii="Arial" w:hAnsi="Arial" w:cs="Arial"/>
        </w:rPr>
      </w:pPr>
      <w:r w:rsidRPr="00453601">
        <w:rPr>
          <w:rFonts w:ascii="Arial" w:hAnsi="Arial" w:cs="Arial"/>
        </w:rPr>
        <w:t>Environmental enhancements also play a crucial role. Creating homelike settings with familiar objects and personalised spaces fosters comfort and reduces anxiety. Sensory stimulation, such as music, aromatherapy, and tactile objects, promotes wellbeing and engagement. Safe, structured environments that support autonomy help residents maintain a sense of control and dignity. Multidisciplinary collaboration further enhances care, as psychologists, nurses, occupational therapists, and social workers contribute diverse expertise to holistic care plans. Regular team meetings allow for the review of interventions and the adaptation of strategies to meet evolving needs.</w:t>
      </w:r>
    </w:p>
    <w:p w14:paraId="655A030B" w14:textId="77777777" w:rsidR="00453601" w:rsidRPr="00453601" w:rsidRDefault="00453601" w:rsidP="00453601">
      <w:pPr>
        <w:spacing w:line="360" w:lineRule="auto"/>
        <w:rPr>
          <w:rFonts w:ascii="Arial" w:hAnsi="Arial" w:cs="Arial"/>
          <w:b/>
          <w:bCs/>
        </w:rPr>
      </w:pPr>
      <w:r w:rsidRPr="00453601">
        <w:rPr>
          <w:rFonts w:ascii="Arial" w:hAnsi="Arial" w:cs="Arial"/>
          <w:b/>
          <w:bCs/>
        </w:rPr>
        <w:t>Ethical Considerations</w:t>
      </w:r>
    </w:p>
    <w:p w14:paraId="4933A885" w14:textId="77777777" w:rsidR="00453601" w:rsidRPr="00453601" w:rsidRDefault="00453601" w:rsidP="00453601">
      <w:pPr>
        <w:spacing w:line="360" w:lineRule="auto"/>
        <w:rPr>
          <w:rFonts w:ascii="Arial" w:hAnsi="Arial" w:cs="Arial"/>
        </w:rPr>
      </w:pPr>
      <w:r w:rsidRPr="00453601">
        <w:rPr>
          <w:rFonts w:ascii="Arial" w:hAnsi="Arial" w:cs="Arial"/>
        </w:rPr>
        <w:t>Supporting psychological health in dementia care requires sensitivity to ethical issues. Respect for autonomy is paramount, even when cognitive decline limits decision-making capacity. Residents should be involved in choices about their care wherever possible. Dignity and respect must underpin all interactions, ensuring that care honours the individuality and humanity of each resident. Informed consent is essential when implementing therapeutic interventions, and families should be consulted to ensure that practices align with residents’ values and preferences. Cultural sensitivity is also critical, as life stories and reminiscence activities must respect diverse backgrounds and traditions.</w:t>
      </w:r>
    </w:p>
    <w:p w14:paraId="5DD4C2E4" w14:textId="77777777" w:rsidR="00453601" w:rsidRPr="00453601" w:rsidRDefault="00453601" w:rsidP="00453601">
      <w:pPr>
        <w:spacing w:line="360" w:lineRule="auto"/>
        <w:rPr>
          <w:rFonts w:ascii="Arial" w:hAnsi="Arial" w:cs="Arial"/>
          <w:b/>
          <w:bCs/>
        </w:rPr>
      </w:pPr>
      <w:r w:rsidRPr="00453601">
        <w:rPr>
          <w:rFonts w:ascii="Arial" w:hAnsi="Arial" w:cs="Arial"/>
          <w:b/>
          <w:bCs/>
        </w:rPr>
        <w:t>Conclusion</w:t>
      </w:r>
    </w:p>
    <w:p w14:paraId="46459718" w14:textId="77777777" w:rsidR="00453601" w:rsidRPr="00453601" w:rsidRDefault="00453601" w:rsidP="00453601">
      <w:pPr>
        <w:spacing w:line="360" w:lineRule="auto"/>
        <w:rPr>
          <w:rFonts w:ascii="Arial" w:hAnsi="Arial" w:cs="Arial"/>
        </w:rPr>
      </w:pPr>
      <w:r w:rsidRPr="00453601">
        <w:rPr>
          <w:rFonts w:ascii="Arial" w:hAnsi="Arial" w:cs="Arial"/>
        </w:rPr>
        <w:t>Psychological theories provide valuable frameworks for understanding and supporting older adults with dementia. Erikson’s Psychosocial Development Theory highlights the importance of identity, reflection, and emotional connection, while the Behavioural Model offers tools for managing challenging behaviours through structured interventions. Health and social care professionals must integrate these theories into practice with sensitivity, creativity, and collaboration. Doing so enhances the quality of care, promotes wellbeing, and honours the dignity of older adults in dementia care homes.</w:t>
      </w:r>
    </w:p>
    <w:p w14:paraId="76C24DA1" w14:textId="77777777" w:rsidR="00453601" w:rsidRPr="00453601" w:rsidRDefault="00453601" w:rsidP="00453601">
      <w:pPr>
        <w:spacing w:line="360" w:lineRule="auto"/>
        <w:rPr>
          <w:rFonts w:ascii="Arial" w:hAnsi="Arial" w:cs="Arial"/>
        </w:rPr>
      </w:pPr>
      <w:r w:rsidRPr="00453601">
        <w:rPr>
          <w:rFonts w:ascii="Arial" w:hAnsi="Arial" w:cs="Arial"/>
        </w:rPr>
        <w:t xml:space="preserve">Ultimately, dementia care is not only about managing symptoms but about fostering meaning, connection, and comfort in the final stages of life. By applying psychological insight, professionals can transform care environments into spaces of compassion, resilience, and hope. The integration of theory and practice ensures that older adults with </w:t>
      </w:r>
      <w:r w:rsidRPr="00453601">
        <w:rPr>
          <w:rFonts w:ascii="Arial" w:hAnsi="Arial" w:cs="Arial"/>
        </w:rPr>
        <w:lastRenderedPageBreak/>
        <w:t>dementia are not defined solely by their condition but are recognised as individuals with histories, identities, and emotional needs that deserve respect and support.</w:t>
      </w:r>
    </w:p>
    <w:p w14:paraId="5E3A8955" w14:textId="77777777" w:rsidR="00453601" w:rsidRPr="00453601" w:rsidRDefault="00453601" w:rsidP="00453601">
      <w:pPr>
        <w:spacing w:line="360" w:lineRule="auto"/>
        <w:rPr>
          <w:rFonts w:ascii="Arial" w:hAnsi="Arial" w:cs="Arial"/>
        </w:rPr>
      </w:pPr>
      <w:r w:rsidRPr="00453601">
        <w:rPr>
          <w:rFonts w:ascii="Arial" w:hAnsi="Arial" w:cs="Arial"/>
        </w:rPr>
        <w:t> </w:t>
      </w:r>
    </w:p>
    <w:p w14:paraId="06B36CCE" w14:textId="77777777" w:rsidR="00453601" w:rsidRPr="00453601" w:rsidRDefault="00453601" w:rsidP="00453601">
      <w:pPr>
        <w:spacing w:line="360" w:lineRule="auto"/>
        <w:rPr>
          <w:rFonts w:ascii="Arial" w:hAnsi="Arial" w:cs="Arial"/>
        </w:rPr>
      </w:pPr>
      <w:r w:rsidRPr="00453601">
        <w:rPr>
          <w:rFonts w:ascii="Arial" w:hAnsi="Arial" w:cs="Arial"/>
        </w:rPr>
        <w:t> </w:t>
      </w:r>
    </w:p>
    <w:p w14:paraId="6A695DF1" w14:textId="77777777" w:rsidR="00453601" w:rsidRDefault="00453601" w:rsidP="00453601">
      <w:pPr>
        <w:spacing w:line="360" w:lineRule="auto"/>
        <w:rPr>
          <w:rFonts w:ascii="Arial" w:hAnsi="Arial" w:cs="Arial"/>
          <w:b/>
          <w:bCs/>
        </w:rPr>
      </w:pPr>
    </w:p>
    <w:p w14:paraId="7CE96BDB" w14:textId="77777777" w:rsidR="00453601" w:rsidRDefault="00453601" w:rsidP="00453601">
      <w:pPr>
        <w:spacing w:line="360" w:lineRule="auto"/>
        <w:rPr>
          <w:rFonts w:ascii="Arial" w:hAnsi="Arial" w:cs="Arial"/>
          <w:b/>
          <w:bCs/>
        </w:rPr>
      </w:pPr>
    </w:p>
    <w:p w14:paraId="01F6D32A" w14:textId="77777777" w:rsidR="00453601" w:rsidRDefault="00453601" w:rsidP="00453601">
      <w:pPr>
        <w:spacing w:line="360" w:lineRule="auto"/>
        <w:rPr>
          <w:rFonts w:ascii="Arial" w:hAnsi="Arial" w:cs="Arial"/>
          <w:b/>
          <w:bCs/>
        </w:rPr>
      </w:pPr>
    </w:p>
    <w:p w14:paraId="71EBEAC6" w14:textId="77777777" w:rsidR="00453601" w:rsidRDefault="00453601" w:rsidP="00453601">
      <w:pPr>
        <w:spacing w:line="360" w:lineRule="auto"/>
        <w:rPr>
          <w:rFonts w:ascii="Arial" w:hAnsi="Arial" w:cs="Arial"/>
          <w:b/>
          <w:bCs/>
        </w:rPr>
      </w:pPr>
    </w:p>
    <w:p w14:paraId="0145750E" w14:textId="77777777" w:rsidR="00453601" w:rsidRDefault="00453601" w:rsidP="00453601">
      <w:pPr>
        <w:spacing w:line="360" w:lineRule="auto"/>
        <w:rPr>
          <w:rFonts w:ascii="Arial" w:hAnsi="Arial" w:cs="Arial"/>
          <w:b/>
          <w:bCs/>
        </w:rPr>
      </w:pPr>
    </w:p>
    <w:p w14:paraId="313EF24E" w14:textId="77777777" w:rsidR="00453601" w:rsidRDefault="00453601" w:rsidP="00453601">
      <w:pPr>
        <w:spacing w:line="360" w:lineRule="auto"/>
        <w:rPr>
          <w:rFonts w:ascii="Arial" w:hAnsi="Arial" w:cs="Arial"/>
          <w:b/>
          <w:bCs/>
        </w:rPr>
      </w:pPr>
    </w:p>
    <w:p w14:paraId="474AE2A2" w14:textId="77777777" w:rsidR="00453601" w:rsidRDefault="00453601" w:rsidP="00453601">
      <w:pPr>
        <w:spacing w:line="360" w:lineRule="auto"/>
        <w:rPr>
          <w:rFonts w:ascii="Arial" w:hAnsi="Arial" w:cs="Arial"/>
          <w:b/>
          <w:bCs/>
        </w:rPr>
      </w:pPr>
    </w:p>
    <w:p w14:paraId="5BC44191" w14:textId="77777777" w:rsidR="00453601" w:rsidRDefault="00453601" w:rsidP="00453601">
      <w:pPr>
        <w:spacing w:line="360" w:lineRule="auto"/>
        <w:rPr>
          <w:rFonts w:ascii="Arial" w:hAnsi="Arial" w:cs="Arial"/>
          <w:b/>
          <w:bCs/>
        </w:rPr>
      </w:pPr>
    </w:p>
    <w:p w14:paraId="08C5063E" w14:textId="77777777" w:rsidR="00453601" w:rsidRDefault="00453601" w:rsidP="00453601">
      <w:pPr>
        <w:spacing w:line="360" w:lineRule="auto"/>
        <w:rPr>
          <w:rFonts w:ascii="Arial" w:hAnsi="Arial" w:cs="Arial"/>
          <w:b/>
          <w:bCs/>
        </w:rPr>
      </w:pPr>
    </w:p>
    <w:p w14:paraId="05F243CA" w14:textId="77777777" w:rsidR="00453601" w:rsidRDefault="00453601" w:rsidP="00453601">
      <w:pPr>
        <w:spacing w:line="360" w:lineRule="auto"/>
        <w:rPr>
          <w:rFonts w:ascii="Arial" w:hAnsi="Arial" w:cs="Arial"/>
          <w:b/>
          <w:bCs/>
        </w:rPr>
      </w:pPr>
    </w:p>
    <w:p w14:paraId="605584ED" w14:textId="77777777" w:rsidR="00453601" w:rsidRDefault="00453601" w:rsidP="00453601">
      <w:pPr>
        <w:spacing w:line="360" w:lineRule="auto"/>
        <w:rPr>
          <w:rFonts w:ascii="Arial" w:hAnsi="Arial" w:cs="Arial"/>
          <w:b/>
          <w:bCs/>
        </w:rPr>
      </w:pPr>
    </w:p>
    <w:p w14:paraId="6D0F0000" w14:textId="77777777" w:rsidR="00453601" w:rsidRDefault="00453601" w:rsidP="00453601">
      <w:pPr>
        <w:spacing w:line="360" w:lineRule="auto"/>
        <w:rPr>
          <w:rFonts w:ascii="Arial" w:hAnsi="Arial" w:cs="Arial"/>
          <w:b/>
          <w:bCs/>
        </w:rPr>
      </w:pPr>
    </w:p>
    <w:p w14:paraId="0FA047B5" w14:textId="77777777" w:rsidR="00453601" w:rsidRDefault="00453601" w:rsidP="00453601">
      <w:pPr>
        <w:spacing w:line="360" w:lineRule="auto"/>
        <w:rPr>
          <w:rFonts w:ascii="Arial" w:hAnsi="Arial" w:cs="Arial"/>
          <w:b/>
          <w:bCs/>
        </w:rPr>
      </w:pPr>
    </w:p>
    <w:p w14:paraId="76EAEF08" w14:textId="77777777" w:rsidR="00453601" w:rsidRDefault="00453601" w:rsidP="00453601">
      <w:pPr>
        <w:spacing w:line="360" w:lineRule="auto"/>
        <w:rPr>
          <w:rFonts w:ascii="Arial" w:hAnsi="Arial" w:cs="Arial"/>
          <w:b/>
          <w:bCs/>
        </w:rPr>
      </w:pPr>
    </w:p>
    <w:p w14:paraId="28F41D1D" w14:textId="77777777" w:rsidR="00453601" w:rsidRDefault="00453601" w:rsidP="00453601">
      <w:pPr>
        <w:spacing w:line="360" w:lineRule="auto"/>
        <w:rPr>
          <w:rFonts w:ascii="Arial" w:hAnsi="Arial" w:cs="Arial"/>
          <w:b/>
          <w:bCs/>
        </w:rPr>
      </w:pPr>
    </w:p>
    <w:p w14:paraId="02220051" w14:textId="77777777" w:rsidR="00453601" w:rsidRDefault="00453601" w:rsidP="00453601">
      <w:pPr>
        <w:spacing w:line="360" w:lineRule="auto"/>
        <w:rPr>
          <w:rFonts w:ascii="Arial" w:hAnsi="Arial" w:cs="Arial"/>
          <w:b/>
          <w:bCs/>
        </w:rPr>
      </w:pPr>
    </w:p>
    <w:p w14:paraId="6B68B98B" w14:textId="77777777" w:rsidR="00453601" w:rsidRDefault="00453601" w:rsidP="00453601">
      <w:pPr>
        <w:spacing w:line="360" w:lineRule="auto"/>
        <w:rPr>
          <w:rFonts w:ascii="Arial" w:hAnsi="Arial" w:cs="Arial"/>
          <w:b/>
          <w:bCs/>
        </w:rPr>
      </w:pPr>
    </w:p>
    <w:p w14:paraId="285BEDEA" w14:textId="77777777" w:rsidR="00453601" w:rsidRDefault="00453601" w:rsidP="00453601">
      <w:pPr>
        <w:spacing w:line="360" w:lineRule="auto"/>
        <w:rPr>
          <w:rFonts w:ascii="Arial" w:hAnsi="Arial" w:cs="Arial"/>
          <w:b/>
          <w:bCs/>
        </w:rPr>
      </w:pPr>
    </w:p>
    <w:p w14:paraId="7735A77F" w14:textId="77777777" w:rsidR="00453601" w:rsidRDefault="00453601" w:rsidP="00453601">
      <w:pPr>
        <w:spacing w:line="360" w:lineRule="auto"/>
        <w:rPr>
          <w:rFonts w:ascii="Arial" w:hAnsi="Arial" w:cs="Arial"/>
          <w:b/>
          <w:bCs/>
        </w:rPr>
      </w:pPr>
    </w:p>
    <w:p w14:paraId="02EDDE16" w14:textId="77777777" w:rsidR="00453601" w:rsidRDefault="00453601" w:rsidP="00453601">
      <w:pPr>
        <w:spacing w:line="360" w:lineRule="auto"/>
        <w:rPr>
          <w:rFonts w:ascii="Arial" w:hAnsi="Arial" w:cs="Arial"/>
          <w:b/>
          <w:bCs/>
        </w:rPr>
      </w:pPr>
    </w:p>
    <w:p w14:paraId="5BED58B5" w14:textId="77777777" w:rsidR="00453601" w:rsidRDefault="00453601" w:rsidP="00453601">
      <w:pPr>
        <w:spacing w:line="360" w:lineRule="auto"/>
        <w:rPr>
          <w:rFonts w:ascii="Arial" w:hAnsi="Arial" w:cs="Arial"/>
          <w:b/>
          <w:bCs/>
        </w:rPr>
      </w:pPr>
    </w:p>
    <w:p w14:paraId="76C327F5" w14:textId="77777777" w:rsidR="00453601" w:rsidRDefault="00453601" w:rsidP="00453601">
      <w:pPr>
        <w:spacing w:line="360" w:lineRule="auto"/>
        <w:rPr>
          <w:rFonts w:ascii="Arial" w:hAnsi="Arial" w:cs="Arial"/>
          <w:b/>
          <w:bCs/>
        </w:rPr>
      </w:pPr>
    </w:p>
    <w:p w14:paraId="2C61D608" w14:textId="3B70F065" w:rsidR="00453601" w:rsidRPr="00453601" w:rsidRDefault="00453601" w:rsidP="00453601">
      <w:pPr>
        <w:spacing w:line="360" w:lineRule="auto"/>
        <w:rPr>
          <w:rFonts w:ascii="Arial" w:hAnsi="Arial" w:cs="Arial"/>
        </w:rPr>
      </w:pPr>
      <w:r w:rsidRPr="00453601">
        <w:rPr>
          <w:rFonts w:ascii="Arial" w:hAnsi="Arial" w:cs="Arial"/>
          <w:b/>
          <w:bCs/>
        </w:rPr>
        <w:lastRenderedPageBreak/>
        <w:t>References </w:t>
      </w:r>
      <w:r w:rsidRPr="00453601">
        <w:rPr>
          <w:rFonts w:ascii="Arial" w:hAnsi="Arial" w:cs="Arial"/>
        </w:rPr>
        <w:t> </w:t>
      </w:r>
    </w:p>
    <w:p w14:paraId="405CB76A" w14:textId="77777777" w:rsidR="00453601" w:rsidRPr="00453601" w:rsidRDefault="00453601" w:rsidP="00453601">
      <w:pPr>
        <w:spacing w:line="360" w:lineRule="auto"/>
        <w:rPr>
          <w:rFonts w:ascii="Arial" w:hAnsi="Arial" w:cs="Arial"/>
        </w:rPr>
      </w:pPr>
      <w:r w:rsidRPr="00453601">
        <w:rPr>
          <w:rFonts w:ascii="Arial" w:hAnsi="Arial" w:cs="Arial"/>
        </w:rPr>
        <w:t>Erikson, E.H. (1982). </w:t>
      </w:r>
      <w:r w:rsidRPr="00453601">
        <w:rPr>
          <w:rFonts w:ascii="Arial" w:hAnsi="Arial" w:cs="Arial"/>
          <w:i/>
          <w:iCs/>
        </w:rPr>
        <w:t>The Life Cycle Completed</w:t>
      </w:r>
      <w:r w:rsidRPr="00453601">
        <w:rPr>
          <w:rFonts w:ascii="Arial" w:hAnsi="Arial" w:cs="Arial"/>
        </w:rPr>
        <w:t>. New York: Norton. </w:t>
      </w:r>
    </w:p>
    <w:p w14:paraId="3FF5346D" w14:textId="77777777" w:rsidR="00453601" w:rsidRPr="00453601" w:rsidRDefault="00453601" w:rsidP="00453601">
      <w:pPr>
        <w:spacing w:line="360" w:lineRule="auto"/>
        <w:rPr>
          <w:rFonts w:ascii="Arial" w:hAnsi="Arial" w:cs="Arial"/>
        </w:rPr>
      </w:pPr>
      <w:r w:rsidRPr="00453601">
        <w:rPr>
          <w:rFonts w:ascii="Arial" w:hAnsi="Arial" w:cs="Arial"/>
        </w:rPr>
        <w:t>Feil, N. (2012). </w:t>
      </w:r>
      <w:r w:rsidRPr="00453601">
        <w:rPr>
          <w:rFonts w:ascii="Arial" w:hAnsi="Arial" w:cs="Arial"/>
          <w:i/>
          <w:iCs/>
        </w:rPr>
        <w:t>The Validation Breakthrough: Simple Techniques for Communicating with People with Alzheimer's-Type Dementia</w:t>
      </w:r>
      <w:r w:rsidRPr="00453601">
        <w:rPr>
          <w:rFonts w:ascii="Arial" w:hAnsi="Arial" w:cs="Arial"/>
        </w:rPr>
        <w:t>. Health Professions Press. </w:t>
      </w:r>
    </w:p>
    <w:p w14:paraId="3CE9080C" w14:textId="77777777" w:rsidR="00453601" w:rsidRPr="00453601" w:rsidRDefault="00453601" w:rsidP="00453601">
      <w:pPr>
        <w:spacing w:line="360" w:lineRule="auto"/>
        <w:rPr>
          <w:rFonts w:ascii="Arial" w:hAnsi="Arial" w:cs="Arial"/>
        </w:rPr>
      </w:pPr>
      <w:r w:rsidRPr="00453601">
        <w:rPr>
          <w:rFonts w:ascii="Arial" w:hAnsi="Arial" w:cs="Arial"/>
        </w:rPr>
        <w:t>James, I.A., Gray, K., Moniz-Cook, E., Lee, K., Reichelt, K., &amp; Richardson, J. (2021). Behavioural and psychological symptoms of dementia: a new framework for holistic understanding and non-pharmacological management. </w:t>
      </w:r>
      <w:proofErr w:type="spellStart"/>
      <w:r w:rsidRPr="00453601">
        <w:rPr>
          <w:rFonts w:ascii="Arial" w:hAnsi="Arial" w:cs="Arial"/>
          <w:i/>
          <w:iCs/>
        </w:rPr>
        <w:t>BJPsych</w:t>
      </w:r>
      <w:proofErr w:type="spellEnd"/>
      <w:r w:rsidRPr="00453601">
        <w:rPr>
          <w:rFonts w:ascii="Arial" w:hAnsi="Arial" w:cs="Arial"/>
          <w:i/>
          <w:iCs/>
        </w:rPr>
        <w:t> Advances</w:t>
      </w:r>
      <w:r w:rsidRPr="00453601">
        <w:rPr>
          <w:rFonts w:ascii="Arial" w:hAnsi="Arial" w:cs="Arial"/>
        </w:rPr>
        <w:t>, 28(1). Cambridge Core </w:t>
      </w:r>
    </w:p>
    <w:p w14:paraId="52E69504" w14:textId="77777777" w:rsidR="00453601" w:rsidRPr="00453601" w:rsidRDefault="00453601" w:rsidP="00453601">
      <w:pPr>
        <w:spacing w:line="360" w:lineRule="auto"/>
        <w:rPr>
          <w:rFonts w:ascii="Arial" w:hAnsi="Arial" w:cs="Arial"/>
        </w:rPr>
      </w:pPr>
      <w:r w:rsidRPr="00453601">
        <w:rPr>
          <w:rFonts w:ascii="Arial" w:hAnsi="Arial" w:cs="Arial"/>
        </w:rPr>
        <w:t>McKeown, J., Clarke, A., Ingleton, C., Ryan, T., &amp; Repper, J. (2010). The use of life story work with people with dementia to enhance person-centred care. </w:t>
      </w:r>
      <w:r w:rsidRPr="00453601">
        <w:rPr>
          <w:rFonts w:ascii="Arial" w:hAnsi="Arial" w:cs="Arial"/>
          <w:i/>
          <w:iCs/>
        </w:rPr>
        <w:t>International Journal of Older People Nursing</w:t>
      </w:r>
      <w:r w:rsidRPr="00453601">
        <w:rPr>
          <w:rFonts w:ascii="Arial" w:hAnsi="Arial" w:cs="Arial"/>
        </w:rPr>
        <w:t>, 5(2), pp.148–158 </w:t>
      </w:r>
    </w:p>
    <w:p w14:paraId="72EFA06E" w14:textId="77777777" w:rsidR="00453601" w:rsidRPr="00453601" w:rsidRDefault="00453601" w:rsidP="00453601">
      <w:pPr>
        <w:spacing w:line="360" w:lineRule="auto"/>
        <w:rPr>
          <w:rFonts w:ascii="Arial" w:hAnsi="Arial" w:cs="Arial"/>
        </w:rPr>
      </w:pPr>
      <w:r w:rsidRPr="00453601">
        <w:rPr>
          <w:rFonts w:ascii="Arial" w:hAnsi="Arial" w:cs="Arial"/>
        </w:rPr>
        <w:t>Skinner, B.F. (1953). </w:t>
      </w:r>
      <w:r w:rsidRPr="00453601">
        <w:rPr>
          <w:rFonts w:ascii="Arial" w:hAnsi="Arial" w:cs="Arial"/>
          <w:i/>
          <w:iCs/>
        </w:rPr>
        <w:t>Science and Human </w:t>
      </w:r>
      <w:proofErr w:type="spellStart"/>
      <w:r w:rsidRPr="00453601">
        <w:rPr>
          <w:rFonts w:ascii="Arial" w:hAnsi="Arial" w:cs="Arial"/>
          <w:i/>
          <w:iCs/>
        </w:rPr>
        <w:t>Behavior</w:t>
      </w:r>
      <w:proofErr w:type="spellEnd"/>
      <w:r w:rsidRPr="00453601">
        <w:rPr>
          <w:rFonts w:ascii="Arial" w:hAnsi="Arial" w:cs="Arial"/>
        </w:rPr>
        <w:t>. New York: Macmillan. </w:t>
      </w:r>
    </w:p>
    <w:p w14:paraId="6DEA7DF7" w14:textId="77777777" w:rsidR="00453601" w:rsidRPr="00453601" w:rsidRDefault="00453601" w:rsidP="00453601">
      <w:pPr>
        <w:spacing w:line="360" w:lineRule="auto"/>
        <w:rPr>
          <w:rFonts w:ascii="Arial" w:hAnsi="Arial" w:cs="Arial"/>
        </w:rPr>
      </w:pPr>
      <w:r w:rsidRPr="00453601">
        <w:rPr>
          <w:rFonts w:ascii="Arial" w:hAnsi="Arial" w:cs="Arial"/>
        </w:rPr>
        <w:t>Woods, B., </w:t>
      </w:r>
      <w:proofErr w:type="spellStart"/>
      <w:r w:rsidRPr="00453601">
        <w:rPr>
          <w:rFonts w:ascii="Arial" w:hAnsi="Arial" w:cs="Arial"/>
        </w:rPr>
        <w:t>O’Philbin</w:t>
      </w:r>
      <w:proofErr w:type="spellEnd"/>
      <w:r w:rsidRPr="00453601">
        <w:rPr>
          <w:rFonts w:ascii="Arial" w:hAnsi="Arial" w:cs="Arial"/>
        </w:rPr>
        <w:t>, L., Farrell, E.M., Spector, A.E., &amp; Orrell, M. (2018). Reminiscence therapy for dementia. </w:t>
      </w:r>
      <w:r w:rsidRPr="00453601">
        <w:rPr>
          <w:rFonts w:ascii="Arial" w:hAnsi="Arial" w:cs="Arial"/>
          <w:i/>
          <w:iCs/>
        </w:rPr>
        <w:t>Cochrane Database of Systematic Reviews</w:t>
      </w:r>
      <w:r w:rsidRPr="00453601">
        <w:rPr>
          <w:rFonts w:ascii="Arial" w:hAnsi="Arial" w:cs="Arial"/>
        </w:rPr>
        <w:t>, Issue 3. DOI: 10.1002/14651858.CD001120.pub3. </w:t>
      </w:r>
    </w:p>
    <w:p w14:paraId="57EF5D0C" w14:textId="77777777" w:rsidR="00453601" w:rsidRPr="00453601" w:rsidRDefault="00453601" w:rsidP="00453601">
      <w:pPr>
        <w:spacing w:line="360" w:lineRule="auto"/>
        <w:rPr>
          <w:rFonts w:ascii="Arial" w:hAnsi="Arial" w:cs="Arial"/>
        </w:rPr>
      </w:pPr>
      <w:r w:rsidRPr="00453601">
        <w:rPr>
          <w:rFonts w:ascii="Arial" w:hAnsi="Arial" w:cs="Arial"/>
        </w:rPr>
        <w:t> </w:t>
      </w:r>
    </w:p>
    <w:p w14:paraId="14D179FE" w14:textId="77777777" w:rsidR="00453601" w:rsidRPr="00453601" w:rsidRDefault="00453601" w:rsidP="00453601">
      <w:pPr>
        <w:spacing w:line="360" w:lineRule="auto"/>
        <w:rPr>
          <w:rFonts w:ascii="Arial" w:hAnsi="Arial" w:cs="Arial"/>
        </w:rPr>
      </w:pPr>
      <w:r w:rsidRPr="00453601">
        <w:rPr>
          <w:rFonts w:ascii="Arial" w:hAnsi="Arial" w:cs="Arial"/>
        </w:rPr>
        <w:t> </w:t>
      </w:r>
    </w:p>
    <w:p w14:paraId="53813EFB" w14:textId="77777777" w:rsidR="0070111D" w:rsidRPr="00453601" w:rsidRDefault="0070111D" w:rsidP="00453601">
      <w:pPr>
        <w:spacing w:line="360" w:lineRule="auto"/>
        <w:rPr>
          <w:rFonts w:ascii="Arial" w:hAnsi="Arial" w:cs="Arial"/>
        </w:rPr>
      </w:pPr>
    </w:p>
    <w:sectPr w:rsidR="0070111D" w:rsidRPr="004536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B4D37"/>
    <w:multiLevelType w:val="multilevel"/>
    <w:tmpl w:val="E7BE1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03679C"/>
    <w:multiLevelType w:val="multilevel"/>
    <w:tmpl w:val="1460F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F0370"/>
    <w:multiLevelType w:val="multilevel"/>
    <w:tmpl w:val="2F02EF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800AD6"/>
    <w:multiLevelType w:val="multilevel"/>
    <w:tmpl w:val="DDF24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832457"/>
    <w:multiLevelType w:val="multilevel"/>
    <w:tmpl w:val="96EA0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BB71B5"/>
    <w:multiLevelType w:val="multilevel"/>
    <w:tmpl w:val="0F2A1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2A6D60"/>
    <w:multiLevelType w:val="multilevel"/>
    <w:tmpl w:val="7D105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0B1EFF"/>
    <w:multiLevelType w:val="multilevel"/>
    <w:tmpl w:val="BACCB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541802"/>
    <w:multiLevelType w:val="multilevel"/>
    <w:tmpl w:val="890AE0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6B792B"/>
    <w:multiLevelType w:val="multilevel"/>
    <w:tmpl w:val="5EAA3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245FE4"/>
    <w:multiLevelType w:val="multilevel"/>
    <w:tmpl w:val="CCFC9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5F207C"/>
    <w:multiLevelType w:val="multilevel"/>
    <w:tmpl w:val="C95E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AD5362"/>
    <w:multiLevelType w:val="multilevel"/>
    <w:tmpl w:val="31E6B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AC777F"/>
    <w:multiLevelType w:val="multilevel"/>
    <w:tmpl w:val="10167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D479AC"/>
    <w:multiLevelType w:val="multilevel"/>
    <w:tmpl w:val="02CCC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0558823">
    <w:abstractNumId w:val="14"/>
  </w:num>
  <w:num w:numId="2" w16cid:durableId="451903233">
    <w:abstractNumId w:val="5"/>
  </w:num>
  <w:num w:numId="3" w16cid:durableId="1469737693">
    <w:abstractNumId w:val="2"/>
  </w:num>
  <w:num w:numId="4" w16cid:durableId="2098556330">
    <w:abstractNumId w:val="12"/>
  </w:num>
  <w:num w:numId="5" w16cid:durableId="84805703">
    <w:abstractNumId w:val="9"/>
  </w:num>
  <w:num w:numId="6" w16cid:durableId="1150705887">
    <w:abstractNumId w:val="8"/>
  </w:num>
  <w:num w:numId="7" w16cid:durableId="535392146">
    <w:abstractNumId w:val="3"/>
  </w:num>
  <w:num w:numId="8" w16cid:durableId="1114792189">
    <w:abstractNumId w:val="1"/>
  </w:num>
  <w:num w:numId="9" w16cid:durableId="1142192150">
    <w:abstractNumId w:val="0"/>
  </w:num>
  <w:num w:numId="10" w16cid:durableId="179588680">
    <w:abstractNumId w:val="7"/>
  </w:num>
  <w:num w:numId="11" w16cid:durableId="819887928">
    <w:abstractNumId w:val="13"/>
  </w:num>
  <w:num w:numId="12" w16cid:durableId="1760252670">
    <w:abstractNumId w:val="11"/>
  </w:num>
  <w:num w:numId="13" w16cid:durableId="473445970">
    <w:abstractNumId w:val="6"/>
  </w:num>
  <w:num w:numId="14" w16cid:durableId="788822943">
    <w:abstractNumId w:val="4"/>
  </w:num>
  <w:num w:numId="15" w16cid:durableId="1307589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601"/>
    <w:rsid w:val="00453601"/>
    <w:rsid w:val="005A5071"/>
    <w:rsid w:val="0070111D"/>
    <w:rsid w:val="00865387"/>
    <w:rsid w:val="0086668C"/>
    <w:rsid w:val="00DF7865"/>
    <w:rsid w:val="00FD4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60D4F"/>
  <w15:chartTrackingRefBased/>
  <w15:docId w15:val="{12D68D81-7B2C-407F-92AC-65119EBF0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36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36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36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36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36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36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36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36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36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36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36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36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36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36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36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36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36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3601"/>
    <w:rPr>
      <w:rFonts w:eastAsiaTheme="majorEastAsia" w:cstheme="majorBidi"/>
      <w:color w:val="272727" w:themeColor="text1" w:themeTint="D8"/>
    </w:rPr>
  </w:style>
  <w:style w:type="paragraph" w:styleId="Title">
    <w:name w:val="Title"/>
    <w:basedOn w:val="Normal"/>
    <w:next w:val="Normal"/>
    <w:link w:val="TitleChar"/>
    <w:uiPriority w:val="10"/>
    <w:qFormat/>
    <w:rsid w:val="004536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6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36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36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3601"/>
    <w:pPr>
      <w:spacing w:before="160"/>
      <w:jc w:val="center"/>
    </w:pPr>
    <w:rPr>
      <w:i/>
      <w:iCs/>
      <w:color w:val="404040" w:themeColor="text1" w:themeTint="BF"/>
    </w:rPr>
  </w:style>
  <w:style w:type="character" w:customStyle="1" w:styleId="QuoteChar">
    <w:name w:val="Quote Char"/>
    <w:basedOn w:val="DefaultParagraphFont"/>
    <w:link w:val="Quote"/>
    <w:uiPriority w:val="29"/>
    <w:rsid w:val="00453601"/>
    <w:rPr>
      <w:i/>
      <w:iCs/>
      <w:color w:val="404040" w:themeColor="text1" w:themeTint="BF"/>
    </w:rPr>
  </w:style>
  <w:style w:type="paragraph" w:styleId="ListParagraph">
    <w:name w:val="List Paragraph"/>
    <w:basedOn w:val="Normal"/>
    <w:uiPriority w:val="34"/>
    <w:qFormat/>
    <w:rsid w:val="00453601"/>
    <w:pPr>
      <w:ind w:left="720"/>
      <w:contextualSpacing/>
    </w:pPr>
  </w:style>
  <w:style w:type="character" w:styleId="IntenseEmphasis">
    <w:name w:val="Intense Emphasis"/>
    <w:basedOn w:val="DefaultParagraphFont"/>
    <w:uiPriority w:val="21"/>
    <w:qFormat/>
    <w:rsid w:val="00453601"/>
    <w:rPr>
      <w:i/>
      <w:iCs/>
      <w:color w:val="0F4761" w:themeColor="accent1" w:themeShade="BF"/>
    </w:rPr>
  </w:style>
  <w:style w:type="paragraph" w:styleId="IntenseQuote">
    <w:name w:val="Intense Quote"/>
    <w:basedOn w:val="Normal"/>
    <w:next w:val="Normal"/>
    <w:link w:val="IntenseQuoteChar"/>
    <w:uiPriority w:val="30"/>
    <w:qFormat/>
    <w:rsid w:val="004536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3601"/>
    <w:rPr>
      <w:i/>
      <w:iCs/>
      <w:color w:val="0F4761" w:themeColor="accent1" w:themeShade="BF"/>
    </w:rPr>
  </w:style>
  <w:style w:type="character" w:styleId="IntenseReference">
    <w:name w:val="Intense Reference"/>
    <w:basedOn w:val="DefaultParagraphFont"/>
    <w:uiPriority w:val="32"/>
    <w:qFormat/>
    <w:rsid w:val="004536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1839</Words>
  <Characters>10486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Tempany Hartwell</dc:creator>
  <cp:keywords/>
  <dc:description/>
  <cp:lastModifiedBy>Tempany Hartwell</cp:lastModifiedBy>
  <cp:revision>1</cp:revision>
  <dcterms:created xsi:type="dcterms:W3CDTF">2025-11-16T09:22:00Z</dcterms:created>
  <dcterms:modified xsi:type="dcterms:W3CDTF">2025-11-16T09:33:00Z</dcterms:modified>
</cp:coreProperties>
</file>