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8548813"/>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1BBB72C9" w14:textId="284FD974" w:rsidR="00AA2FC6" w:rsidRDefault="00AA2FC6">
          <w:r>
            <w:rPr>
              <w:noProof/>
            </w:rPr>
            <mc:AlternateContent>
              <mc:Choice Requires="wpg">
                <w:drawing>
                  <wp:anchor distT="0" distB="0" distL="114300" distR="114300" simplePos="0" relativeHeight="251662336" behindDoc="0" locked="0" layoutInCell="1" allowOverlap="1" wp14:anchorId="012F50CE" wp14:editId="701E9E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8D90A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DFE7F5" wp14:editId="11D2948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0A0058" w14:textId="1B7B6C3B" w:rsidR="00067198" w:rsidRPr="0014626A" w:rsidRDefault="00067198" w:rsidP="00A43565">
                                <w:pPr>
                                  <w:spacing w:before="100" w:beforeAutospacing="1" w:after="30" w:line="360" w:lineRule="auto"/>
                                  <w:rPr>
                                    <w:rFonts w:ascii="Times New Roman" w:eastAsia="Times New Roman" w:hAnsi="Times New Roman" w:cs="Times New Roman"/>
                                    <w:kern w:val="0"/>
                                    <w:lang w:eastAsia="en-GB"/>
                                    <w14:ligatures w14:val="none"/>
                                  </w:rPr>
                                </w:pPr>
                                <w:r w:rsidRPr="0014626A">
                                  <w:rPr>
                                    <w:rFonts w:ascii="Times New Roman" w:eastAsia="Times New Roman" w:hAnsi="Times New Roman" w:cs="Times New Roman"/>
                                    <w:b/>
                                    <w:bCs/>
                                    <w:kern w:val="0"/>
                                    <w:lang w:eastAsia="en-GB"/>
                                    <w14:ligatures w14:val="none"/>
                                  </w:rPr>
                                  <w:t>Submitted by:</w:t>
                                </w:r>
                                <w:r w:rsidRPr="0014626A">
                                  <w:rPr>
                                    <w:rFonts w:ascii="Times New Roman" w:eastAsia="Times New Roman" w:hAnsi="Times New Roman" w:cs="Times New Roman"/>
                                    <w:kern w:val="0"/>
                                    <w:lang w:eastAsia="en-GB"/>
                                    <w14:ligatures w14:val="none"/>
                                  </w:rPr>
                                  <w:t xml:space="preserve"> Angela Vicente Furtado Dias </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Student ID:</w:t>
                                </w:r>
                                <w:r w:rsidRPr="0014626A">
                                  <w:rPr>
                                    <w:rFonts w:ascii="Times New Roman" w:eastAsia="Times New Roman" w:hAnsi="Times New Roman" w:cs="Times New Roman"/>
                                    <w:kern w:val="0"/>
                                    <w:lang w:eastAsia="en-GB"/>
                                    <w14:ligatures w14:val="none"/>
                                  </w:rPr>
                                  <w:t xml:space="preserve"> </w:t>
                                </w:r>
                                <w:r w:rsidR="00A5021D" w:rsidRPr="0014626A">
                                  <w:rPr>
                                    <w:rFonts w:ascii="Times New Roman" w:eastAsia="Times New Roman" w:hAnsi="Times New Roman" w:cs="Times New Roman"/>
                                    <w:kern w:val="0"/>
                                    <w:lang w:eastAsia="en-GB"/>
                                    <w14:ligatures w14:val="none"/>
                                  </w:rPr>
                                  <w:t>2413809</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Module</w:t>
                                </w:r>
                                <w:r w:rsidR="00A5021D" w:rsidRPr="0014626A">
                                  <w:rPr>
                                    <w:rFonts w:ascii="Times New Roman" w:eastAsia="Times New Roman" w:hAnsi="Times New Roman" w:cs="Times New Roman"/>
                                    <w:b/>
                                    <w:bCs/>
                                    <w:kern w:val="0"/>
                                    <w:lang w:eastAsia="en-GB"/>
                                    <w14:ligatures w14:val="none"/>
                                  </w:rPr>
                                  <w:t xml:space="preserve"> Name and code: </w:t>
                                </w:r>
                                <w:r w:rsidR="0018644D" w:rsidRPr="0014626A">
                                  <w:rPr>
                                    <w:rFonts w:ascii="Times New Roman" w:eastAsia="Times New Roman" w:hAnsi="Times New Roman" w:cs="Times New Roman"/>
                                    <w:kern w:val="0"/>
                                    <w:lang w:eastAsia="en-GB"/>
                                    <w14:ligatures w14:val="none"/>
                                  </w:rPr>
                                  <w:t xml:space="preserve">Understanding and engage stakeholders </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Lecturer:</w:t>
                                </w:r>
                                <w:r w:rsidRPr="0014626A">
                                  <w:rPr>
                                    <w:rFonts w:ascii="Times New Roman" w:eastAsia="Times New Roman" w:hAnsi="Times New Roman" w:cs="Times New Roman"/>
                                    <w:kern w:val="0"/>
                                    <w:lang w:eastAsia="en-GB"/>
                                    <w14:ligatures w14:val="none"/>
                                  </w:rPr>
                                  <w:t xml:space="preserve"> </w:t>
                                </w:r>
                                <w:r w:rsidR="00120DE2" w:rsidRPr="0014626A">
                                  <w:rPr>
                                    <w:rFonts w:ascii="Times New Roman" w:eastAsia="Times New Roman" w:hAnsi="Times New Roman" w:cs="Times New Roman"/>
                                    <w:kern w:val="0"/>
                                    <w:lang w:eastAsia="en-GB"/>
                                    <w14:ligatures w14:val="none"/>
                                  </w:rPr>
                                  <w:t>Nadeem Mirza</w:t>
                                </w:r>
                                <w:r w:rsidRPr="0014626A">
                                  <w:rPr>
                                    <w:rFonts w:ascii="Times New Roman" w:eastAsia="Times New Roman" w:hAnsi="Times New Roman" w:cs="Times New Roman"/>
                                    <w:kern w:val="0"/>
                                    <w:lang w:eastAsia="en-GB"/>
                                    <w14:ligatures w14:val="none"/>
                                  </w:rPr>
                                  <w:br/>
                                </w:r>
                              </w:p>
                              <w:p w14:paraId="14FD46F7" w14:textId="358451F9" w:rsidR="00AA2FC6" w:rsidRDefault="00AA2FC6" w:rsidP="00067198">
                                <w:pPr>
                                  <w:pStyle w:val="NoSpacing"/>
                                  <w:rPr>
                                    <w:color w:val="595959" w:themeColor="text1" w:themeTint="A6"/>
                                    <w:sz w:val="28"/>
                                    <w:szCs w:val="28"/>
                                  </w:rPr>
                                </w:pPr>
                              </w:p>
                              <w:p w14:paraId="53983FE1" w14:textId="125DAEDD" w:rsidR="00AA2FC6" w:rsidRDefault="00000000" w:rsidP="00067198">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6719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DFE7F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0A0058" w14:textId="1B7B6C3B" w:rsidR="00067198" w:rsidRPr="0014626A" w:rsidRDefault="00067198" w:rsidP="00A43565">
                          <w:pPr>
                            <w:spacing w:before="100" w:beforeAutospacing="1" w:after="30" w:line="360" w:lineRule="auto"/>
                            <w:rPr>
                              <w:rFonts w:ascii="Times New Roman" w:eastAsia="Times New Roman" w:hAnsi="Times New Roman" w:cs="Times New Roman"/>
                              <w:kern w:val="0"/>
                              <w:lang w:eastAsia="en-GB"/>
                              <w14:ligatures w14:val="none"/>
                            </w:rPr>
                          </w:pPr>
                          <w:r w:rsidRPr="0014626A">
                            <w:rPr>
                              <w:rFonts w:ascii="Times New Roman" w:eastAsia="Times New Roman" w:hAnsi="Times New Roman" w:cs="Times New Roman"/>
                              <w:b/>
                              <w:bCs/>
                              <w:kern w:val="0"/>
                              <w:lang w:eastAsia="en-GB"/>
                              <w14:ligatures w14:val="none"/>
                            </w:rPr>
                            <w:t>Submitted by:</w:t>
                          </w:r>
                          <w:r w:rsidRPr="0014626A">
                            <w:rPr>
                              <w:rFonts w:ascii="Times New Roman" w:eastAsia="Times New Roman" w:hAnsi="Times New Roman" w:cs="Times New Roman"/>
                              <w:kern w:val="0"/>
                              <w:lang w:eastAsia="en-GB"/>
                              <w14:ligatures w14:val="none"/>
                            </w:rPr>
                            <w:t xml:space="preserve"> Angela Vicente Furtado Dias </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Student ID:</w:t>
                          </w:r>
                          <w:r w:rsidRPr="0014626A">
                            <w:rPr>
                              <w:rFonts w:ascii="Times New Roman" w:eastAsia="Times New Roman" w:hAnsi="Times New Roman" w:cs="Times New Roman"/>
                              <w:kern w:val="0"/>
                              <w:lang w:eastAsia="en-GB"/>
                              <w14:ligatures w14:val="none"/>
                            </w:rPr>
                            <w:t xml:space="preserve"> </w:t>
                          </w:r>
                          <w:r w:rsidR="00A5021D" w:rsidRPr="0014626A">
                            <w:rPr>
                              <w:rFonts w:ascii="Times New Roman" w:eastAsia="Times New Roman" w:hAnsi="Times New Roman" w:cs="Times New Roman"/>
                              <w:kern w:val="0"/>
                              <w:lang w:eastAsia="en-GB"/>
                              <w14:ligatures w14:val="none"/>
                            </w:rPr>
                            <w:t>2413809</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Module</w:t>
                          </w:r>
                          <w:r w:rsidR="00A5021D" w:rsidRPr="0014626A">
                            <w:rPr>
                              <w:rFonts w:ascii="Times New Roman" w:eastAsia="Times New Roman" w:hAnsi="Times New Roman" w:cs="Times New Roman"/>
                              <w:b/>
                              <w:bCs/>
                              <w:kern w:val="0"/>
                              <w:lang w:eastAsia="en-GB"/>
                              <w14:ligatures w14:val="none"/>
                            </w:rPr>
                            <w:t xml:space="preserve"> Name and code: </w:t>
                          </w:r>
                          <w:r w:rsidR="0018644D" w:rsidRPr="0014626A">
                            <w:rPr>
                              <w:rFonts w:ascii="Times New Roman" w:eastAsia="Times New Roman" w:hAnsi="Times New Roman" w:cs="Times New Roman"/>
                              <w:kern w:val="0"/>
                              <w:lang w:eastAsia="en-GB"/>
                              <w14:ligatures w14:val="none"/>
                            </w:rPr>
                            <w:t xml:space="preserve">Understanding and engage stakeholders </w:t>
                          </w:r>
                          <w:r w:rsidRPr="0014626A">
                            <w:rPr>
                              <w:rFonts w:ascii="Times New Roman" w:eastAsia="Times New Roman" w:hAnsi="Times New Roman" w:cs="Times New Roman"/>
                              <w:kern w:val="0"/>
                              <w:lang w:eastAsia="en-GB"/>
                              <w14:ligatures w14:val="none"/>
                            </w:rPr>
                            <w:br/>
                          </w:r>
                          <w:r w:rsidRPr="0014626A">
                            <w:rPr>
                              <w:rFonts w:ascii="Times New Roman" w:eastAsia="Times New Roman" w:hAnsi="Times New Roman" w:cs="Times New Roman"/>
                              <w:b/>
                              <w:bCs/>
                              <w:kern w:val="0"/>
                              <w:lang w:eastAsia="en-GB"/>
                              <w14:ligatures w14:val="none"/>
                            </w:rPr>
                            <w:t>Lecturer:</w:t>
                          </w:r>
                          <w:r w:rsidRPr="0014626A">
                            <w:rPr>
                              <w:rFonts w:ascii="Times New Roman" w:eastAsia="Times New Roman" w:hAnsi="Times New Roman" w:cs="Times New Roman"/>
                              <w:kern w:val="0"/>
                              <w:lang w:eastAsia="en-GB"/>
                              <w14:ligatures w14:val="none"/>
                            </w:rPr>
                            <w:t xml:space="preserve"> </w:t>
                          </w:r>
                          <w:r w:rsidR="00120DE2" w:rsidRPr="0014626A">
                            <w:rPr>
                              <w:rFonts w:ascii="Times New Roman" w:eastAsia="Times New Roman" w:hAnsi="Times New Roman" w:cs="Times New Roman"/>
                              <w:kern w:val="0"/>
                              <w:lang w:eastAsia="en-GB"/>
                              <w14:ligatures w14:val="none"/>
                            </w:rPr>
                            <w:t>Nadeem Mirza</w:t>
                          </w:r>
                          <w:r w:rsidRPr="0014626A">
                            <w:rPr>
                              <w:rFonts w:ascii="Times New Roman" w:eastAsia="Times New Roman" w:hAnsi="Times New Roman" w:cs="Times New Roman"/>
                              <w:kern w:val="0"/>
                              <w:lang w:eastAsia="en-GB"/>
                              <w14:ligatures w14:val="none"/>
                            </w:rPr>
                            <w:br/>
                          </w:r>
                        </w:p>
                        <w:p w14:paraId="14FD46F7" w14:textId="358451F9" w:rsidR="00AA2FC6" w:rsidRDefault="00AA2FC6" w:rsidP="00067198">
                          <w:pPr>
                            <w:pStyle w:val="NoSpacing"/>
                            <w:rPr>
                              <w:color w:val="595959" w:themeColor="text1" w:themeTint="A6"/>
                              <w:sz w:val="28"/>
                              <w:szCs w:val="28"/>
                            </w:rPr>
                          </w:pPr>
                        </w:p>
                        <w:p w14:paraId="53983FE1" w14:textId="125DAEDD" w:rsidR="00AA2FC6" w:rsidRDefault="00000000" w:rsidP="00067198">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6719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69904A4" wp14:editId="4753DC3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38258F" w14:textId="68E71F5D" w:rsidR="00AA2FC6" w:rsidRDefault="00AA2FC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205E5D3" w14:textId="188CC190" w:rsidR="00AA2FC6" w:rsidRDefault="00067198" w:rsidP="00067198">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9904A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138258F" w14:textId="68E71F5D" w:rsidR="00AA2FC6" w:rsidRDefault="00AA2FC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205E5D3" w14:textId="188CC190" w:rsidR="00AA2FC6" w:rsidRDefault="00067198" w:rsidP="00067198">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489EEC4" w14:textId="1A55FEDA" w:rsidR="00966AFD" w:rsidRDefault="00A97E91" w:rsidP="00966AFD">
          <w:pPr>
            <w:spacing w:line="360" w:lineRule="auto"/>
            <w:rPr>
              <w:rFonts w:ascii="Times New Roman" w:eastAsia="Times New Roman" w:hAnsi="Times New Roman" w:cs="Times New Roman"/>
              <w:kern w:val="0"/>
              <w:lang w:eastAsia="en-GB"/>
              <w14:ligatures w14:val="none"/>
            </w:rPr>
          </w:pPr>
          <w:r w:rsidRPr="000D0027">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7354077" wp14:editId="02405DF1">
                    <wp:simplePos x="0" y="0"/>
                    <wp:positionH relativeFrom="margin">
                      <wp:posOffset>-245110</wp:posOffset>
                    </wp:positionH>
                    <wp:positionV relativeFrom="page">
                      <wp:posOffset>4146550</wp:posOffset>
                    </wp:positionV>
                    <wp:extent cx="6485255" cy="1913255"/>
                    <wp:effectExtent l="0" t="0" r="0" b="10795"/>
                    <wp:wrapSquare wrapText="bothSides"/>
                    <wp:docPr id="154" name="Text Box 163"/>
                    <wp:cNvGraphicFramePr/>
                    <a:graphic xmlns:a="http://schemas.openxmlformats.org/drawingml/2006/main">
                      <a:graphicData uri="http://schemas.microsoft.com/office/word/2010/wordprocessingShape">
                        <wps:wsp>
                          <wps:cNvSpPr txBox="1"/>
                          <wps:spPr>
                            <a:xfrm>
                              <a:off x="0" y="0"/>
                              <a:ext cx="6485255" cy="19132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B6DCF2" w14:textId="775AAAB8" w:rsidR="00067198" w:rsidRPr="00067198" w:rsidRDefault="00067198" w:rsidP="00067198">
                                <w:pPr>
                                  <w:spacing w:before="100" w:beforeAutospacing="1" w:after="100" w:afterAutospacing="1" w:line="240" w:lineRule="auto"/>
                                  <w:rPr>
                                    <w:rFonts w:ascii="Arial font" w:eastAsia="Times New Roman" w:hAnsi="Arial font" w:cs="Times New Roman"/>
                                    <w:kern w:val="0"/>
                                    <w:sz w:val="48"/>
                                    <w:szCs w:val="48"/>
                                    <w:lang w:eastAsia="en-GB"/>
                                    <w14:ligatures w14:val="none"/>
                                  </w:rPr>
                                </w:pPr>
                                <w:r w:rsidRPr="00067198">
                                  <w:rPr>
                                    <w:rFonts w:ascii="Arial font" w:eastAsia="Times New Roman" w:hAnsi="Arial font" w:cs="Times New Roman"/>
                                    <w:b/>
                                    <w:bCs/>
                                    <w:kern w:val="0"/>
                                    <w:sz w:val="48"/>
                                    <w:szCs w:val="48"/>
                                    <w:lang w:eastAsia="en-GB"/>
                                    <w14:ligatures w14:val="none"/>
                                  </w:rPr>
                                  <w:t>Stakeholder Engagement for the Launch of a New Wearable Health Device: A Project Management Perspective</w:t>
                                </w:r>
                              </w:p>
                              <w:p w14:paraId="69C45DC3" w14:textId="6D472E04" w:rsidR="00AA2FC6" w:rsidRDefault="00AA2FC6">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4DF169" w14:textId="77777777" w:rsidR="00AA2FC6" w:rsidRDefault="00AA2FC6">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354077" id="Text Box 163" o:spid="_x0000_s1028" type="#_x0000_t202" style="position:absolute;margin-left:-19.3pt;margin-top:326.5pt;width:510.65pt;height:150.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" filled="f" stroked="f" strokeweight=".5pt">
                    <v:textbox inset="126pt,0,54pt,0">
                      <w:txbxContent>
                        <w:p w14:paraId="67B6DCF2" w14:textId="775AAAB8" w:rsidR="00067198" w:rsidRPr="00067198" w:rsidRDefault="00067198" w:rsidP="00067198">
                          <w:pPr>
                            <w:spacing w:before="100" w:beforeAutospacing="1" w:after="100" w:afterAutospacing="1" w:line="240" w:lineRule="auto"/>
                            <w:rPr>
                              <w:rFonts w:ascii="Arial font" w:eastAsia="Times New Roman" w:hAnsi="Arial font" w:cs="Times New Roman"/>
                              <w:kern w:val="0"/>
                              <w:sz w:val="48"/>
                              <w:szCs w:val="48"/>
                              <w:lang w:eastAsia="en-GB"/>
                              <w14:ligatures w14:val="none"/>
                            </w:rPr>
                          </w:pPr>
                          <w:r w:rsidRPr="00067198">
                            <w:rPr>
                              <w:rFonts w:ascii="Arial font" w:eastAsia="Times New Roman" w:hAnsi="Arial font" w:cs="Times New Roman"/>
                              <w:b/>
                              <w:bCs/>
                              <w:kern w:val="0"/>
                              <w:sz w:val="48"/>
                              <w:szCs w:val="48"/>
                              <w:lang w:eastAsia="en-GB"/>
                              <w14:ligatures w14:val="none"/>
                            </w:rPr>
                            <w:t>Stakeholder Engagement for the Launch of a New Wearable Health Device: A Project Management Perspective</w:t>
                          </w:r>
                        </w:p>
                        <w:p w14:paraId="69C45DC3" w14:textId="6D472E04" w:rsidR="00AA2FC6" w:rsidRDefault="00AA2FC6">
                          <w:pPr>
                            <w:jc w:val="right"/>
                            <w:rPr>
                              <w:color w:val="156082"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4DF169" w14:textId="77777777" w:rsidR="00AA2FC6" w:rsidRDefault="00AA2FC6">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margin" anchory="page"/>
                  </v:shape>
                </w:pict>
              </mc:Fallback>
            </mc:AlternateContent>
          </w:r>
          <w:r>
            <w:rPr>
              <w:noProof/>
            </w:rPr>
            <w:drawing>
              <wp:inline distT="0" distB="0" distL="0" distR="0" wp14:anchorId="6F9BF9C8" wp14:editId="0CBC4373">
                <wp:extent cx="5731510" cy="2865755"/>
                <wp:effectExtent l="0" t="0" r="2540" b="0"/>
                <wp:docPr id="1" name="Picture 1"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university&#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sidR="00AA2FC6" w:rsidRPr="000D0027">
            <w:rPr>
              <w:rFonts w:ascii="Times New Roman" w:eastAsia="Times New Roman" w:hAnsi="Times New Roman" w:cs="Times New Roman"/>
              <w:kern w:val="0"/>
              <w:lang w:eastAsia="en-GB"/>
              <w14:ligatures w14:val="none"/>
            </w:rPr>
            <w:br w:type="page"/>
          </w:r>
        </w:p>
        <w:p w14:paraId="7E69173C" w14:textId="20AD545B" w:rsidR="00966AFD" w:rsidRDefault="00000000" w:rsidP="00966AFD">
          <w:pPr>
            <w:spacing w:line="360" w:lineRule="auto"/>
            <w:rPr>
              <w:rFonts w:ascii="Times New Roman" w:eastAsia="Times New Roman" w:hAnsi="Times New Roman" w:cs="Times New Roman"/>
              <w:kern w:val="0"/>
              <w:lang w:eastAsia="en-GB"/>
              <w14:ligatures w14:val="none"/>
            </w:rPr>
          </w:pPr>
        </w:p>
      </w:sdtContent>
    </w:sdt>
    <w:p w14:paraId="3CBEC78E" w14:textId="35A10C7E" w:rsidR="00492278" w:rsidRPr="00966AFD" w:rsidRDefault="00492278" w:rsidP="00966AFD">
      <w:pPr>
        <w:spacing w:line="360" w:lineRule="auto"/>
        <w:rPr>
          <w:rFonts w:ascii="Times New Roman" w:eastAsia="Times New Roman" w:hAnsi="Times New Roman" w:cs="Times New Roman"/>
          <w:kern w:val="0"/>
          <w:lang w:eastAsia="en-GB"/>
          <w14:ligatures w14:val="none"/>
        </w:rPr>
      </w:pPr>
      <w:r w:rsidRPr="00492278">
        <w:rPr>
          <w:rFonts w:ascii="Arial" w:eastAsia="Arial" w:hAnsi="Arial" w:cs="Arial"/>
          <w:b/>
          <w:color w:val="000000"/>
          <w:sz w:val="22"/>
          <w:lang w:eastAsia="en-GB"/>
        </w:rPr>
        <w:t>Use o</w:t>
      </w:r>
      <w:r w:rsidR="00235459">
        <w:rPr>
          <w:rFonts w:ascii="Arial" w:eastAsia="Arial" w:hAnsi="Arial" w:cs="Arial"/>
          <w:b/>
          <w:color w:val="000000"/>
          <w:sz w:val="22"/>
          <w:lang w:eastAsia="en-GB"/>
        </w:rPr>
        <w:t>f</w:t>
      </w:r>
      <w:r w:rsidRPr="00492278">
        <w:rPr>
          <w:rFonts w:ascii="Arial" w:eastAsia="Arial" w:hAnsi="Arial" w:cs="Arial"/>
          <w:b/>
          <w:color w:val="000000"/>
          <w:sz w:val="22"/>
          <w:lang w:eastAsia="en-GB"/>
        </w:rPr>
        <w:t xml:space="preserve"> Generative AI in Assessment </w:t>
      </w:r>
    </w:p>
    <w:p w14:paraId="7DFA56D8" w14:textId="7D298FA0" w:rsidR="00492278" w:rsidRPr="00492278" w:rsidRDefault="00492278" w:rsidP="00492278">
      <w:pPr>
        <w:tabs>
          <w:tab w:val="center" w:pos="3370"/>
        </w:tabs>
        <w:spacing w:after="5" w:line="249" w:lineRule="auto"/>
        <w:ind w:left="-1"/>
        <w:rPr>
          <w:rFonts w:ascii="Calibri" w:eastAsia="Calibri" w:hAnsi="Calibri" w:cs="Calibri"/>
          <w:color w:val="000000"/>
          <w:sz w:val="22"/>
          <w:lang w:eastAsia="en-GB"/>
        </w:rPr>
      </w:pPr>
      <w:r w:rsidRPr="00492278">
        <w:rPr>
          <w:rFonts w:ascii="Times New Roman" w:eastAsia="Times New Roman" w:hAnsi="Times New Roman" w:cs="Times New Roman"/>
          <w:color w:val="000000"/>
          <w:sz w:val="20"/>
          <w:lang w:eastAsia="en-GB"/>
        </w:rPr>
        <w:t xml:space="preserve"> </w:t>
      </w:r>
      <w:r w:rsidRPr="00492278">
        <w:rPr>
          <w:rFonts w:ascii="Arial" w:eastAsia="Arial" w:hAnsi="Arial" w:cs="Arial"/>
          <w:color w:val="000000"/>
          <w:sz w:val="22"/>
          <w:lang w:eastAsia="en-GB"/>
        </w:rPr>
        <w:t xml:space="preserve">(Lecturer to indicate Yes or Not against each element) </w:t>
      </w:r>
    </w:p>
    <w:p w14:paraId="07E28885" w14:textId="77777777" w:rsidR="00492278" w:rsidRPr="00492278" w:rsidRDefault="00492278" w:rsidP="00492278">
      <w:pPr>
        <w:spacing w:after="0" w:line="259" w:lineRule="auto"/>
        <w:ind w:left="14"/>
        <w:jc w:val="both"/>
        <w:rPr>
          <w:rFonts w:ascii="Calibri" w:eastAsia="Calibri" w:hAnsi="Calibri" w:cs="Calibri"/>
          <w:color w:val="000000"/>
          <w:sz w:val="22"/>
          <w:lang w:eastAsia="en-GB"/>
        </w:rPr>
      </w:pPr>
      <w:r w:rsidRPr="00492278">
        <w:rPr>
          <w:rFonts w:ascii="Times New Roman" w:eastAsia="Times New Roman" w:hAnsi="Times New Roman" w:cs="Times New Roman"/>
          <w:color w:val="000000"/>
          <w:sz w:val="20"/>
          <w:lang w:eastAsia="en-GB"/>
        </w:rPr>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r w:rsidRPr="00492278">
        <w:rPr>
          <w:rFonts w:ascii="Times New Roman" w:eastAsia="Times New Roman" w:hAnsi="Times New Roman" w:cs="Times New Roman"/>
          <w:color w:val="000000"/>
          <w:sz w:val="20"/>
          <w:lang w:eastAsia="en-GB"/>
        </w:rPr>
        <w:tab/>
        <w:t xml:space="preserve"> </w:t>
      </w:r>
    </w:p>
    <w:p w14:paraId="189C0719" w14:textId="77777777" w:rsidR="00492278" w:rsidRPr="00492278" w:rsidRDefault="00492278" w:rsidP="00492278">
      <w:pPr>
        <w:spacing w:after="0" w:line="259" w:lineRule="auto"/>
        <w:ind w:left="14"/>
        <w:rPr>
          <w:rFonts w:ascii="Calibri" w:eastAsia="Calibri" w:hAnsi="Calibri" w:cs="Calibri"/>
          <w:color w:val="000000"/>
          <w:sz w:val="22"/>
          <w:lang w:eastAsia="en-GB"/>
        </w:rPr>
      </w:pPr>
      <w:r w:rsidRPr="00492278">
        <w:rPr>
          <w:rFonts w:ascii="Times New Roman" w:eastAsia="Times New Roman" w:hAnsi="Times New Roman" w:cs="Times New Roman"/>
          <w:color w:val="000000"/>
          <w:sz w:val="20"/>
          <w:lang w:eastAsia="en-GB"/>
        </w:rPr>
        <w:t xml:space="preserve"> </w:t>
      </w:r>
    </w:p>
    <w:tbl>
      <w:tblPr>
        <w:tblStyle w:val="TableGrid"/>
        <w:tblW w:w="9067" w:type="dxa"/>
        <w:tblInd w:w="629" w:type="dxa"/>
        <w:tblCellMar>
          <w:top w:w="45" w:type="dxa"/>
          <w:left w:w="106" w:type="dxa"/>
          <w:right w:w="47" w:type="dxa"/>
        </w:tblCellMar>
        <w:tblLook w:val="04A0" w:firstRow="1" w:lastRow="0" w:firstColumn="1" w:lastColumn="0" w:noHBand="0" w:noVBand="1"/>
      </w:tblPr>
      <w:tblGrid>
        <w:gridCol w:w="2252"/>
        <w:gridCol w:w="5399"/>
        <w:gridCol w:w="1416"/>
      </w:tblGrid>
      <w:tr w:rsidR="00492278" w:rsidRPr="00492278" w14:paraId="6690E782" w14:textId="77777777" w:rsidTr="00A8258F">
        <w:trPr>
          <w:trHeight w:val="835"/>
        </w:trPr>
        <w:tc>
          <w:tcPr>
            <w:tcW w:w="2252" w:type="dxa"/>
            <w:tcBorders>
              <w:top w:val="single" w:sz="6" w:space="0" w:color="000000"/>
              <w:left w:val="single" w:sz="6" w:space="0" w:color="000000"/>
              <w:bottom w:val="single" w:sz="4" w:space="0" w:color="000000"/>
              <w:right w:val="single" w:sz="4" w:space="0" w:color="000000"/>
            </w:tcBorders>
          </w:tcPr>
          <w:p w14:paraId="34C90713"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RESEARCH </w:t>
            </w:r>
          </w:p>
        </w:tc>
        <w:tc>
          <w:tcPr>
            <w:tcW w:w="5399" w:type="dxa"/>
            <w:tcBorders>
              <w:top w:val="single" w:sz="6" w:space="0" w:color="000000"/>
              <w:left w:val="single" w:sz="4" w:space="0" w:color="000000"/>
              <w:bottom w:val="single" w:sz="4" w:space="0" w:color="000000"/>
              <w:right w:val="single" w:sz="4" w:space="0" w:color="000000"/>
            </w:tcBorders>
          </w:tcPr>
          <w:p w14:paraId="1F213833"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support you in research and data analysis. </w:t>
            </w:r>
          </w:p>
        </w:tc>
        <w:tc>
          <w:tcPr>
            <w:tcW w:w="1416" w:type="dxa"/>
            <w:tcBorders>
              <w:top w:val="single" w:sz="6" w:space="0" w:color="000000"/>
              <w:left w:val="single" w:sz="4" w:space="0" w:color="000000"/>
              <w:bottom w:val="single" w:sz="4" w:space="0" w:color="000000"/>
              <w:right w:val="single" w:sz="6" w:space="0" w:color="000000"/>
            </w:tcBorders>
          </w:tcPr>
          <w:p w14:paraId="5875BD44"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37EAB125" w14:textId="77777777" w:rsidR="00492278" w:rsidRPr="00492278" w:rsidRDefault="00492278" w:rsidP="00492278">
            <w:pPr>
              <w:spacing w:after="14"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419AB14E"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54D93D50" w14:textId="77777777" w:rsidTr="00A8258F">
        <w:trPr>
          <w:trHeight w:val="1102"/>
        </w:trPr>
        <w:tc>
          <w:tcPr>
            <w:tcW w:w="2252" w:type="dxa"/>
            <w:tcBorders>
              <w:top w:val="single" w:sz="4" w:space="0" w:color="000000"/>
              <w:left w:val="single" w:sz="6" w:space="0" w:color="000000"/>
              <w:bottom w:val="single" w:sz="4" w:space="0" w:color="000000"/>
              <w:right w:val="single" w:sz="4" w:space="0" w:color="000000"/>
            </w:tcBorders>
          </w:tcPr>
          <w:p w14:paraId="600E4ED3"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STRUCTURE </w:t>
            </w:r>
          </w:p>
        </w:tc>
        <w:tc>
          <w:tcPr>
            <w:tcW w:w="5399" w:type="dxa"/>
            <w:tcBorders>
              <w:top w:val="single" w:sz="4" w:space="0" w:color="000000"/>
              <w:left w:val="single" w:sz="4" w:space="0" w:color="000000"/>
              <w:bottom w:val="single" w:sz="4" w:space="0" w:color="000000"/>
              <w:right w:val="single" w:sz="4" w:space="0" w:color="000000"/>
            </w:tcBorders>
          </w:tcPr>
          <w:p w14:paraId="1FF2E45F"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442FE3AF"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7C3E7BE0" w14:textId="77777777" w:rsidR="00492278" w:rsidRPr="00492278" w:rsidRDefault="00492278" w:rsidP="00492278">
            <w:pPr>
              <w:spacing w:after="17"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04232F46"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549FFC2E" w14:textId="77777777" w:rsidTr="00A8258F">
        <w:trPr>
          <w:trHeight w:val="1104"/>
        </w:trPr>
        <w:tc>
          <w:tcPr>
            <w:tcW w:w="2252" w:type="dxa"/>
            <w:tcBorders>
              <w:top w:val="single" w:sz="4" w:space="0" w:color="000000"/>
              <w:left w:val="single" w:sz="6" w:space="0" w:color="000000"/>
              <w:bottom w:val="single" w:sz="4" w:space="0" w:color="000000"/>
              <w:right w:val="single" w:sz="4" w:space="0" w:color="000000"/>
            </w:tcBorders>
          </w:tcPr>
          <w:p w14:paraId="2D11F856"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PROOFREADING </w:t>
            </w:r>
          </w:p>
        </w:tc>
        <w:tc>
          <w:tcPr>
            <w:tcW w:w="5399" w:type="dxa"/>
            <w:tcBorders>
              <w:top w:val="single" w:sz="4" w:space="0" w:color="000000"/>
              <w:left w:val="single" w:sz="4" w:space="0" w:color="000000"/>
              <w:bottom w:val="single" w:sz="4" w:space="0" w:color="000000"/>
              <w:right w:val="single" w:sz="4" w:space="0" w:color="000000"/>
            </w:tcBorders>
          </w:tcPr>
          <w:p w14:paraId="2570BFA7"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check your own text/creation for grammatical and syntactical mistakes, including getting suggestions to rephrase your work.  </w:t>
            </w:r>
          </w:p>
        </w:tc>
        <w:tc>
          <w:tcPr>
            <w:tcW w:w="1416" w:type="dxa"/>
            <w:tcBorders>
              <w:top w:val="single" w:sz="4" w:space="0" w:color="000000"/>
              <w:left w:val="single" w:sz="4" w:space="0" w:color="000000"/>
              <w:bottom w:val="single" w:sz="4" w:space="0" w:color="000000"/>
              <w:right w:val="single" w:sz="6" w:space="0" w:color="000000"/>
            </w:tcBorders>
          </w:tcPr>
          <w:p w14:paraId="71753D49"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39BD0EA2" w14:textId="77777777" w:rsidR="00492278" w:rsidRPr="00492278" w:rsidRDefault="00492278" w:rsidP="00492278">
            <w:pPr>
              <w:spacing w:after="14"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24E73319"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479E4682" w14:textId="77777777" w:rsidTr="00A8258F">
        <w:trPr>
          <w:trHeight w:val="833"/>
        </w:trPr>
        <w:tc>
          <w:tcPr>
            <w:tcW w:w="2252" w:type="dxa"/>
            <w:tcBorders>
              <w:top w:val="single" w:sz="4" w:space="0" w:color="000000"/>
              <w:left w:val="single" w:sz="6" w:space="0" w:color="000000"/>
              <w:bottom w:val="single" w:sz="4" w:space="0" w:color="000000"/>
              <w:right w:val="single" w:sz="4" w:space="0" w:color="000000"/>
            </w:tcBorders>
          </w:tcPr>
          <w:p w14:paraId="189A5019"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WRITING </w:t>
            </w:r>
          </w:p>
        </w:tc>
        <w:tc>
          <w:tcPr>
            <w:tcW w:w="5399" w:type="dxa"/>
            <w:tcBorders>
              <w:top w:val="single" w:sz="4" w:space="0" w:color="000000"/>
              <w:left w:val="single" w:sz="4" w:space="0" w:color="000000"/>
              <w:bottom w:val="single" w:sz="4" w:space="0" w:color="000000"/>
              <w:right w:val="single" w:sz="4" w:space="0" w:color="000000"/>
            </w:tcBorders>
          </w:tcPr>
          <w:p w14:paraId="72FF8B52"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5090CA7D"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5DB5076F" w14:textId="77777777" w:rsidR="00492278" w:rsidRPr="00492278" w:rsidRDefault="00492278" w:rsidP="00492278">
            <w:pPr>
              <w:spacing w:after="14"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04EB07FE"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511A2801" w14:textId="77777777" w:rsidTr="00A8258F">
        <w:trPr>
          <w:trHeight w:val="833"/>
        </w:trPr>
        <w:tc>
          <w:tcPr>
            <w:tcW w:w="2252" w:type="dxa"/>
            <w:tcBorders>
              <w:top w:val="single" w:sz="4" w:space="0" w:color="000000"/>
              <w:left w:val="single" w:sz="6" w:space="0" w:color="000000"/>
              <w:bottom w:val="single" w:sz="4" w:space="0" w:color="000000"/>
              <w:right w:val="single" w:sz="4" w:space="0" w:color="000000"/>
            </w:tcBorders>
          </w:tcPr>
          <w:p w14:paraId="1E03BBA6"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CREATIVE </w:t>
            </w:r>
          </w:p>
        </w:tc>
        <w:tc>
          <w:tcPr>
            <w:tcW w:w="5399" w:type="dxa"/>
            <w:tcBorders>
              <w:top w:val="single" w:sz="4" w:space="0" w:color="000000"/>
              <w:left w:val="single" w:sz="4" w:space="0" w:color="000000"/>
              <w:bottom w:val="single" w:sz="4" w:space="0" w:color="000000"/>
              <w:right w:val="single" w:sz="4" w:space="0" w:color="000000"/>
            </w:tcBorders>
          </w:tcPr>
          <w:p w14:paraId="1042A1A7"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67404F0B"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29254EDC" w14:textId="77777777" w:rsidR="00492278" w:rsidRPr="00492278" w:rsidRDefault="00492278" w:rsidP="00492278">
            <w:pPr>
              <w:spacing w:after="14"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174F1D0D"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62BE5599" w14:textId="77777777" w:rsidTr="00A8258F">
        <w:trPr>
          <w:trHeight w:val="836"/>
        </w:trPr>
        <w:tc>
          <w:tcPr>
            <w:tcW w:w="2252" w:type="dxa"/>
            <w:tcBorders>
              <w:top w:val="single" w:sz="4" w:space="0" w:color="000000"/>
              <w:left w:val="single" w:sz="6" w:space="0" w:color="000000"/>
              <w:bottom w:val="single" w:sz="4" w:space="0" w:color="000000"/>
              <w:right w:val="single" w:sz="4" w:space="0" w:color="000000"/>
            </w:tcBorders>
          </w:tcPr>
          <w:p w14:paraId="737D959D"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PROGRAMING </w:t>
            </w:r>
          </w:p>
        </w:tc>
        <w:tc>
          <w:tcPr>
            <w:tcW w:w="5399" w:type="dxa"/>
            <w:tcBorders>
              <w:top w:val="single" w:sz="4" w:space="0" w:color="000000"/>
              <w:left w:val="single" w:sz="4" w:space="0" w:color="000000"/>
              <w:bottom w:val="single" w:sz="4" w:space="0" w:color="000000"/>
              <w:right w:val="single" w:sz="4" w:space="0" w:color="000000"/>
            </w:tcBorders>
          </w:tcPr>
          <w:p w14:paraId="33E18D6A"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6EFAEC34"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Arial" w:eastAsia="Arial" w:hAnsi="Arial" w:cs="Arial"/>
                <w:color w:val="000000"/>
                <w:sz w:val="22"/>
              </w:rPr>
              <w:t xml:space="preserve">Yes </w:t>
            </w: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p w14:paraId="2B4478C9" w14:textId="77777777" w:rsidR="00492278" w:rsidRPr="00492278" w:rsidRDefault="00492278" w:rsidP="00492278">
            <w:pPr>
              <w:spacing w:after="17" w:line="259" w:lineRule="auto"/>
              <w:ind w:left="2"/>
              <w:rPr>
                <w:rFonts w:ascii="Calibri" w:eastAsia="Calibri" w:hAnsi="Calibri" w:cs="Calibri"/>
                <w:color w:val="000000"/>
                <w:sz w:val="22"/>
              </w:rPr>
            </w:pPr>
            <w:r w:rsidRPr="00492278">
              <w:rPr>
                <w:rFonts w:ascii="Arial" w:eastAsia="Arial" w:hAnsi="Arial" w:cs="Arial"/>
                <w:color w:val="000000"/>
                <w:sz w:val="22"/>
              </w:rPr>
              <w:t xml:space="preserve"> </w:t>
            </w:r>
          </w:p>
          <w:p w14:paraId="7CDA6E17" w14:textId="77777777" w:rsidR="00492278" w:rsidRPr="00492278" w:rsidRDefault="00492278" w:rsidP="00492278">
            <w:pPr>
              <w:spacing w:line="259" w:lineRule="auto"/>
              <w:ind w:left="2"/>
              <w:rPr>
                <w:rFonts w:ascii="Calibri" w:eastAsia="Calibri" w:hAnsi="Calibri" w:cs="Calibri"/>
                <w:color w:val="000000"/>
                <w:sz w:val="22"/>
              </w:rPr>
            </w:pPr>
            <w:proofErr w:type="gramStart"/>
            <w:r w:rsidRPr="00492278">
              <w:rPr>
                <w:rFonts w:ascii="Arial" w:eastAsia="Arial" w:hAnsi="Arial" w:cs="Arial"/>
                <w:color w:val="000000"/>
                <w:sz w:val="22"/>
              </w:rPr>
              <w:t xml:space="preserve">No  </w:t>
            </w:r>
            <w:r w:rsidRPr="00492278">
              <w:rPr>
                <w:rFonts w:ascii="MS Gothic" w:eastAsia="MS Gothic" w:hAnsi="MS Gothic" w:cs="MS Gothic"/>
                <w:color w:val="000000"/>
                <w:sz w:val="22"/>
              </w:rPr>
              <w:t>☒</w:t>
            </w:r>
            <w:proofErr w:type="gramEnd"/>
            <w:r w:rsidRPr="00492278">
              <w:rPr>
                <w:rFonts w:ascii="Arial" w:eastAsia="Arial" w:hAnsi="Arial" w:cs="Arial"/>
                <w:color w:val="000000"/>
                <w:sz w:val="22"/>
              </w:rPr>
              <w:t xml:space="preserve"> </w:t>
            </w:r>
          </w:p>
        </w:tc>
      </w:tr>
      <w:tr w:rsidR="00492278" w:rsidRPr="00492278" w14:paraId="14DCFC7F" w14:textId="77777777" w:rsidTr="00A8258F">
        <w:trPr>
          <w:trHeight w:val="1104"/>
        </w:trPr>
        <w:tc>
          <w:tcPr>
            <w:tcW w:w="2252" w:type="dxa"/>
            <w:tcBorders>
              <w:top w:val="single" w:sz="4" w:space="0" w:color="000000"/>
              <w:left w:val="single" w:sz="6" w:space="0" w:color="000000"/>
              <w:bottom w:val="single" w:sz="6" w:space="0" w:color="000000"/>
              <w:right w:val="single" w:sz="4" w:space="0" w:color="000000"/>
            </w:tcBorders>
          </w:tcPr>
          <w:p w14:paraId="3AE6C87E"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NONE </w:t>
            </w:r>
          </w:p>
        </w:tc>
        <w:tc>
          <w:tcPr>
            <w:tcW w:w="5399" w:type="dxa"/>
            <w:tcBorders>
              <w:top w:val="single" w:sz="4" w:space="0" w:color="000000"/>
              <w:left w:val="single" w:sz="4" w:space="0" w:color="000000"/>
              <w:bottom w:val="single" w:sz="6" w:space="0" w:color="000000"/>
              <w:right w:val="single" w:sz="4" w:space="0" w:color="000000"/>
            </w:tcBorders>
          </w:tcPr>
          <w:p w14:paraId="42A6518E" w14:textId="77777777" w:rsidR="00492278" w:rsidRPr="00492278" w:rsidRDefault="00492278" w:rsidP="00492278">
            <w:pPr>
              <w:spacing w:line="259" w:lineRule="auto"/>
              <w:rPr>
                <w:rFonts w:ascii="Calibri" w:eastAsia="Calibri" w:hAnsi="Calibri" w:cs="Calibri"/>
                <w:color w:val="000000"/>
                <w:sz w:val="22"/>
              </w:rPr>
            </w:pPr>
            <w:r w:rsidRPr="00492278">
              <w:rPr>
                <w:rFonts w:ascii="Arial" w:eastAsia="Arial" w:hAnsi="Arial" w:cs="Arial"/>
                <w:color w:val="000000"/>
                <w:sz w:val="22"/>
              </w:rPr>
              <w:t xml:space="preserve">For this assessment, you are not allowed to use </w:t>
            </w:r>
            <w:r w:rsidRPr="00492278">
              <w:rPr>
                <w:rFonts w:ascii="Arial" w:eastAsia="Arial" w:hAnsi="Arial" w:cs="Arial"/>
                <w:b/>
                <w:color w:val="000000"/>
                <w:sz w:val="22"/>
              </w:rPr>
              <w:t>any</w:t>
            </w:r>
            <w:r w:rsidRPr="00492278">
              <w:rPr>
                <w:rFonts w:ascii="Arial" w:eastAsia="Arial" w:hAnsi="Arial" w:cs="Arial"/>
                <w:color w:val="000000"/>
                <w:sz w:val="22"/>
              </w:rP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01938EE1" w14:textId="77777777" w:rsidR="00492278" w:rsidRPr="00492278" w:rsidRDefault="00492278" w:rsidP="00492278">
            <w:pPr>
              <w:spacing w:line="259" w:lineRule="auto"/>
              <w:ind w:left="2"/>
              <w:rPr>
                <w:rFonts w:ascii="Calibri" w:eastAsia="Calibri" w:hAnsi="Calibri" w:cs="Calibri"/>
                <w:color w:val="000000"/>
                <w:sz w:val="22"/>
              </w:rPr>
            </w:pPr>
            <w:r w:rsidRPr="00492278">
              <w:rPr>
                <w:rFonts w:ascii="MS Gothic" w:eastAsia="MS Gothic" w:hAnsi="MS Gothic" w:cs="MS Gothic"/>
                <w:color w:val="000000"/>
                <w:sz w:val="22"/>
              </w:rPr>
              <w:t>☐</w:t>
            </w:r>
            <w:r w:rsidRPr="00492278">
              <w:rPr>
                <w:rFonts w:ascii="Arial" w:eastAsia="Arial" w:hAnsi="Arial" w:cs="Arial"/>
                <w:color w:val="000000"/>
                <w:sz w:val="22"/>
              </w:rPr>
              <w:t xml:space="preserve"> </w:t>
            </w:r>
          </w:p>
        </w:tc>
      </w:tr>
    </w:tbl>
    <w:p w14:paraId="233839A1" w14:textId="77777777" w:rsidR="003014C0" w:rsidRPr="000D0027" w:rsidRDefault="003014C0" w:rsidP="007E4F7F">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6AA568D8" w14:textId="77777777" w:rsidR="00966AFD" w:rsidRDefault="00966AFD" w:rsidP="00966AFD">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73408F85" w14:textId="77777777" w:rsidR="006C4E13" w:rsidRDefault="006C4E13" w:rsidP="00966AFD">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2DFFA77C" w14:textId="77777777" w:rsidR="006C4E13" w:rsidRDefault="006C4E13" w:rsidP="00966AFD">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11863296" w14:textId="77777777" w:rsidR="006C4E13" w:rsidRDefault="006C4E13" w:rsidP="00966AFD">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2BCF1E26" w14:textId="77777777" w:rsidR="00A97E91" w:rsidRDefault="00A97E91" w:rsidP="00B66666">
      <w:pPr>
        <w:spacing w:before="100" w:beforeAutospacing="1" w:after="100" w:afterAutospacing="1" w:line="276" w:lineRule="auto"/>
        <w:jc w:val="both"/>
        <w:outlineLvl w:val="1"/>
        <w:rPr>
          <w:rFonts w:ascii="Times New Roman" w:eastAsia="Times New Roman" w:hAnsi="Times New Roman" w:cs="Times New Roman"/>
          <w:b/>
          <w:bCs/>
          <w:kern w:val="36"/>
          <w:lang w:eastAsia="en-GB"/>
          <w14:ligatures w14:val="none"/>
        </w:rPr>
      </w:pPr>
    </w:p>
    <w:p w14:paraId="6807E736" w14:textId="436C463B" w:rsidR="00C75E32" w:rsidRPr="00375EFE" w:rsidRDefault="00C75E32" w:rsidP="00375EFE">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lastRenderedPageBreak/>
        <w:t>TABLE OF CONTENTS</w:t>
      </w:r>
    </w:p>
    <w:p w14:paraId="6CABEFBB"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Executive Summary</w:t>
      </w:r>
      <w:r w:rsidRPr="00375EFE">
        <w:rPr>
          <w:rFonts w:ascii="Arial" w:eastAsia="Times New Roman" w:hAnsi="Arial" w:cs="Arial"/>
          <w:kern w:val="0"/>
          <w:lang w:eastAsia="en-GB"/>
          <w14:ligatures w14:val="none"/>
        </w:rPr>
        <w:t xml:space="preserve"> ................................................................. </w:t>
      </w:r>
      <w:r w:rsidRPr="00375EFE">
        <w:rPr>
          <w:rFonts w:ascii="Arial" w:eastAsia="Times New Roman" w:hAnsi="Arial" w:cs="Arial"/>
          <w:b/>
          <w:bCs/>
          <w:kern w:val="0"/>
          <w:lang w:eastAsia="en-GB"/>
          <w14:ligatures w14:val="none"/>
        </w:rPr>
        <w:t>3</w:t>
      </w:r>
    </w:p>
    <w:p w14:paraId="6FA8C7D7" w14:textId="1AEAAB16"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 xml:space="preserve">1. Introduction to the Company ........................................ </w:t>
      </w:r>
      <w:r w:rsidR="002E1D57">
        <w:rPr>
          <w:rFonts w:ascii="Arial" w:eastAsia="Times New Roman" w:hAnsi="Arial" w:cs="Arial"/>
          <w:b/>
          <w:bCs/>
          <w:kern w:val="0"/>
          <w:lang w:eastAsia="en-GB"/>
          <w14:ligatures w14:val="none"/>
        </w:rPr>
        <w:t>4</w:t>
      </w:r>
    </w:p>
    <w:p w14:paraId="3907650A" w14:textId="4BF09D98"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2. Project Overview ................................................................. </w:t>
      </w:r>
      <w:r w:rsidR="002E1D57">
        <w:rPr>
          <w:rFonts w:ascii="Arial" w:eastAsia="Times New Roman" w:hAnsi="Arial" w:cs="Arial"/>
          <w:b/>
          <w:bCs/>
          <w:kern w:val="0"/>
          <w:lang w:eastAsia="en-GB"/>
          <w14:ligatures w14:val="none"/>
        </w:rPr>
        <w:t>5</w:t>
      </w:r>
    </w:p>
    <w:p w14:paraId="6BBBF3B1" w14:textId="5CA291E0"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3. Company Appraisal .............................................................. </w:t>
      </w:r>
      <w:r w:rsidR="002E1D57">
        <w:rPr>
          <w:rFonts w:ascii="Arial" w:eastAsia="Times New Roman" w:hAnsi="Arial" w:cs="Arial"/>
          <w:b/>
          <w:bCs/>
          <w:kern w:val="0"/>
          <w:lang w:eastAsia="en-GB"/>
          <w14:ligatures w14:val="none"/>
        </w:rPr>
        <w:t>6</w:t>
      </w:r>
      <w:r w:rsidR="003D06E1">
        <w:rPr>
          <w:rFonts w:ascii="Arial" w:eastAsia="Times New Roman" w:hAnsi="Arial" w:cs="Arial"/>
          <w:b/>
          <w:bCs/>
          <w:kern w:val="0"/>
          <w:lang w:eastAsia="en-GB"/>
          <w14:ligatures w14:val="none"/>
        </w:rPr>
        <w:t>,9</w:t>
      </w:r>
    </w:p>
    <w:p w14:paraId="2480BCF2"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3.1 Strategic Analysis</w:t>
      </w:r>
      <w:r w:rsidRPr="00375EFE">
        <w:rPr>
          <w:rFonts w:ascii="Arial" w:eastAsia="Times New Roman" w:hAnsi="Arial" w:cs="Arial"/>
          <w:kern w:val="0"/>
          <w:lang w:eastAsia="en-GB"/>
          <w14:ligatures w14:val="none"/>
        </w:rPr>
        <w:br/>
        <w:t>    3.2 SWOT Analysis</w:t>
      </w:r>
      <w:r w:rsidRPr="00375EFE">
        <w:rPr>
          <w:rFonts w:ascii="Arial" w:eastAsia="Times New Roman" w:hAnsi="Arial" w:cs="Arial"/>
          <w:kern w:val="0"/>
          <w:lang w:eastAsia="en-GB"/>
          <w14:ligatures w14:val="none"/>
        </w:rPr>
        <w:br/>
        <w:t>    3.3 PESTEL Analysis</w:t>
      </w:r>
      <w:r w:rsidRPr="00375EFE">
        <w:rPr>
          <w:rFonts w:ascii="Arial" w:eastAsia="Times New Roman" w:hAnsi="Arial" w:cs="Arial"/>
          <w:kern w:val="0"/>
          <w:lang w:eastAsia="en-GB"/>
          <w14:ligatures w14:val="none"/>
        </w:rPr>
        <w:br/>
        <w:t>    3.4 SMART Objectives</w:t>
      </w:r>
    </w:p>
    <w:p w14:paraId="79DD5C43" w14:textId="5FDBD3D0"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4. Identification of Key Stakeholders ............................. </w:t>
      </w:r>
      <w:r w:rsidR="003D06E1">
        <w:rPr>
          <w:rFonts w:ascii="Arial" w:eastAsia="Times New Roman" w:hAnsi="Arial" w:cs="Arial"/>
          <w:b/>
          <w:bCs/>
          <w:kern w:val="0"/>
          <w:lang w:eastAsia="en-GB"/>
          <w14:ligatures w14:val="none"/>
        </w:rPr>
        <w:t>10</w:t>
      </w:r>
      <w:r w:rsidR="00A5224C">
        <w:rPr>
          <w:rFonts w:ascii="Arial" w:eastAsia="Times New Roman" w:hAnsi="Arial" w:cs="Arial"/>
          <w:b/>
          <w:bCs/>
          <w:kern w:val="0"/>
          <w:lang w:eastAsia="en-GB"/>
          <w14:ligatures w14:val="none"/>
        </w:rPr>
        <w:t>,13</w:t>
      </w:r>
    </w:p>
    <w:p w14:paraId="3C297A10"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4.1 Internal Stakeholders</w:t>
      </w:r>
      <w:r w:rsidRPr="00375EFE">
        <w:rPr>
          <w:rFonts w:ascii="Arial" w:eastAsia="Times New Roman" w:hAnsi="Arial" w:cs="Arial"/>
          <w:kern w:val="0"/>
          <w:lang w:eastAsia="en-GB"/>
          <w14:ligatures w14:val="none"/>
        </w:rPr>
        <w:br/>
        <w:t>    4.2 External Stakeholders</w:t>
      </w:r>
    </w:p>
    <w:p w14:paraId="1E3C9E3E" w14:textId="7DB662E8"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5. Stakeholder Map ................................................................. </w:t>
      </w:r>
      <w:r w:rsidR="00A5224C">
        <w:rPr>
          <w:rFonts w:ascii="Arial" w:eastAsia="Times New Roman" w:hAnsi="Arial" w:cs="Arial"/>
          <w:b/>
          <w:bCs/>
          <w:kern w:val="0"/>
          <w:lang w:eastAsia="en-GB"/>
          <w14:ligatures w14:val="none"/>
        </w:rPr>
        <w:t>13</w:t>
      </w:r>
    </w:p>
    <w:p w14:paraId="168F6F9E" w14:textId="250B57F5"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6. Roles, Responsibilities, Benefits, and Challenges .... </w:t>
      </w:r>
      <w:r w:rsidR="000231F8">
        <w:rPr>
          <w:rFonts w:ascii="Arial" w:eastAsia="Times New Roman" w:hAnsi="Arial" w:cs="Arial"/>
          <w:b/>
          <w:bCs/>
          <w:kern w:val="0"/>
          <w:lang w:eastAsia="en-GB"/>
          <w14:ligatures w14:val="none"/>
        </w:rPr>
        <w:t>14</w:t>
      </w:r>
    </w:p>
    <w:p w14:paraId="17B9B1A1"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6.1 Detailed Explanation of Stakeholder Roles</w:t>
      </w:r>
    </w:p>
    <w:p w14:paraId="49E02DED" w14:textId="77777777"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7. RACI Matrix ........................................................................ 12</w:t>
      </w:r>
    </w:p>
    <w:p w14:paraId="384EBF08" w14:textId="77777777"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8. Stakeholder Engagement Frameworks and Theories</w:t>
      </w:r>
      <w:proofErr w:type="gramStart"/>
      <w:r w:rsidRPr="00375EFE">
        <w:rPr>
          <w:rFonts w:ascii="Arial" w:eastAsia="Times New Roman" w:hAnsi="Arial" w:cs="Arial"/>
          <w:b/>
          <w:bCs/>
          <w:kern w:val="0"/>
          <w:lang w:eastAsia="en-GB"/>
          <w14:ligatures w14:val="none"/>
        </w:rPr>
        <w:t xml:space="preserve"> ..</w:t>
      </w:r>
      <w:proofErr w:type="gramEnd"/>
      <w:r w:rsidRPr="00375EFE">
        <w:rPr>
          <w:rFonts w:ascii="Arial" w:eastAsia="Times New Roman" w:hAnsi="Arial" w:cs="Arial"/>
          <w:b/>
          <w:bCs/>
          <w:kern w:val="0"/>
          <w:lang w:eastAsia="en-GB"/>
          <w14:ligatures w14:val="none"/>
        </w:rPr>
        <w:t xml:space="preserve"> 13</w:t>
      </w:r>
    </w:p>
    <w:p w14:paraId="400358E4"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8.1 Mendelow’s Matrix</w:t>
      </w:r>
      <w:r w:rsidRPr="00375EFE">
        <w:rPr>
          <w:rFonts w:ascii="Arial" w:eastAsia="Times New Roman" w:hAnsi="Arial" w:cs="Arial"/>
          <w:kern w:val="0"/>
          <w:lang w:eastAsia="en-GB"/>
          <w14:ligatures w14:val="none"/>
        </w:rPr>
        <w:br/>
        <w:t>    8.2 Salience Model</w:t>
      </w:r>
    </w:p>
    <w:p w14:paraId="5B760B80" w14:textId="77777777"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9. Engagement and Communication Plan ....................... 14</w:t>
      </w:r>
    </w:p>
    <w:p w14:paraId="5AA4242F" w14:textId="77777777"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10. Stakeholder Engagement Process and Conflict Management ............................................................ 15</w:t>
      </w:r>
    </w:p>
    <w:p w14:paraId="660D147C"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lastRenderedPageBreak/>
        <w:t>    10.1 Step-by-Step Engagement Process</w:t>
      </w:r>
      <w:r w:rsidRPr="00375EFE">
        <w:rPr>
          <w:rFonts w:ascii="Arial" w:eastAsia="Times New Roman" w:hAnsi="Arial" w:cs="Arial"/>
          <w:kern w:val="0"/>
          <w:lang w:eastAsia="en-GB"/>
          <w14:ligatures w14:val="none"/>
        </w:rPr>
        <w:br/>
        <w:t>    10.2 4C’s Model: Communication, Coordination, Cooperation, Collaboration</w:t>
      </w:r>
    </w:p>
    <w:p w14:paraId="1ED7CB17" w14:textId="0FB387C1"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11. Evaluation of Stakeholder Engagement Impact ........ </w:t>
      </w:r>
      <w:r w:rsidR="00971C68">
        <w:rPr>
          <w:rFonts w:ascii="Arial" w:eastAsia="Times New Roman" w:hAnsi="Arial" w:cs="Arial"/>
          <w:b/>
          <w:bCs/>
          <w:kern w:val="0"/>
          <w:lang w:eastAsia="en-GB"/>
          <w14:ligatures w14:val="none"/>
        </w:rPr>
        <w:t>18</w:t>
      </w:r>
    </w:p>
    <w:p w14:paraId="5796F65D" w14:textId="77777777"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11.1 Metrics, Benefits, and Risks</w:t>
      </w:r>
      <w:r w:rsidRPr="00375EFE">
        <w:rPr>
          <w:rFonts w:ascii="Arial" w:eastAsia="Times New Roman" w:hAnsi="Arial" w:cs="Arial"/>
          <w:kern w:val="0"/>
          <w:lang w:eastAsia="en-GB"/>
          <w14:ligatures w14:val="none"/>
        </w:rPr>
        <w:br/>
        <w:t>    11.2 Impact on Business Performance</w:t>
      </w:r>
    </w:p>
    <w:p w14:paraId="557632CA" w14:textId="784E19EC"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12. Recommendations for Future Engagement ............. </w:t>
      </w:r>
      <w:r w:rsidR="00971C68">
        <w:rPr>
          <w:rFonts w:ascii="Arial" w:eastAsia="Times New Roman" w:hAnsi="Arial" w:cs="Arial"/>
          <w:b/>
          <w:bCs/>
          <w:kern w:val="0"/>
          <w:lang w:eastAsia="en-GB"/>
          <w14:ligatures w14:val="none"/>
        </w:rPr>
        <w:t>21</w:t>
      </w:r>
    </w:p>
    <w:p w14:paraId="32874387" w14:textId="748DD760" w:rsidR="00C75E32" w:rsidRPr="00375EFE" w:rsidRDefault="00C75E32"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13. Conclusion ....................................................................... </w:t>
      </w:r>
      <w:r w:rsidR="00971C68">
        <w:rPr>
          <w:rFonts w:ascii="Arial" w:eastAsia="Times New Roman" w:hAnsi="Arial" w:cs="Arial"/>
          <w:b/>
          <w:bCs/>
          <w:kern w:val="0"/>
          <w:lang w:eastAsia="en-GB"/>
          <w14:ligatures w14:val="none"/>
        </w:rPr>
        <w:t>21</w:t>
      </w:r>
    </w:p>
    <w:p w14:paraId="0A366B36" w14:textId="6A9FD93B" w:rsidR="00C75E32" w:rsidRPr="00375EFE" w:rsidRDefault="00C75E32"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References</w:t>
      </w:r>
      <w:r w:rsidRPr="00375EFE">
        <w:rPr>
          <w:rFonts w:ascii="Arial" w:eastAsia="Times New Roman" w:hAnsi="Arial" w:cs="Arial"/>
          <w:kern w:val="0"/>
          <w:lang w:eastAsia="en-GB"/>
          <w14:ligatures w14:val="none"/>
        </w:rPr>
        <w:t xml:space="preserve"> ............................................................................. </w:t>
      </w:r>
      <w:r w:rsidR="000231F8">
        <w:rPr>
          <w:rFonts w:ascii="Arial" w:eastAsia="Times New Roman" w:hAnsi="Arial" w:cs="Arial"/>
          <w:b/>
          <w:bCs/>
          <w:kern w:val="0"/>
          <w:lang w:eastAsia="en-GB"/>
          <w14:ligatures w14:val="none"/>
        </w:rPr>
        <w:t>23</w:t>
      </w:r>
    </w:p>
    <w:p w14:paraId="7B2B5728"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619800F0"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13E8628E"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5044C652"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376C1F38"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0DA79DB4"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75C86125" w14:textId="77777777" w:rsidR="00FD0DA2" w:rsidRPr="00375EFE" w:rsidRDefault="00FD0DA2"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0B31C69D" w14:textId="77777777" w:rsidR="00442B61" w:rsidRPr="00375EFE" w:rsidRDefault="00442B61" w:rsidP="00375EFE">
      <w:pPr>
        <w:spacing w:before="100" w:beforeAutospacing="1" w:after="100" w:afterAutospacing="1" w:line="360" w:lineRule="auto"/>
        <w:jc w:val="both"/>
        <w:rPr>
          <w:rFonts w:ascii="Arial" w:eastAsia="Times New Roman" w:hAnsi="Arial" w:cs="Arial"/>
          <w:b/>
          <w:bCs/>
          <w:kern w:val="0"/>
          <w:lang w:eastAsia="en-GB"/>
          <w14:ligatures w14:val="none"/>
        </w:rPr>
      </w:pPr>
    </w:p>
    <w:p w14:paraId="38CB5302" w14:textId="5A585E98" w:rsidR="00892757" w:rsidRPr="00375EFE" w:rsidRDefault="0089275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Executive Summary</w:t>
      </w:r>
    </w:p>
    <w:p w14:paraId="6B3C409A" w14:textId="77777777" w:rsidR="00892757" w:rsidRPr="00375EFE" w:rsidRDefault="0089275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This report examines the stakeholder engagement process for the launch of a new wearable health device by Philips Healthcare UK, designed to monitor heart rate, oxygen saturation, and sleep patterns. The product aims to be launched to consumers within six months, requiring coordinated engagement with internal and external stakeholders to ensure timely delivery, regulatory compliance, and market success. The strategic analysis of the company, using SWOT, PESTLE, and SMART </w:t>
      </w:r>
      <w:r w:rsidRPr="00375EFE">
        <w:rPr>
          <w:rFonts w:ascii="Arial" w:eastAsia="Times New Roman" w:hAnsi="Arial" w:cs="Arial"/>
          <w:kern w:val="0"/>
          <w:lang w:eastAsia="en-GB"/>
          <w14:ligatures w14:val="none"/>
        </w:rPr>
        <w:lastRenderedPageBreak/>
        <w:t>objectives, identifies strengths such as strong R&amp;D capabilities, weaknesses including high development costs, opportunities in the growing wearable market, and threats from competitors and regulatory challenges. The report evaluates the roles and responsibilities of key stakeholders, including internal teams such as R&amp;D, marketing, sales, finance, IT, and external parties like customers, suppliers, healthcare providers, and regulators. Stakeholder engagement frameworks such as Mendelow’s Matrix, the Salience Model, and the 4C’s Model are applied to maximize collaboration, manage conflicts, and ensure alignment. Recommendations focus on early stakeholder involvement, digital collaboration tools, continuous feedback, and contingency planning.</w:t>
      </w:r>
    </w:p>
    <w:p w14:paraId="7041953B" w14:textId="77777777" w:rsidR="00892757" w:rsidRPr="00375EFE" w:rsidRDefault="00892757" w:rsidP="00375EFE">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6652BB6E" w14:textId="77777777" w:rsidR="00892757" w:rsidRPr="00375EFE" w:rsidRDefault="00892757" w:rsidP="00375EFE">
      <w:pPr>
        <w:spacing w:before="100" w:beforeAutospacing="1" w:after="100" w:afterAutospacing="1" w:line="360" w:lineRule="auto"/>
        <w:jc w:val="both"/>
        <w:outlineLvl w:val="0"/>
        <w:rPr>
          <w:rFonts w:ascii="Arial" w:eastAsia="Times New Roman" w:hAnsi="Arial" w:cs="Arial"/>
          <w:b/>
          <w:bCs/>
          <w:kern w:val="36"/>
          <w:lang w:eastAsia="en-GB"/>
          <w14:ligatures w14:val="none"/>
        </w:rPr>
      </w:pPr>
    </w:p>
    <w:p w14:paraId="4A5A54B4" w14:textId="77777777" w:rsidR="00986C68" w:rsidRPr="00375EFE" w:rsidRDefault="00986C68"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Introduction to Philips Healthcare UK</w:t>
      </w:r>
    </w:p>
    <w:p w14:paraId="15A766A4" w14:textId="77777777" w:rsidR="00C741BB" w:rsidRPr="00375EFE" w:rsidRDefault="00C741BB" w:rsidP="00375EFE">
      <w:pPr>
        <w:pStyle w:val="NormalWeb"/>
        <w:spacing w:line="360" w:lineRule="auto"/>
        <w:jc w:val="both"/>
        <w:rPr>
          <w:rFonts w:ascii="Arial" w:hAnsi="Arial" w:cs="Arial"/>
        </w:rPr>
      </w:pPr>
      <w:r w:rsidRPr="00375EFE">
        <w:rPr>
          <w:rFonts w:ascii="Arial" w:hAnsi="Arial" w:cs="Arial"/>
        </w:rPr>
        <w:t>Philips Healthcare UK, a subsidiary of the global health technology leader Royal Philips, is headquartered in Guildford, Surrey. The company employs approximately 3,500 staff across the United Kingdom and is recognised for its commitment to advancing healthcare through innovative solutions. Philips Healthcare UK specialises in diagnostic imaging systems, patient monitoring equipment, and connected health technologies, all aimed at enhancing patient outcomes by providing healthcare professionals with accurate and timely information to support informed decision-making (Philips Healthcare UK, 2022).</w:t>
      </w:r>
    </w:p>
    <w:p w14:paraId="521955A7" w14:textId="77777777" w:rsidR="00C741BB" w:rsidRPr="00375EFE" w:rsidRDefault="00C741BB" w:rsidP="00375EFE">
      <w:pPr>
        <w:pStyle w:val="NormalWeb"/>
        <w:spacing w:line="360" w:lineRule="auto"/>
        <w:jc w:val="both"/>
        <w:rPr>
          <w:rFonts w:ascii="Arial" w:hAnsi="Arial" w:cs="Arial"/>
        </w:rPr>
      </w:pPr>
      <w:r w:rsidRPr="00375EFE">
        <w:rPr>
          <w:rFonts w:ascii="Arial" w:hAnsi="Arial" w:cs="Arial"/>
        </w:rPr>
        <w:t>Operating across multiple healthcare domains, Philips Healthcare UK delivers solutions ranging from advanced imaging systems for hospitals to consumer-focused wearable health devices. The organisation invests heavily in research and development (R&amp;D), particularly in emerging technologies such as artificial intelligence (AI), machine learning, and cloud-based healthcare applications. These technologies enable the company to offer high-quality solutions that promote preventive care and empower individuals to manage their health more proactively (Philips Healthcare UK, 2022).</w:t>
      </w:r>
    </w:p>
    <w:p w14:paraId="30F7CAB9" w14:textId="77777777" w:rsidR="00C741BB" w:rsidRPr="00375EFE" w:rsidRDefault="00C741BB" w:rsidP="00375EFE">
      <w:pPr>
        <w:pStyle w:val="NormalWeb"/>
        <w:spacing w:line="360" w:lineRule="auto"/>
        <w:jc w:val="both"/>
        <w:rPr>
          <w:rFonts w:ascii="Arial" w:hAnsi="Arial" w:cs="Arial"/>
        </w:rPr>
      </w:pPr>
      <w:r w:rsidRPr="00375EFE">
        <w:rPr>
          <w:rFonts w:ascii="Arial" w:hAnsi="Arial" w:cs="Arial"/>
        </w:rPr>
        <w:lastRenderedPageBreak/>
        <w:t>The current project focuses on the development of a wearable health device capable of monitoring heart rate, oxygen saturation, and sleep patterns. This initiative aligns with Philips Healthcare UK’s strategic goal of encouraging proactive health management and supporting healthcare professionals in remote patient monitoring. By leveraging its technological expertise and organisational resources, the company aims to strengthen its position within the health technology market and deliver a device that provides real-time, actionable health data for consumers and healthcare providers alike (PMI, 2021).</w:t>
      </w:r>
    </w:p>
    <w:p w14:paraId="2D28F9FE" w14:textId="77777777" w:rsidR="00C741BB" w:rsidRPr="00375EFE" w:rsidRDefault="00C741BB" w:rsidP="00375EFE">
      <w:pPr>
        <w:pStyle w:val="NormalWeb"/>
        <w:spacing w:line="360" w:lineRule="auto"/>
        <w:jc w:val="both"/>
        <w:rPr>
          <w:rFonts w:ascii="Arial" w:hAnsi="Arial" w:cs="Arial"/>
        </w:rPr>
      </w:pPr>
      <w:r w:rsidRPr="00375EFE">
        <w:rPr>
          <w:rFonts w:ascii="Arial" w:hAnsi="Arial" w:cs="Arial"/>
        </w:rPr>
        <w:t>The success of this project relies heavily on effective stakeholder engagement. Collaboration between internal stakeholders, such as R&amp;D, marketing, sales, and finance teams, and external stakeholders, including healthcare providers, regulatory authorities, and end-users, is essential to ensure timely development and market launch. Stakeholder theory highlights the importance of identifying and managing relationships with all parties that can influence or are affected by organisational activities, ensuring alignment of expectations, risk mitigation, and value creation throughout the project lifecycle (Freeman, 2010; Clarkson, 1995; Bourne, 2015; Mitchell, Agle and Wood, 1997). This report evaluates the strategies and mechanisms Philips Healthcare UK will use to engage stakeholders effectively, drawing on established frameworks in stakeholder management and engagement (Ashcroft, 2017; Christopher, Payne and Ballantyne, 2013)</w:t>
      </w:r>
    </w:p>
    <w:p w14:paraId="05E4B846" w14:textId="26AAFD3B" w:rsidR="00A14DF9" w:rsidRPr="00375EFE" w:rsidRDefault="00A14DF9" w:rsidP="00375EFE">
      <w:pPr>
        <w:pStyle w:val="NormalWeb"/>
        <w:spacing w:line="360" w:lineRule="auto"/>
        <w:jc w:val="both"/>
        <w:rPr>
          <w:rFonts w:ascii="Arial" w:hAnsi="Arial" w:cs="Arial"/>
        </w:rPr>
      </w:pPr>
    </w:p>
    <w:p w14:paraId="6C2A50A2" w14:textId="750D796F" w:rsidR="00986C68" w:rsidRPr="00375EFE" w:rsidRDefault="00986C68" w:rsidP="00375EFE">
      <w:pPr>
        <w:spacing w:before="100" w:beforeAutospacing="1" w:after="100" w:afterAutospacing="1" w:line="360" w:lineRule="auto"/>
        <w:jc w:val="both"/>
        <w:rPr>
          <w:rFonts w:ascii="Arial" w:eastAsia="Times New Roman" w:hAnsi="Arial" w:cs="Arial"/>
          <w:kern w:val="0"/>
          <w:lang w:eastAsia="en-GB"/>
          <w14:ligatures w14:val="none"/>
        </w:rPr>
      </w:pPr>
    </w:p>
    <w:p w14:paraId="5A1ADF6A" w14:textId="651887FE" w:rsidR="00AA2FC6" w:rsidRPr="00375EFE" w:rsidRDefault="0067333B" w:rsidP="00375EFE">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375EFE">
        <w:rPr>
          <w:rFonts w:ascii="Arial" w:eastAsia="Times New Roman" w:hAnsi="Arial" w:cs="Arial"/>
          <w:b/>
          <w:bCs/>
          <w:kern w:val="36"/>
          <w:lang w:eastAsia="en-GB"/>
          <w14:ligatures w14:val="none"/>
        </w:rPr>
        <w:t xml:space="preserve">Project Overview </w:t>
      </w:r>
    </w:p>
    <w:p w14:paraId="0E3DF668" w14:textId="77777777" w:rsidR="00BD48B7" w:rsidRPr="00375EFE" w:rsidRDefault="00BD48B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The wearable health device project involves developing and launching a product designed to monitor heart rate, oxygen saturation, and sleep patterns. The product will integrate sensors, software, and cloud-based analytics to provide real-time health data. This information will be accessible through a mobile application, allowing users to track their health metrics over time. The device is intended for use by a wide range of consumers, including health-conscious individuals and people with chronic conditions who need continuous health monitoring.</w:t>
      </w:r>
    </w:p>
    <w:p w14:paraId="7A22A921" w14:textId="77777777" w:rsidR="00BD48B7" w:rsidRPr="00375EFE" w:rsidRDefault="00BD48B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lastRenderedPageBreak/>
        <w:t>The timeline for the project is set for six months, a relatively short period considering the complexity of the product. The project will require close coordination between various internal teams, such as R&amp;D, marketing, sales, finance, and IT, as well as external stakeholders including suppliers, healthcare providers, and regulatory bodies.</w:t>
      </w:r>
    </w:p>
    <w:p w14:paraId="1EBF3D6B" w14:textId="77777777" w:rsidR="00BD48B7" w:rsidRPr="00375EFE" w:rsidRDefault="00BD48B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The product development process will follow several key stages: initial concept design, prototype development, software and app integration, clinical testing, regulatory approval, and product marketing and distribution. Each of these stages involves multiple stakeholders, each with specific roles and responsibilities. The project's success will depend on the ability to manage these stakeholders effectively, align their interests, and ensure that all objectives are met within the given timeframe.</w:t>
      </w:r>
    </w:p>
    <w:p w14:paraId="29A3F10A" w14:textId="77777777" w:rsidR="00BD48B7" w:rsidRPr="00375EFE" w:rsidRDefault="00BD48B7"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The market for wearable health devices is growing rapidly, driven by increasing consumer demand for personal health management tools. Health-conscious consumers are increasingly seeking ways to monitor their vital signs and improve their overall well-being. Healthcare providers are also recognizing the potential of wearable technology to enhance patient care through remote monitoring. As such, the wearable health device represents a significant opportunity for Philips Healthcare UK to expand its product portfolio and strengthen its presence in the digital health market.</w:t>
      </w:r>
    </w:p>
    <w:p w14:paraId="4950F35A" w14:textId="53F9DB12"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5613712A" w14:textId="3A9D7994" w:rsidR="00D00AA9" w:rsidRPr="00375EFE" w:rsidRDefault="0067333B"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36"/>
          <w:lang w:eastAsia="en-GB"/>
          <w14:ligatures w14:val="none"/>
        </w:rPr>
        <w:t xml:space="preserve"> </w:t>
      </w:r>
      <w:r w:rsidR="00D00AA9" w:rsidRPr="00375EFE">
        <w:rPr>
          <w:rFonts w:ascii="Arial" w:eastAsia="Times New Roman" w:hAnsi="Arial" w:cs="Arial"/>
          <w:b/>
          <w:bCs/>
          <w:kern w:val="0"/>
          <w:lang w:eastAsia="en-GB"/>
          <w14:ligatures w14:val="none"/>
        </w:rPr>
        <w:t>Company Appraisal</w:t>
      </w:r>
    </w:p>
    <w:p w14:paraId="29589850" w14:textId="77777777" w:rsidR="00302D78" w:rsidRPr="00302D78" w:rsidRDefault="00302D78"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02D78">
        <w:rPr>
          <w:rFonts w:ascii="Arial" w:eastAsia="Times New Roman" w:hAnsi="Arial" w:cs="Arial"/>
          <w:b/>
          <w:bCs/>
          <w:kern w:val="0"/>
          <w:lang w:eastAsia="en-GB"/>
          <w14:ligatures w14:val="none"/>
        </w:rPr>
        <w:t>SWOT Analysis</w:t>
      </w:r>
    </w:p>
    <w:p w14:paraId="46D80A7B"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kern w:val="0"/>
          <w:lang w:eastAsia="en-GB"/>
          <w14:ligatures w14:val="none"/>
        </w:rPr>
        <w:t>A thorough SWOT analysis allows Philips Healthcare UK to evaluate internal capabilities and external factors influencing the wearable health device project.</w:t>
      </w:r>
    </w:p>
    <w:p w14:paraId="6916ED38"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Strengths:</w:t>
      </w:r>
    </w:p>
    <w:p w14:paraId="2F9763B2" w14:textId="77777777" w:rsidR="00302D78" w:rsidRPr="00302D78" w:rsidRDefault="00302D78" w:rsidP="00375EFE">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Research and Development (R&amp;D) Expertise:</w:t>
      </w:r>
      <w:r w:rsidRPr="00302D78">
        <w:rPr>
          <w:rFonts w:ascii="Arial" w:eastAsia="Times New Roman" w:hAnsi="Arial" w:cs="Arial"/>
          <w:kern w:val="0"/>
          <w:lang w:eastAsia="en-GB"/>
          <w14:ligatures w14:val="none"/>
        </w:rPr>
        <w:t xml:space="preserve"> Philips Healthcare UK has a long-standing reputation for pioneering research in medical devices and health technologies. Its focused investment in R&amp;D, particularly for wearable health solutions, provides a competitive advantage by enabling the development of </w:t>
      </w:r>
      <w:r w:rsidRPr="00302D78">
        <w:rPr>
          <w:rFonts w:ascii="Arial" w:eastAsia="Times New Roman" w:hAnsi="Arial" w:cs="Arial"/>
          <w:kern w:val="0"/>
          <w:lang w:eastAsia="en-GB"/>
          <w14:ligatures w14:val="none"/>
        </w:rPr>
        <w:lastRenderedPageBreak/>
        <w:t>innovative products that meet evolving consumer and clinical needs (Ashcroft, 2017).</w:t>
      </w:r>
    </w:p>
    <w:p w14:paraId="5DD88226" w14:textId="77777777" w:rsidR="00302D78" w:rsidRPr="00302D78" w:rsidRDefault="00302D78" w:rsidP="00375EFE">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Brand Recognition:</w:t>
      </w:r>
      <w:r w:rsidRPr="00302D78">
        <w:rPr>
          <w:rFonts w:ascii="Arial" w:eastAsia="Times New Roman" w:hAnsi="Arial" w:cs="Arial"/>
          <w:kern w:val="0"/>
          <w:lang w:eastAsia="en-GB"/>
          <w14:ligatures w14:val="none"/>
        </w:rPr>
        <w:t xml:space="preserve"> Being part of the globally respected Philips brand gives the UK subsidiary credibility and trust among healthcare providers and consumers. This strong brand equity facilitates market acceptance and strengthens stakeholder confidence in the new wearable device (Christopher et al., 2013).</w:t>
      </w:r>
    </w:p>
    <w:p w14:paraId="5605C784" w14:textId="77777777" w:rsidR="00302D78" w:rsidRPr="00302D78" w:rsidRDefault="00302D78" w:rsidP="00375EFE">
      <w:pPr>
        <w:numPr>
          <w:ilvl w:val="0"/>
          <w:numId w:val="28"/>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Global Distribution Network:</w:t>
      </w:r>
      <w:r w:rsidRPr="00302D78">
        <w:rPr>
          <w:rFonts w:ascii="Arial" w:eastAsia="Times New Roman" w:hAnsi="Arial" w:cs="Arial"/>
          <w:kern w:val="0"/>
          <w:lang w:eastAsia="en-GB"/>
          <w14:ligatures w14:val="none"/>
        </w:rPr>
        <w:t xml:space="preserve"> Philips Healthcare UK benefits from an extensive international distribution infrastructure, allowing efficient delivery of the wearable device to multiple markets and broadening its consumer reach (PMI, 2021).</w:t>
      </w:r>
    </w:p>
    <w:p w14:paraId="36C3F962"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Weaknesses:</w:t>
      </w:r>
    </w:p>
    <w:p w14:paraId="1742E3B2" w14:textId="77777777" w:rsidR="00302D78" w:rsidRPr="00302D78" w:rsidRDefault="00302D78" w:rsidP="00375EFE">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High Development Costs:</w:t>
      </w:r>
      <w:r w:rsidRPr="00302D78">
        <w:rPr>
          <w:rFonts w:ascii="Arial" w:eastAsia="Times New Roman" w:hAnsi="Arial" w:cs="Arial"/>
          <w:kern w:val="0"/>
          <w:lang w:eastAsia="en-GB"/>
          <w14:ligatures w14:val="none"/>
        </w:rPr>
        <w:t xml:space="preserve"> The design and production of wearable devices require substantial financial resources, including research, prototyping, clinical testing, and compliance with regulations. These costs could challenge profitability if market uptake does not meet expectations (Bourne, 2015).</w:t>
      </w:r>
    </w:p>
    <w:p w14:paraId="7C25D4E3" w14:textId="77777777" w:rsidR="00302D78" w:rsidRPr="00302D78" w:rsidRDefault="00302D78" w:rsidP="00375EFE">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Supply Chain Vulnerabilities:</w:t>
      </w:r>
      <w:r w:rsidRPr="00302D78">
        <w:rPr>
          <w:rFonts w:ascii="Arial" w:eastAsia="Times New Roman" w:hAnsi="Arial" w:cs="Arial"/>
          <w:kern w:val="0"/>
          <w:lang w:eastAsia="en-GB"/>
          <w14:ligatures w14:val="none"/>
        </w:rPr>
        <w:t xml:space="preserve"> Dependence on external suppliers for device components introduces risks of delays, shortages, or disruptions, which could impact production schedules and jeopardize the planned launch (Christopher et al., 2013).</w:t>
      </w:r>
    </w:p>
    <w:p w14:paraId="526515A1" w14:textId="77777777" w:rsidR="00302D78" w:rsidRPr="00302D78" w:rsidRDefault="00302D78" w:rsidP="00375EFE">
      <w:pPr>
        <w:numPr>
          <w:ilvl w:val="0"/>
          <w:numId w:val="29"/>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Regulatory Compliance:</w:t>
      </w:r>
      <w:r w:rsidRPr="00302D78">
        <w:rPr>
          <w:rFonts w:ascii="Arial" w:eastAsia="Times New Roman" w:hAnsi="Arial" w:cs="Arial"/>
          <w:kern w:val="0"/>
          <w:lang w:eastAsia="en-GB"/>
          <w14:ligatures w14:val="none"/>
        </w:rPr>
        <w:t xml:space="preserve"> Navigating stringent medical device regulations and data protection laws, such as GDPR, can be time-intensive and may create delays, affecting the product’s timely market entry (PMI, 2021).</w:t>
      </w:r>
    </w:p>
    <w:p w14:paraId="0AFBA36C"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Opportunities:</w:t>
      </w:r>
    </w:p>
    <w:p w14:paraId="72B92938" w14:textId="77777777" w:rsidR="00302D78" w:rsidRPr="00302D78" w:rsidRDefault="00302D78" w:rsidP="00375EFE">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Rising Consumer Demand for Wearables:</w:t>
      </w:r>
      <w:r w:rsidRPr="00302D78">
        <w:rPr>
          <w:rFonts w:ascii="Arial" w:eastAsia="Times New Roman" w:hAnsi="Arial" w:cs="Arial"/>
          <w:kern w:val="0"/>
          <w:lang w:eastAsia="en-GB"/>
          <w14:ligatures w14:val="none"/>
        </w:rPr>
        <w:t xml:space="preserve"> The increasing interest in health-conscious lifestyles presents a significant growth opportunity. Consumers are seeking tools to monitor and manage their health proactively, positioning the wearable device to capture market share (Freeman, 2010).</w:t>
      </w:r>
    </w:p>
    <w:p w14:paraId="446F3205" w14:textId="77777777" w:rsidR="00302D78" w:rsidRPr="00302D78" w:rsidRDefault="00302D78" w:rsidP="00375EFE">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Partnerships with Healthcare Providers:</w:t>
      </w:r>
      <w:r w:rsidRPr="00302D78">
        <w:rPr>
          <w:rFonts w:ascii="Arial" w:eastAsia="Times New Roman" w:hAnsi="Arial" w:cs="Arial"/>
          <w:kern w:val="0"/>
          <w:lang w:eastAsia="en-GB"/>
          <w14:ligatures w14:val="none"/>
        </w:rPr>
        <w:t xml:space="preserve"> Collaborating with healthcare institutions allows the device to be integrated into patient care programs, </w:t>
      </w:r>
      <w:r w:rsidRPr="00302D78">
        <w:rPr>
          <w:rFonts w:ascii="Arial" w:eastAsia="Times New Roman" w:hAnsi="Arial" w:cs="Arial"/>
          <w:kern w:val="0"/>
          <w:lang w:eastAsia="en-GB"/>
          <w14:ligatures w14:val="none"/>
        </w:rPr>
        <w:lastRenderedPageBreak/>
        <w:t>enabling remote monitoring and improving patient outcomes while enhancing the product’s clinical relevance (Bryson, 2018).</w:t>
      </w:r>
    </w:p>
    <w:p w14:paraId="78DEBA36" w14:textId="77777777" w:rsidR="00302D78" w:rsidRPr="00302D78" w:rsidRDefault="00302D78" w:rsidP="00375EFE">
      <w:pPr>
        <w:numPr>
          <w:ilvl w:val="0"/>
          <w:numId w:val="30"/>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Growth of Preventive Healthcare:</w:t>
      </w:r>
      <w:r w:rsidRPr="00302D78">
        <w:rPr>
          <w:rFonts w:ascii="Arial" w:eastAsia="Times New Roman" w:hAnsi="Arial" w:cs="Arial"/>
          <w:kern w:val="0"/>
          <w:lang w:eastAsia="en-GB"/>
          <w14:ligatures w14:val="none"/>
        </w:rPr>
        <w:t xml:space="preserve"> As healthcare shifts from reactive to preventive approaches, wearable devices that support proactive health management align with market trends, offering Philips the chance to position its product as a vital tool in wellness and disease prevention (Mitchell et al., 1997).</w:t>
      </w:r>
    </w:p>
    <w:p w14:paraId="139AA600"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Threats:</w:t>
      </w:r>
    </w:p>
    <w:p w14:paraId="2EDF158F" w14:textId="77777777" w:rsidR="00302D78" w:rsidRPr="00302D78" w:rsidRDefault="00302D78" w:rsidP="00375EFE">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Intense Competition:</w:t>
      </w:r>
      <w:r w:rsidRPr="00302D78">
        <w:rPr>
          <w:rFonts w:ascii="Arial" w:eastAsia="Times New Roman" w:hAnsi="Arial" w:cs="Arial"/>
          <w:kern w:val="0"/>
          <w:lang w:eastAsia="en-GB"/>
          <w14:ligatures w14:val="none"/>
        </w:rPr>
        <w:t xml:space="preserve"> The wearable health device market is highly competitive, with established brands like Apple, Fitbit, and Garmin commanding significant market share. Competing with these well-known brands may pose challenges in terms of adoption and consumer loyalty (Christopher et al., 2013).</w:t>
      </w:r>
    </w:p>
    <w:p w14:paraId="3F4AD455" w14:textId="77777777" w:rsidR="00302D78" w:rsidRPr="00302D78" w:rsidRDefault="00302D78" w:rsidP="00375EFE">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Rapid Technological Change:</w:t>
      </w:r>
      <w:r w:rsidRPr="00302D78">
        <w:rPr>
          <w:rFonts w:ascii="Arial" w:eastAsia="Times New Roman" w:hAnsi="Arial" w:cs="Arial"/>
          <w:kern w:val="0"/>
          <w:lang w:eastAsia="en-GB"/>
          <w14:ligatures w14:val="none"/>
        </w:rPr>
        <w:t xml:space="preserve"> Continuous innovation is required to remain competitive. Philips must ensure its devices incorporate the latest technological advancements, including AI analytics and connectivity features, to maintain relevance (Ashcroft, 2017).</w:t>
      </w:r>
    </w:p>
    <w:p w14:paraId="34C0A25D" w14:textId="77777777" w:rsidR="00302D78" w:rsidRPr="00302D78" w:rsidRDefault="00302D78" w:rsidP="00375EFE">
      <w:pPr>
        <w:numPr>
          <w:ilvl w:val="0"/>
          <w:numId w:val="31"/>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Economic Uncertainty:</w:t>
      </w:r>
      <w:r w:rsidRPr="00302D78">
        <w:rPr>
          <w:rFonts w:ascii="Arial" w:eastAsia="Times New Roman" w:hAnsi="Arial" w:cs="Arial"/>
          <w:kern w:val="0"/>
          <w:lang w:eastAsia="en-GB"/>
          <w14:ligatures w14:val="none"/>
        </w:rPr>
        <w:t xml:space="preserve"> Fluctuating economic conditions, including inflation or reduced consumer spending, could influence demand for wearable devices, impacting sales and profitability (PMI, 2021).</w:t>
      </w:r>
    </w:p>
    <w:p w14:paraId="5D218953" w14:textId="1BF153C4" w:rsidR="00302D78" w:rsidRPr="00302D78" w:rsidRDefault="00302D78" w:rsidP="00375EFE">
      <w:pPr>
        <w:spacing w:after="0" w:line="360" w:lineRule="auto"/>
        <w:jc w:val="both"/>
        <w:rPr>
          <w:rFonts w:ascii="Arial" w:eastAsia="Times New Roman" w:hAnsi="Arial" w:cs="Arial"/>
          <w:kern w:val="0"/>
          <w:lang w:eastAsia="en-GB"/>
          <w14:ligatures w14:val="none"/>
        </w:rPr>
      </w:pPr>
    </w:p>
    <w:p w14:paraId="6A9E1030" w14:textId="77777777" w:rsidR="00302D78" w:rsidRPr="00302D78" w:rsidRDefault="00302D78"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02D78">
        <w:rPr>
          <w:rFonts w:ascii="Arial" w:eastAsia="Times New Roman" w:hAnsi="Arial" w:cs="Arial"/>
          <w:b/>
          <w:bCs/>
          <w:kern w:val="0"/>
          <w:lang w:eastAsia="en-GB"/>
          <w14:ligatures w14:val="none"/>
        </w:rPr>
        <w:t>PESTLE Analysis</w:t>
      </w:r>
    </w:p>
    <w:p w14:paraId="4CDFF5E0"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kern w:val="0"/>
          <w:lang w:eastAsia="en-GB"/>
          <w14:ligatures w14:val="none"/>
        </w:rPr>
        <w:t>A PESTLE analysis highlights the external factors that could influence the success of Philips Healthcare UK’s wearable health device project:</w:t>
      </w:r>
    </w:p>
    <w:p w14:paraId="46E8768E"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Political:</w:t>
      </w:r>
      <w:r w:rsidRPr="00302D78">
        <w:rPr>
          <w:rFonts w:ascii="Arial" w:eastAsia="Times New Roman" w:hAnsi="Arial" w:cs="Arial"/>
          <w:kern w:val="0"/>
          <w:lang w:eastAsia="en-GB"/>
          <w14:ligatures w14:val="none"/>
        </w:rPr>
        <w:t xml:space="preserve"> Government initiatives supporting digital healthcare technologies are favourable for Philips. However, post-Brexit regulatory adjustments may increase costs and create additional challenges in product approval and cross-border distribution (Freeman, 2010).</w:t>
      </w:r>
    </w:p>
    <w:p w14:paraId="5F18F9CE"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Economic:</w:t>
      </w:r>
      <w:r w:rsidRPr="00302D78">
        <w:rPr>
          <w:rFonts w:ascii="Arial" w:eastAsia="Times New Roman" w:hAnsi="Arial" w:cs="Arial"/>
          <w:kern w:val="0"/>
          <w:lang w:eastAsia="en-GB"/>
          <w14:ligatures w14:val="none"/>
        </w:rPr>
        <w:t xml:space="preserve"> Global economic conditions significantly affect consumer purchasing decisions. Opportunities arise from rising healthcare costs and a </w:t>
      </w:r>
      <w:r w:rsidRPr="00302D78">
        <w:rPr>
          <w:rFonts w:ascii="Arial" w:eastAsia="Times New Roman" w:hAnsi="Arial" w:cs="Arial"/>
          <w:kern w:val="0"/>
          <w:lang w:eastAsia="en-GB"/>
          <w14:ligatures w14:val="none"/>
        </w:rPr>
        <w:lastRenderedPageBreak/>
        <w:t>preference for preventive care, while economic downturns could reduce market demand for wearable devices (Christopher et al., 2013).</w:t>
      </w:r>
    </w:p>
    <w:p w14:paraId="5C3433F8"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Social:</w:t>
      </w:r>
      <w:r w:rsidRPr="00302D78">
        <w:rPr>
          <w:rFonts w:ascii="Arial" w:eastAsia="Times New Roman" w:hAnsi="Arial" w:cs="Arial"/>
          <w:kern w:val="0"/>
          <w:lang w:eastAsia="en-GB"/>
          <w14:ligatures w14:val="none"/>
        </w:rPr>
        <w:t xml:space="preserve"> Increasing awareness of personal wellness, an aging population, and the desire for self-monitoring tools drive consumer interest in wearable health technologies. These social trends create a supportive environment for the new device (Clarkson, 1995).</w:t>
      </w:r>
    </w:p>
    <w:p w14:paraId="59BA8CA8"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Technological:</w:t>
      </w:r>
      <w:r w:rsidRPr="00302D78">
        <w:rPr>
          <w:rFonts w:ascii="Arial" w:eastAsia="Times New Roman" w:hAnsi="Arial" w:cs="Arial"/>
          <w:kern w:val="0"/>
          <w:lang w:eastAsia="en-GB"/>
          <w14:ligatures w14:val="none"/>
        </w:rPr>
        <w:t xml:space="preserve"> Advancements such as AI-enabled analytics, cloud-based monitoring, and sensor technologies enhance the functionality and appeal of wearable devices, providing Philips with opportunities to offer personalized, real-time health insights (PMI, 2021).</w:t>
      </w:r>
    </w:p>
    <w:p w14:paraId="64B2E185"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Legal:</w:t>
      </w:r>
      <w:r w:rsidRPr="00302D78">
        <w:rPr>
          <w:rFonts w:ascii="Arial" w:eastAsia="Times New Roman" w:hAnsi="Arial" w:cs="Arial"/>
          <w:kern w:val="0"/>
          <w:lang w:eastAsia="en-GB"/>
          <w14:ligatures w14:val="none"/>
        </w:rPr>
        <w:t xml:space="preserve"> Compliance with GDPR, medical device certification standards, and other regulatory requirements is crucial. Navigating this complex legal landscape ensures the device is safe, secure, and market-ready (Bourne, 2015).</w:t>
      </w:r>
    </w:p>
    <w:p w14:paraId="3D829903" w14:textId="77777777" w:rsidR="00302D78" w:rsidRPr="00302D78" w:rsidRDefault="00302D78" w:rsidP="00375EFE">
      <w:pPr>
        <w:numPr>
          <w:ilvl w:val="0"/>
          <w:numId w:val="32"/>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Environmental:</w:t>
      </w:r>
      <w:r w:rsidRPr="00302D78">
        <w:rPr>
          <w:rFonts w:ascii="Arial" w:eastAsia="Times New Roman" w:hAnsi="Arial" w:cs="Arial"/>
          <w:kern w:val="0"/>
          <w:lang w:eastAsia="en-GB"/>
          <w14:ligatures w14:val="none"/>
        </w:rPr>
        <w:t xml:space="preserve"> Increasing consumer focus on sustainability encourages Philips to adopt environmentally responsible practices in sourcing and manufacturing, enhancing brand reputation and competitive advantage (Mitchell et al., 1997).</w:t>
      </w:r>
    </w:p>
    <w:p w14:paraId="5634DEEE" w14:textId="57F2E2BD" w:rsidR="00302D78" w:rsidRPr="00302D78" w:rsidRDefault="00302D78" w:rsidP="00375EFE">
      <w:pPr>
        <w:spacing w:after="0" w:line="360" w:lineRule="auto"/>
        <w:jc w:val="both"/>
        <w:rPr>
          <w:rFonts w:ascii="Arial" w:eastAsia="Times New Roman" w:hAnsi="Arial" w:cs="Arial"/>
          <w:kern w:val="0"/>
          <w:lang w:eastAsia="en-GB"/>
          <w14:ligatures w14:val="none"/>
        </w:rPr>
      </w:pPr>
    </w:p>
    <w:p w14:paraId="45593E4E" w14:textId="77777777" w:rsidR="00302D78" w:rsidRPr="00302D78" w:rsidRDefault="00302D78"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02D78">
        <w:rPr>
          <w:rFonts w:ascii="Arial" w:eastAsia="Times New Roman" w:hAnsi="Arial" w:cs="Arial"/>
          <w:b/>
          <w:bCs/>
          <w:kern w:val="0"/>
          <w:lang w:eastAsia="en-GB"/>
          <w14:ligatures w14:val="none"/>
        </w:rPr>
        <w:t>SMART Objectives</w:t>
      </w:r>
    </w:p>
    <w:p w14:paraId="0BB81B1E" w14:textId="77777777" w:rsidR="00302D78" w:rsidRPr="00302D78" w:rsidRDefault="00302D78" w:rsidP="00375EFE">
      <w:p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kern w:val="0"/>
          <w:lang w:eastAsia="en-GB"/>
          <w14:ligatures w14:val="none"/>
        </w:rPr>
        <w:t>To ensure the wearable health device project is focused and achievable, the following SMART objectives have been established:</w:t>
      </w:r>
    </w:p>
    <w:p w14:paraId="30F50D24" w14:textId="77777777" w:rsidR="00302D78" w:rsidRPr="00302D78" w:rsidRDefault="00302D78" w:rsidP="00375EFE">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Specific:</w:t>
      </w:r>
      <w:r w:rsidRPr="00302D78">
        <w:rPr>
          <w:rFonts w:ascii="Arial" w:eastAsia="Times New Roman" w:hAnsi="Arial" w:cs="Arial"/>
          <w:kern w:val="0"/>
          <w:lang w:eastAsia="en-GB"/>
          <w14:ligatures w14:val="none"/>
        </w:rPr>
        <w:t xml:space="preserve"> Design, develop, and launch a wearable device that tracks heart rate, oxygen saturation, and sleep patterns, targeting health-conscious individuals and patients with chronic conditions (Philips Healthcare UK, 2022).</w:t>
      </w:r>
    </w:p>
    <w:p w14:paraId="4405DD3E" w14:textId="77777777" w:rsidR="00302D78" w:rsidRPr="00302D78" w:rsidRDefault="00302D78" w:rsidP="00375EFE">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Measurable:</w:t>
      </w:r>
      <w:r w:rsidRPr="00302D78">
        <w:rPr>
          <w:rFonts w:ascii="Arial" w:eastAsia="Times New Roman" w:hAnsi="Arial" w:cs="Arial"/>
          <w:kern w:val="0"/>
          <w:lang w:eastAsia="en-GB"/>
          <w14:ligatures w14:val="none"/>
        </w:rPr>
        <w:t xml:space="preserve"> Achieve full regulatory approval, complete clinical testing, and launch the device within six months. Aim for at least 80% of internal project milestones to be met on schedule and receive positive feedback from at least 90% of pilot users (PMI, 2021; Ashcroft, 2017).</w:t>
      </w:r>
    </w:p>
    <w:p w14:paraId="30057216" w14:textId="77777777" w:rsidR="00302D78" w:rsidRPr="00302D78" w:rsidRDefault="00302D78" w:rsidP="00375EFE">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Achievable:</w:t>
      </w:r>
      <w:r w:rsidRPr="00302D78">
        <w:rPr>
          <w:rFonts w:ascii="Arial" w:eastAsia="Times New Roman" w:hAnsi="Arial" w:cs="Arial"/>
          <w:kern w:val="0"/>
          <w:lang w:eastAsia="en-GB"/>
          <w14:ligatures w14:val="none"/>
        </w:rPr>
        <w:t xml:space="preserve"> Utilize Philips Healthcare UK’s existing R&amp;D, IT, marketing, and finance teams, supported by supplier partnerships and digital collaboration </w:t>
      </w:r>
      <w:r w:rsidRPr="00302D78">
        <w:rPr>
          <w:rFonts w:ascii="Arial" w:eastAsia="Times New Roman" w:hAnsi="Arial" w:cs="Arial"/>
          <w:kern w:val="0"/>
          <w:lang w:eastAsia="en-GB"/>
          <w14:ligatures w14:val="none"/>
        </w:rPr>
        <w:lastRenderedPageBreak/>
        <w:t>platforms, to ensure development, testing, and marketing processes are completed within the project timeline (Christopher et al., 2013; Freeman, 2010).</w:t>
      </w:r>
    </w:p>
    <w:p w14:paraId="5BF6724F" w14:textId="77777777" w:rsidR="00302D78" w:rsidRPr="00302D78" w:rsidRDefault="00302D78" w:rsidP="00375EFE">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Relevant:</w:t>
      </w:r>
      <w:r w:rsidRPr="00302D78">
        <w:rPr>
          <w:rFonts w:ascii="Arial" w:eastAsia="Times New Roman" w:hAnsi="Arial" w:cs="Arial"/>
          <w:kern w:val="0"/>
          <w:lang w:eastAsia="en-GB"/>
          <w14:ligatures w14:val="none"/>
        </w:rPr>
        <w:t xml:space="preserve"> Aligns with Philips’ strategic objectives to expand wearable health technology offerings, enhance preventive healthcare solutions, and strengthen the brand’s presence in the growing consumer health market (Bourne, 2015; Mitchell et al., 1997).</w:t>
      </w:r>
    </w:p>
    <w:p w14:paraId="188C2302" w14:textId="77777777" w:rsidR="00302D78" w:rsidRPr="00302D78" w:rsidRDefault="00302D78" w:rsidP="00375EFE">
      <w:pPr>
        <w:numPr>
          <w:ilvl w:val="0"/>
          <w:numId w:val="33"/>
        </w:numPr>
        <w:spacing w:before="100" w:beforeAutospacing="1" w:after="100" w:afterAutospacing="1" w:line="360" w:lineRule="auto"/>
        <w:jc w:val="both"/>
        <w:rPr>
          <w:rFonts w:ascii="Arial" w:eastAsia="Times New Roman" w:hAnsi="Arial" w:cs="Arial"/>
          <w:kern w:val="0"/>
          <w:lang w:eastAsia="en-GB"/>
          <w14:ligatures w14:val="none"/>
        </w:rPr>
      </w:pPr>
      <w:r w:rsidRPr="00302D78">
        <w:rPr>
          <w:rFonts w:ascii="Arial" w:eastAsia="Times New Roman" w:hAnsi="Arial" w:cs="Arial"/>
          <w:b/>
          <w:bCs/>
          <w:kern w:val="0"/>
          <w:lang w:eastAsia="en-GB"/>
          <w14:ligatures w14:val="none"/>
        </w:rPr>
        <w:t>Time-bound:</w:t>
      </w:r>
      <w:r w:rsidRPr="00302D78">
        <w:rPr>
          <w:rFonts w:ascii="Arial" w:eastAsia="Times New Roman" w:hAnsi="Arial" w:cs="Arial"/>
          <w:kern w:val="0"/>
          <w:lang w:eastAsia="en-GB"/>
          <w14:ligatures w14:val="none"/>
        </w:rPr>
        <w:t xml:space="preserve"> Complete the full project lifecycle—including design, prototyping, clinical validation, regulatory approval, marketing, and launch—within six months, with quarterly stakeholder engagement reviews to monitor progress (PMI, 2021; Bryson, 2018).</w:t>
      </w:r>
    </w:p>
    <w:p w14:paraId="049AC65A" w14:textId="77777777" w:rsidR="009C404A" w:rsidRPr="00375EFE" w:rsidRDefault="009C404A" w:rsidP="00375EFE">
      <w:pPr>
        <w:spacing w:after="0" w:line="360" w:lineRule="auto"/>
        <w:jc w:val="both"/>
        <w:rPr>
          <w:rFonts w:ascii="Arial" w:eastAsia="Times New Roman" w:hAnsi="Arial" w:cs="Arial"/>
          <w:kern w:val="0"/>
          <w:lang w:eastAsia="en-GB"/>
          <w14:ligatures w14:val="none"/>
        </w:rPr>
      </w:pPr>
    </w:p>
    <w:p w14:paraId="149671AD" w14:textId="0A9992D5" w:rsidR="00AA7C81" w:rsidRPr="00375EFE" w:rsidRDefault="00AA7C81"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 Identification of Key Stakeholders</w:t>
      </w:r>
    </w:p>
    <w:p w14:paraId="6A93C333" w14:textId="77777777" w:rsidR="00AA7C81" w:rsidRPr="00375EFE" w:rsidRDefault="00AA7C81"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Stakeholder engagement is critical to the success of this project. The following is a comprehensive list of internal and external stakeholders involved in the wearable health device project:</w:t>
      </w:r>
    </w:p>
    <w:p w14:paraId="41B47510" w14:textId="77777777" w:rsidR="00AA7C81" w:rsidRPr="00375EFE" w:rsidRDefault="00AA7C81"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Internal Stakeholders:</w:t>
      </w:r>
    </w:p>
    <w:p w14:paraId="42FBB21E"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R&amp;D Team:</w:t>
      </w:r>
      <w:r w:rsidRPr="00375EFE">
        <w:rPr>
          <w:rFonts w:ascii="Arial" w:eastAsia="Times New Roman" w:hAnsi="Arial" w:cs="Arial"/>
          <w:kern w:val="0"/>
          <w:lang w:eastAsia="en-GB"/>
          <w14:ligatures w14:val="none"/>
        </w:rPr>
        <w:t xml:space="preserve"> Responsible for the design, prototyping, and testing of the device. They ensure that the product meets the required technical specifications and quality standards.</w:t>
      </w:r>
    </w:p>
    <w:p w14:paraId="4CECF16E"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Marketing Team:</w:t>
      </w:r>
      <w:r w:rsidRPr="00375EFE">
        <w:rPr>
          <w:rFonts w:ascii="Arial" w:eastAsia="Times New Roman" w:hAnsi="Arial" w:cs="Arial"/>
          <w:kern w:val="0"/>
          <w:lang w:eastAsia="en-GB"/>
          <w14:ligatures w14:val="none"/>
        </w:rPr>
        <w:t xml:space="preserve"> Focuses on positioning and promoting the wearable health device to target markets. This team is responsible for building brand awareness and generating consumer interest.</w:t>
      </w:r>
    </w:p>
    <w:p w14:paraId="38F6DC35"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Sales Team:</w:t>
      </w:r>
      <w:r w:rsidRPr="00375EFE">
        <w:rPr>
          <w:rFonts w:ascii="Arial" w:eastAsia="Times New Roman" w:hAnsi="Arial" w:cs="Arial"/>
          <w:kern w:val="0"/>
          <w:lang w:eastAsia="en-GB"/>
          <w14:ligatures w14:val="none"/>
        </w:rPr>
        <w:t xml:space="preserve"> Works on distribution strategies and ensures that the device is available to customers through appropriate retail channels and healthcare providers.</w:t>
      </w:r>
    </w:p>
    <w:p w14:paraId="716AAF86"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Finance Team:</w:t>
      </w:r>
      <w:r w:rsidRPr="00375EFE">
        <w:rPr>
          <w:rFonts w:ascii="Arial" w:eastAsia="Times New Roman" w:hAnsi="Arial" w:cs="Arial"/>
          <w:kern w:val="0"/>
          <w:lang w:eastAsia="en-GB"/>
          <w14:ligatures w14:val="none"/>
        </w:rPr>
        <w:t xml:space="preserve"> Manages the budget, allocates resources, and ensures financial feasibility. They are responsible for forecasting, controlling costs, and tracking profitability.</w:t>
      </w:r>
    </w:p>
    <w:p w14:paraId="24DC9274"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lastRenderedPageBreak/>
        <w:t>IT Team:</w:t>
      </w:r>
      <w:r w:rsidRPr="00375EFE">
        <w:rPr>
          <w:rFonts w:ascii="Arial" w:eastAsia="Times New Roman" w:hAnsi="Arial" w:cs="Arial"/>
          <w:kern w:val="0"/>
          <w:lang w:eastAsia="en-GB"/>
          <w14:ligatures w14:val="none"/>
        </w:rPr>
        <w:t xml:space="preserve"> Develops the software and mobile applications required to support the wearable device, ensuring seamless integration with cloud-based systems for real-time health monitoring.</w:t>
      </w:r>
    </w:p>
    <w:p w14:paraId="3CEB3FD6" w14:textId="77777777" w:rsidR="00AA7C81" w:rsidRPr="00375EFE" w:rsidRDefault="00AA7C81" w:rsidP="00375EFE">
      <w:pPr>
        <w:numPr>
          <w:ilvl w:val="0"/>
          <w:numId w:val="24"/>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Project Manager:</w:t>
      </w:r>
      <w:r w:rsidRPr="00375EFE">
        <w:rPr>
          <w:rFonts w:ascii="Arial" w:eastAsia="Times New Roman" w:hAnsi="Arial" w:cs="Arial"/>
          <w:kern w:val="0"/>
          <w:lang w:eastAsia="en-GB"/>
          <w14:ligatures w14:val="none"/>
        </w:rPr>
        <w:t xml:space="preserve"> Oversees the entire project, ensures that deadlines are met, coordinates between internal teams</w:t>
      </w:r>
    </w:p>
    <w:p w14:paraId="024AC10B" w14:textId="77777777" w:rsidR="00AA7C81" w:rsidRPr="00375EFE" w:rsidRDefault="00AA7C81"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14:paraId="06F2CB8F" w14:textId="77777777" w:rsidR="007D3FB0" w:rsidRPr="00375EFE" w:rsidRDefault="007D3FB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External Stakeholders:</w:t>
      </w:r>
    </w:p>
    <w:p w14:paraId="2B77E3CC" w14:textId="77777777" w:rsidR="007D3FB0" w:rsidRPr="00375EFE" w:rsidRDefault="007D3FB0" w:rsidP="00375EFE">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Customers:</w:t>
      </w:r>
      <w:r w:rsidRPr="00375EFE">
        <w:rPr>
          <w:rFonts w:ascii="Arial" w:eastAsia="Times New Roman" w:hAnsi="Arial" w:cs="Arial"/>
          <w:kern w:val="0"/>
          <w:lang w:eastAsia="en-GB"/>
          <w14:ligatures w14:val="none"/>
        </w:rPr>
        <w:t xml:space="preserve"> The end-users who purchase and use the wearable health device. Customer feedback is vital for refining the product and ensuring that it meets consumer expectations.</w:t>
      </w:r>
    </w:p>
    <w:p w14:paraId="316AE173" w14:textId="77777777" w:rsidR="007D3FB0" w:rsidRPr="00375EFE" w:rsidRDefault="007D3FB0" w:rsidP="00375EFE">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Suppliers:</w:t>
      </w:r>
      <w:r w:rsidRPr="00375EFE">
        <w:rPr>
          <w:rFonts w:ascii="Arial" w:eastAsia="Times New Roman" w:hAnsi="Arial" w:cs="Arial"/>
          <w:kern w:val="0"/>
          <w:lang w:eastAsia="en-GB"/>
          <w14:ligatures w14:val="none"/>
        </w:rPr>
        <w:t xml:space="preserve"> Provide essential components, such as sensors, batteries, and materials, required for manufacturing the wearable device. Supplier reliability is key to meeting production deadlines.</w:t>
      </w:r>
    </w:p>
    <w:p w14:paraId="6C57D889" w14:textId="77777777" w:rsidR="007D3FB0" w:rsidRPr="00375EFE" w:rsidRDefault="007D3FB0" w:rsidP="00375EFE">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Healthcare Providers:</w:t>
      </w:r>
      <w:r w:rsidRPr="00375EFE">
        <w:rPr>
          <w:rFonts w:ascii="Arial" w:eastAsia="Times New Roman" w:hAnsi="Arial" w:cs="Arial"/>
          <w:kern w:val="0"/>
          <w:lang w:eastAsia="en-GB"/>
          <w14:ligatures w14:val="none"/>
        </w:rPr>
        <w:t xml:space="preserve"> Physicians, clinics, and hospitals that may recommend or use the wearable device in patient care. Their involvement is essential for clinical testing and product validation.</w:t>
      </w:r>
    </w:p>
    <w:p w14:paraId="011ADEDC" w14:textId="77777777" w:rsidR="007D3FB0" w:rsidRPr="00375EFE" w:rsidRDefault="007D3FB0" w:rsidP="00375EFE">
      <w:pPr>
        <w:numPr>
          <w:ilvl w:val="0"/>
          <w:numId w:val="15"/>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Regulatory Authorities:</w:t>
      </w:r>
      <w:r w:rsidRPr="00375EFE">
        <w:rPr>
          <w:rFonts w:ascii="Arial" w:eastAsia="Times New Roman" w:hAnsi="Arial" w:cs="Arial"/>
          <w:kern w:val="0"/>
          <w:lang w:eastAsia="en-GB"/>
          <w14:ligatures w14:val="none"/>
        </w:rPr>
        <w:t xml:space="preserve"> Ensure that the wearable health device meets all required medical and safety standards before it can be marketed and sold to consumers.</w:t>
      </w:r>
    </w:p>
    <w:p w14:paraId="65275F91" w14:textId="48483479" w:rsidR="0067333B" w:rsidRPr="00375EFE" w:rsidRDefault="0067333B" w:rsidP="00375EFE">
      <w:pPr>
        <w:spacing w:before="100" w:beforeAutospacing="1" w:after="100" w:afterAutospacing="1" w:line="360" w:lineRule="auto"/>
        <w:jc w:val="both"/>
        <w:outlineLvl w:val="0"/>
        <w:rPr>
          <w:rFonts w:ascii="Arial" w:eastAsia="Times New Roman" w:hAnsi="Arial" w:cs="Arial"/>
          <w:kern w:val="0"/>
          <w:lang w:eastAsia="en-GB"/>
          <w14:ligatures w14:val="none"/>
        </w:rPr>
      </w:pPr>
    </w:p>
    <w:p w14:paraId="25AE08D0" w14:textId="1B411508"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39E4B0C8" w14:textId="04423AC4" w:rsidR="008D2DBF" w:rsidRPr="00375EFE" w:rsidRDefault="008D2DBF"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Roles, Responsibilities, Benefits, and Challenges</w:t>
      </w:r>
    </w:p>
    <w:p w14:paraId="155EAEF1" w14:textId="77777777" w:rsidR="008D2DBF" w:rsidRPr="00375EFE" w:rsidRDefault="008D2DBF"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Each stakeholder in the wearable health device project has a unique role to play, with responsibilities and benefits associated with their involvement.</w:t>
      </w:r>
    </w:p>
    <w:p w14:paraId="6C6A158F" w14:textId="77777777" w:rsidR="008D2DBF" w:rsidRPr="00375EFE" w:rsidRDefault="008D2DBF"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Roles and Responsibilities:</w:t>
      </w:r>
    </w:p>
    <w:p w14:paraId="3CCA1020"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lastRenderedPageBreak/>
        <w:t>R&amp;D:</w:t>
      </w:r>
      <w:r w:rsidRPr="00375EFE">
        <w:rPr>
          <w:rFonts w:ascii="Arial" w:eastAsia="Times New Roman" w:hAnsi="Arial" w:cs="Arial"/>
          <w:kern w:val="0"/>
          <w:lang w:eastAsia="en-GB"/>
          <w14:ligatures w14:val="none"/>
        </w:rPr>
        <w:t xml:space="preserve"> The R&amp;D team is responsible for the design, development, and testing of the wearable health device. They must ensure that the device meets functional and quality standards.</w:t>
      </w:r>
    </w:p>
    <w:p w14:paraId="2ED97B29"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Marketing:</w:t>
      </w:r>
      <w:r w:rsidRPr="00375EFE">
        <w:rPr>
          <w:rFonts w:ascii="Arial" w:eastAsia="Times New Roman" w:hAnsi="Arial" w:cs="Arial"/>
          <w:kern w:val="0"/>
          <w:lang w:eastAsia="en-GB"/>
          <w14:ligatures w14:val="none"/>
        </w:rPr>
        <w:t xml:space="preserve"> The marketing team is responsible for creating awareness about the product, running advertising campaigns, and ensuring that the product resonates with the target market.</w:t>
      </w:r>
    </w:p>
    <w:p w14:paraId="68569E12"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Sales:</w:t>
      </w:r>
      <w:r w:rsidRPr="00375EFE">
        <w:rPr>
          <w:rFonts w:ascii="Arial" w:eastAsia="Times New Roman" w:hAnsi="Arial" w:cs="Arial"/>
          <w:kern w:val="0"/>
          <w:lang w:eastAsia="en-GB"/>
          <w14:ligatures w14:val="none"/>
        </w:rPr>
        <w:t xml:space="preserve"> The sales team is responsible for managing distribution, working with retailers, and ensuring that the device reaches the appropriate channels for consumer purchase.</w:t>
      </w:r>
    </w:p>
    <w:p w14:paraId="5DFB11FF"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Finance:</w:t>
      </w:r>
      <w:r w:rsidRPr="00375EFE">
        <w:rPr>
          <w:rFonts w:ascii="Arial" w:eastAsia="Times New Roman" w:hAnsi="Arial" w:cs="Arial"/>
          <w:kern w:val="0"/>
          <w:lang w:eastAsia="en-GB"/>
          <w14:ligatures w14:val="none"/>
        </w:rPr>
        <w:t xml:space="preserve"> The finance team manages the project budget, forecasts costs, and ensures that the project stays financially viable.</w:t>
      </w:r>
    </w:p>
    <w:p w14:paraId="03EE4E57"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Suppliers:</w:t>
      </w:r>
      <w:r w:rsidRPr="00375EFE">
        <w:rPr>
          <w:rFonts w:ascii="Arial" w:eastAsia="Times New Roman" w:hAnsi="Arial" w:cs="Arial"/>
          <w:kern w:val="0"/>
          <w:lang w:eastAsia="en-GB"/>
          <w14:ligatures w14:val="none"/>
        </w:rPr>
        <w:t xml:space="preserve"> Suppliers provide the components needed for manufacturing the wearable device. Their role is critical in ensuring that production timelines are met.</w:t>
      </w:r>
    </w:p>
    <w:p w14:paraId="684005E4" w14:textId="77777777" w:rsidR="008D2DBF" w:rsidRPr="00375EFE" w:rsidRDefault="008D2DBF" w:rsidP="00375EFE">
      <w:pPr>
        <w:numPr>
          <w:ilvl w:val="0"/>
          <w:numId w:val="16"/>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Regulatory Authorities:</w:t>
      </w:r>
      <w:r w:rsidRPr="00375EFE">
        <w:rPr>
          <w:rFonts w:ascii="Arial" w:eastAsia="Times New Roman" w:hAnsi="Arial" w:cs="Arial"/>
          <w:kern w:val="0"/>
          <w:lang w:eastAsia="en-GB"/>
          <w14:ligatures w14:val="none"/>
        </w:rPr>
        <w:t xml:space="preserve"> Regulatory bodies ensure that the wearable health device meets the necessary standards for safety and efficacy before it can be sold to consumers.</w:t>
      </w:r>
    </w:p>
    <w:p w14:paraId="7B2EF50F" w14:textId="77777777" w:rsidR="008D2DBF" w:rsidRPr="00375EFE" w:rsidRDefault="008D2DBF"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Benefits:</w:t>
      </w:r>
    </w:p>
    <w:p w14:paraId="537C3C9B" w14:textId="77777777"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R&amp;D:</w:t>
      </w:r>
      <w:r w:rsidRPr="00375EFE">
        <w:rPr>
          <w:rFonts w:ascii="Arial" w:eastAsia="Times New Roman" w:hAnsi="Arial" w:cs="Arial"/>
          <w:kern w:val="0"/>
          <w:lang w:eastAsia="en-GB"/>
          <w14:ligatures w14:val="none"/>
        </w:rPr>
        <w:t xml:space="preserve"> Contributing to innovation and product quality.</w:t>
      </w:r>
    </w:p>
    <w:p w14:paraId="602DDF66" w14:textId="77777777"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Marketing:</w:t>
      </w:r>
      <w:r w:rsidRPr="00375EFE">
        <w:rPr>
          <w:rFonts w:ascii="Arial" w:eastAsia="Times New Roman" w:hAnsi="Arial" w:cs="Arial"/>
          <w:kern w:val="0"/>
          <w:lang w:eastAsia="en-GB"/>
          <w14:ligatures w14:val="none"/>
        </w:rPr>
        <w:t xml:space="preserve"> Strengthening Philips Healthcare UK’s brand reputation and market presence.</w:t>
      </w:r>
    </w:p>
    <w:p w14:paraId="5AE024C5" w14:textId="77777777"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Sales:</w:t>
      </w:r>
      <w:r w:rsidRPr="00375EFE">
        <w:rPr>
          <w:rFonts w:ascii="Arial" w:eastAsia="Times New Roman" w:hAnsi="Arial" w:cs="Arial"/>
          <w:kern w:val="0"/>
          <w:lang w:eastAsia="en-GB"/>
          <w14:ligatures w14:val="none"/>
        </w:rPr>
        <w:t xml:space="preserve"> Driving product adoption and increasing revenue.</w:t>
      </w:r>
    </w:p>
    <w:p w14:paraId="63EF75CD" w14:textId="77777777"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Finance:</w:t>
      </w:r>
      <w:r w:rsidRPr="00375EFE">
        <w:rPr>
          <w:rFonts w:ascii="Arial" w:eastAsia="Times New Roman" w:hAnsi="Arial" w:cs="Arial"/>
          <w:kern w:val="0"/>
          <w:lang w:eastAsia="en-GB"/>
          <w14:ligatures w14:val="none"/>
        </w:rPr>
        <w:t xml:space="preserve"> Ensuring financial stability and profitability.</w:t>
      </w:r>
    </w:p>
    <w:p w14:paraId="74872A50" w14:textId="77777777"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Suppliers:</w:t>
      </w:r>
      <w:r w:rsidRPr="00375EFE">
        <w:rPr>
          <w:rFonts w:ascii="Arial" w:eastAsia="Times New Roman" w:hAnsi="Arial" w:cs="Arial"/>
          <w:kern w:val="0"/>
          <w:lang w:eastAsia="en-GB"/>
          <w14:ligatures w14:val="none"/>
        </w:rPr>
        <w:t xml:space="preserve"> Building long-term partnerships with Philips Healthcare UK.</w:t>
      </w:r>
    </w:p>
    <w:p w14:paraId="006F2E09" w14:textId="5A5A5352" w:rsidR="008D2DBF" w:rsidRPr="00375EFE" w:rsidRDefault="008D2DBF" w:rsidP="00375EFE">
      <w:pPr>
        <w:numPr>
          <w:ilvl w:val="0"/>
          <w:numId w:val="17"/>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Regulatory Authorities:</w:t>
      </w:r>
      <w:r w:rsidRPr="00375EFE">
        <w:rPr>
          <w:rFonts w:ascii="Arial" w:eastAsia="Times New Roman" w:hAnsi="Arial" w:cs="Arial"/>
          <w:kern w:val="0"/>
          <w:lang w:eastAsia="en-GB"/>
          <w14:ligatures w14:val="none"/>
        </w:rPr>
        <w:t xml:space="preserve"> Ensuring product safety and compliance.</w:t>
      </w:r>
      <w:r w:rsidR="008130FD" w:rsidRPr="00375EFE">
        <w:rPr>
          <w:rFonts w:ascii="Arial" w:eastAsia="Times New Roman" w:hAnsi="Arial" w:cs="Arial"/>
          <w:kern w:val="0"/>
          <w:lang w:eastAsia="en-GB"/>
          <w14:ligatures w14:val="none"/>
        </w:rPr>
        <w:t xml:space="preserve"> </w:t>
      </w:r>
    </w:p>
    <w:p w14:paraId="4445C332" w14:textId="77777777" w:rsidR="008D2DBF" w:rsidRPr="00375EFE" w:rsidRDefault="008D2DBF"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Challenges:</w:t>
      </w:r>
    </w:p>
    <w:p w14:paraId="435E2A49"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R&amp;D:</w:t>
      </w:r>
      <w:r w:rsidRPr="00375EFE">
        <w:rPr>
          <w:rFonts w:ascii="Arial" w:eastAsia="Times New Roman" w:hAnsi="Arial" w:cs="Arial"/>
          <w:kern w:val="0"/>
          <w:lang w:eastAsia="en-GB"/>
          <w14:ligatures w14:val="none"/>
        </w:rPr>
        <w:t xml:space="preserve"> Time constraints and technical challenges in developing the device to meet consumer needs.</w:t>
      </w:r>
    </w:p>
    <w:p w14:paraId="0E88FEA6"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Marketing:</w:t>
      </w:r>
      <w:r w:rsidRPr="00375EFE">
        <w:rPr>
          <w:rFonts w:ascii="Arial" w:eastAsia="Times New Roman" w:hAnsi="Arial" w:cs="Arial"/>
          <w:kern w:val="0"/>
          <w:lang w:eastAsia="en-GB"/>
          <w14:ligatures w14:val="none"/>
        </w:rPr>
        <w:t xml:space="preserve"> Communicating the value proposition effectively in a competitive market.</w:t>
      </w:r>
    </w:p>
    <w:p w14:paraId="389DEEC3"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Sales:</w:t>
      </w:r>
      <w:r w:rsidRPr="00375EFE">
        <w:rPr>
          <w:rFonts w:ascii="Arial" w:eastAsia="Times New Roman" w:hAnsi="Arial" w:cs="Arial"/>
          <w:kern w:val="0"/>
          <w:lang w:eastAsia="en-GB"/>
          <w14:ligatures w14:val="none"/>
        </w:rPr>
        <w:t xml:space="preserve"> Managing distribution logistics and channel relationships.</w:t>
      </w:r>
    </w:p>
    <w:p w14:paraId="1DDD7B1F"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lastRenderedPageBreak/>
        <w:t>Finance:</w:t>
      </w:r>
      <w:r w:rsidRPr="00375EFE">
        <w:rPr>
          <w:rFonts w:ascii="Arial" w:eastAsia="Times New Roman" w:hAnsi="Arial" w:cs="Arial"/>
          <w:kern w:val="0"/>
          <w:lang w:eastAsia="en-GB"/>
          <w14:ligatures w14:val="none"/>
        </w:rPr>
        <w:t xml:space="preserve"> Balancing cost constraints with the need for innovation and quality.</w:t>
      </w:r>
    </w:p>
    <w:p w14:paraId="54C9044A"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Suppliers:</w:t>
      </w:r>
      <w:r w:rsidRPr="00375EFE">
        <w:rPr>
          <w:rFonts w:ascii="Arial" w:eastAsia="Times New Roman" w:hAnsi="Arial" w:cs="Arial"/>
          <w:kern w:val="0"/>
          <w:lang w:eastAsia="en-GB"/>
          <w14:ligatures w14:val="none"/>
        </w:rPr>
        <w:t xml:space="preserve"> Potential delays in component delivery, impacting production timelines.</w:t>
      </w:r>
    </w:p>
    <w:p w14:paraId="3EB67548" w14:textId="77777777" w:rsidR="008D2DBF" w:rsidRPr="00375EFE" w:rsidRDefault="008D2DBF" w:rsidP="00375EFE">
      <w:pPr>
        <w:numPr>
          <w:ilvl w:val="0"/>
          <w:numId w:val="18"/>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Regulatory Authorities:</w:t>
      </w:r>
      <w:r w:rsidRPr="00375EFE">
        <w:rPr>
          <w:rFonts w:ascii="Arial" w:eastAsia="Times New Roman" w:hAnsi="Arial" w:cs="Arial"/>
          <w:kern w:val="0"/>
          <w:lang w:eastAsia="en-GB"/>
          <w14:ligatures w14:val="none"/>
        </w:rPr>
        <w:t xml:space="preserve"> Navigating complex regulatory requirements to ensure timely approval.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0"/>
        <w:gridCol w:w="580"/>
        <w:gridCol w:w="1194"/>
        <w:gridCol w:w="967"/>
        <w:gridCol w:w="1710"/>
        <w:gridCol w:w="2335"/>
      </w:tblGrid>
      <w:tr w:rsidR="00F176F5" w:rsidRPr="00F176F5" w14:paraId="2A3C4AF6" w14:textId="77777777">
        <w:trPr>
          <w:tblHeader/>
          <w:tblCellSpacing w:w="15" w:type="dxa"/>
        </w:trPr>
        <w:tc>
          <w:tcPr>
            <w:tcW w:w="0" w:type="auto"/>
            <w:vAlign w:val="center"/>
            <w:hideMark/>
          </w:tcPr>
          <w:p w14:paraId="3C7BA7F4"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Task / Activity</w:t>
            </w:r>
          </w:p>
        </w:tc>
        <w:tc>
          <w:tcPr>
            <w:tcW w:w="0" w:type="auto"/>
            <w:vAlign w:val="center"/>
            <w:hideMark/>
          </w:tcPr>
          <w:p w14:paraId="6EE70BF6"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R&amp;D</w:t>
            </w:r>
          </w:p>
        </w:tc>
        <w:tc>
          <w:tcPr>
            <w:tcW w:w="0" w:type="auto"/>
            <w:vAlign w:val="center"/>
            <w:hideMark/>
          </w:tcPr>
          <w:p w14:paraId="30C2D1C8"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Marketing</w:t>
            </w:r>
          </w:p>
        </w:tc>
        <w:tc>
          <w:tcPr>
            <w:tcW w:w="0" w:type="auto"/>
            <w:vAlign w:val="center"/>
            <w:hideMark/>
          </w:tcPr>
          <w:p w14:paraId="3CF6B169"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Finance</w:t>
            </w:r>
          </w:p>
        </w:tc>
        <w:tc>
          <w:tcPr>
            <w:tcW w:w="0" w:type="auto"/>
            <w:vAlign w:val="center"/>
            <w:hideMark/>
          </w:tcPr>
          <w:p w14:paraId="5F00D51F"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Project Manager</w:t>
            </w:r>
          </w:p>
        </w:tc>
        <w:tc>
          <w:tcPr>
            <w:tcW w:w="0" w:type="auto"/>
            <w:vAlign w:val="center"/>
            <w:hideMark/>
          </w:tcPr>
          <w:p w14:paraId="3DFCE725" w14:textId="77777777" w:rsidR="00F176F5" w:rsidRPr="00F176F5" w:rsidRDefault="00F176F5" w:rsidP="00375EFE">
            <w:pPr>
              <w:spacing w:after="0" w:line="360" w:lineRule="auto"/>
              <w:jc w:val="both"/>
              <w:rPr>
                <w:rFonts w:ascii="Arial" w:eastAsia="Times New Roman" w:hAnsi="Arial" w:cs="Arial"/>
                <w:b/>
                <w:bCs/>
                <w:kern w:val="0"/>
                <w:lang w:eastAsia="en-GB"/>
                <w14:ligatures w14:val="none"/>
              </w:rPr>
            </w:pPr>
            <w:r w:rsidRPr="00F176F5">
              <w:rPr>
                <w:rFonts w:ascii="Arial" w:eastAsia="Times New Roman" w:hAnsi="Arial" w:cs="Arial"/>
                <w:b/>
                <w:bCs/>
                <w:kern w:val="0"/>
                <w:lang w:eastAsia="en-GB"/>
                <w14:ligatures w14:val="none"/>
              </w:rPr>
              <w:t>Regulatory Authorities</w:t>
            </w:r>
          </w:p>
        </w:tc>
      </w:tr>
      <w:tr w:rsidR="00F176F5" w:rsidRPr="00F176F5" w14:paraId="4852E5A4" w14:textId="77777777">
        <w:trPr>
          <w:tblCellSpacing w:w="15" w:type="dxa"/>
        </w:trPr>
        <w:tc>
          <w:tcPr>
            <w:tcW w:w="0" w:type="auto"/>
            <w:vAlign w:val="center"/>
            <w:hideMark/>
          </w:tcPr>
          <w:p w14:paraId="66149502"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Design &amp; Prototype</w:t>
            </w:r>
          </w:p>
        </w:tc>
        <w:tc>
          <w:tcPr>
            <w:tcW w:w="0" w:type="auto"/>
            <w:vAlign w:val="center"/>
            <w:hideMark/>
          </w:tcPr>
          <w:p w14:paraId="3EA55F2B"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w:t>
            </w:r>
          </w:p>
        </w:tc>
        <w:tc>
          <w:tcPr>
            <w:tcW w:w="0" w:type="auto"/>
            <w:vAlign w:val="center"/>
            <w:hideMark/>
          </w:tcPr>
          <w:p w14:paraId="6940CE9C"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c>
          <w:tcPr>
            <w:tcW w:w="0" w:type="auto"/>
            <w:vAlign w:val="center"/>
            <w:hideMark/>
          </w:tcPr>
          <w:p w14:paraId="76431647"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06BA994F"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A</w:t>
            </w:r>
          </w:p>
        </w:tc>
        <w:tc>
          <w:tcPr>
            <w:tcW w:w="0" w:type="auto"/>
            <w:vAlign w:val="center"/>
            <w:hideMark/>
          </w:tcPr>
          <w:p w14:paraId="3F981463"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r>
      <w:tr w:rsidR="00F176F5" w:rsidRPr="00F176F5" w14:paraId="5C6814D6" w14:textId="77777777">
        <w:trPr>
          <w:tblCellSpacing w:w="15" w:type="dxa"/>
        </w:trPr>
        <w:tc>
          <w:tcPr>
            <w:tcW w:w="0" w:type="auto"/>
            <w:vAlign w:val="center"/>
            <w:hideMark/>
          </w:tcPr>
          <w:p w14:paraId="2F40AFF4"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Marketing Campaign</w:t>
            </w:r>
          </w:p>
        </w:tc>
        <w:tc>
          <w:tcPr>
            <w:tcW w:w="0" w:type="auto"/>
            <w:vAlign w:val="center"/>
            <w:hideMark/>
          </w:tcPr>
          <w:p w14:paraId="5FAAE247"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c>
          <w:tcPr>
            <w:tcW w:w="0" w:type="auto"/>
            <w:vAlign w:val="center"/>
            <w:hideMark/>
          </w:tcPr>
          <w:p w14:paraId="39B7B84D"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w:t>
            </w:r>
          </w:p>
        </w:tc>
        <w:tc>
          <w:tcPr>
            <w:tcW w:w="0" w:type="auto"/>
            <w:vAlign w:val="center"/>
            <w:hideMark/>
          </w:tcPr>
          <w:p w14:paraId="58263B23"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4DB78D66"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A</w:t>
            </w:r>
          </w:p>
        </w:tc>
        <w:tc>
          <w:tcPr>
            <w:tcW w:w="0" w:type="auto"/>
            <w:vAlign w:val="center"/>
            <w:hideMark/>
          </w:tcPr>
          <w:p w14:paraId="15B85A2C"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r>
      <w:tr w:rsidR="00F176F5" w:rsidRPr="00F176F5" w14:paraId="21CFE1D6" w14:textId="77777777">
        <w:trPr>
          <w:tblCellSpacing w:w="15" w:type="dxa"/>
        </w:trPr>
        <w:tc>
          <w:tcPr>
            <w:tcW w:w="0" w:type="auto"/>
            <w:vAlign w:val="center"/>
            <w:hideMark/>
          </w:tcPr>
          <w:p w14:paraId="1FF44131"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Budget Approval</w:t>
            </w:r>
          </w:p>
        </w:tc>
        <w:tc>
          <w:tcPr>
            <w:tcW w:w="0" w:type="auto"/>
            <w:vAlign w:val="center"/>
            <w:hideMark/>
          </w:tcPr>
          <w:p w14:paraId="7875BA68"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577D1E2B"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c>
          <w:tcPr>
            <w:tcW w:w="0" w:type="auto"/>
            <w:vAlign w:val="center"/>
            <w:hideMark/>
          </w:tcPr>
          <w:p w14:paraId="75FB3128"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w:t>
            </w:r>
          </w:p>
        </w:tc>
        <w:tc>
          <w:tcPr>
            <w:tcW w:w="0" w:type="auto"/>
            <w:vAlign w:val="center"/>
            <w:hideMark/>
          </w:tcPr>
          <w:p w14:paraId="4099CE0E"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A</w:t>
            </w:r>
          </w:p>
        </w:tc>
        <w:tc>
          <w:tcPr>
            <w:tcW w:w="0" w:type="auto"/>
            <w:vAlign w:val="center"/>
            <w:hideMark/>
          </w:tcPr>
          <w:p w14:paraId="6782D91B"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r>
      <w:tr w:rsidR="00F176F5" w:rsidRPr="00F176F5" w14:paraId="7C99FDCD" w14:textId="77777777">
        <w:trPr>
          <w:tblCellSpacing w:w="15" w:type="dxa"/>
        </w:trPr>
        <w:tc>
          <w:tcPr>
            <w:tcW w:w="0" w:type="auto"/>
            <w:vAlign w:val="center"/>
            <w:hideMark/>
          </w:tcPr>
          <w:p w14:paraId="3F17A057"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Regulatory Submission</w:t>
            </w:r>
          </w:p>
        </w:tc>
        <w:tc>
          <w:tcPr>
            <w:tcW w:w="0" w:type="auto"/>
            <w:vAlign w:val="center"/>
            <w:hideMark/>
          </w:tcPr>
          <w:p w14:paraId="086EFC08"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24C76AE4"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115C7836"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c>
          <w:tcPr>
            <w:tcW w:w="0" w:type="auto"/>
            <w:vAlign w:val="center"/>
            <w:hideMark/>
          </w:tcPr>
          <w:p w14:paraId="237C58C1"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A</w:t>
            </w:r>
          </w:p>
        </w:tc>
        <w:tc>
          <w:tcPr>
            <w:tcW w:w="0" w:type="auto"/>
            <w:vAlign w:val="center"/>
            <w:hideMark/>
          </w:tcPr>
          <w:p w14:paraId="7465B33C"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w:t>
            </w:r>
          </w:p>
        </w:tc>
      </w:tr>
      <w:tr w:rsidR="00F176F5" w:rsidRPr="00F176F5" w14:paraId="37B7C0DA" w14:textId="77777777">
        <w:trPr>
          <w:tblCellSpacing w:w="15" w:type="dxa"/>
        </w:trPr>
        <w:tc>
          <w:tcPr>
            <w:tcW w:w="0" w:type="auto"/>
            <w:vAlign w:val="center"/>
            <w:hideMark/>
          </w:tcPr>
          <w:p w14:paraId="3AAAAF2A"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Product Launch</w:t>
            </w:r>
          </w:p>
        </w:tc>
        <w:tc>
          <w:tcPr>
            <w:tcW w:w="0" w:type="auto"/>
            <w:vAlign w:val="center"/>
            <w:hideMark/>
          </w:tcPr>
          <w:p w14:paraId="410EA451"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C</w:t>
            </w:r>
          </w:p>
        </w:tc>
        <w:tc>
          <w:tcPr>
            <w:tcW w:w="0" w:type="auto"/>
            <w:vAlign w:val="center"/>
            <w:hideMark/>
          </w:tcPr>
          <w:p w14:paraId="69C28AE5"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R</w:t>
            </w:r>
          </w:p>
        </w:tc>
        <w:tc>
          <w:tcPr>
            <w:tcW w:w="0" w:type="auto"/>
            <w:vAlign w:val="center"/>
            <w:hideMark/>
          </w:tcPr>
          <w:p w14:paraId="67575A5E"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c>
          <w:tcPr>
            <w:tcW w:w="0" w:type="auto"/>
            <w:vAlign w:val="center"/>
            <w:hideMark/>
          </w:tcPr>
          <w:p w14:paraId="1D32A68F"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A</w:t>
            </w:r>
          </w:p>
        </w:tc>
        <w:tc>
          <w:tcPr>
            <w:tcW w:w="0" w:type="auto"/>
            <w:vAlign w:val="center"/>
            <w:hideMark/>
          </w:tcPr>
          <w:p w14:paraId="3B2C90B2" w14:textId="77777777" w:rsidR="00F176F5" w:rsidRPr="00F176F5" w:rsidRDefault="00F176F5" w:rsidP="00375EFE">
            <w:pPr>
              <w:spacing w:after="0" w:line="360" w:lineRule="auto"/>
              <w:jc w:val="both"/>
              <w:rPr>
                <w:rFonts w:ascii="Arial" w:eastAsia="Times New Roman" w:hAnsi="Arial" w:cs="Arial"/>
                <w:kern w:val="0"/>
                <w:lang w:eastAsia="en-GB"/>
                <w14:ligatures w14:val="none"/>
              </w:rPr>
            </w:pPr>
            <w:r w:rsidRPr="00F176F5">
              <w:rPr>
                <w:rFonts w:ascii="Arial" w:eastAsia="Times New Roman" w:hAnsi="Arial" w:cs="Arial"/>
                <w:kern w:val="0"/>
                <w:lang w:eastAsia="en-GB"/>
                <w14:ligatures w14:val="none"/>
              </w:rPr>
              <w:t>I</w:t>
            </w:r>
          </w:p>
        </w:tc>
      </w:tr>
    </w:tbl>
    <w:p w14:paraId="2D4DD400" w14:textId="446BE1CC" w:rsidR="00D36DEB" w:rsidRPr="00375EFE" w:rsidRDefault="00D36DEB" w:rsidP="00375EFE">
      <w:pPr>
        <w:spacing w:before="100" w:beforeAutospacing="1" w:after="100" w:afterAutospacing="1" w:line="360" w:lineRule="auto"/>
        <w:jc w:val="both"/>
        <w:rPr>
          <w:rFonts w:ascii="Arial" w:eastAsia="Times New Roman" w:hAnsi="Arial" w:cs="Arial"/>
          <w:kern w:val="0"/>
          <w:lang w:eastAsia="en-GB"/>
          <w14:ligatures w14:val="none"/>
        </w:rPr>
      </w:pPr>
    </w:p>
    <w:tbl>
      <w:tblPr>
        <w:tblpPr w:leftFromText="180" w:rightFromText="180" w:vertAnchor="text" w:horzAnchor="margin" w:tblpY="844"/>
        <w:tblW w:w="9197" w:type="dxa"/>
        <w:tblCellSpacing w:w="15" w:type="dxa"/>
        <w:tblCellMar>
          <w:top w:w="15" w:type="dxa"/>
          <w:left w:w="15" w:type="dxa"/>
          <w:bottom w:w="15" w:type="dxa"/>
          <w:right w:w="15" w:type="dxa"/>
        </w:tblCellMar>
        <w:tblLook w:val="04A0" w:firstRow="1" w:lastRow="0" w:firstColumn="1" w:lastColumn="0" w:noHBand="0" w:noVBand="1"/>
      </w:tblPr>
      <w:tblGrid>
        <w:gridCol w:w="2365"/>
        <w:gridCol w:w="580"/>
        <w:gridCol w:w="1194"/>
        <w:gridCol w:w="688"/>
        <w:gridCol w:w="967"/>
        <w:gridCol w:w="274"/>
        <w:gridCol w:w="1800"/>
        <w:gridCol w:w="1329"/>
      </w:tblGrid>
      <w:tr w:rsidR="00D36DEB" w:rsidRPr="00375EFE" w14:paraId="0842160F" w14:textId="77777777" w:rsidTr="00D36DEB">
        <w:trPr>
          <w:trHeight w:val="519"/>
          <w:tblHeader/>
          <w:tblCellSpacing w:w="15" w:type="dxa"/>
        </w:trPr>
        <w:tc>
          <w:tcPr>
            <w:tcW w:w="0" w:type="auto"/>
            <w:vAlign w:val="center"/>
            <w:hideMark/>
          </w:tcPr>
          <w:p w14:paraId="77B862B7"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Task</w:t>
            </w:r>
          </w:p>
        </w:tc>
        <w:tc>
          <w:tcPr>
            <w:tcW w:w="0" w:type="auto"/>
            <w:vAlign w:val="center"/>
            <w:hideMark/>
          </w:tcPr>
          <w:p w14:paraId="77B01165"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R&amp;D</w:t>
            </w:r>
          </w:p>
        </w:tc>
        <w:tc>
          <w:tcPr>
            <w:tcW w:w="0" w:type="auto"/>
            <w:vAlign w:val="center"/>
            <w:hideMark/>
          </w:tcPr>
          <w:p w14:paraId="389846E7"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Marketing</w:t>
            </w:r>
          </w:p>
        </w:tc>
        <w:tc>
          <w:tcPr>
            <w:tcW w:w="0" w:type="auto"/>
            <w:vAlign w:val="center"/>
            <w:hideMark/>
          </w:tcPr>
          <w:p w14:paraId="44E4E575"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Sales</w:t>
            </w:r>
          </w:p>
        </w:tc>
        <w:tc>
          <w:tcPr>
            <w:tcW w:w="0" w:type="auto"/>
            <w:vAlign w:val="center"/>
            <w:hideMark/>
          </w:tcPr>
          <w:p w14:paraId="1C4395AB"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Finance</w:t>
            </w:r>
          </w:p>
        </w:tc>
        <w:tc>
          <w:tcPr>
            <w:tcW w:w="0" w:type="auto"/>
            <w:vAlign w:val="center"/>
            <w:hideMark/>
          </w:tcPr>
          <w:p w14:paraId="67D184A1"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IT</w:t>
            </w:r>
          </w:p>
        </w:tc>
        <w:tc>
          <w:tcPr>
            <w:tcW w:w="0" w:type="auto"/>
            <w:vAlign w:val="center"/>
            <w:hideMark/>
          </w:tcPr>
          <w:p w14:paraId="6BDA0793"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Project Manager</w:t>
            </w:r>
          </w:p>
        </w:tc>
        <w:tc>
          <w:tcPr>
            <w:tcW w:w="0" w:type="auto"/>
            <w:vAlign w:val="center"/>
            <w:hideMark/>
          </w:tcPr>
          <w:p w14:paraId="2661929B" w14:textId="77777777" w:rsidR="00D36DEB" w:rsidRPr="00375EFE" w:rsidRDefault="00D36DEB" w:rsidP="00375EFE">
            <w:pPr>
              <w:spacing w:after="0" w:line="360" w:lineRule="auto"/>
              <w:jc w:val="both"/>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Regulatory</w:t>
            </w:r>
          </w:p>
        </w:tc>
      </w:tr>
      <w:tr w:rsidR="00D36DEB" w:rsidRPr="00375EFE" w14:paraId="35B559F6" w14:textId="77777777" w:rsidTr="00D36DEB">
        <w:trPr>
          <w:trHeight w:val="519"/>
          <w:tblCellSpacing w:w="15" w:type="dxa"/>
        </w:trPr>
        <w:tc>
          <w:tcPr>
            <w:tcW w:w="0" w:type="auto"/>
            <w:vAlign w:val="center"/>
            <w:hideMark/>
          </w:tcPr>
          <w:p w14:paraId="6A54F771"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Design &amp; Prototype</w:t>
            </w:r>
          </w:p>
        </w:tc>
        <w:tc>
          <w:tcPr>
            <w:tcW w:w="0" w:type="auto"/>
            <w:vAlign w:val="center"/>
            <w:hideMark/>
          </w:tcPr>
          <w:p w14:paraId="58A59A84"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w:t>
            </w:r>
          </w:p>
        </w:tc>
        <w:tc>
          <w:tcPr>
            <w:tcW w:w="0" w:type="auto"/>
            <w:vAlign w:val="center"/>
            <w:hideMark/>
          </w:tcPr>
          <w:p w14:paraId="6425AC71"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c>
          <w:tcPr>
            <w:tcW w:w="0" w:type="auto"/>
            <w:vAlign w:val="center"/>
            <w:hideMark/>
          </w:tcPr>
          <w:p w14:paraId="145559DF"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29658C4A"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37C3C947"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w:t>
            </w:r>
          </w:p>
        </w:tc>
        <w:tc>
          <w:tcPr>
            <w:tcW w:w="0" w:type="auto"/>
            <w:vAlign w:val="center"/>
            <w:hideMark/>
          </w:tcPr>
          <w:p w14:paraId="6D0D6CD3"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A</w:t>
            </w:r>
          </w:p>
        </w:tc>
        <w:tc>
          <w:tcPr>
            <w:tcW w:w="0" w:type="auto"/>
            <w:vAlign w:val="center"/>
            <w:hideMark/>
          </w:tcPr>
          <w:p w14:paraId="3714D828"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r>
      <w:tr w:rsidR="00D36DEB" w:rsidRPr="00375EFE" w14:paraId="5F9A37EA" w14:textId="77777777" w:rsidTr="00D36DEB">
        <w:trPr>
          <w:trHeight w:val="519"/>
          <w:tblCellSpacing w:w="15" w:type="dxa"/>
        </w:trPr>
        <w:tc>
          <w:tcPr>
            <w:tcW w:w="0" w:type="auto"/>
            <w:vAlign w:val="center"/>
            <w:hideMark/>
          </w:tcPr>
          <w:p w14:paraId="09490DA2"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Marketing Campaign</w:t>
            </w:r>
          </w:p>
        </w:tc>
        <w:tc>
          <w:tcPr>
            <w:tcW w:w="0" w:type="auto"/>
            <w:vAlign w:val="center"/>
            <w:hideMark/>
          </w:tcPr>
          <w:p w14:paraId="529CBC78"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c>
          <w:tcPr>
            <w:tcW w:w="0" w:type="auto"/>
            <w:vAlign w:val="center"/>
            <w:hideMark/>
          </w:tcPr>
          <w:p w14:paraId="61F71F68"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w:t>
            </w:r>
          </w:p>
        </w:tc>
        <w:tc>
          <w:tcPr>
            <w:tcW w:w="0" w:type="auto"/>
            <w:vAlign w:val="center"/>
            <w:hideMark/>
          </w:tcPr>
          <w:p w14:paraId="607CD47C"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2FF094FB"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3B90254B"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23F38C5C"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A</w:t>
            </w:r>
          </w:p>
        </w:tc>
        <w:tc>
          <w:tcPr>
            <w:tcW w:w="0" w:type="auto"/>
            <w:vAlign w:val="center"/>
            <w:hideMark/>
          </w:tcPr>
          <w:p w14:paraId="515C5E4B"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r>
      <w:tr w:rsidR="00D36DEB" w:rsidRPr="00375EFE" w14:paraId="1CE9FB7D" w14:textId="77777777" w:rsidTr="00D36DEB">
        <w:trPr>
          <w:trHeight w:val="519"/>
          <w:tblCellSpacing w:w="15" w:type="dxa"/>
        </w:trPr>
        <w:tc>
          <w:tcPr>
            <w:tcW w:w="0" w:type="auto"/>
            <w:vAlign w:val="center"/>
            <w:hideMark/>
          </w:tcPr>
          <w:p w14:paraId="3A5FEF97"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Budget Approval</w:t>
            </w:r>
          </w:p>
        </w:tc>
        <w:tc>
          <w:tcPr>
            <w:tcW w:w="0" w:type="auto"/>
            <w:vAlign w:val="center"/>
            <w:hideMark/>
          </w:tcPr>
          <w:p w14:paraId="0D7736B2"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3179FF0A"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c>
          <w:tcPr>
            <w:tcW w:w="0" w:type="auto"/>
            <w:vAlign w:val="center"/>
            <w:hideMark/>
          </w:tcPr>
          <w:p w14:paraId="3039FB33"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c>
          <w:tcPr>
            <w:tcW w:w="0" w:type="auto"/>
            <w:vAlign w:val="center"/>
            <w:hideMark/>
          </w:tcPr>
          <w:p w14:paraId="3B66A1D4"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w:t>
            </w:r>
          </w:p>
        </w:tc>
        <w:tc>
          <w:tcPr>
            <w:tcW w:w="0" w:type="auto"/>
            <w:vAlign w:val="center"/>
            <w:hideMark/>
          </w:tcPr>
          <w:p w14:paraId="6B5B14BC"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20375E85"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A</w:t>
            </w:r>
          </w:p>
        </w:tc>
        <w:tc>
          <w:tcPr>
            <w:tcW w:w="0" w:type="auto"/>
            <w:vAlign w:val="center"/>
            <w:hideMark/>
          </w:tcPr>
          <w:p w14:paraId="0731CF4A"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r>
      <w:tr w:rsidR="00D36DEB" w:rsidRPr="00375EFE" w14:paraId="1E4AB2B7" w14:textId="77777777" w:rsidTr="00D36DEB">
        <w:trPr>
          <w:trHeight w:val="519"/>
          <w:tblCellSpacing w:w="15" w:type="dxa"/>
        </w:trPr>
        <w:tc>
          <w:tcPr>
            <w:tcW w:w="0" w:type="auto"/>
            <w:vAlign w:val="center"/>
            <w:hideMark/>
          </w:tcPr>
          <w:p w14:paraId="5761A753"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Regulatory Submission</w:t>
            </w:r>
          </w:p>
        </w:tc>
        <w:tc>
          <w:tcPr>
            <w:tcW w:w="0" w:type="auto"/>
            <w:vAlign w:val="center"/>
            <w:hideMark/>
          </w:tcPr>
          <w:p w14:paraId="585D0ED7"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050F3955"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34172295"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76968A83"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C</w:t>
            </w:r>
          </w:p>
        </w:tc>
        <w:tc>
          <w:tcPr>
            <w:tcW w:w="0" w:type="auto"/>
            <w:vAlign w:val="center"/>
            <w:hideMark/>
          </w:tcPr>
          <w:p w14:paraId="084CC25F"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w:t>
            </w:r>
          </w:p>
        </w:tc>
        <w:tc>
          <w:tcPr>
            <w:tcW w:w="0" w:type="auto"/>
            <w:vAlign w:val="center"/>
            <w:hideMark/>
          </w:tcPr>
          <w:p w14:paraId="03C976E1"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A</w:t>
            </w:r>
          </w:p>
        </w:tc>
        <w:tc>
          <w:tcPr>
            <w:tcW w:w="0" w:type="auto"/>
            <w:vAlign w:val="center"/>
            <w:hideMark/>
          </w:tcPr>
          <w:p w14:paraId="62E24A56" w14:textId="77777777" w:rsidR="00D36DEB" w:rsidRPr="00375EFE" w:rsidRDefault="00D36DEB" w:rsidP="00375EFE">
            <w:pPr>
              <w:spacing w:after="0"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R</w:t>
            </w:r>
          </w:p>
        </w:tc>
      </w:tr>
    </w:tbl>
    <w:p w14:paraId="3DB70828" w14:textId="53864122" w:rsidR="0067333B" w:rsidRPr="00375EFE" w:rsidRDefault="0067333B"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RACI Matrix</w:t>
      </w:r>
    </w:p>
    <w:p w14:paraId="5C4ED1DD" w14:textId="30D537B1"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529A5BF6" w14:textId="77777777" w:rsidR="00BC2CAD" w:rsidRPr="00375EFE" w:rsidRDefault="00BC2CAD"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Stakeholder Engagement Frameworks and Theories</w:t>
      </w:r>
    </w:p>
    <w:p w14:paraId="06C6C430" w14:textId="77777777" w:rsidR="00BC2CAD" w:rsidRPr="00375EFE" w:rsidRDefault="00BC2CAD"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Effective stakeholder engagement is critical to the success of this project. Several frameworks and theories can guide the engagement process.</w:t>
      </w:r>
    </w:p>
    <w:p w14:paraId="12611FE2" w14:textId="77777777" w:rsidR="00BC2CAD" w:rsidRPr="00375EFE" w:rsidRDefault="00BC2CAD" w:rsidP="00375EFE">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lastRenderedPageBreak/>
        <w:t>Mendelow’s Matrix:</w:t>
      </w:r>
      <w:r w:rsidRPr="00375EFE">
        <w:rPr>
          <w:rFonts w:ascii="Arial" w:eastAsia="Times New Roman" w:hAnsi="Arial" w:cs="Arial"/>
          <w:kern w:val="0"/>
          <w:lang w:eastAsia="en-GB"/>
          <w14:ligatures w14:val="none"/>
        </w:rPr>
        <w:t xml:space="preserve"> This framework helps identify stakeholders based on their power and interest, allowing Philips Healthcare UK to prioritize engagement efforts (Ellis et al., 1991).</w:t>
      </w:r>
    </w:p>
    <w:p w14:paraId="3310EEA7" w14:textId="77777777" w:rsidR="00BC2CAD" w:rsidRPr="00375EFE" w:rsidRDefault="00BC2CAD" w:rsidP="00375EFE">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Salience Model:</w:t>
      </w:r>
      <w:r w:rsidRPr="00375EFE">
        <w:rPr>
          <w:rFonts w:ascii="Arial" w:eastAsia="Times New Roman" w:hAnsi="Arial" w:cs="Arial"/>
          <w:kern w:val="0"/>
          <w:lang w:eastAsia="en-GB"/>
          <w14:ligatures w14:val="none"/>
        </w:rPr>
        <w:t xml:space="preserve"> The Salience Model helps identify stakeholders based on their power, legitimacy, and urgency (Ashcroft, 2017). This model allows the company to focus on the most important stakeholders and address their concerns effectively.</w:t>
      </w:r>
    </w:p>
    <w:p w14:paraId="2BA0566F" w14:textId="77777777" w:rsidR="00BC2CAD" w:rsidRPr="00375EFE" w:rsidRDefault="00BC2CAD" w:rsidP="00375EFE">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RACI Matrix:</w:t>
      </w:r>
      <w:r w:rsidRPr="00375EFE">
        <w:rPr>
          <w:rFonts w:ascii="Arial" w:eastAsia="Times New Roman" w:hAnsi="Arial" w:cs="Arial"/>
          <w:kern w:val="0"/>
          <w:lang w:eastAsia="en-GB"/>
          <w14:ligatures w14:val="none"/>
        </w:rPr>
        <w:t xml:space="preserve"> A RACI (Responsible, Accountable, Consulted, Informed) matrix defines roles and responsibilities for each stakeholder (Bourne, 2015). This matrix helps ensure that everyone knows their responsibilities and can act accordingly.</w:t>
      </w:r>
    </w:p>
    <w:p w14:paraId="4120AB07" w14:textId="77777777" w:rsidR="00BC2CAD" w:rsidRPr="00375EFE" w:rsidRDefault="00BC2CAD" w:rsidP="00375EFE">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Engagement Plan:</w:t>
      </w:r>
      <w:r w:rsidRPr="00375EFE">
        <w:rPr>
          <w:rFonts w:ascii="Arial" w:eastAsia="Times New Roman" w:hAnsi="Arial" w:cs="Arial"/>
          <w:kern w:val="0"/>
          <w:lang w:eastAsia="en-GB"/>
          <w14:ligatures w14:val="none"/>
        </w:rPr>
        <w:t xml:space="preserve"> The engagement plan involves workshops, regular meetings, and feedback loops to ensure continuous communication with stakeholders (Bryson, 2018).</w:t>
      </w:r>
    </w:p>
    <w:p w14:paraId="1D4E090E" w14:textId="77777777" w:rsidR="00BC2CAD" w:rsidRPr="00375EFE" w:rsidRDefault="00BC2CAD" w:rsidP="00375EFE">
      <w:pPr>
        <w:numPr>
          <w:ilvl w:val="0"/>
          <w:numId w:val="19"/>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Communication Plan:</w:t>
      </w:r>
      <w:r w:rsidRPr="00375EFE">
        <w:rPr>
          <w:rFonts w:ascii="Arial" w:eastAsia="Times New Roman" w:hAnsi="Arial" w:cs="Arial"/>
          <w:kern w:val="0"/>
          <w:lang w:eastAsia="en-GB"/>
          <w14:ligatures w14:val="none"/>
        </w:rPr>
        <w:t xml:space="preserve"> The communication plan defines how information will be shared with stakeholders, including the frequency, medium, and content (PMI, 2021).</w:t>
      </w:r>
    </w:p>
    <w:p w14:paraId="2A8C44DE" w14:textId="2803172E"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48500EFF" w14:textId="7BD51C95" w:rsidR="001D45EE" w:rsidRPr="00375EFE" w:rsidRDefault="001D45EE"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 xml:space="preserve"> Stakeholder Engagement Process and Conflict Management</w:t>
      </w:r>
    </w:p>
    <w:p w14:paraId="425C2EB8" w14:textId="77777777" w:rsidR="001D45EE" w:rsidRPr="00375EFE" w:rsidRDefault="001D45E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Effective stakeholder engagement requires a structured process:</w:t>
      </w:r>
    </w:p>
    <w:p w14:paraId="657919C4" w14:textId="77777777" w:rsidR="001D45EE" w:rsidRPr="00375EFE" w:rsidRDefault="001D45EE"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Identify Stakeholders:</w:t>
      </w:r>
      <w:r w:rsidRPr="00375EFE">
        <w:rPr>
          <w:rFonts w:ascii="Arial" w:eastAsia="Times New Roman" w:hAnsi="Arial" w:cs="Arial"/>
          <w:kern w:val="0"/>
          <w:lang w:eastAsia="en-GB"/>
          <w14:ligatures w14:val="none"/>
        </w:rPr>
        <w:t xml:space="preserve"> Identify all key stakeholders involved in the project.</w:t>
      </w:r>
    </w:p>
    <w:p w14:paraId="71DE54A2" w14:textId="7EB12207" w:rsidR="001D45EE" w:rsidRPr="00375EFE" w:rsidRDefault="007042D3"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Analyse</w:t>
      </w:r>
      <w:r w:rsidR="001D45EE" w:rsidRPr="00375EFE">
        <w:rPr>
          <w:rFonts w:ascii="Arial" w:eastAsia="Times New Roman" w:hAnsi="Arial" w:cs="Arial"/>
          <w:b/>
          <w:bCs/>
          <w:kern w:val="0"/>
          <w:lang w:eastAsia="en-GB"/>
          <w14:ligatures w14:val="none"/>
        </w:rPr>
        <w:t xml:space="preserve"> Stakeholders:</w:t>
      </w:r>
      <w:r w:rsidR="001D45EE" w:rsidRPr="00375EFE">
        <w:rPr>
          <w:rFonts w:ascii="Arial" w:eastAsia="Times New Roman" w:hAnsi="Arial" w:cs="Arial"/>
          <w:kern w:val="0"/>
          <w:lang w:eastAsia="en-GB"/>
          <w14:ligatures w14:val="none"/>
        </w:rPr>
        <w:t xml:space="preserve"> Assess their interests, power, and influence.</w:t>
      </w:r>
    </w:p>
    <w:p w14:paraId="7961C249" w14:textId="77777777" w:rsidR="001D45EE" w:rsidRPr="00375EFE" w:rsidRDefault="001D45EE"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Prioritize Stakeholders:</w:t>
      </w:r>
      <w:r w:rsidRPr="00375EFE">
        <w:rPr>
          <w:rFonts w:ascii="Arial" w:eastAsia="Times New Roman" w:hAnsi="Arial" w:cs="Arial"/>
          <w:kern w:val="0"/>
          <w:lang w:eastAsia="en-GB"/>
          <w14:ligatures w14:val="none"/>
        </w:rPr>
        <w:t xml:space="preserve"> Use models like Mendelow’s Matrix and the Salience Model to determine which stakeholders require the most attention.</w:t>
      </w:r>
    </w:p>
    <w:p w14:paraId="3667590A" w14:textId="77777777" w:rsidR="001D45EE" w:rsidRPr="00375EFE" w:rsidRDefault="001D45EE"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Communicate:</w:t>
      </w:r>
      <w:r w:rsidRPr="00375EFE">
        <w:rPr>
          <w:rFonts w:ascii="Arial" w:eastAsia="Times New Roman" w:hAnsi="Arial" w:cs="Arial"/>
          <w:kern w:val="0"/>
          <w:lang w:eastAsia="en-GB"/>
          <w14:ligatures w14:val="none"/>
        </w:rPr>
        <w:t xml:space="preserve"> Establish clear lines of communication through regular meetings and updates.</w:t>
      </w:r>
    </w:p>
    <w:p w14:paraId="35CFAB7A" w14:textId="77777777" w:rsidR="001D45EE" w:rsidRPr="00375EFE" w:rsidRDefault="001D45EE"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Implement Engagement:</w:t>
      </w:r>
      <w:r w:rsidRPr="00375EFE">
        <w:rPr>
          <w:rFonts w:ascii="Arial" w:eastAsia="Times New Roman" w:hAnsi="Arial" w:cs="Arial"/>
          <w:kern w:val="0"/>
          <w:lang w:eastAsia="en-GB"/>
          <w14:ligatures w14:val="none"/>
        </w:rPr>
        <w:t xml:space="preserve"> Execute the engagement plan, ensuring that stakeholders are involved at the appropriate stages of the project.</w:t>
      </w:r>
    </w:p>
    <w:p w14:paraId="7AF22ECC" w14:textId="77777777" w:rsidR="001D45EE" w:rsidRPr="00375EFE" w:rsidRDefault="001D45EE" w:rsidP="00375EFE">
      <w:pPr>
        <w:numPr>
          <w:ilvl w:val="0"/>
          <w:numId w:val="20"/>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Evaluate:</w:t>
      </w:r>
      <w:r w:rsidRPr="00375EFE">
        <w:rPr>
          <w:rFonts w:ascii="Arial" w:eastAsia="Times New Roman" w:hAnsi="Arial" w:cs="Arial"/>
          <w:kern w:val="0"/>
          <w:lang w:eastAsia="en-GB"/>
          <w14:ligatures w14:val="none"/>
        </w:rPr>
        <w:t xml:space="preserve"> Continuously evaluate stakeholder satisfaction and adjust the engagement strategy as needed.</w:t>
      </w:r>
    </w:p>
    <w:p w14:paraId="75B7723D" w14:textId="77777777" w:rsidR="00572420" w:rsidRPr="00572420" w:rsidRDefault="00572420"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lastRenderedPageBreak/>
        <w:t>Application of the 4C’s Model to Stakeholder Engagement at Philips Healthcare UK</w:t>
      </w:r>
    </w:p>
    <w:p w14:paraId="19A693AF"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Effective stakeholder engagement is essential for the successful delivery of complex healthcare innovation projects, such as the development of a wearable health device by Philips Healthcare UK. Given the involvement of multiple internal and external stakeholders, the potential for conflict, misalignment, and communication breakdowns is significant. The 4C’s Model—Communication, Coordination, Cooperation, and Collaboration—offers a structured and practical framework for managing stakeholder relationships, resolving conflicts, and ensuring smooth project execution. Applying this model enables Philips Healthcare UK to align stakeholder interests with organisational objectives and enhance overall project performance.</w:t>
      </w:r>
    </w:p>
    <w:p w14:paraId="267C6E6D" w14:textId="77777777" w:rsidR="00572420" w:rsidRPr="00572420" w:rsidRDefault="0057242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t>Communication</w:t>
      </w:r>
    </w:p>
    <w:p w14:paraId="0EA51AE0"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Communication is the foundation of effective stakeholder engagement and plays a critical role in building trust, managing expectations, and reducing uncertainty throughout the project lifecycle. In the wearable health device project, transparent and consistent communication ensures that stakeholders such as R&amp;D, marketing, finance, suppliers, and regulatory authorities clearly understand project goals, timelines, risks, and responsibilities. Freeman (2010) emphasises that organisations which engage in open and ongoing dialogue with stakeholders are more likely to maintain stakeholder support and legitimacy.</w:t>
      </w:r>
    </w:p>
    <w:p w14:paraId="6F04BD97"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For Philips Healthcare UK, effective communication must occur both internally and externally. Internally, structured communication mechanisms such as project meetings, progress reports, and feedback sessions help align departments and prevent misunderstandings. Externally, clear communication with regulatory authorities and healthcare providers is essential to ensure compliance with safety and efficacy standards. Ashcroft (2017) highlights that transparent communication strengthens stakeholder relationships and allows organisations to address concerns proactively, thereby reducing the likelihood of conflict. Additionally, the use of digital communication platforms and groupware tools can support information sharing among geographically dispersed teams and improve decision-making efficiency (Ellis, Gibbs and Rein, 1991).</w:t>
      </w:r>
    </w:p>
    <w:p w14:paraId="23EA4F3B" w14:textId="77777777" w:rsidR="00572420" w:rsidRPr="00572420" w:rsidRDefault="0057242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lastRenderedPageBreak/>
        <w:t>Coordination</w:t>
      </w:r>
    </w:p>
    <w:p w14:paraId="6EEE4A32"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Coordination refers to the alignment of activities, resources, and schedules across stakeholders to ensure that interdependent tasks are executed efficiently. In a multidisciplinary project such as the development of a wearable health device, coordination is particularly important due to the strong interconnections between functions such as R&amp;D, marketing, finance, and regulatory compliance. Poor coordination can result in duplicated efforts, delays, and increased costs.</w:t>
      </w:r>
    </w:p>
    <w:p w14:paraId="46A1501B"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The Project Management Body of Knowledge identifies coordination as a core responsibility of effective project management, particularly in integrating stakeholder inputs and managing interdependencies (PMI, 2021). At Philips Healthcare UK, the project manager plays a central role in coordinating stakeholder efforts by defining roles, establishing timelines, and monitoring progress. Effective coordination ensures that R&amp;D activities align with regulatory requirements and that marketing campaigns are launched in line with product readiness. Bourne (2015) argues that coordinated stakeholder engagement improves organisational maturity and enhances the organisation’s ability to deliver complex projects successfully.</w:t>
      </w:r>
    </w:p>
    <w:p w14:paraId="358B0409" w14:textId="77777777" w:rsidR="00572420" w:rsidRPr="00572420" w:rsidRDefault="0057242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t>Cooperation</w:t>
      </w:r>
    </w:p>
    <w:p w14:paraId="31269A26"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Cooperation involves stakeholders working together willingly to achieve shared objectives, even when their individual priorities or interests differ. In the wearable health device project, cooperation is required between internal teams such as R&amp;D, marketing, and finance, as well as with external stakeholders including suppliers and regulatory bodies. Each stakeholder contributes unique expertise, making cooperation essential for balancing competing demands related to innovation, cost control, quality, and compliance.</w:t>
      </w:r>
    </w:p>
    <w:p w14:paraId="30F46538"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 xml:space="preserve">Stakeholder theory suggests that organisations must recognise and address the legitimate interests of all stakeholders to achieve sustainable success (Clarkson, 1995; Freeman, 2010). By fostering a cooperative culture, Philips Healthcare UK can encourage stakeholders to engage constructively rather than defensively. For example, cooperation between finance and R&amp;D teams can help reconcile budget constraints with the need for advanced technological features. Christopher, Payne, </w:t>
      </w:r>
      <w:r w:rsidRPr="00572420">
        <w:rPr>
          <w:rFonts w:ascii="Arial" w:eastAsia="Times New Roman" w:hAnsi="Arial" w:cs="Arial"/>
          <w:kern w:val="0"/>
          <w:lang w:eastAsia="en-GB"/>
          <w14:ligatures w14:val="none"/>
        </w:rPr>
        <w:lastRenderedPageBreak/>
        <w:t>and Ballantyne (2013) emphasise that cooperation enhances relationship quality and supports value creation across stakeholder networks, which is particularly important in long-term innovation projects.</w:t>
      </w:r>
    </w:p>
    <w:p w14:paraId="2ADBDEC6" w14:textId="77777777" w:rsidR="00572420" w:rsidRPr="00572420" w:rsidRDefault="0057242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t>Collaboration</w:t>
      </w:r>
    </w:p>
    <w:p w14:paraId="4FFE2C11"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Collaboration represents the highest level of stakeholder engagement within the 4C’s Model and involves stakeholders actively working together to solve problems, innovate, and make joint decisions. Unlike cooperation, which may involve parallel contributions, collaboration requires shared accountability and integrated decision-making. In the context of Philips Healthcare UK’s wearable health device project, collaboration is vital for addressing complex challenges such as integrating emerging technologies, ensuring regulatory compliance, and responding to market needs.</w:t>
      </w:r>
    </w:p>
    <w:p w14:paraId="64ED75B8"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Bryson (2018) notes that collaborative approaches are especially effective in complex and uncertain environments, where no single stakeholder possesses all the necessary knowledge or resources. Through collaboration, Philips Healthcare UK can leverage the expertise of R&amp;D teams, IT specialists, healthcare providers, and regulatory authorities to develop a user-centred and compliant product. Collaboration also supports effective stakeholder prioritisation. Mitchell, Agle, and Wood (1997) argue that stakeholders with high power, legitimacy, and urgency require deeper engagement. Collaborating closely with key stakeholders such as regulators and strategic suppliers reduces approval risks and enhances project resilience. This approach aligns with Bourne’s (2015) stakeholder relationship maturity model, which highlights partnership and collaboration as indicators of advanced stakeholder management.</w:t>
      </w:r>
    </w:p>
    <w:p w14:paraId="04CA031E" w14:textId="77777777" w:rsidR="00572420" w:rsidRPr="00572420" w:rsidRDefault="00572420" w:rsidP="00375EFE">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572420">
        <w:rPr>
          <w:rFonts w:ascii="Arial" w:eastAsia="Times New Roman" w:hAnsi="Arial" w:cs="Arial"/>
          <w:b/>
          <w:bCs/>
          <w:kern w:val="0"/>
          <w:lang w:eastAsia="en-GB"/>
          <w14:ligatures w14:val="none"/>
        </w:rPr>
        <w:t>Conclusion</w:t>
      </w:r>
    </w:p>
    <w:p w14:paraId="54E63F42" w14:textId="77777777" w:rsidR="00572420" w:rsidRPr="00572420"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r w:rsidRPr="00572420">
        <w:rPr>
          <w:rFonts w:ascii="Arial" w:eastAsia="Times New Roman" w:hAnsi="Arial" w:cs="Arial"/>
          <w:kern w:val="0"/>
          <w:lang w:eastAsia="en-GB"/>
          <w14:ligatures w14:val="none"/>
        </w:rPr>
        <w:t xml:space="preserve">In conclusion, the 4C’s Model provides a comprehensive and structured approach to stakeholder engagement for Philips Healthcare UK’s wearable health device project. Communication builds transparency and trust, coordination aligns activities and resources, cooperation fosters shared commitment, and collaboration enables innovation and effective problem-solving. By applying this model consistently, Philips Healthcare UK can manage conflicts proactively, strengthen stakeholder relationships, </w:t>
      </w:r>
      <w:r w:rsidRPr="00572420">
        <w:rPr>
          <w:rFonts w:ascii="Arial" w:eastAsia="Times New Roman" w:hAnsi="Arial" w:cs="Arial"/>
          <w:kern w:val="0"/>
          <w:lang w:eastAsia="en-GB"/>
          <w14:ligatures w14:val="none"/>
        </w:rPr>
        <w:lastRenderedPageBreak/>
        <w:t>and increase the likelihood of a successful and timely product launch. This approach not only supports project success but also reinforces Philips Healthcare UK’s strategic commitment to innovation and stakeholder value creation (Philips Healthcare UK, 2022).</w:t>
      </w:r>
    </w:p>
    <w:p w14:paraId="37FA5341" w14:textId="2015AB02" w:rsidR="001D45EE" w:rsidRPr="00375EFE" w:rsidRDefault="001D45EE" w:rsidP="00375EFE">
      <w:pPr>
        <w:spacing w:before="100" w:beforeAutospacing="1" w:after="100" w:afterAutospacing="1" w:line="360" w:lineRule="auto"/>
        <w:jc w:val="both"/>
        <w:rPr>
          <w:rFonts w:ascii="Arial" w:eastAsia="Times New Roman" w:hAnsi="Arial" w:cs="Arial"/>
          <w:kern w:val="0"/>
          <w:lang w:eastAsia="en-GB"/>
          <w14:ligatures w14:val="none"/>
        </w:rPr>
      </w:pPr>
    </w:p>
    <w:p w14:paraId="6A77BE46" w14:textId="77777777" w:rsidR="00572420" w:rsidRPr="00375EFE" w:rsidRDefault="00572420" w:rsidP="00375EFE">
      <w:pPr>
        <w:spacing w:before="100" w:beforeAutospacing="1" w:after="100" w:afterAutospacing="1" w:line="360" w:lineRule="auto"/>
        <w:jc w:val="both"/>
        <w:rPr>
          <w:rFonts w:ascii="Arial" w:eastAsia="Times New Roman" w:hAnsi="Arial" w:cs="Arial"/>
          <w:kern w:val="0"/>
          <w:lang w:eastAsia="en-GB"/>
          <w14:ligatures w14:val="none"/>
        </w:rPr>
      </w:pPr>
    </w:p>
    <w:p w14:paraId="78322224" w14:textId="77777777" w:rsidR="00C8666A" w:rsidRPr="00375EFE" w:rsidRDefault="00C8666A"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Evaluation of Stakeholder Engagement Impact</w:t>
      </w:r>
    </w:p>
    <w:p w14:paraId="290935FA" w14:textId="77777777" w:rsidR="00D067A0" w:rsidRPr="00D067A0" w:rsidRDefault="00D067A0"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D067A0">
        <w:rPr>
          <w:rFonts w:ascii="Arial" w:eastAsia="Times New Roman" w:hAnsi="Arial" w:cs="Arial"/>
          <w:b/>
          <w:bCs/>
          <w:kern w:val="0"/>
          <w:lang w:eastAsia="en-GB"/>
          <w14:ligatures w14:val="none"/>
        </w:rPr>
        <w:t>The Impact of Stakeholder Engagement on Business Performance at Philips Healthcare UK</w:t>
      </w:r>
    </w:p>
    <w:p w14:paraId="61687CAD"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Stakeholder engagement is a critical determinant of business performance for organisations operating in highly innovative and regulated industries, such as healthcare technology. Philips Healthcare UK, a subsidiary of Royal Philips, has consistently demonstrated the importance of engaging stakeholders throughout the development of its products, particularly with initiatives such as its wearable health device. This device, designed to monitor heart rate, oxygen saturation, and sleep patterns, represents a strategic effort to integrate digital health technology with proactive patient care, highlighting the significance of stakeholder collaboration for achieving high-quality outcomes (Philips Healthcare UK, 2022).</w:t>
      </w:r>
    </w:p>
    <w:p w14:paraId="0083F648"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 xml:space="preserve">Proactive stakeholder engagement positively influences various aspects of business performance, including product quality, timely delivery, and customer satisfaction. For Philips Healthcare UK, involving stakeholders early in the design and development process ensures that the product aligns with both consumer expectations and regulatory requirements. For instance, collaboration with healthcare providers during the initial R&amp;D phase allows the company to incorporate real-world clinical insights into device functionality, enhancing the usability and relevance of the product (Freeman, 2010). Similarly, regular engagement with regulatory authorities ensures compliance with safety and efficacy standards, mitigating the risk of costly delays or market rejection (PMI, 2021). This early and continuous involvement demonstrates </w:t>
      </w:r>
      <w:r w:rsidRPr="00D067A0">
        <w:rPr>
          <w:rFonts w:ascii="Arial" w:eastAsia="Times New Roman" w:hAnsi="Arial" w:cs="Arial"/>
          <w:kern w:val="0"/>
          <w:lang w:eastAsia="en-GB"/>
          <w14:ligatures w14:val="none"/>
        </w:rPr>
        <w:lastRenderedPageBreak/>
        <w:t>that stakeholder engagement is not a peripheral activity but a central mechanism for achieving business objectives (Bourne, 2015).</w:t>
      </w:r>
    </w:p>
    <w:p w14:paraId="618BDE2E"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 xml:space="preserve">The engagement process also directly affects innovation and product quality. By leveraging input from multiple stakeholders, including internal teams such as R&amp;D, marketing, finance, and IT, Philips Healthcare UK can identify technical challenges and consumer preferences more effectively (Ashcroft, 2017). For example, R&amp;D teams can adapt the wearable device’s sensors and software features based on feedback from healthcare professionals, ensuring that the device provides accurate and actionable health data. Marketing teams, in turn, gain insight into consumer priorities and pain points, enabling the creation of campaigns that clearly communicate the product’s value proposition. This multi-stakeholder approach not only improves the </w:t>
      </w:r>
      <w:proofErr w:type="gramStart"/>
      <w:r w:rsidRPr="00D067A0">
        <w:rPr>
          <w:rFonts w:ascii="Arial" w:eastAsia="Times New Roman" w:hAnsi="Arial" w:cs="Arial"/>
          <w:kern w:val="0"/>
          <w:lang w:eastAsia="en-GB"/>
          <w14:ligatures w14:val="none"/>
        </w:rPr>
        <w:t>end product</w:t>
      </w:r>
      <w:proofErr w:type="gramEnd"/>
      <w:r w:rsidRPr="00D067A0">
        <w:rPr>
          <w:rFonts w:ascii="Arial" w:eastAsia="Times New Roman" w:hAnsi="Arial" w:cs="Arial"/>
          <w:kern w:val="0"/>
          <w:lang w:eastAsia="en-GB"/>
          <w14:ligatures w14:val="none"/>
        </w:rPr>
        <w:t xml:space="preserve"> but also reduces the likelihood of rework or post-launch modifications, enhancing efficiency and cost-effectiveness (Christopher, Payne and Ballantyne, 2013).</w:t>
      </w:r>
    </w:p>
    <w:p w14:paraId="4DD76321"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Metrics play a vital role in evaluating the effectiveness of stakeholder engagement and its impact on business performance. Philips Healthcare UK utilises several key performance indicators, including sales figures, customer satisfaction scores, product adoption rates, and stakeholder feedback surveys. High sales and adoption rates indicate that the product meets market demand, while positive customer feedback reflects the device’s usability and perceived value. Additionally, stakeholder satisfaction surveys provide insights into how well internal and external collaborators feel their contributions are valued and integrated into project outcomes (Bryson, 2018). Together, these metrics provide a holistic view of how engagement practices translate into tangible business performance benefits.</w:t>
      </w:r>
    </w:p>
    <w:p w14:paraId="5B02B4D0"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 xml:space="preserve">Neglecting stakeholder engagement can have significant negative consequences for business performance. Failure to involve critical stakeholders during development may result in product features that do not meet market expectations, regulatory non-compliance, or missed opportunities for collaboration that could enhance innovation. For example, without consultation with healthcare providers, a wearable device might lack clinically relevant features, leading to poor market reception and reduced adoption (Clarkson, 1995). Similarly, insufficient engagement with suppliers or finance teams could result in production delays or budget overruns, affecting both profitability and </w:t>
      </w:r>
      <w:r w:rsidRPr="00D067A0">
        <w:rPr>
          <w:rFonts w:ascii="Arial" w:eastAsia="Times New Roman" w:hAnsi="Arial" w:cs="Arial"/>
          <w:kern w:val="0"/>
          <w:lang w:eastAsia="en-GB"/>
          <w14:ligatures w14:val="none"/>
        </w:rPr>
        <w:lastRenderedPageBreak/>
        <w:t>reputation. Mitchell, Agle, and Wood (1997) emphasise that stakeholders with high power, legitimacy, and urgency require careful attention to prevent project risks from escalating, reinforcing the need for systematic engagement strategies.</w:t>
      </w:r>
    </w:p>
    <w:p w14:paraId="11DF88E0"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Philips Healthcare UK mitigates these risks through structured stakeholder management approaches that incorporate both formal and informal engagement mechanisms. Tools such as RACI matrices, project planning frameworks, and regular progress meetings ensure clarity in roles and responsibilities, while collaboration platforms enable continuous dialogue among dispersed teams (Ellis, Gibbs and Rein, 1991; PMI, 2021). Ashcroft (2017) and Bourne (2015) highlight that mature stakeholder management practices, which prioritise proactive communication and relationship building, are strongly correlated with higher project success rates, especially in complex, multi-stakeholder environments.</w:t>
      </w:r>
    </w:p>
    <w:p w14:paraId="4792AFC6"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In addition to operational benefits, effective stakeholder engagement enhances strategic outcomes. By incorporating the perspectives of external stakeholders such as healthcare providers, patients, and regulatory authorities, Philips Healthcare UK strengthens its reputation as a reliable and innovative health technology provider (Freeman, 2010). Collaboration fosters long-term relationships with suppliers and distributors, enabling smoother supply chain operations and reducing the risk of disruptions. Moreover, engaging stakeholders in product development supports organisational learning, as feedback loops help the company refine processes, adopt new technologies, and respond more effectively to evolving market needs (Christopher, Payne and Ballantyne, 2013).</w:t>
      </w:r>
    </w:p>
    <w:p w14:paraId="616E13D2" w14:textId="77777777" w:rsidR="00D067A0" w:rsidRPr="00D067A0" w:rsidRDefault="00D067A0" w:rsidP="00375EFE">
      <w:pPr>
        <w:spacing w:before="100" w:beforeAutospacing="1" w:after="100" w:afterAutospacing="1" w:line="360" w:lineRule="auto"/>
        <w:jc w:val="both"/>
        <w:rPr>
          <w:rFonts w:ascii="Arial" w:eastAsia="Times New Roman" w:hAnsi="Arial" w:cs="Arial"/>
          <w:kern w:val="0"/>
          <w:lang w:eastAsia="en-GB"/>
          <w14:ligatures w14:val="none"/>
        </w:rPr>
      </w:pPr>
      <w:r w:rsidRPr="00D067A0">
        <w:rPr>
          <w:rFonts w:ascii="Arial" w:eastAsia="Times New Roman" w:hAnsi="Arial" w:cs="Arial"/>
          <w:kern w:val="0"/>
          <w:lang w:eastAsia="en-GB"/>
          <w14:ligatures w14:val="none"/>
        </w:rPr>
        <w:t xml:space="preserve">In conclusion, stakeholder engagement has a profound and measurable impact on the business performance of Philips Healthcare UK. Proactive involvement of both internal and external stakeholders ensures that products, such as the wearable health device, meet quality standards, comply with regulations, and align with market demands. Engagement practices facilitate innovation, enhance efficiency, and improve customer satisfaction, while neglecting these relationships can lead to delays, poor market reception, and missed opportunities. By systematically managing stakeholder interactions and utilising metrics such as sales, adoption rates, and feedback surveys, Philips Healthcare UK can optimise both project-level outcomes and broader strategic objectives. These practices underscore the centrality of stakeholder engagement as a </w:t>
      </w:r>
      <w:r w:rsidRPr="00D067A0">
        <w:rPr>
          <w:rFonts w:ascii="Arial" w:eastAsia="Times New Roman" w:hAnsi="Arial" w:cs="Arial"/>
          <w:kern w:val="0"/>
          <w:lang w:eastAsia="en-GB"/>
          <w14:ligatures w14:val="none"/>
        </w:rPr>
        <w:lastRenderedPageBreak/>
        <w:t>driver of business success in the healthcare technology sector (Philips Healthcare UK, 2022; Ashcroft, 2017; Bourne, 2015; Freeman, 2010).</w:t>
      </w:r>
    </w:p>
    <w:p w14:paraId="7FB23F69" w14:textId="767DB513"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26BBEC34" w14:textId="59890618" w:rsidR="0067333B" w:rsidRPr="00375EFE" w:rsidRDefault="0067333B" w:rsidP="00375EFE">
      <w:pPr>
        <w:spacing w:after="0" w:line="360" w:lineRule="auto"/>
        <w:jc w:val="both"/>
        <w:rPr>
          <w:rFonts w:ascii="Arial" w:eastAsia="Times New Roman" w:hAnsi="Arial" w:cs="Arial"/>
          <w:kern w:val="0"/>
          <w:lang w:eastAsia="en-GB"/>
          <w14:ligatures w14:val="none"/>
        </w:rPr>
      </w:pPr>
    </w:p>
    <w:p w14:paraId="7B71E267" w14:textId="77777777" w:rsidR="00612515" w:rsidRPr="00375EFE" w:rsidRDefault="0067333B" w:rsidP="00375EF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375EFE">
        <w:rPr>
          <w:rFonts w:ascii="Arial" w:eastAsia="Times New Roman" w:hAnsi="Arial" w:cs="Arial"/>
          <w:b/>
          <w:bCs/>
          <w:kern w:val="36"/>
          <w:lang w:eastAsia="en-GB"/>
          <w14:ligatures w14:val="none"/>
        </w:rPr>
        <w:t xml:space="preserve"> </w:t>
      </w:r>
      <w:r w:rsidR="00612515" w:rsidRPr="00375EFE">
        <w:rPr>
          <w:rFonts w:ascii="Arial" w:eastAsia="Times New Roman" w:hAnsi="Arial" w:cs="Arial"/>
          <w:b/>
          <w:bCs/>
          <w:kern w:val="0"/>
          <w:lang w:eastAsia="en-GB"/>
          <w14:ligatures w14:val="none"/>
        </w:rPr>
        <w:t>Recommendations for Future Stakeholder Engagement</w:t>
      </w:r>
    </w:p>
    <w:p w14:paraId="5B0779F5" w14:textId="77777777" w:rsidR="00612515" w:rsidRPr="00375EFE" w:rsidRDefault="00612515" w:rsidP="00375EFE">
      <w:pPr>
        <w:spacing w:before="100" w:beforeAutospacing="1" w:after="100" w:afterAutospacing="1" w:line="360" w:lineRule="auto"/>
        <w:ind w:left="720"/>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Engage Stakeholders Early:</w:t>
      </w:r>
      <w:r w:rsidRPr="00375EFE">
        <w:rPr>
          <w:rFonts w:ascii="Arial" w:eastAsia="Times New Roman" w:hAnsi="Arial" w:cs="Arial"/>
          <w:kern w:val="0"/>
          <w:lang w:eastAsia="en-GB"/>
          <w14:ligatures w14:val="none"/>
        </w:rPr>
        <w:t xml:space="preserve"> Involve key stakeholders from the beginning of the project to ensure alignment and address concerns proactively.</w:t>
      </w:r>
    </w:p>
    <w:p w14:paraId="48DEA59D" w14:textId="77777777" w:rsidR="00612515" w:rsidRPr="00375EFE" w:rsidRDefault="00612515" w:rsidP="00375EFE">
      <w:pPr>
        <w:spacing w:before="100" w:beforeAutospacing="1" w:after="100" w:afterAutospacing="1" w:line="360" w:lineRule="auto"/>
        <w:ind w:left="720"/>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Leverage Digital Tools:</w:t>
      </w:r>
      <w:r w:rsidRPr="00375EFE">
        <w:rPr>
          <w:rFonts w:ascii="Arial" w:eastAsia="Times New Roman" w:hAnsi="Arial" w:cs="Arial"/>
          <w:kern w:val="0"/>
          <w:lang w:eastAsia="en-GB"/>
          <w14:ligatures w14:val="none"/>
        </w:rPr>
        <w:t xml:space="preserve"> Use digital collaboration platforms to improve communication and coordination between stakeholders.</w:t>
      </w:r>
    </w:p>
    <w:p w14:paraId="20844A4F" w14:textId="77777777" w:rsidR="00612515" w:rsidRPr="00375EFE" w:rsidRDefault="00612515" w:rsidP="00375EFE">
      <w:pPr>
        <w:spacing w:before="100" w:beforeAutospacing="1" w:after="100" w:afterAutospacing="1" w:line="360" w:lineRule="auto"/>
        <w:ind w:left="720"/>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Regular Feedback:</w:t>
      </w:r>
      <w:r w:rsidRPr="00375EFE">
        <w:rPr>
          <w:rFonts w:ascii="Arial" w:eastAsia="Times New Roman" w:hAnsi="Arial" w:cs="Arial"/>
          <w:kern w:val="0"/>
          <w:lang w:eastAsia="en-GB"/>
          <w14:ligatures w14:val="none"/>
        </w:rPr>
        <w:t xml:space="preserve"> Continuously gather feedback from stakeholders to refine the product and engagement strategies.</w:t>
      </w:r>
    </w:p>
    <w:p w14:paraId="0E237D1D" w14:textId="77777777" w:rsidR="00612515" w:rsidRPr="00375EFE" w:rsidRDefault="00612515" w:rsidP="00375EFE">
      <w:pPr>
        <w:spacing w:before="100" w:beforeAutospacing="1" w:after="100" w:afterAutospacing="1" w:line="360" w:lineRule="auto"/>
        <w:ind w:left="720"/>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Contingency Planning:</w:t>
      </w:r>
      <w:r w:rsidRPr="00375EFE">
        <w:rPr>
          <w:rFonts w:ascii="Arial" w:eastAsia="Times New Roman" w:hAnsi="Arial" w:cs="Arial"/>
          <w:kern w:val="0"/>
          <w:lang w:eastAsia="en-GB"/>
          <w14:ligatures w14:val="none"/>
        </w:rPr>
        <w:t xml:space="preserve"> Prepare for potential delays and challenges by having contingency plans in place.</w:t>
      </w:r>
    </w:p>
    <w:p w14:paraId="02836ECC" w14:textId="77777777" w:rsidR="00612515" w:rsidRPr="00375EFE" w:rsidRDefault="00612515" w:rsidP="00375EFE">
      <w:pPr>
        <w:spacing w:before="100" w:beforeAutospacing="1" w:after="100" w:afterAutospacing="1" w:line="360" w:lineRule="auto"/>
        <w:ind w:left="720"/>
        <w:jc w:val="both"/>
        <w:rPr>
          <w:rFonts w:ascii="Arial" w:eastAsia="Times New Roman" w:hAnsi="Arial" w:cs="Arial"/>
          <w:kern w:val="0"/>
          <w:lang w:eastAsia="en-GB"/>
          <w14:ligatures w14:val="none"/>
        </w:rPr>
      </w:pPr>
      <w:r w:rsidRPr="00375EFE">
        <w:rPr>
          <w:rFonts w:ascii="Arial" w:eastAsia="Times New Roman" w:hAnsi="Arial" w:cs="Arial"/>
          <w:b/>
          <w:bCs/>
          <w:kern w:val="0"/>
          <w:lang w:eastAsia="en-GB"/>
          <w14:ligatures w14:val="none"/>
        </w:rPr>
        <w:t>Track Engagement Metrics:</w:t>
      </w:r>
      <w:r w:rsidRPr="00375EFE">
        <w:rPr>
          <w:rFonts w:ascii="Arial" w:eastAsia="Times New Roman" w:hAnsi="Arial" w:cs="Arial"/>
          <w:kern w:val="0"/>
          <w:lang w:eastAsia="en-GB"/>
          <w14:ligatures w14:val="none"/>
        </w:rPr>
        <w:t xml:space="preserve"> Use metrics to evaluate the effectiveness of stakeholder engagement and </w:t>
      </w:r>
      <w:proofErr w:type="gramStart"/>
      <w:r w:rsidRPr="00375EFE">
        <w:rPr>
          <w:rFonts w:ascii="Arial" w:eastAsia="Times New Roman" w:hAnsi="Arial" w:cs="Arial"/>
          <w:kern w:val="0"/>
          <w:lang w:eastAsia="en-GB"/>
          <w14:ligatures w14:val="none"/>
        </w:rPr>
        <w:t>make adjustments</w:t>
      </w:r>
      <w:proofErr w:type="gramEnd"/>
      <w:r w:rsidRPr="00375EFE">
        <w:rPr>
          <w:rFonts w:ascii="Arial" w:eastAsia="Times New Roman" w:hAnsi="Arial" w:cs="Arial"/>
          <w:kern w:val="0"/>
          <w:lang w:eastAsia="en-GB"/>
          <w14:ligatures w14:val="none"/>
        </w:rPr>
        <w:t xml:space="preserve"> as needed.</w:t>
      </w:r>
    </w:p>
    <w:p w14:paraId="5249F014" w14:textId="77777777" w:rsidR="00AE71CE" w:rsidRPr="00375EFE" w:rsidRDefault="00AE71CE" w:rsidP="00375EFE">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375EFE">
        <w:rPr>
          <w:rFonts w:ascii="Arial" w:eastAsia="Times New Roman" w:hAnsi="Arial" w:cs="Arial"/>
          <w:b/>
          <w:bCs/>
          <w:kern w:val="0"/>
          <w:lang w:eastAsia="en-GB"/>
          <w14:ligatures w14:val="none"/>
        </w:rPr>
        <w:t>Conclusion</w:t>
      </w:r>
    </w:p>
    <w:p w14:paraId="798C0654"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In conclusion, stakeholder engagement is a crucial determinant of success in the launch of Philips Healthcare UK's wearable health device. The project, set within a six-month timeframe, requires careful coordination across multiple internal and external stakeholders to ensure timely delivery, compliance with regulatory standards, and market adoption. The comprehensive analysis of the company, strategic tools such as SWOT, PESTLE, and SMART objectives, along with the detailed identification and management of stakeholders, reveals that a structured and well-executed stakeholder engagement plan is central to achieving these goals.</w:t>
      </w:r>
    </w:p>
    <w:p w14:paraId="0BDBC745"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By applying frameworks such as Mendelow’s Matrix, the Salience Model, and the RACI matrix, the project management team can prioritize stakeholders based on their power, influence, and interests, ensuring that the most critical groups receive the </w:t>
      </w:r>
      <w:r w:rsidRPr="00375EFE">
        <w:rPr>
          <w:rFonts w:ascii="Arial" w:eastAsia="Times New Roman" w:hAnsi="Arial" w:cs="Arial"/>
          <w:kern w:val="0"/>
          <w:lang w:eastAsia="en-GB"/>
          <w14:ligatures w14:val="none"/>
        </w:rPr>
        <w:lastRenderedPageBreak/>
        <w:t>appropriate level of attention and communication. The RACI matrix</w:t>
      </w:r>
      <w:proofErr w:type="gramStart"/>
      <w:r w:rsidRPr="00375EFE">
        <w:rPr>
          <w:rFonts w:ascii="Arial" w:eastAsia="Times New Roman" w:hAnsi="Arial" w:cs="Arial"/>
          <w:kern w:val="0"/>
          <w:lang w:eastAsia="en-GB"/>
          <w14:ligatures w14:val="none"/>
        </w:rPr>
        <w:t>, in particular, clarifies</w:t>
      </w:r>
      <w:proofErr w:type="gramEnd"/>
      <w:r w:rsidRPr="00375EFE">
        <w:rPr>
          <w:rFonts w:ascii="Arial" w:eastAsia="Times New Roman" w:hAnsi="Arial" w:cs="Arial"/>
          <w:kern w:val="0"/>
          <w:lang w:eastAsia="en-GB"/>
          <w14:ligatures w14:val="none"/>
        </w:rPr>
        <w:t xml:space="preserve"> roles and responsibilities, which is vital for minimizing confusion and maintaining accountability throughout the project's lifecycle. Clear engagement plans and communication strategies—developed with each stakeholder group in mind—will ensure the smooth execution of the project and prevent misunderstandings or delays.</w:t>
      </w:r>
    </w:p>
    <w:p w14:paraId="09785432"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A key focus of the engagement process is the 4C's model—communication, coordination, cooperation, and collaboration. By fostering transparent communication and facilitating cooperation among all stakeholders, the project manager can pre-empt potential conflicts and resolve issues quickly. This proactive approach to conflict management is essential to maintaining momentum and ensuring that the project remains on track. Coordination across teams—whether internal or external—ensures that everyone is aligned with the project’s objectives, while collaboration enables stakeholders to contribute creatively to overcoming challenges. This approach aligns all parties with the shared goal of a successful product launch.</w:t>
      </w:r>
    </w:p>
    <w:p w14:paraId="6842C97E"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The impact of stakeholder engagement is significant not only in terms of project success but also in the broader context of Philips Healthcare UK's business performance. Effective engagement drives timely delivery, enhances product quality through feedback loops, and fosters stronger relationships with key players such as healthcare providers and consumers. Moreover, stakeholder satisfaction is a critical factor in ensuring product adoption, customer loyalty, and long-term business success. By securing positive relationships with stakeholders, Philips can differentiate itself in the highly competitive health tech market and position the new wearable device as a leader in preventive healthcare solutions.</w:t>
      </w:r>
    </w:p>
    <w:p w14:paraId="6538E3FA"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Looking ahead, there are several key recommendations for Philips Healthcare UK to further enhance stakeholder engagement. First, early and continuous engagement with stakeholders, particularly healthcare professionals, will ensure the device is developed with real-world needs in mind. Leveraging digital collaboration tools will enhance communication and increase efficiency in project management. Regular feedback sessions, training, and support will empower stakeholders to be more involved in the project, while contingency planning will prepare the team to manage unforeseen challenges effectively. Lastly, continuously measuring the impact of </w:t>
      </w:r>
      <w:r w:rsidRPr="00375EFE">
        <w:rPr>
          <w:rFonts w:ascii="Arial" w:eastAsia="Times New Roman" w:hAnsi="Arial" w:cs="Arial"/>
          <w:kern w:val="0"/>
          <w:lang w:eastAsia="en-GB"/>
          <w14:ligatures w14:val="none"/>
        </w:rPr>
        <w:lastRenderedPageBreak/>
        <w:t>stakeholder engagement will help refine future engagement strategies and ensure sustained project success.</w:t>
      </w:r>
    </w:p>
    <w:p w14:paraId="528EDBAA" w14:textId="77777777" w:rsidR="00AE71CE" w:rsidRPr="00375EFE" w:rsidRDefault="00AE71CE" w:rsidP="00375EFE">
      <w:p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In summary, the successful launch of the wearable health device hinges on a carefully designed stakeholder engagement strategy that fosters collaboration, mitigates conflict, and aligns all involved parties with the company’s goals. By prioritizing stakeholder needs and managing relationships strategically, Philips Healthcare UK can not only deliver a high-quality product but also reinforce its leadership position in the growing wearable health technology market. Ultimately, the long-term success of the product will depend on maintaining an ongoing dialogue with stakeholders, adapting to their needs, and integrating their feedback into continuous product development and improvement.</w:t>
      </w:r>
    </w:p>
    <w:p w14:paraId="28EA5004" w14:textId="77777777" w:rsidR="00246581" w:rsidRPr="00375EFE" w:rsidRDefault="00246581" w:rsidP="00375EFE">
      <w:pPr>
        <w:spacing w:before="100" w:beforeAutospacing="1" w:after="100" w:afterAutospacing="1" w:line="360" w:lineRule="auto"/>
        <w:jc w:val="both"/>
        <w:outlineLvl w:val="0"/>
        <w:rPr>
          <w:rFonts w:ascii="Arial" w:eastAsia="Times New Roman" w:hAnsi="Arial" w:cs="Arial"/>
          <w:kern w:val="0"/>
          <w:lang w:eastAsia="en-GB"/>
          <w14:ligatures w14:val="none"/>
        </w:rPr>
      </w:pPr>
    </w:p>
    <w:p w14:paraId="2A0E06EB" w14:textId="1415F1CF" w:rsidR="0067333B" w:rsidRPr="00375EFE" w:rsidRDefault="0067333B" w:rsidP="00375EFE">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375EFE">
        <w:rPr>
          <w:rFonts w:ascii="Arial" w:eastAsia="Times New Roman" w:hAnsi="Arial" w:cs="Arial"/>
          <w:b/>
          <w:bCs/>
          <w:kern w:val="36"/>
          <w:lang w:eastAsia="en-GB"/>
          <w14:ligatures w14:val="none"/>
        </w:rPr>
        <w:t>References</w:t>
      </w:r>
    </w:p>
    <w:p w14:paraId="772C323F"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Ashcroft, J. (2017) </w:t>
      </w:r>
      <w:r w:rsidRPr="00375EFE">
        <w:rPr>
          <w:rFonts w:ascii="Arial" w:eastAsia="Times New Roman" w:hAnsi="Arial" w:cs="Arial"/>
          <w:i/>
          <w:iCs/>
          <w:kern w:val="0"/>
          <w:lang w:eastAsia="en-GB"/>
          <w14:ligatures w14:val="none"/>
        </w:rPr>
        <w:t>The relational lens: understanding, measuring, and managing stakeholder relationships</w:t>
      </w:r>
      <w:r w:rsidRPr="00375EFE">
        <w:rPr>
          <w:rFonts w:ascii="Arial" w:eastAsia="Times New Roman" w:hAnsi="Arial" w:cs="Arial"/>
          <w:kern w:val="0"/>
          <w:lang w:eastAsia="en-GB"/>
          <w14:ligatures w14:val="none"/>
        </w:rPr>
        <w:t>. Cambridge: Cambridge University Press.</w:t>
      </w:r>
    </w:p>
    <w:p w14:paraId="759082A9"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Bourne, L. (2015) </w:t>
      </w:r>
      <w:r w:rsidRPr="00375EFE">
        <w:rPr>
          <w:rFonts w:ascii="Arial" w:eastAsia="Times New Roman" w:hAnsi="Arial" w:cs="Arial"/>
          <w:i/>
          <w:iCs/>
          <w:kern w:val="0"/>
          <w:lang w:eastAsia="en-GB"/>
          <w14:ligatures w14:val="none"/>
        </w:rPr>
        <w:t>Stakeholder Relationship Management: A Maturity Model for Organisational Implementation</w:t>
      </w:r>
      <w:r w:rsidRPr="00375EFE">
        <w:rPr>
          <w:rFonts w:ascii="Arial" w:eastAsia="Times New Roman" w:hAnsi="Arial" w:cs="Arial"/>
          <w:kern w:val="0"/>
          <w:lang w:eastAsia="en-GB"/>
          <w14:ligatures w14:val="none"/>
        </w:rPr>
        <w:t>. Boca Raton: CRC Press.</w:t>
      </w:r>
    </w:p>
    <w:p w14:paraId="43F17D43"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Bryson, J.M. (2018) </w:t>
      </w:r>
      <w:r w:rsidRPr="00375EFE">
        <w:rPr>
          <w:rFonts w:ascii="Arial" w:eastAsia="Times New Roman" w:hAnsi="Arial" w:cs="Arial"/>
          <w:i/>
          <w:iCs/>
          <w:kern w:val="0"/>
          <w:lang w:eastAsia="en-GB"/>
          <w14:ligatures w14:val="none"/>
        </w:rPr>
        <w:t>Strategic Planning for Public and Nonprofit Organizations: A Guide to Strengthening and Sustaining Organizational Achievement</w:t>
      </w:r>
      <w:r w:rsidRPr="00375EFE">
        <w:rPr>
          <w:rFonts w:ascii="Arial" w:eastAsia="Times New Roman" w:hAnsi="Arial" w:cs="Arial"/>
          <w:kern w:val="0"/>
          <w:lang w:eastAsia="en-GB"/>
          <w14:ligatures w14:val="none"/>
        </w:rPr>
        <w:t xml:space="preserve">. 5th </w:t>
      </w:r>
      <w:proofErr w:type="spellStart"/>
      <w:r w:rsidRPr="00375EFE">
        <w:rPr>
          <w:rFonts w:ascii="Arial" w:eastAsia="Times New Roman" w:hAnsi="Arial" w:cs="Arial"/>
          <w:kern w:val="0"/>
          <w:lang w:eastAsia="en-GB"/>
          <w14:ligatures w14:val="none"/>
        </w:rPr>
        <w:t>edn</w:t>
      </w:r>
      <w:proofErr w:type="spellEnd"/>
      <w:r w:rsidRPr="00375EFE">
        <w:rPr>
          <w:rFonts w:ascii="Arial" w:eastAsia="Times New Roman" w:hAnsi="Arial" w:cs="Arial"/>
          <w:kern w:val="0"/>
          <w:lang w:eastAsia="en-GB"/>
          <w14:ligatures w14:val="none"/>
        </w:rPr>
        <w:t>. Hoboken: Wiley.</w:t>
      </w:r>
    </w:p>
    <w:p w14:paraId="225F5486"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Clarkson, M.B.E. (1995) ‘A stakeholder framework for </w:t>
      </w:r>
      <w:proofErr w:type="spellStart"/>
      <w:r w:rsidRPr="00375EFE">
        <w:rPr>
          <w:rFonts w:ascii="Arial" w:eastAsia="Times New Roman" w:hAnsi="Arial" w:cs="Arial"/>
          <w:kern w:val="0"/>
          <w:lang w:eastAsia="en-GB"/>
          <w14:ligatures w14:val="none"/>
        </w:rPr>
        <w:t>analyzing</w:t>
      </w:r>
      <w:proofErr w:type="spellEnd"/>
      <w:r w:rsidRPr="00375EFE">
        <w:rPr>
          <w:rFonts w:ascii="Arial" w:eastAsia="Times New Roman" w:hAnsi="Arial" w:cs="Arial"/>
          <w:kern w:val="0"/>
          <w:lang w:eastAsia="en-GB"/>
          <w14:ligatures w14:val="none"/>
        </w:rPr>
        <w:t xml:space="preserve"> and evaluating corporate social performance’, </w:t>
      </w:r>
      <w:r w:rsidRPr="00375EFE">
        <w:rPr>
          <w:rFonts w:ascii="Arial" w:eastAsia="Times New Roman" w:hAnsi="Arial" w:cs="Arial"/>
          <w:i/>
          <w:iCs/>
          <w:kern w:val="0"/>
          <w:lang w:eastAsia="en-GB"/>
          <w14:ligatures w14:val="none"/>
        </w:rPr>
        <w:t>Academy of Management Review</w:t>
      </w:r>
      <w:r w:rsidRPr="00375EFE">
        <w:rPr>
          <w:rFonts w:ascii="Arial" w:eastAsia="Times New Roman" w:hAnsi="Arial" w:cs="Arial"/>
          <w:kern w:val="0"/>
          <w:lang w:eastAsia="en-GB"/>
          <w14:ligatures w14:val="none"/>
        </w:rPr>
        <w:t>, 20(1), pp. 92–117.</w:t>
      </w:r>
    </w:p>
    <w:p w14:paraId="3E3A62B6"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Christopher, M., Payne, A., and Ballantyne, D. (2013) </w:t>
      </w:r>
      <w:r w:rsidRPr="00375EFE">
        <w:rPr>
          <w:rFonts w:ascii="Arial" w:eastAsia="Times New Roman" w:hAnsi="Arial" w:cs="Arial"/>
          <w:i/>
          <w:iCs/>
          <w:kern w:val="0"/>
          <w:lang w:eastAsia="en-GB"/>
          <w14:ligatures w14:val="none"/>
        </w:rPr>
        <w:t>Relationship Marketing: Creating Stakeholder Value</w:t>
      </w:r>
      <w:r w:rsidRPr="00375EFE">
        <w:rPr>
          <w:rFonts w:ascii="Arial" w:eastAsia="Times New Roman" w:hAnsi="Arial" w:cs="Arial"/>
          <w:kern w:val="0"/>
          <w:lang w:eastAsia="en-GB"/>
          <w14:ligatures w14:val="none"/>
        </w:rPr>
        <w:t>. Saint Louis: Taylor and Francis.</w:t>
      </w:r>
    </w:p>
    <w:p w14:paraId="60E9A546"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Ellis, C.A., Gibbs, S.J., and Rein, G.L. (1991) ‘Groupware: Some issues and experiences’, </w:t>
      </w:r>
      <w:r w:rsidRPr="00375EFE">
        <w:rPr>
          <w:rFonts w:ascii="Arial" w:eastAsia="Times New Roman" w:hAnsi="Arial" w:cs="Arial"/>
          <w:i/>
          <w:iCs/>
          <w:kern w:val="0"/>
          <w:lang w:eastAsia="en-GB"/>
          <w14:ligatures w14:val="none"/>
        </w:rPr>
        <w:t>Communications of the ACM</w:t>
      </w:r>
      <w:r w:rsidRPr="00375EFE">
        <w:rPr>
          <w:rFonts w:ascii="Arial" w:eastAsia="Times New Roman" w:hAnsi="Arial" w:cs="Arial"/>
          <w:kern w:val="0"/>
          <w:lang w:eastAsia="en-GB"/>
          <w14:ligatures w14:val="none"/>
        </w:rPr>
        <w:t>, 34(1), pp. 38–58. doi:10.1145/99977.99987.</w:t>
      </w:r>
    </w:p>
    <w:p w14:paraId="7E76615E"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Freeman, R.E. (2010) </w:t>
      </w:r>
      <w:r w:rsidRPr="00375EFE">
        <w:rPr>
          <w:rFonts w:ascii="Arial" w:eastAsia="Times New Roman" w:hAnsi="Arial" w:cs="Arial"/>
          <w:i/>
          <w:iCs/>
          <w:kern w:val="0"/>
          <w:lang w:eastAsia="en-GB"/>
          <w14:ligatures w14:val="none"/>
        </w:rPr>
        <w:t>Strategic Management: A Stakeholder Approach</w:t>
      </w:r>
      <w:r w:rsidRPr="00375EFE">
        <w:rPr>
          <w:rFonts w:ascii="Arial" w:eastAsia="Times New Roman" w:hAnsi="Arial" w:cs="Arial"/>
          <w:kern w:val="0"/>
          <w:lang w:eastAsia="en-GB"/>
          <w14:ligatures w14:val="none"/>
        </w:rPr>
        <w:t>. Cambridge: Cambridge University Press.</w:t>
      </w:r>
    </w:p>
    <w:p w14:paraId="1E82456B"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lastRenderedPageBreak/>
        <w:t xml:space="preserve">Mitchell, R.K., Agle, B.R., and Wood, D.J. (1997) ‘Toward a theory of stakeholder identification and salience: Defining the principle of who and what really counts’, </w:t>
      </w:r>
      <w:r w:rsidRPr="00375EFE">
        <w:rPr>
          <w:rFonts w:ascii="Arial" w:eastAsia="Times New Roman" w:hAnsi="Arial" w:cs="Arial"/>
          <w:i/>
          <w:iCs/>
          <w:kern w:val="0"/>
          <w:lang w:eastAsia="en-GB"/>
          <w14:ligatures w14:val="none"/>
        </w:rPr>
        <w:t>Academy of Management Review</w:t>
      </w:r>
      <w:r w:rsidRPr="00375EFE">
        <w:rPr>
          <w:rFonts w:ascii="Arial" w:eastAsia="Times New Roman" w:hAnsi="Arial" w:cs="Arial"/>
          <w:kern w:val="0"/>
          <w:lang w:eastAsia="en-GB"/>
          <w14:ligatures w14:val="none"/>
        </w:rPr>
        <w:t>, 22(4), pp. 853–886.</w:t>
      </w:r>
    </w:p>
    <w:p w14:paraId="06ADCD80" w14:textId="77777777"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PMI (2021) </w:t>
      </w:r>
      <w:r w:rsidRPr="00375EFE">
        <w:rPr>
          <w:rFonts w:ascii="Arial" w:eastAsia="Times New Roman" w:hAnsi="Arial" w:cs="Arial"/>
          <w:i/>
          <w:iCs/>
          <w:kern w:val="0"/>
          <w:lang w:eastAsia="en-GB"/>
          <w14:ligatures w14:val="none"/>
        </w:rPr>
        <w:t>A Guide to the Project Management Body of Knowledge (PMBOK Guide)</w:t>
      </w:r>
      <w:r w:rsidRPr="00375EFE">
        <w:rPr>
          <w:rFonts w:ascii="Arial" w:eastAsia="Times New Roman" w:hAnsi="Arial" w:cs="Arial"/>
          <w:kern w:val="0"/>
          <w:lang w:eastAsia="en-GB"/>
          <w14:ligatures w14:val="none"/>
        </w:rPr>
        <w:t xml:space="preserve">. 7th </w:t>
      </w:r>
      <w:proofErr w:type="spellStart"/>
      <w:r w:rsidRPr="00375EFE">
        <w:rPr>
          <w:rFonts w:ascii="Arial" w:eastAsia="Times New Roman" w:hAnsi="Arial" w:cs="Arial"/>
          <w:kern w:val="0"/>
          <w:lang w:eastAsia="en-GB"/>
          <w14:ligatures w14:val="none"/>
        </w:rPr>
        <w:t>edn</w:t>
      </w:r>
      <w:proofErr w:type="spellEnd"/>
      <w:r w:rsidRPr="00375EFE">
        <w:rPr>
          <w:rFonts w:ascii="Arial" w:eastAsia="Times New Roman" w:hAnsi="Arial" w:cs="Arial"/>
          <w:kern w:val="0"/>
          <w:lang w:eastAsia="en-GB"/>
          <w14:ligatures w14:val="none"/>
        </w:rPr>
        <w:t>. Newtown Square, PA: Project Management Institute.</w:t>
      </w:r>
    </w:p>
    <w:p w14:paraId="54B160BF" w14:textId="0B47C516" w:rsidR="0067333B" w:rsidRPr="00375EFE" w:rsidRDefault="0067333B" w:rsidP="00375EFE">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375EFE">
        <w:rPr>
          <w:rFonts w:ascii="Arial" w:eastAsia="Times New Roman" w:hAnsi="Arial" w:cs="Arial"/>
          <w:kern w:val="0"/>
          <w:lang w:eastAsia="en-GB"/>
          <w14:ligatures w14:val="none"/>
        </w:rPr>
        <w:t xml:space="preserve">Philips Healthcare UK. (2022) </w:t>
      </w:r>
      <w:r w:rsidRPr="00375EFE">
        <w:rPr>
          <w:rFonts w:ascii="Arial" w:eastAsia="Times New Roman" w:hAnsi="Arial" w:cs="Arial"/>
          <w:i/>
          <w:iCs/>
          <w:kern w:val="0"/>
          <w:lang w:eastAsia="en-GB"/>
          <w14:ligatures w14:val="none"/>
        </w:rPr>
        <w:t>Company Overview</w:t>
      </w:r>
      <w:r w:rsidRPr="00375EFE">
        <w:rPr>
          <w:rFonts w:ascii="Arial" w:eastAsia="Times New Roman" w:hAnsi="Arial" w:cs="Arial"/>
          <w:kern w:val="0"/>
          <w:lang w:eastAsia="en-GB"/>
          <w14:ligatures w14:val="none"/>
        </w:rPr>
        <w:t xml:space="preserve">. [online] Available at: </w:t>
      </w:r>
      <w:hyperlink r:id="rId11" w:tgtFrame="_new" w:history="1">
        <w:r w:rsidRPr="00375EFE">
          <w:rPr>
            <w:rFonts w:ascii="Arial" w:eastAsia="Times New Roman" w:hAnsi="Arial" w:cs="Arial"/>
            <w:color w:val="0000FF"/>
            <w:kern w:val="0"/>
            <w:u w:val="single"/>
            <w:lang w:eastAsia="en-GB"/>
            <w14:ligatures w14:val="none"/>
          </w:rPr>
          <w:t>https://www.philips.co.uk/healthcare</w:t>
        </w:r>
      </w:hyperlink>
      <w:r w:rsidRPr="00375EFE">
        <w:rPr>
          <w:rFonts w:ascii="Arial" w:eastAsia="Times New Roman" w:hAnsi="Arial" w:cs="Arial"/>
          <w:kern w:val="0"/>
          <w:lang w:eastAsia="en-GB"/>
          <w14:ligatures w14:val="none"/>
        </w:rPr>
        <w:t xml:space="preserve"> </w:t>
      </w:r>
      <w:r w:rsidR="00917695" w:rsidRPr="00375EFE">
        <w:rPr>
          <w:rFonts w:ascii="Arial" w:eastAsia="Times New Roman" w:hAnsi="Arial" w:cs="Arial"/>
          <w:kern w:val="0"/>
          <w:lang w:eastAsia="en-GB"/>
          <w14:ligatures w14:val="none"/>
        </w:rPr>
        <w:t>.</w:t>
      </w:r>
      <w:r w:rsidR="00020FDB" w:rsidRPr="00375EFE">
        <w:rPr>
          <w:rFonts w:ascii="Arial" w:eastAsia="Times New Roman" w:hAnsi="Arial" w:cs="Arial"/>
          <w:kern w:val="0"/>
          <w:lang w:eastAsia="en-GB"/>
          <w14:ligatures w14:val="none"/>
        </w:rPr>
        <w:t xml:space="preserve"> </w:t>
      </w:r>
      <w:r w:rsidR="00922EE0" w:rsidRPr="00375EFE">
        <w:rPr>
          <w:rFonts w:ascii="Arial" w:eastAsia="Times New Roman" w:hAnsi="Arial" w:cs="Arial"/>
          <w:kern w:val="0"/>
          <w:lang w:eastAsia="en-GB"/>
          <w14:ligatures w14:val="none"/>
        </w:rPr>
        <w:t xml:space="preserve"> </w:t>
      </w:r>
    </w:p>
    <w:p w14:paraId="524C2DA8" w14:textId="2DCD0FD0" w:rsidR="0068730C" w:rsidRPr="009B6320" w:rsidRDefault="0068730C" w:rsidP="009B6320">
      <w:pPr>
        <w:spacing w:line="360" w:lineRule="auto"/>
        <w:jc w:val="both"/>
        <w:rPr>
          <w:rFonts w:ascii="Arial" w:hAnsi="Arial" w:cs="Arial"/>
        </w:rPr>
      </w:pPr>
    </w:p>
    <w:sectPr w:rsidR="0068730C" w:rsidRPr="009B6320" w:rsidSect="00AA2FC6">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8FFD2" w14:textId="77777777" w:rsidR="00223289" w:rsidRDefault="00223289" w:rsidP="00E3621F">
      <w:pPr>
        <w:spacing w:after="0" w:line="240" w:lineRule="auto"/>
      </w:pPr>
      <w:r>
        <w:separator/>
      </w:r>
    </w:p>
  </w:endnote>
  <w:endnote w:type="continuationSeparator" w:id="0">
    <w:p w14:paraId="793BD41F" w14:textId="77777777" w:rsidR="00223289" w:rsidRDefault="00223289" w:rsidP="00E36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fon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016086"/>
      <w:docPartObj>
        <w:docPartGallery w:val="Page Numbers (Bottom of Page)"/>
        <w:docPartUnique/>
      </w:docPartObj>
    </w:sdtPr>
    <w:sdtContent>
      <w:p w14:paraId="4F34AD6E" w14:textId="6B88A155" w:rsidR="00E3621F" w:rsidRDefault="00E3621F">
        <w:pPr>
          <w:pStyle w:val="Footer"/>
        </w:pPr>
        <w:r>
          <w:fldChar w:fldCharType="begin"/>
        </w:r>
        <w:r>
          <w:instrText>PAGE   \* MERGEFORMAT</w:instrText>
        </w:r>
        <w:r>
          <w:fldChar w:fldCharType="separate"/>
        </w:r>
        <w:r>
          <w:t>2</w:t>
        </w:r>
        <w:r>
          <w:fldChar w:fldCharType="end"/>
        </w:r>
      </w:p>
    </w:sdtContent>
  </w:sdt>
  <w:p w14:paraId="6F38764B" w14:textId="77777777" w:rsidR="00E3621F" w:rsidRDefault="00E36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DA634" w14:textId="77777777" w:rsidR="00223289" w:rsidRDefault="00223289" w:rsidP="00E3621F">
      <w:pPr>
        <w:spacing w:after="0" w:line="240" w:lineRule="auto"/>
      </w:pPr>
      <w:r>
        <w:separator/>
      </w:r>
    </w:p>
  </w:footnote>
  <w:footnote w:type="continuationSeparator" w:id="0">
    <w:p w14:paraId="18944678" w14:textId="77777777" w:rsidR="00223289" w:rsidRDefault="00223289" w:rsidP="00E36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661F"/>
    <w:multiLevelType w:val="multilevel"/>
    <w:tmpl w:val="F7FE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360EE"/>
    <w:multiLevelType w:val="multilevel"/>
    <w:tmpl w:val="854C4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7F644C"/>
    <w:multiLevelType w:val="multilevel"/>
    <w:tmpl w:val="EEB88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03FBA"/>
    <w:multiLevelType w:val="multilevel"/>
    <w:tmpl w:val="F4AAC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F64DD"/>
    <w:multiLevelType w:val="multilevel"/>
    <w:tmpl w:val="81DA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2E69D2"/>
    <w:multiLevelType w:val="multilevel"/>
    <w:tmpl w:val="E9D8C2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8445DE"/>
    <w:multiLevelType w:val="multilevel"/>
    <w:tmpl w:val="243EC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761619"/>
    <w:multiLevelType w:val="multilevel"/>
    <w:tmpl w:val="F3DCF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902919"/>
    <w:multiLevelType w:val="multilevel"/>
    <w:tmpl w:val="DF124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590435"/>
    <w:multiLevelType w:val="multilevel"/>
    <w:tmpl w:val="39607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E23B4"/>
    <w:multiLevelType w:val="multilevel"/>
    <w:tmpl w:val="C6A41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E9418B"/>
    <w:multiLevelType w:val="multilevel"/>
    <w:tmpl w:val="54F6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A311CC"/>
    <w:multiLevelType w:val="multilevel"/>
    <w:tmpl w:val="FF785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8E51ED"/>
    <w:multiLevelType w:val="multilevel"/>
    <w:tmpl w:val="78921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E028A9"/>
    <w:multiLevelType w:val="multilevel"/>
    <w:tmpl w:val="483EBFD0"/>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295416"/>
    <w:multiLevelType w:val="multilevel"/>
    <w:tmpl w:val="41F0F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A50F3B"/>
    <w:multiLevelType w:val="multilevel"/>
    <w:tmpl w:val="17F2F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E46550"/>
    <w:multiLevelType w:val="multilevel"/>
    <w:tmpl w:val="FA147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D77F32"/>
    <w:multiLevelType w:val="multilevel"/>
    <w:tmpl w:val="F9F6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0B749D"/>
    <w:multiLevelType w:val="multilevel"/>
    <w:tmpl w:val="FA18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D07971"/>
    <w:multiLevelType w:val="multilevel"/>
    <w:tmpl w:val="58E00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38247E"/>
    <w:multiLevelType w:val="multilevel"/>
    <w:tmpl w:val="3B50D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3855FF"/>
    <w:multiLevelType w:val="multilevel"/>
    <w:tmpl w:val="D6AA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373F42"/>
    <w:multiLevelType w:val="multilevel"/>
    <w:tmpl w:val="142A0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823514"/>
    <w:multiLevelType w:val="multilevel"/>
    <w:tmpl w:val="022A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AD7D91"/>
    <w:multiLevelType w:val="multilevel"/>
    <w:tmpl w:val="F9D03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5D3F56"/>
    <w:multiLevelType w:val="multilevel"/>
    <w:tmpl w:val="04A4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0A63CA"/>
    <w:multiLevelType w:val="multilevel"/>
    <w:tmpl w:val="3306D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C61A3D"/>
    <w:multiLevelType w:val="multilevel"/>
    <w:tmpl w:val="BD1C5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B85B67"/>
    <w:multiLevelType w:val="multilevel"/>
    <w:tmpl w:val="7F323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1D5665"/>
    <w:multiLevelType w:val="multilevel"/>
    <w:tmpl w:val="3356B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2F0FC4"/>
    <w:multiLevelType w:val="multilevel"/>
    <w:tmpl w:val="084C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511914"/>
    <w:multiLevelType w:val="multilevel"/>
    <w:tmpl w:val="B2EA36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05400">
    <w:abstractNumId w:val="14"/>
  </w:num>
  <w:num w:numId="2" w16cid:durableId="572928769">
    <w:abstractNumId w:val="30"/>
  </w:num>
  <w:num w:numId="3" w16cid:durableId="311493922">
    <w:abstractNumId w:val="29"/>
  </w:num>
  <w:num w:numId="4" w16cid:durableId="319165256">
    <w:abstractNumId w:val="12"/>
  </w:num>
  <w:num w:numId="5" w16cid:durableId="803079334">
    <w:abstractNumId w:val="28"/>
  </w:num>
  <w:num w:numId="6" w16cid:durableId="2142379380">
    <w:abstractNumId w:val="2"/>
  </w:num>
  <w:num w:numId="7" w16cid:durableId="996348566">
    <w:abstractNumId w:val="18"/>
  </w:num>
  <w:num w:numId="8" w16cid:durableId="484396405">
    <w:abstractNumId w:val="7"/>
  </w:num>
  <w:num w:numId="9" w16cid:durableId="1570652420">
    <w:abstractNumId w:val="22"/>
  </w:num>
  <w:num w:numId="10" w16cid:durableId="1008872704">
    <w:abstractNumId w:val="3"/>
  </w:num>
  <w:num w:numId="11" w16cid:durableId="1336807367">
    <w:abstractNumId w:val="10"/>
  </w:num>
  <w:num w:numId="12" w16cid:durableId="1330475315">
    <w:abstractNumId w:val="5"/>
  </w:num>
  <w:num w:numId="13" w16cid:durableId="343871373">
    <w:abstractNumId w:val="4"/>
  </w:num>
  <w:num w:numId="14" w16cid:durableId="323701873">
    <w:abstractNumId w:val="20"/>
  </w:num>
  <w:num w:numId="15" w16cid:durableId="454443960">
    <w:abstractNumId w:val="21"/>
  </w:num>
  <w:num w:numId="16" w16cid:durableId="1199708602">
    <w:abstractNumId w:val="15"/>
  </w:num>
  <w:num w:numId="17" w16cid:durableId="1580866414">
    <w:abstractNumId w:val="17"/>
  </w:num>
  <w:num w:numId="18" w16cid:durableId="820655770">
    <w:abstractNumId w:val="0"/>
  </w:num>
  <w:num w:numId="19" w16cid:durableId="1437795246">
    <w:abstractNumId w:val="31"/>
  </w:num>
  <w:num w:numId="20" w16cid:durableId="1606498926">
    <w:abstractNumId w:val="25"/>
  </w:num>
  <w:num w:numId="21" w16cid:durableId="1152599585">
    <w:abstractNumId w:val="23"/>
  </w:num>
  <w:num w:numId="22" w16cid:durableId="815878056">
    <w:abstractNumId w:val="32"/>
  </w:num>
  <w:num w:numId="23" w16cid:durableId="873270613">
    <w:abstractNumId w:val="11"/>
  </w:num>
  <w:num w:numId="24" w16cid:durableId="422726812">
    <w:abstractNumId w:val="13"/>
  </w:num>
  <w:num w:numId="25" w16cid:durableId="2108381848">
    <w:abstractNumId w:val="6"/>
  </w:num>
  <w:num w:numId="26" w16cid:durableId="1660961778">
    <w:abstractNumId w:val="24"/>
  </w:num>
  <w:num w:numId="27" w16cid:durableId="1479374659">
    <w:abstractNumId w:val="27"/>
  </w:num>
  <w:num w:numId="28" w16cid:durableId="1705595164">
    <w:abstractNumId w:val="19"/>
  </w:num>
  <w:num w:numId="29" w16cid:durableId="1369836717">
    <w:abstractNumId w:val="26"/>
  </w:num>
  <w:num w:numId="30" w16cid:durableId="377631027">
    <w:abstractNumId w:val="1"/>
  </w:num>
  <w:num w:numId="31" w16cid:durableId="1657421318">
    <w:abstractNumId w:val="16"/>
  </w:num>
  <w:num w:numId="32" w16cid:durableId="633410117">
    <w:abstractNumId w:val="9"/>
  </w:num>
  <w:num w:numId="33" w16cid:durableId="845429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30C"/>
    <w:rsid w:val="00003A0C"/>
    <w:rsid w:val="00020FDB"/>
    <w:rsid w:val="000231F8"/>
    <w:rsid w:val="00064D75"/>
    <w:rsid w:val="00067198"/>
    <w:rsid w:val="0009099E"/>
    <w:rsid w:val="0009757F"/>
    <w:rsid w:val="000D0027"/>
    <w:rsid w:val="000E2262"/>
    <w:rsid w:val="00120DE2"/>
    <w:rsid w:val="00140FE2"/>
    <w:rsid w:val="0014626A"/>
    <w:rsid w:val="0018644D"/>
    <w:rsid w:val="00192E0A"/>
    <w:rsid w:val="001A1257"/>
    <w:rsid w:val="001C2698"/>
    <w:rsid w:val="001C2B65"/>
    <w:rsid w:val="001C533D"/>
    <w:rsid w:val="001D45EE"/>
    <w:rsid w:val="001D6424"/>
    <w:rsid w:val="001E15E8"/>
    <w:rsid w:val="0020697C"/>
    <w:rsid w:val="00223289"/>
    <w:rsid w:val="00227617"/>
    <w:rsid w:val="00235459"/>
    <w:rsid w:val="00237632"/>
    <w:rsid w:val="00246581"/>
    <w:rsid w:val="00266AF8"/>
    <w:rsid w:val="00271072"/>
    <w:rsid w:val="002E1D57"/>
    <w:rsid w:val="003014C0"/>
    <w:rsid w:val="00302D78"/>
    <w:rsid w:val="003413C3"/>
    <w:rsid w:val="00351136"/>
    <w:rsid w:val="0035514B"/>
    <w:rsid w:val="00370FC0"/>
    <w:rsid w:val="00375EFE"/>
    <w:rsid w:val="003B3952"/>
    <w:rsid w:val="003B3EF5"/>
    <w:rsid w:val="003D06E1"/>
    <w:rsid w:val="00416DEA"/>
    <w:rsid w:val="00426EAF"/>
    <w:rsid w:val="0042765F"/>
    <w:rsid w:val="00427A3C"/>
    <w:rsid w:val="00442B61"/>
    <w:rsid w:val="00454393"/>
    <w:rsid w:val="00492278"/>
    <w:rsid w:val="004B787B"/>
    <w:rsid w:val="004C23D0"/>
    <w:rsid w:val="004D3904"/>
    <w:rsid w:val="004E31D5"/>
    <w:rsid w:val="00502FFE"/>
    <w:rsid w:val="00556297"/>
    <w:rsid w:val="00572420"/>
    <w:rsid w:val="00583815"/>
    <w:rsid w:val="005B16C2"/>
    <w:rsid w:val="00603CA5"/>
    <w:rsid w:val="00612515"/>
    <w:rsid w:val="0067333B"/>
    <w:rsid w:val="006776A5"/>
    <w:rsid w:val="0068730C"/>
    <w:rsid w:val="006A65F5"/>
    <w:rsid w:val="006C4E13"/>
    <w:rsid w:val="007042D3"/>
    <w:rsid w:val="007064FC"/>
    <w:rsid w:val="007B4CF7"/>
    <w:rsid w:val="007B7931"/>
    <w:rsid w:val="007D3FB0"/>
    <w:rsid w:val="007E4F7F"/>
    <w:rsid w:val="007E7ECC"/>
    <w:rsid w:val="007F1829"/>
    <w:rsid w:val="00803AD3"/>
    <w:rsid w:val="008130FD"/>
    <w:rsid w:val="00815B6C"/>
    <w:rsid w:val="0081629D"/>
    <w:rsid w:val="00822D5C"/>
    <w:rsid w:val="00851CDE"/>
    <w:rsid w:val="00892757"/>
    <w:rsid w:val="00894A0F"/>
    <w:rsid w:val="008D2DBF"/>
    <w:rsid w:val="00917695"/>
    <w:rsid w:val="00922EE0"/>
    <w:rsid w:val="009337F8"/>
    <w:rsid w:val="00937A19"/>
    <w:rsid w:val="009523FC"/>
    <w:rsid w:val="00964905"/>
    <w:rsid w:val="00966AFD"/>
    <w:rsid w:val="00971C68"/>
    <w:rsid w:val="00975F44"/>
    <w:rsid w:val="00986C68"/>
    <w:rsid w:val="00991327"/>
    <w:rsid w:val="00997EE3"/>
    <w:rsid w:val="009B6320"/>
    <w:rsid w:val="009C404A"/>
    <w:rsid w:val="009F4DA0"/>
    <w:rsid w:val="00A14DF9"/>
    <w:rsid w:val="00A43565"/>
    <w:rsid w:val="00A5021D"/>
    <w:rsid w:val="00A5224C"/>
    <w:rsid w:val="00A67F19"/>
    <w:rsid w:val="00A97E91"/>
    <w:rsid w:val="00AA2FC6"/>
    <w:rsid w:val="00AA7C81"/>
    <w:rsid w:val="00AE5A6B"/>
    <w:rsid w:val="00AE71CE"/>
    <w:rsid w:val="00AF1CD6"/>
    <w:rsid w:val="00B3150B"/>
    <w:rsid w:val="00B34BBE"/>
    <w:rsid w:val="00B53DBA"/>
    <w:rsid w:val="00B66666"/>
    <w:rsid w:val="00B9644D"/>
    <w:rsid w:val="00BB0F23"/>
    <w:rsid w:val="00BB2823"/>
    <w:rsid w:val="00BB3FB5"/>
    <w:rsid w:val="00BC2CAD"/>
    <w:rsid w:val="00BD48B7"/>
    <w:rsid w:val="00BD7BF2"/>
    <w:rsid w:val="00BE43CB"/>
    <w:rsid w:val="00BF43A2"/>
    <w:rsid w:val="00C10F8F"/>
    <w:rsid w:val="00C249FE"/>
    <w:rsid w:val="00C561F4"/>
    <w:rsid w:val="00C741BB"/>
    <w:rsid w:val="00C7569B"/>
    <w:rsid w:val="00C75E32"/>
    <w:rsid w:val="00C8666A"/>
    <w:rsid w:val="00CA3D8F"/>
    <w:rsid w:val="00CC35CC"/>
    <w:rsid w:val="00CE429B"/>
    <w:rsid w:val="00D00AA9"/>
    <w:rsid w:val="00D067A0"/>
    <w:rsid w:val="00D31986"/>
    <w:rsid w:val="00D36DEB"/>
    <w:rsid w:val="00D42C0A"/>
    <w:rsid w:val="00D47907"/>
    <w:rsid w:val="00D540B2"/>
    <w:rsid w:val="00D634EC"/>
    <w:rsid w:val="00D72B07"/>
    <w:rsid w:val="00D86BA7"/>
    <w:rsid w:val="00DB440C"/>
    <w:rsid w:val="00DC02B0"/>
    <w:rsid w:val="00DD7759"/>
    <w:rsid w:val="00DF5A6E"/>
    <w:rsid w:val="00E00AD6"/>
    <w:rsid w:val="00E25557"/>
    <w:rsid w:val="00E3621F"/>
    <w:rsid w:val="00E37905"/>
    <w:rsid w:val="00E37C44"/>
    <w:rsid w:val="00E744A9"/>
    <w:rsid w:val="00E93D43"/>
    <w:rsid w:val="00E96985"/>
    <w:rsid w:val="00EB073D"/>
    <w:rsid w:val="00EC2915"/>
    <w:rsid w:val="00F176F5"/>
    <w:rsid w:val="00F41310"/>
    <w:rsid w:val="00FC247C"/>
    <w:rsid w:val="00FD0DA2"/>
    <w:rsid w:val="00FD3B1E"/>
    <w:rsid w:val="00FE1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19898"/>
  <w15:chartTrackingRefBased/>
  <w15:docId w15:val="{F3F56673-C752-4EEB-A838-60E934152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3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3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73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3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3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3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3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3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3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3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3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73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3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3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3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3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3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30C"/>
    <w:rPr>
      <w:rFonts w:eastAsiaTheme="majorEastAsia" w:cstheme="majorBidi"/>
      <w:color w:val="272727" w:themeColor="text1" w:themeTint="D8"/>
    </w:rPr>
  </w:style>
  <w:style w:type="paragraph" w:styleId="Title">
    <w:name w:val="Title"/>
    <w:basedOn w:val="Normal"/>
    <w:next w:val="Normal"/>
    <w:link w:val="TitleChar"/>
    <w:uiPriority w:val="10"/>
    <w:qFormat/>
    <w:rsid w:val="006873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3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3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3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30C"/>
    <w:pPr>
      <w:spacing w:before="160"/>
      <w:jc w:val="center"/>
    </w:pPr>
    <w:rPr>
      <w:i/>
      <w:iCs/>
      <w:color w:val="404040" w:themeColor="text1" w:themeTint="BF"/>
    </w:rPr>
  </w:style>
  <w:style w:type="character" w:customStyle="1" w:styleId="QuoteChar">
    <w:name w:val="Quote Char"/>
    <w:basedOn w:val="DefaultParagraphFont"/>
    <w:link w:val="Quote"/>
    <w:uiPriority w:val="29"/>
    <w:rsid w:val="0068730C"/>
    <w:rPr>
      <w:i/>
      <w:iCs/>
      <w:color w:val="404040" w:themeColor="text1" w:themeTint="BF"/>
    </w:rPr>
  </w:style>
  <w:style w:type="paragraph" w:styleId="ListParagraph">
    <w:name w:val="List Paragraph"/>
    <w:basedOn w:val="Normal"/>
    <w:uiPriority w:val="34"/>
    <w:qFormat/>
    <w:rsid w:val="0068730C"/>
    <w:pPr>
      <w:ind w:left="720"/>
      <w:contextualSpacing/>
    </w:pPr>
  </w:style>
  <w:style w:type="character" w:styleId="IntenseEmphasis">
    <w:name w:val="Intense Emphasis"/>
    <w:basedOn w:val="DefaultParagraphFont"/>
    <w:uiPriority w:val="21"/>
    <w:qFormat/>
    <w:rsid w:val="0068730C"/>
    <w:rPr>
      <w:i/>
      <w:iCs/>
      <w:color w:val="0F4761" w:themeColor="accent1" w:themeShade="BF"/>
    </w:rPr>
  </w:style>
  <w:style w:type="paragraph" w:styleId="IntenseQuote">
    <w:name w:val="Intense Quote"/>
    <w:basedOn w:val="Normal"/>
    <w:next w:val="Normal"/>
    <w:link w:val="IntenseQuoteChar"/>
    <w:uiPriority w:val="30"/>
    <w:qFormat/>
    <w:rsid w:val="006873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30C"/>
    <w:rPr>
      <w:i/>
      <w:iCs/>
      <w:color w:val="0F4761" w:themeColor="accent1" w:themeShade="BF"/>
    </w:rPr>
  </w:style>
  <w:style w:type="character" w:styleId="IntenseReference">
    <w:name w:val="Intense Reference"/>
    <w:basedOn w:val="DefaultParagraphFont"/>
    <w:uiPriority w:val="32"/>
    <w:qFormat/>
    <w:rsid w:val="0068730C"/>
    <w:rPr>
      <w:b/>
      <w:bCs/>
      <w:smallCaps/>
      <w:color w:val="0F4761" w:themeColor="accent1" w:themeShade="BF"/>
      <w:spacing w:val="5"/>
    </w:rPr>
  </w:style>
  <w:style w:type="paragraph" w:styleId="NoSpacing">
    <w:name w:val="No Spacing"/>
    <w:link w:val="NoSpacingChar"/>
    <w:uiPriority w:val="1"/>
    <w:qFormat/>
    <w:rsid w:val="00AA2FC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A2FC6"/>
    <w:rPr>
      <w:rFonts w:eastAsiaTheme="minorEastAsia"/>
      <w:kern w:val="0"/>
      <w:sz w:val="22"/>
      <w:szCs w:val="22"/>
      <w:lang w:eastAsia="en-GB"/>
      <w14:ligatures w14:val="none"/>
    </w:rPr>
  </w:style>
  <w:style w:type="paragraph" w:styleId="Header">
    <w:name w:val="header"/>
    <w:basedOn w:val="Normal"/>
    <w:link w:val="HeaderChar"/>
    <w:uiPriority w:val="99"/>
    <w:unhideWhenUsed/>
    <w:rsid w:val="00E36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21F"/>
  </w:style>
  <w:style w:type="paragraph" w:styleId="Footer">
    <w:name w:val="footer"/>
    <w:basedOn w:val="Normal"/>
    <w:link w:val="FooterChar"/>
    <w:uiPriority w:val="99"/>
    <w:unhideWhenUsed/>
    <w:rsid w:val="00E36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21F"/>
  </w:style>
  <w:style w:type="table" w:customStyle="1" w:styleId="TableGrid">
    <w:name w:val="TableGrid"/>
    <w:rsid w:val="00492278"/>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DD77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14D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hilips.co.uk/healthcare"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85340-ED78-4836-B88A-F214C938C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25</Pages>
  <Words>6310</Words>
  <Characters>35967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need uni logo)</dc:title>
  <dc:subject/>
  <dc:creator>angela dias</dc:creator>
  <cp:keywords/>
  <dc:description/>
  <cp:lastModifiedBy>angela dias</cp:lastModifiedBy>
  <cp:revision>143</cp:revision>
  <dcterms:created xsi:type="dcterms:W3CDTF">2025-12-05T11:35:00Z</dcterms:created>
  <dcterms:modified xsi:type="dcterms:W3CDTF">2025-12-18T11:40:00Z</dcterms:modified>
</cp:coreProperties>
</file>