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0E3AC" w14:textId="32B253F7" w:rsidR="00574A5B" w:rsidRDefault="00EC5D1F">
      <w:pPr>
        <w:rPr>
          <w:b/>
          <w:u w:val="single"/>
        </w:rPr>
      </w:pPr>
      <w:r w:rsidRPr="00EC5D1F">
        <w:rPr>
          <w:b/>
          <w:u w:val="single"/>
        </w:rPr>
        <w:t>Jess Plunkett (1700273) Portfolio</w:t>
      </w:r>
    </w:p>
    <w:p w14:paraId="7E4BF8CD" w14:textId="10E73C39" w:rsidR="00EC5D1F" w:rsidRPr="00EC5D1F" w:rsidRDefault="00EC5D1F">
      <w:pPr>
        <w:rPr>
          <w:u w:val="single"/>
        </w:rPr>
      </w:pPr>
      <w:r>
        <w:rPr>
          <w:u w:val="single"/>
        </w:rPr>
        <w:t>Part 1: Secondary Source Analysis</w:t>
      </w:r>
    </w:p>
    <w:p w14:paraId="2A5E7456" w14:textId="7A975114" w:rsidR="00EC5D1F" w:rsidRPr="00EC5D1F" w:rsidRDefault="00EC5D1F" w:rsidP="00EC5D1F">
      <w:pPr>
        <w:rPr>
          <w:i/>
        </w:rPr>
      </w:pPr>
      <w:r w:rsidRPr="00EC5D1F">
        <w:rPr>
          <w:i/>
        </w:rPr>
        <w:t>J</w:t>
      </w:r>
      <w:r w:rsidRPr="00EC5D1F">
        <w:rPr>
          <w:i/>
        </w:rPr>
        <w:t>. Casey, Afterlives: A Guide to Heaven, Hell and Purgatory (Oxford: Oxford University Press, 2009), Chapter 9 – ‘Rome’s Happiest Invention?’</w:t>
      </w:r>
    </w:p>
    <w:p w14:paraId="04A1C241" w14:textId="77777777" w:rsidR="00EC5D1F" w:rsidRDefault="00EC5D1F" w:rsidP="00EC5D1F">
      <w:r>
        <w:t xml:space="preserve">In chapter nine of his book ‘Afterlives: A Guide to Heaven, Hell and Purgatory’, John Casey argues that although there was outcry among the protestants that eventually helped lead to the reformation, Purgatory was indeed ‘Rome’s Happiest Invention’ mainly </w:t>
      </w:r>
      <w:proofErr w:type="gramStart"/>
      <w:r>
        <w:t>due to the fact that</w:t>
      </w:r>
      <w:proofErr w:type="gramEnd"/>
      <w:r>
        <w:t xml:space="preserve"> it helped develop human’s psychological need for repentance. In this Essay I will look into Casey’s reasoning and compare it to other authors works on Purgatory in order to evaluate whether it </w:t>
      </w:r>
      <w:proofErr w:type="gramStart"/>
      <w:r>
        <w:t>was</w:t>
      </w:r>
      <w:proofErr w:type="gramEnd"/>
      <w:r>
        <w:t xml:space="preserve"> indeed, Rome’s happiest invention and how that effected the medieval people.  </w:t>
      </w:r>
    </w:p>
    <w:p w14:paraId="4CA5D985" w14:textId="77777777" w:rsidR="00EC5D1F" w:rsidRDefault="00EC5D1F" w:rsidP="00EC5D1F">
      <w:r>
        <w:t xml:space="preserve">The term ‘invention’ is key here, there are no mentions of a purgatory in the bible.  However, a similar thing can be found by looking through bible passages. For example, in </w:t>
      </w:r>
      <w:r w:rsidRPr="003D0868">
        <w:t>II Maccabees 12:39-46</w:t>
      </w:r>
      <w:r>
        <w:t>, the dead are forgiven their sins through the works of the living and in Matthew 5:24-25, Jesus describes a prison which you cannot exit until you have paid the last penny- which most Christians take to be allegorical for a purgatory type afterlife.</w:t>
      </w:r>
      <w:r>
        <w:rPr>
          <w:rStyle w:val="FootnoteReference"/>
        </w:rPr>
        <w:footnoteReference w:id="1"/>
      </w:r>
      <w:r>
        <w:t xml:space="preserve"> Knowing this, can purgatory be truly called an invention, or would inference be a better term? Due to the level of detail that the church goes into and the many characteristics and level of detail that purgatory obtains due to works such as Dante’s </w:t>
      </w:r>
      <w:proofErr w:type="spellStart"/>
      <w:r>
        <w:t>Purgatorio</w:t>
      </w:r>
      <w:proofErr w:type="spellEnd"/>
      <w:r>
        <w:t xml:space="preserve"> and </w:t>
      </w:r>
      <w:r w:rsidRPr="00B52B7B">
        <w:t>T. S. Eliot's poem “</w:t>
      </w:r>
      <w:proofErr w:type="spellStart"/>
      <w:r w:rsidRPr="00B52B7B">
        <w:t>Animula</w:t>
      </w:r>
      <w:proofErr w:type="spellEnd"/>
      <w:r>
        <w:t xml:space="preserve">, both of which Casey draws upon, but also other popular medieval literature- especially the visionary writings of monks. </w:t>
      </w:r>
    </w:p>
    <w:p w14:paraId="1196915B" w14:textId="77777777" w:rsidR="00EC5D1F" w:rsidRDefault="00EC5D1F" w:rsidP="00EC5D1F">
      <w:r>
        <w:t>Casey begins his chapter by discussing purgatory as ‘A Cause of Scandal’, therefore it makes sense that this essay should do the same.</w:t>
      </w:r>
      <w:r>
        <w:rPr>
          <w:rStyle w:val="FootnoteReference"/>
        </w:rPr>
        <w:footnoteReference w:id="2"/>
      </w:r>
      <w:r>
        <w:t xml:space="preserve"> The existence of purgatory caused many a philosophical debate and was a constant point of contention between Christians and Protestants due not only to the lack of evidence for it in the bible, but mainly for the emphasis placed on it for Christians in the middle ages, leading to many unfortunate side effects for the lay people. The period of history itself was filled with plagues, wars and famine, so it is understandable that the middle ages was a period in which a sum of ideas about the afterlife was born. With the existence of purgatory came a sense of relief, a break from the inevitability of predestination and the hope that anyone and everyone could be redeemed and earn a place in heaven, though these often came at a price. At the start of the period, Casey notes that people managed to ‘pay that price’ through the granting of indulgences through confession. However, the introduction of indulgences soon became widespread and were quickly turned into a method of financial gain. Casey goes on to state more specific examples of prices people paid in order to get some time knocked of their purgatorial sentence. </w:t>
      </w:r>
    </w:p>
    <w:p w14:paraId="58531D89" w14:textId="77777777" w:rsidR="00EC5D1F" w:rsidRDefault="00EC5D1F" w:rsidP="00EC5D1F">
      <w:r>
        <w:t xml:space="preserve">One thing medieval </w:t>
      </w:r>
      <w:proofErr w:type="gramStart"/>
      <w:r>
        <w:t>writers</w:t>
      </w:r>
      <w:proofErr w:type="gramEnd"/>
      <w:r>
        <w:t xml:space="preserve"> can never agree on is the amount of time that people have to spend in purgatory. It is mostly agreed on that the amount of time you spend there has a direct correlation to the sins you committed in life. It is also widely agreed on that time flows differently in the afterlife yet those in purgatory can still be influenced and </w:t>
      </w:r>
      <w:proofErr w:type="gramStart"/>
      <w:r>
        <w:t>helped out</w:t>
      </w:r>
      <w:proofErr w:type="gramEnd"/>
      <w:r>
        <w:t xml:space="preserve"> by the living. For </w:t>
      </w:r>
      <w:proofErr w:type="gramStart"/>
      <w:r>
        <w:t>example</w:t>
      </w:r>
      <w:proofErr w:type="gramEnd"/>
      <w:r>
        <w:t xml:space="preserve"> Casey mentions that buying masses will grant you more prayers and therefore less time in purgatory, (e.g. </w:t>
      </w:r>
      <w:r w:rsidRPr="006E7792">
        <w:t>at a church near the basilica of St. Paul and at another on the Quirinal Hill, for 10,000</w:t>
      </w:r>
      <w:r>
        <w:t xml:space="preserve"> [years]) This suggests that time works different in purgatory, and that maybe peoples sentences depends on how bad your life has been. This is a ‘happy invention’ for Rome as it provided a great source of income for them. We know that this was a very effective method and worked for the people due to the wills </w:t>
      </w:r>
      <w:r>
        <w:lastRenderedPageBreak/>
        <w:t xml:space="preserve">they left behind. For example, the will of John </w:t>
      </w:r>
      <w:proofErr w:type="spellStart"/>
      <w:r>
        <w:t>Baret</w:t>
      </w:r>
      <w:proofErr w:type="spellEnd"/>
      <w:r>
        <w:t xml:space="preserve"> of Bury dictates that he left money for women and the poor to pay for him (these were thought of as more virtuous). </w:t>
      </w:r>
    </w:p>
    <w:p w14:paraId="07A0E392" w14:textId="77777777" w:rsidR="00EC5D1F" w:rsidRDefault="00EC5D1F" w:rsidP="00EC5D1F">
      <w:r>
        <w:t xml:space="preserve">This leads onto another point, the invention of purgatory didn’t just profit Rome, but also meant a lot of people gave more help and money to the poor, both in life and after death through their wills. People thought that being kind to the poor would reduce their purgatorial sentence and mean they got to heaven quicker. This means an unintended side effect of the invention of purgatory was that people became more charitable, not just towards the poor but also towards one another thanks to the belief that abiding by the 7 Christian virtues would reduce your ‘sentence’. This is an example of how the invention of purgatory didn’t just benefit Rome and the church, but also the medieval </w:t>
      </w:r>
      <w:proofErr w:type="gramStart"/>
      <w:r>
        <w:t>society as a whole, especially</w:t>
      </w:r>
      <w:proofErr w:type="gramEnd"/>
      <w:r>
        <w:t xml:space="preserve"> the economy through the sharing of wealth. </w:t>
      </w:r>
    </w:p>
    <w:p w14:paraId="42470080" w14:textId="77777777" w:rsidR="00EC5D1F" w:rsidRDefault="00EC5D1F" w:rsidP="00EC5D1F">
      <w:r>
        <w:t xml:space="preserve">This ties into Casey’s argument that Rome’s invention of purgatory was good for the social aspect of society as it helped develop peoples inherent need for repentance.  This was </w:t>
      </w:r>
      <w:proofErr w:type="gramStart"/>
      <w:r>
        <w:t>due to the fact that</w:t>
      </w:r>
      <w:proofErr w:type="gramEnd"/>
      <w:r>
        <w:t xml:space="preserve"> they believed that confession acted as an indulgence as well, they weren’t all paid for with money, some were offered for fighting in the crusades and some were offered through confession. This was supported by the act of confession and the importance of the act of confession in the medieval period.  John Richardson thanks medieval confessional acts for the emergence of psychotherapy, he claims without this, there would be no therapy and psychology as we know it today.</w:t>
      </w:r>
      <w:r>
        <w:rPr>
          <w:rStyle w:val="FootnoteReference"/>
        </w:rPr>
        <w:footnoteReference w:id="3"/>
      </w:r>
      <w:r>
        <w:t xml:space="preserve"> </w:t>
      </w:r>
    </w:p>
    <w:p w14:paraId="38EB0BA3" w14:textId="37CCA8ED" w:rsidR="00EC5D1F" w:rsidRDefault="00EC5D1F" w:rsidP="00EC5D1F">
      <w:r>
        <w:t>Even the monetary values can</w:t>
      </w:r>
      <w:r w:rsidR="00254447">
        <w:t>’</w:t>
      </w:r>
      <w:bookmarkStart w:id="0" w:name="_GoBack"/>
      <w:bookmarkEnd w:id="0"/>
      <w:r>
        <w:t>t be all deemed as a bad thing as they helped pay for things that we, as 21</w:t>
      </w:r>
      <w:r w:rsidRPr="00C91558">
        <w:rPr>
          <w:vertAlign w:val="superscript"/>
        </w:rPr>
        <w:t>st</w:t>
      </w:r>
      <w:r>
        <w:t xml:space="preserve"> century historians have discovered and can get a lot of information out of. We can find evidence of money that people paid in indulgences like Casey tells us (e.g. £80 for heresy) going towards the building of churches and chapels, statues and plaques. St Peter’s Basilica, widely considered to be the most beautiful was hugely contributed to by indulges- even through the abusive nature of indulgences, some good came out of it. These indulgences paid for some of the best artists to work together to create something beautiful and with huge spiritual and historical significance. </w:t>
      </w:r>
    </w:p>
    <w:p w14:paraId="2C2A3D97" w14:textId="77777777" w:rsidR="00EC5D1F" w:rsidRDefault="00EC5D1F" w:rsidP="00EC5D1F">
      <w:proofErr w:type="spellStart"/>
      <w:r>
        <w:t>Tundale</w:t>
      </w:r>
      <w:proofErr w:type="spellEnd"/>
      <w:r>
        <w:t xml:space="preserve"> describes a purgatory like state in his vision of Hell, he describes a place where those who are not evil, just didn’t do enough in life to go to heaven, </w:t>
      </w:r>
      <w:proofErr w:type="gramStart"/>
      <w:r>
        <w:t>have to</w:t>
      </w:r>
      <w:proofErr w:type="gramEnd"/>
      <w:r>
        <w:t xml:space="preserve"> wait in the rain until it is time for them to move on. He never mentions the word purgatory, instead having it as a second section of hell, which Le Goff explains is unusual ‘given the date’.</w:t>
      </w:r>
      <w:r>
        <w:rPr>
          <w:rStyle w:val="FootnoteReference"/>
        </w:rPr>
        <w:footnoteReference w:id="4"/>
      </w:r>
      <w:r>
        <w:t xml:space="preserve"> He instead follows Augustine’s theory of four categories, another common medieval idea of the landscape of the afterlife, an alternative to Dante’s.  These categories were ‘</w:t>
      </w:r>
      <w:r w:rsidRPr="009F5602">
        <w:t>those so good they go to heaven; those so bad they go to hell; those who deserve some relief in their eternal torment; and those who deserve to be lifted out of torment after repenting for their sins</w:t>
      </w:r>
      <w:r>
        <w:t>’</w:t>
      </w:r>
      <w:r w:rsidRPr="009F5602">
        <w:t>.</w:t>
      </w:r>
      <w:r>
        <w:rPr>
          <w:rStyle w:val="FootnoteReference"/>
        </w:rPr>
        <w:footnoteReference w:id="5"/>
      </w:r>
      <w:r>
        <w:t xml:space="preserve"> This is widely believed to be the basis of the doctrine of purgatory and supports the idea of ‘Rome’s happiest invention’ as it shows that it was based on other writings and shows that it must have been a popular idea amongst the common people if it was expanded on. It also provides some relief to the people that not everyone will be deemed ‘good’ or ‘bad’, there was some sense of individuality and individual judgement. </w:t>
      </w:r>
    </w:p>
    <w:p w14:paraId="6B89875F" w14:textId="77777777" w:rsidR="00EC5D1F" w:rsidRDefault="00EC5D1F" w:rsidP="00EC5D1F">
      <w:r>
        <w:t xml:space="preserve">In conclusion, Casey is correct in his statement that purgatory was Rome’s happiest invention. It’s lack of mentions in the bible and emphasis placed on it by the church, combined with some members of the church financially abusing the people through indulgences, helped contribute a lot </w:t>
      </w:r>
      <w:r>
        <w:lastRenderedPageBreak/>
        <w:t xml:space="preserve">to the public outcry and revolts about Christianity. However, this is outweighed by the huge amount of good that it did to help improve the lives of medieval people, economically and sociologically. </w:t>
      </w:r>
    </w:p>
    <w:p w14:paraId="655E22A5" w14:textId="1BE7120C" w:rsidR="00EC5D1F" w:rsidRPr="00EC5D1F" w:rsidRDefault="00EC5D1F" w:rsidP="00EC5D1F">
      <w:pPr>
        <w:rPr>
          <w:u w:val="single"/>
        </w:rPr>
      </w:pPr>
      <w:r>
        <w:rPr>
          <w:u w:val="single"/>
        </w:rPr>
        <w:t>Part 2: Key Theme</w:t>
      </w:r>
    </w:p>
    <w:p w14:paraId="24FD2849" w14:textId="7FE3E892" w:rsidR="00EC5D1F" w:rsidRPr="00EC5D1F" w:rsidRDefault="00EC5D1F" w:rsidP="00EC5D1F">
      <w:pPr>
        <w:rPr>
          <w:i/>
        </w:rPr>
      </w:pPr>
      <w:r w:rsidRPr="00EC5D1F">
        <w:rPr>
          <w:i/>
        </w:rPr>
        <w:t>Individuality</w:t>
      </w:r>
    </w:p>
    <w:p w14:paraId="1EFF404E" w14:textId="77777777" w:rsidR="00EC5D1F" w:rsidRDefault="00EC5D1F" w:rsidP="00EC5D1F">
      <w:r>
        <w:t>In his book,</w:t>
      </w:r>
      <w:r w:rsidRPr="004F5D54">
        <w:t xml:space="preserve"> </w:t>
      </w:r>
      <w:r>
        <w:t>‘Individuality and Individualism’ Herman</w:t>
      </w:r>
      <w:r w:rsidRPr="004F5D54">
        <w:t xml:space="preserve"> </w:t>
      </w:r>
      <w:r>
        <w:t>Schmalenbac states ‘[…] for although there is much that seems individualistic in the art of the Middle Ages, as in the heads and forms of the statuary, there was nevertheless no true consciousness of individuality’.</w:t>
      </w:r>
      <w:r>
        <w:rPr>
          <w:rStyle w:val="FootnoteReference"/>
        </w:rPr>
        <w:footnoteReference w:id="6"/>
      </w:r>
      <w:r>
        <w:t xml:space="preserve"> In this essay I will be looking at the appearance (or lack thereof) of individuality in middle ages society, often shown through art and literature concerning the afterlife in order to prove Schmalenbac is incorrect in his statement.  T</w:t>
      </w:r>
      <w:r w:rsidRPr="0000747F">
        <w:t xml:space="preserve">here is a difference between hell and purgatory because souls in </w:t>
      </w:r>
      <w:r>
        <w:t xml:space="preserve">heaven and purgatory are shown to possess individuality, though it can be taken away in hell as a punishment. </w:t>
      </w:r>
      <w:r w:rsidRPr="0000747F">
        <w:t>This challenges Schmalenbac because it shows medieval artists were able to question the importance of individuality when thinking about the afterlife.</w:t>
      </w:r>
    </w:p>
    <w:p w14:paraId="4152A443" w14:textId="77777777" w:rsidR="00EC5D1F" w:rsidRDefault="00EC5D1F" w:rsidP="00EC5D1F">
      <w:r>
        <w:t xml:space="preserve">Schmalenbac specifically points towards art as a way that the people of the middle ages represented individuality. One key way that medieval artists show individuality is through their representations of the afterlife. A common theme in medieval artwork is that all those </w:t>
      </w:r>
      <w:proofErr w:type="gramStart"/>
      <w:r>
        <w:t>set in</w:t>
      </w:r>
      <w:proofErr w:type="gramEnd"/>
      <w:r>
        <w:t xml:space="preserve"> hell show people naked. Most human souls were always pictured naked in medieval artwork, possibly to help distinguish them from the living, but also because nakedness is a theme often associated with punishment as it strips people of their dignity and pride. It also is a way of getting rid of status symbols that usually occur </w:t>
      </w:r>
      <w:proofErr w:type="gramStart"/>
      <w:r>
        <w:t>through the use of</w:t>
      </w:r>
      <w:proofErr w:type="gramEnd"/>
      <w:r>
        <w:t xml:space="preserve"> clothing. Being naked denies people the option to make a statement about who they are through the colour and design of their clothes. Even the poor who can’t afford finery can choose simple things like colour and cut. Clothing is an act of </w:t>
      </w:r>
      <w:proofErr w:type="spellStart"/>
      <w:r>
        <w:t>self expression</w:t>
      </w:r>
      <w:proofErr w:type="spellEnd"/>
      <w:r>
        <w:t xml:space="preserve"> and by removing this, the artists are removing their personal identity and individuality. An example of this being represented in art comes in Fra Angelico’s ‘The Last Judgement’ (see below) in which the people in hell are naked, yet the people going to heaven are fully clothed, all in individual styles and colours. Interestingly, the angels are also clothed (though they are all wearing the same) making the humans stand out, yet the demons reflect the sinners in that they are naked.   Another interesting thing to point out is that those resurrected for the last judgement are all resurrected with clothes, so this artist specifically points to these being stripped again- losing their dignity after being judged.  </w:t>
      </w:r>
    </w:p>
    <w:p w14:paraId="1A747376" w14:textId="77777777" w:rsidR="00EC5D1F" w:rsidRDefault="00EC5D1F" w:rsidP="00EC5D1F">
      <w:r>
        <w:rPr>
          <w:noProof/>
        </w:rPr>
        <w:lastRenderedPageBreak/>
        <mc:AlternateContent>
          <mc:Choice Requires="wps">
            <w:drawing>
              <wp:anchor distT="45720" distB="45720" distL="114300" distR="114300" simplePos="0" relativeHeight="251659264" behindDoc="0" locked="0" layoutInCell="1" allowOverlap="1" wp14:anchorId="673C0039" wp14:editId="03E18AD7">
                <wp:simplePos x="0" y="0"/>
                <wp:positionH relativeFrom="margin">
                  <wp:posOffset>-257175</wp:posOffset>
                </wp:positionH>
                <wp:positionV relativeFrom="paragraph">
                  <wp:posOffset>2914650</wp:posOffset>
                </wp:positionV>
                <wp:extent cx="6419850" cy="285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9850" cy="285750"/>
                        </a:xfrm>
                        <a:prstGeom prst="rect">
                          <a:avLst/>
                        </a:prstGeom>
                        <a:solidFill>
                          <a:srgbClr val="FFFFFF"/>
                        </a:solidFill>
                        <a:ln w="9525">
                          <a:solidFill>
                            <a:schemeClr val="bg1"/>
                          </a:solidFill>
                          <a:miter lim="800000"/>
                          <a:headEnd/>
                          <a:tailEnd/>
                        </a:ln>
                      </wps:spPr>
                      <wps:txbx>
                        <w:txbxContent>
                          <w:tbl>
                            <w:tblPr>
                              <w:tblW w:w="1050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929"/>
                              <w:gridCol w:w="8571"/>
                            </w:tblGrid>
                            <w:tr w:rsidR="00EC5D1F" w:rsidRPr="000A401C" w14:paraId="1F7527CE" w14:textId="77777777" w:rsidTr="000A401C">
                              <w:trPr>
                                <w:tblCellSpacing w:w="15" w:type="dxa"/>
                              </w:trPr>
                              <w:tc>
                                <w:tcPr>
                                  <w:tcW w:w="1890" w:type="dxa"/>
                                  <w:shd w:val="clear" w:color="auto" w:fill="FFFFFF"/>
                                  <w:hideMark/>
                                </w:tcPr>
                                <w:p w14:paraId="30CCBFAA" w14:textId="77777777" w:rsidR="00EC5D1F" w:rsidRPr="000A401C" w:rsidRDefault="00EC5D1F" w:rsidP="000A401C">
                                  <w:pPr>
                                    <w:spacing w:after="0" w:line="200" w:lineRule="atLeast"/>
                                    <w:rPr>
                                      <w:rFonts w:ascii="Verdana" w:eastAsia="Times New Roman" w:hAnsi="Verdana" w:cs="Times New Roman"/>
                                      <w:color w:val="333333"/>
                                      <w:sz w:val="14"/>
                                      <w:szCs w:val="14"/>
                                      <w:lang w:eastAsia="en-GB"/>
                                    </w:rPr>
                                  </w:pPr>
                                </w:p>
                              </w:tc>
                              <w:tc>
                                <w:tcPr>
                                  <w:tcW w:w="8550" w:type="dxa"/>
                                  <w:shd w:val="clear" w:color="auto" w:fill="FFFFFF"/>
                                  <w:hideMark/>
                                </w:tcPr>
                                <w:p w14:paraId="39E19DF2" w14:textId="77777777" w:rsidR="00EC5D1F" w:rsidRPr="000A401C" w:rsidRDefault="00EC5D1F" w:rsidP="000A401C">
                                  <w:pPr>
                                    <w:spacing w:after="0" w:line="200" w:lineRule="atLeast"/>
                                    <w:rPr>
                                      <w:rFonts w:ascii="Verdana" w:eastAsia="Times New Roman" w:hAnsi="Verdana" w:cs="Times New Roman"/>
                                      <w:color w:val="333333"/>
                                      <w:sz w:val="14"/>
                                      <w:szCs w:val="14"/>
                                      <w:lang w:eastAsia="en-GB"/>
                                    </w:rPr>
                                  </w:pPr>
                                  <w:r w:rsidRPr="000A401C">
                                    <w:rPr>
                                      <w:rFonts w:ascii="Verdana" w:eastAsia="Times New Roman" w:hAnsi="Verdana" w:cs="Times New Roman"/>
                                      <w:color w:val="333333"/>
                                      <w:sz w:val="14"/>
                                      <w:szCs w:val="14"/>
                                      <w:lang w:eastAsia="en-GB"/>
                                    </w:rPr>
                                    <w:t>Fra Angelico, </w:t>
                                  </w:r>
                                  <w:r w:rsidRPr="000A401C">
                                    <w:rPr>
                                      <w:rFonts w:ascii="Verdana" w:eastAsia="Times New Roman" w:hAnsi="Verdana" w:cs="Times New Roman"/>
                                      <w:i/>
                                      <w:iCs/>
                                      <w:color w:val="333333"/>
                                      <w:sz w:val="14"/>
                                      <w:szCs w:val="14"/>
                                      <w:lang w:eastAsia="en-GB"/>
                                    </w:rPr>
                                    <w:t>Last Judgement</w:t>
                                  </w:r>
                                  <w:r w:rsidRPr="000A401C">
                                    <w:rPr>
                                      <w:rFonts w:ascii="Verdana" w:eastAsia="Times New Roman" w:hAnsi="Verdana" w:cs="Times New Roman"/>
                                      <w:color w:val="333333"/>
                                      <w:sz w:val="14"/>
                                      <w:szCs w:val="14"/>
                                      <w:lang w:eastAsia="en-GB"/>
                                    </w:rPr>
                                    <w:t>, c. 1431, tempera on panel, 105 x 210 cm, Museo di San Marco, Florence</w:t>
                                  </w:r>
                                </w:p>
                              </w:tc>
                            </w:tr>
                          </w:tbl>
                          <w:p w14:paraId="6C84C9F9" w14:textId="77777777" w:rsidR="00EC5D1F" w:rsidRDefault="00EC5D1F" w:rsidP="00EC5D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3C0039" id="_x0000_t202" coordsize="21600,21600" o:spt="202" path="m,l,21600r21600,l21600,xe">
                <v:stroke joinstyle="miter"/>
                <v:path gradientshapeok="t" o:connecttype="rect"/>
              </v:shapetype>
              <v:shape id="Text Box 2" o:spid="_x0000_s1026" type="#_x0000_t202" style="position:absolute;margin-left:-20.25pt;margin-top:229.5pt;width:505.5pt;height:2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" strokecolor="white [3212]">
                <v:textbox>
                  <w:txbxContent>
                    <w:tbl>
                      <w:tblPr>
                        <w:tblW w:w="1050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929"/>
                        <w:gridCol w:w="8571"/>
                      </w:tblGrid>
                      <w:tr w:rsidR="00EC5D1F" w:rsidRPr="000A401C" w14:paraId="1F7527CE" w14:textId="77777777" w:rsidTr="000A401C">
                        <w:trPr>
                          <w:tblCellSpacing w:w="15" w:type="dxa"/>
                        </w:trPr>
                        <w:tc>
                          <w:tcPr>
                            <w:tcW w:w="1890" w:type="dxa"/>
                            <w:shd w:val="clear" w:color="auto" w:fill="FFFFFF"/>
                            <w:hideMark/>
                          </w:tcPr>
                          <w:p w14:paraId="30CCBFAA" w14:textId="77777777" w:rsidR="00EC5D1F" w:rsidRPr="000A401C" w:rsidRDefault="00EC5D1F" w:rsidP="000A401C">
                            <w:pPr>
                              <w:spacing w:after="0" w:line="200" w:lineRule="atLeast"/>
                              <w:rPr>
                                <w:rFonts w:ascii="Verdana" w:eastAsia="Times New Roman" w:hAnsi="Verdana" w:cs="Times New Roman"/>
                                <w:color w:val="333333"/>
                                <w:sz w:val="14"/>
                                <w:szCs w:val="14"/>
                                <w:lang w:eastAsia="en-GB"/>
                              </w:rPr>
                            </w:pPr>
                          </w:p>
                        </w:tc>
                        <w:tc>
                          <w:tcPr>
                            <w:tcW w:w="8550" w:type="dxa"/>
                            <w:shd w:val="clear" w:color="auto" w:fill="FFFFFF"/>
                            <w:hideMark/>
                          </w:tcPr>
                          <w:p w14:paraId="39E19DF2" w14:textId="77777777" w:rsidR="00EC5D1F" w:rsidRPr="000A401C" w:rsidRDefault="00EC5D1F" w:rsidP="000A401C">
                            <w:pPr>
                              <w:spacing w:after="0" w:line="200" w:lineRule="atLeast"/>
                              <w:rPr>
                                <w:rFonts w:ascii="Verdana" w:eastAsia="Times New Roman" w:hAnsi="Verdana" w:cs="Times New Roman"/>
                                <w:color w:val="333333"/>
                                <w:sz w:val="14"/>
                                <w:szCs w:val="14"/>
                                <w:lang w:eastAsia="en-GB"/>
                              </w:rPr>
                            </w:pPr>
                            <w:r w:rsidRPr="000A401C">
                              <w:rPr>
                                <w:rFonts w:ascii="Verdana" w:eastAsia="Times New Roman" w:hAnsi="Verdana" w:cs="Times New Roman"/>
                                <w:color w:val="333333"/>
                                <w:sz w:val="14"/>
                                <w:szCs w:val="14"/>
                                <w:lang w:eastAsia="en-GB"/>
                              </w:rPr>
                              <w:t>Fra Angelico, </w:t>
                            </w:r>
                            <w:r w:rsidRPr="000A401C">
                              <w:rPr>
                                <w:rFonts w:ascii="Verdana" w:eastAsia="Times New Roman" w:hAnsi="Verdana" w:cs="Times New Roman"/>
                                <w:i/>
                                <w:iCs/>
                                <w:color w:val="333333"/>
                                <w:sz w:val="14"/>
                                <w:szCs w:val="14"/>
                                <w:lang w:eastAsia="en-GB"/>
                              </w:rPr>
                              <w:t>Last Judgement</w:t>
                            </w:r>
                            <w:r w:rsidRPr="000A401C">
                              <w:rPr>
                                <w:rFonts w:ascii="Verdana" w:eastAsia="Times New Roman" w:hAnsi="Verdana" w:cs="Times New Roman"/>
                                <w:color w:val="333333"/>
                                <w:sz w:val="14"/>
                                <w:szCs w:val="14"/>
                                <w:lang w:eastAsia="en-GB"/>
                              </w:rPr>
                              <w:t>, c. 1431, tempera on panel, 105 x 210 cm, Museo di San Marco, Florence</w:t>
                            </w:r>
                          </w:p>
                        </w:tc>
                      </w:tr>
                    </w:tbl>
                    <w:p w14:paraId="6C84C9F9" w14:textId="77777777" w:rsidR="00EC5D1F" w:rsidRDefault="00EC5D1F" w:rsidP="00EC5D1F"/>
                  </w:txbxContent>
                </v:textbox>
                <w10:wrap type="square" anchorx="margin"/>
              </v:shape>
            </w:pict>
          </mc:Fallback>
        </mc:AlternateContent>
      </w:r>
      <w:r w:rsidRPr="007304F4">
        <w:rPr>
          <w:noProof/>
        </w:rPr>
        <w:drawing>
          <wp:inline distT="0" distB="0" distL="0" distR="0" wp14:anchorId="7E97FE71" wp14:editId="280938ED">
            <wp:extent cx="5731510" cy="28086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08605"/>
                    </a:xfrm>
                    <a:prstGeom prst="rect">
                      <a:avLst/>
                    </a:prstGeom>
                  </pic:spPr>
                </pic:pic>
              </a:graphicData>
            </a:graphic>
          </wp:inline>
        </w:drawing>
      </w:r>
    </w:p>
    <w:p w14:paraId="007E3689" w14:textId="77777777" w:rsidR="00EC5D1F" w:rsidRDefault="00EC5D1F" w:rsidP="00EC5D1F">
      <w:r>
        <w:t>This painting is also interesting in terms of individuality as the figures in Hell are all grouped together, so you could say that they gain individuality through sin, as they are all divided up into their own individual sins and have a punishment dependant on that. However, they are still all lumped in together, they lose their individual identity and become known just by their sin instead.</w:t>
      </w:r>
      <w:r>
        <w:rPr>
          <w:rStyle w:val="CommentReference"/>
        </w:rPr>
        <w:t xml:space="preserve"> </w:t>
      </w:r>
      <w:r>
        <w:t xml:space="preserve"> </w:t>
      </w:r>
      <w:proofErr w:type="gramStart"/>
      <w:r>
        <w:t>So</w:t>
      </w:r>
      <w:proofErr w:type="gramEnd"/>
      <w:r>
        <w:t xml:space="preserve"> they do lose their individuality in hell and become just one of many sinners, even if they are separated by the different types of sin. This is an idea backed up in medieval literature, one example lies in the visions of </w:t>
      </w:r>
      <w:proofErr w:type="spellStart"/>
      <w:r>
        <w:t>Tundale</w:t>
      </w:r>
      <w:proofErr w:type="spellEnd"/>
      <w:r>
        <w:t xml:space="preserve"> in which many souls are melted and shaped into a crucible, therefore losing all sense of individuality. </w:t>
      </w:r>
    </w:p>
    <w:p w14:paraId="04FECFE2" w14:textId="77777777" w:rsidR="00EC5D1F" w:rsidRDefault="00EC5D1F" w:rsidP="00EC5D1F">
      <w:r>
        <w:t>One area that we do find a lot of information about individuals in middle ages literature is through the visionary stories about purgatory. In many of these we see individual punishments for people and even in some we get the protagonist talking to the individuals in purgatory to ask how they got there. This can be seen in the case of the Revelation of the Monk of Eynsham who talks to many souls in purgatory (e.g. an alcoholic blacksmith) who all give very detailed accounts of their lives and seem very well developed. In every confession, they realise the sins that have brought them there and aim to make amends for this, these do not seem like 2D characters with no sense of individual identity. Through confession they realise their own individuality and allows for character development.</w:t>
      </w:r>
    </w:p>
    <w:p w14:paraId="3E79C7BA" w14:textId="77777777" w:rsidR="00EC5D1F" w:rsidRDefault="00EC5D1F" w:rsidP="00EC5D1F">
      <w:r>
        <w:t xml:space="preserve">In conclusion, It is easy to dehumanise those cultures throughout history as the world they lived in was so different to ours, however, I do think it unfair to say that there was no true consciousness of individuality as they were people, just like us and in my definition of individuality, I think it is impossible for a human being to not be an individual, no matter what time period they are living in. However, it is fair to say that there is a lack of evidence for individuality through medieval art and literature, probably due to the author/artist having different goals in mind than to show individuality, so it is often disregarded. </w:t>
      </w:r>
    </w:p>
    <w:p w14:paraId="60EFF980" w14:textId="77777777" w:rsidR="00EC5D1F" w:rsidRDefault="00EC5D1F" w:rsidP="00EC5D1F">
      <w:r>
        <w:t xml:space="preserve">In Conclusion, </w:t>
      </w:r>
      <w:proofErr w:type="spellStart"/>
      <w:r w:rsidRPr="0000747F">
        <w:t>Schmalenbac</w:t>
      </w:r>
      <w:r>
        <w:t>’s</w:t>
      </w:r>
      <w:proofErr w:type="spellEnd"/>
      <w:r>
        <w:t xml:space="preserve"> conclusion is highly incorrect for although the medieval people may incur loss of identity after death through nakedness and hellish punishments, the should in purgatory seem to have a strong sense of self and hope. By painting these figures to represent this, </w:t>
      </w:r>
      <w:r>
        <w:lastRenderedPageBreak/>
        <w:t xml:space="preserve">medieval artists are showing a huge capacity for understanding individuality as they suggest loss of it as a punishment. </w:t>
      </w:r>
    </w:p>
    <w:p w14:paraId="714396A9" w14:textId="77777777" w:rsidR="00EC5D1F" w:rsidRPr="001E57FF" w:rsidRDefault="00EC5D1F" w:rsidP="00EC5D1F"/>
    <w:p w14:paraId="025E9419" w14:textId="77777777" w:rsidR="00EC5D1F" w:rsidRDefault="00EC5D1F" w:rsidP="00EC5D1F">
      <w:r w:rsidRPr="00576748">
        <w:t xml:space="preserve"> </w:t>
      </w:r>
    </w:p>
    <w:p w14:paraId="01643690" w14:textId="0ACE2858" w:rsidR="00EC5D1F" w:rsidRPr="00EC5D1F" w:rsidRDefault="00EC5D1F" w:rsidP="00EC5D1F">
      <w:pPr>
        <w:rPr>
          <w:u w:val="single"/>
        </w:rPr>
      </w:pPr>
      <w:r w:rsidRPr="00EC5D1F">
        <w:rPr>
          <w:u w:val="single"/>
        </w:rPr>
        <w:t>Part 3: Image Analysis</w:t>
      </w:r>
    </w:p>
    <w:p w14:paraId="7C8DDD9F" w14:textId="77777777" w:rsidR="00EC5D1F" w:rsidRDefault="00EC5D1F" w:rsidP="00EC5D1F">
      <w:r>
        <w:rPr>
          <w:noProof/>
        </w:rPr>
        <w:drawing>
          <wp:inline distT="0" distB="0" distL="0" distR="0" wp14:anchorId="20DF52DF" wp14:editId="327AF334">
            <wp:extent cx="5383530" cy="3804285"/>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3530" cy="3804285"/>
                    </a:xfrm>
                    <a:prstGeom prst="rect">
                      <a:avLst/>
                    </a:prstGeom>
                    <a:noFill/>
                  </pic:spPr>
                </pic:pic>
              </a:graphicData>
            </a:graphic>
          </wp:inline>
        </w:drawing>
      </w:r>
      <w:r>
        <w:rPr>
          <w:noProof/>
        </w:rPr>
        <w:drawing>
          <wp:inline distT="0" distB="0" distL="0" distR="0" wp14:anchorId="31D0E297" wp14:editId="35918662">
            <wp:extent cx="5401310" cy="36398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1310" cy="3639820"/>
                    </a:xfrm>
                    <a:prstGeom prst="rect">
                      <a:avLst/>
                    </a:prstGeom>
                    <a:noFill/>
                  </pic:spPr>
                </pic:pic>
              </a:graphicData>
            </a:graphic>
          </wp:inline>
        </w:drawing>
      </w:r>
    </w:p>
    <w:p w14:paraId="697C0D25" w14:textId="77777777" w:rsidR="00EC5D1F" w:rsidRDefault="00EC5D1F" w:rsidP="00EC5D1F"/>
    <w:p w14:paraId="5711434B" w14:textId="77777777" w:rsidR="00EC5D1F" w:rsidRDefault="00EC5D1F" w:rsidP="00EC5D1F"/>
    <w:p w14:paraId="4C4F81F1" w14:textId="77777777" w:rsidR="00EC5D1F" w:rsidRDefault="00EC5D1F" w:rsidP="00EC5D1F">
      <w:r>
        <w:t>The object I have chosen to analyse is the transi tomb of John FitzAlan, the 14</w:t>
      </w:r>
      <w:r w:rsidRPr="001E2325">
        <w:rPr>
          <w:vertAlign w:val="superscript"/>
        </w:rPr>
        <w:t>th</w:t>
      </w:r>
      <w:r>
        <w:t xml:space="preserve"> Earl of Arundel (d.1435), found in Arundel castle, West Sussex. The term transi comes from the Old French verb </w:t>
      </w:r>
      <w:proofErr w:type="spellStart"/>
      <w:r w:rsidRPr="00DA1E94">
        <w:rPr>
          <w:i/>
        </w:rPr>
        <w:t>transir</w:t>
      </w:r>
      <w:proofErr w:type="spellEnd"/>
      <w:r w:rsidRPr="00DA1E94">
        <w:rPr>
          <w:i/>
        </w:rPr>
        <w:t xml:space="preserve"> </w:t>
      </w:r>
      <w:r>
        <w:t>meaning ‘to pass away’ and is more specific than the commonly used term ‘cadaver tombs’ as this can also refer to skeletal figures.</w:t>
      </w:r>
      <w:r>
        <w:rPr>
          <w:rStyle w:val="FootnoteReference"/>
        </w:rPr>
        <w:footnoteReference w:id="7"/>
      </w:r>
      <w:r>
        <w:t xml:space="preserve"> Death was something very real and present in everyday life in the middle ages, especially after the black death swept the nation, leading many to start posing questions about the existence of an afterlife. Transi tombs could reflect this feeling of mortality and act as a </w:t>
      </w:r>
      <w:r w:rsidRPr="00264752">
        <w:rPr>
          <w:i/>
        </w:rPr>
        <w:t>memento mori</w:t>
      </w:r>
      <w:r>
        <w:t>.</w:t>
      </w:r>
      <w:r>
        <w:rPr>
          <w:rStyle w:val="FootnoteReference"/>
        </w:rPr>
        <w:footnoteReference w:id="8"/>
      </w:r>
      <w:r>
        <w:t xml:space="preserve"> Only 88 transi tombs have been documented in England (though it is important to note that a lot more have been found all over Europe) so the question we must ask is why did this earl decide that this is how he wants to be represented? </w:t>
      </w:r>
    </w:p>
    <w:p w14:paraId="2138D165" w14:textId="77777777" w:rsidR="00EC5D1F" w:rsidRDefault="00EC5D1F" w:rsidP="00EC5D1F">
      <w:r>
        <w:t xml:space="preserve">Why have two figures on the tomb? Couldn’t decide between the transi figure or the more common gisant? In her book, </w:t>
      </w:r>
      <w:r w:rsidRPr="009322F3">
        <w:t>Metamorphosis of a Death Symbol: The Transi Tomb in the Late Middle Ages and the Renaissance</w:t>
      </w:r>
      <w:r>
        <w:t>, Kathleen Cohen points out that is only really in England that we find these two-tiered styles of transi tomb.</w:t>
      </w:r>
      <w:r>
        <w:rPr>
          <w:rStyle w:val="FootnoteReference"/>
        </w:rPr>
        <w:footnoteReference w:id="9"/>
      </w:r>
      <w:r>
        <w:t xml:space="preserve"> Ernst </w:t>
      </w:r>
      <w:proofErr w:type="spellStart"/>
      <w:r>
        <w:t>Kantorowicz</w:t>
      </w:r>
      <w:proofErr w:type="spellEnd"/>
      <w:r>
        <w:t xml:space="preserve"> made a connection between this style of tomb and the burial of English kings (starting with Edward II in 1327) in which a fully clothed wooden effigy was displayed alongside the body of the deceased king in order to symbolise the contrasting immortality of the office he held and the mortality of humanity. Although he is not a king, the fact that the gisant of FitzAlan is dressed in armour could relate to this, perhaps symbolising the immortal nature of warriors, for although we no longer have ‘knights’ as such, we still go to war, we still have soldiers. Possibly FitzAlan had seen too much death in his life and felt it necessary to remind people that even beneath something as impressing looking as armour, people all end up the same in the end. The fact that the transi figure is beneath the gisant, both physically and metaphorically is an interesting fact to note. </w:t>
      </w:r>
    </w:p>
    <w:p w14:paraId="1BC5D72D" w14:textId="77777777" w:rsidR="00EC5D1F" w:rsidRDefault="00EC5D1F" w:rsidP="00EC5D1F">
      <w:r>
        <w:t xml:space="preserve">A differing argument is brought forward by John </w:t>
      </w:r>
      <w:proofErr w:type="spellStart"/>
      <w:r>
        <w:t>Aberth</w:t>
      </w:r>
      <w:proofErr w:type="spellEnd"/>
      <w:r>
        <w:t xml:space="preserve">, who writes that instead of posing as a morbid reminder, transi tombs were </w:t>
      </w:r>
      <w:proofErr w:type="gramStart"/>
      <w:r>
        <w:t>actually a</w:t>
      </w:r>
      <w:proofErr w:type="gramEnd"/>
      <w:r>
        <w:t xml:space="preserve"> joyous reminder of hope for the resurrection. The two figures represent the transformation from the old corrupt body into the new spiritual body- represented by the elaborate garments donned by the gisant.</w:t>
      </w:r>
      <w:r>
        <w:rPr>
          <w:rStyle w:val="FootnoteReference"/>
        </w:rPr>
        <w:footnoteReference w:id="10"/>
      </w:r>
      <w:r>
        <w:t xml:space="preserve"> Although this theory may have proved true for some transi tombs, there is no evidence found to suggest that FitzAlan was a particularly religious man, rather one of great pride- proved by the fact that his cause of death was by refusing medical assistance after losing a battle- It seems more likely that his reasons for a transi tomb is focussed more on a warriors perspective, rather than that of resurrection. </w:t>
      </w:r>
      <w:r>
        <w:rPr>
          <w:rStyle w:val="FootnoteReference"/>
        </w:rPr>
        <w:footnoteReference w:id="11"/>
      </w:r>
      <w:r>
        <w:t xml:space="preserve">  </w:t>
      </w:r>
    </w:p>
    <w:p w14:paraId="0FDC97C4" w14:textId="77777777" w:rsidR="00EC5D1F" w:rsidRDefault="00EC5D1F" w:rsidP="00EC5D1F">
      <w:r>
        <w:t>The English versions also miss out several features of Other Transi Tombs, such as the common themes of Worms eating the body which more commonly occurs in France, or the presence of reptiles that the Germans like to add.</w:t>
      </w:r>
      <w:r>
        <w:rPr>
          <w:rStyle w:val="FootnoteReference"/>
        </w:rPr>
        <w:footnoteReference w:id="12"/>
      </w:r>
      <w:r>
        <w:t xml:space="preserve"> Why the absence of animals in the case of FitzAlan? The fact that the transi appears to be holding up a shroud could inspire thoughts of modesty? Or is it just the fact that he chose his transi to be more skeletal, with not much flesh to eat, therefore not attracting </w:t>
      </w:r>
      <w:r>
        <w:lastRenderedPageBreak/>
        <w:t xml:space="preserve">the animals? Or could he have felt that it would have detracted from the personal nature of the tomb? </w:t>
      </w:r>
    </w:p>
    <w:p w14:paraId="1CB6F972" w14:textId="77777777" w:rsidR="00EC5D1F" w:rsidRDefault="00EC5D1F" w:rsidP="00EC5D1F">
      <w:r>
        <w:t>Although the two figures draw the most attention, there is much more to explore, such as the fact that the transi is not out in the open but is separated from the viewer by carvings of what appears to be ornate windows. This is interesting as although it forms a barrier, the imagery of windows invites people to look in, perhaps even draws people in closer, asking them to peer inside. Unlike the gisant which can be seen from far away, this invites a more intimate viewing. This could again be an example of FitzAlan shielding his audience from an accidental gruesome sight but is most likely inviting the audience to a more intimate viewing to get them to think more about their mortality, just another feature of memento mori.</w:t>
      </w:r>
    </w:p>
    <w:p w14:paraId="328C4994" w14:textId="77777777" w:rsidR="00EC5D1F" w:rsidRDefault="00EC5D1F" w:rsidP="00EC5D1F">
      <w:r>
        <w:t xml:space="preserve">In Conclusion, John FitzAlan was a man of battle and therefore was familiar with death. The most likely reason for him possessing a tomb like this was because of his military background and his pride making him feel a sense of duty to remind people of their mortality (memento mori). </w:t>
      </w:r>
    </w:p>
    <w:p w14:paraId="065909F3" w14:textId="6C64991B" w:rsidR="00EC5D1F" w:rsidRDefault="00EC5D1F" w:rsidP="00EC5D1F"/>
    <w:p w14:paraId="48F7D891" w14:textId="77777777" w:rsidR="00EC5D1F" w:rsidRPr="00576748" w:rsidRDefault="00EC5D1F" w:rsidP="00EC5D1F"/>
    <w:p w14:paraId="19BCB009" w14:textId="77777777" w:rsidR="00955A48" w:rsidRDefault="00955A48" w:rsidP="00EC5D1F">
      <w:pPr>
        <w:rPr>
          <w:u w:val="single"/>
        </w:rPr>
      </w:pPr>
      <w:r>
        <w:rPr>
          <w:u w:val="single"/>
        </w:rPr>
        <w:t xml:space="preserve">Part 4: Extract </w:t>
      </w:r>
    </w:p>
    <w:p w14:paraId="0D123BA7" w14:textId="7322D119" w:rsidR="00EC5D1F" w:rsidRPr="00955A48" w:rsidRDefault="00EC5D1F" w:rsidP="00EC5D1F">
      <w:pPr>
        <w:rPr>
          <w:i/>
        </w:rPr>
      </w:pPr>
      <w:r w:rsidRPr="00955A48">
        <w:rPr>
          <w:i/>
        </w:rPr>
        <w:t xml:space="preserve">Extract from the Vision of </w:t>
      </w:r>
      <w:proofErr w:type="spellStart"/>
      <w:r w:rsidRPr="00955A48">
        <w:rPr>
          <w:i/>
        </w:rPr>
        <w:t>Thurkill</w:t>
      </w:r>
      <w:proofErr w:type="spellEnd"/>
      <w:r w:rsidRPr="00955A48">
        <w:rPr>
          <w:i/>
        </w:rPr>
        <w:t>, c. 1206</w:t>
      </w:r>
    </w:p>
    <w:p w14:paraId="0F873E47" w14:textId="77777777" w:rsidR="00EC5D1F" w:rsidRDefault="00EC5D1F" w:rsidP="00EC5D1F">
      <w:r>
        <w:t xml:space="preserve">Purgatorial writings have been a controversial topic for a while now, </w:t>
      </w:r>
      <w:proofErr w:type="gramStart"/>
      <w:r>
        <w:t>due to the fact that</w:t>
      </w:r>
      <w:proofErr w:type="gramEnd"/>
      <w:r>
        <w:t xml:space="preserve"> the existence of purgatory is never once mentioned in the bible. The tradition of purgatory becomes solidified in the middle ages through visionary texts and art work. The existence of purgatory, rather than deemed heresy, is supported by the church – possibly to make it seem more accepting of everyone and help Christianity remain a major religion. Without any biblical evidence for purgatory, how then do we know what it looks like? Mostly through visionary texts like the one of </w:t>
      </w:r>
      <w:proofErr w:type="spellStart"/>
      <w:r>
        <w:t>Thurkill’s</w:t>
      </w:r>
      <w:proofErr w:type="spellEnd"/>
      <w:r>
        <w:t xml:space="preserve"> which I will be analysing an extract from in order to see how is </w:t>
      </w:r>
      <w:proofErr w:type="gramStart"/>
      <w:r>
        <w:t>compares and contrasts</w:t>
      </w:r>
      <w:proofErr w:type="gramEnd"/>
      <w:r>
        <w:t xml:space="preserve"> to some other visionary texts in order to evaluate what people in the middle ages thought purgatory looked like. </w:t>
      </w:r>
    </w:p>
    <w:p w14:paraId="526CDDA4" w14:textId="77777777" w:rsidR="00EC5D1F" w:rsidRDefault="00EC5D1F" w:rsidP="00EC5D1F">
      <w:pPr>
        <w:rPr>
          <w:rFonts w:cstheme="minorHAnsi"/>
        </w:rPr>
      </w:pPr>
      <w:r>
        <w:t xml:space="preserve">The first paragraph in the extract of </w:t>
      </w:r>
      <w:proofErr w:type="spellStart"/>
      <w:r>
        <w:t>Thurkill’s</w:t>
      </w:r>
      <w:proofErr w:type="spellEnd"/>
      <w:r>
        <w:t xml:space="preserve"> vision tells us about spirits marked with black and white spots. I can infer the black sport to represent sin, as it states that the white </w:t>
      </w:r>
      <w:proofErr w:type="gramStart"/>
      <w:r>
        <w:t>were</w:t>
      </w:r>
      <w:proofErr w:type="gramEnd"/>
      <w:r>
        <w:t xml:space="preserve"> closest to the wall, yet the black are further back and ‘deformed’. This seems </w:t>
      </w:r>
      <w:proofErr w:type="gramStart"/>
      <w:r>
        <w:t>similar to</w:t>
      </w:r>
      <w:proofErr w:type="gramEnd"/>
      <w:r>
        <w:t xml:space="preserve"> a piece of artwork found in the Church of St Peter and Saint Paul in Chaldon which depicts people attempting to climb a ladder to salvation, but some falling down. This imagery draws inspiration from the story of Jacobs Ladder </w:t>
      </w:r>
      <w:r w:rsidRPr="00122A6B">
        <w:rPr>
          <w:rFonts w:cstheme="minorHAnsi"/>
        </w:rPr>
        <w:t>(</w:t>
      </w:r>
      <w:r w:rsidRPr="00122A6B">
        <w:rPr>
          <w:rFonts w:cstheme="minorHAnsi"/>
          <w:color w:val="222222"/>
          <w:shd w:val="clear" w:color="auto" w:fill="FFFFFF"/>
        </w:rPr>
        <w:t>Genesis 28:10-19</w:t>
      </w:r>
      <w:r w:rsidRPr="00122A6B">
        <w:rPr>
          <w:rFonts w:cstheme="minorHAnsi"/>
        </w:rPr>
        <w:t>)</w:t>
      </w:r>
      <w:r>
        <w:rPr>
          <w:rFonts w:cstheme="minorHAnsi"/>
        </w:rPr>
        <w:t xml:space="preserve"> but I feel it relates to this first paragraph as they both seem to depict people’s difficult journey to relieve themselves of their ‘black spots’ (sins). </w:t>
      </w:r>
    </w:p>
    <w:p w14:paraId="357FD118" w14:textId="2DA012ED" w:rsidR="00EC5D1F" w:rsidRDefault="00EC5D1F" w:rsidP="00EC5D1F">
      <w:r>
        <w:t>The second paragraph describes a horrible smell causing agony for all those who were guilty of ‘tithes unjustly retained, and crops unjustly tithed’. A bad smell is a key theme of both hellish and purgatorial writings, appearing in things such as Bede’s purgatory which was written in 731BCE and The Monk of Eynsham’s second place of purgatory which was written in 1470.</w:t>
      </w:r>
      <w:r w:rsidR="00955A48">
        <w:rPr>
          <w:rStyle w:val="FootnoteReference"/>
        </w:rPr>
        <w:footnoteReference w:id="13"/>
      </w:r>
      <w:r>
        <w:t xml:space="preserve"> </w:t>
      </w:r>
      <w:r w:rsidR="00955A48">
        <w:rPr>
          <w:rStyle w:val="FootnoteReference"/>
        </w:rPr>
        <w:footnoteReference w:id="14"/>
      </w:r>
      <w:r>
        <w:t>This shows that this became a key point of teachings about purgatory. What is unusual is the cause of the smell. Dante’s inferno puts the fraudulent below the vio</w:t>
      </w:r>
      <w:r w:rsidR="00955A48">
        <w:t>le</w:t>
      </w:r>
      <w:r>
        <w:t xml:space="preserve">nt, so we know that this was a big deal, however </w:t>
      </w:r>
      <w:r>
        <w:lastRenderedPageBreak/>
        <w:t>the fact that the terrible smell is punishment for those committing tax related issues is an idea that never really caught on.</w:t>
      </w:r>
    </w:p>
    <w:p w14:paraId="03854A82" w14:textId="77777777" w:rsidR="00EC5D1F" w:rsidRDefault="00EC5D1F" w:rsidP="00EC5D1F">
      <w:r>
        <w:t xml:space="preserve">The third paragraph is where we hear of ‘purgatorial fire’. Fire is a tricky motif when discussing afterlife texts as it is used just as frequently as something that is peaceful and cleansing (e.g. in martyrdoms) as it is in hellfire and painful contexts. A less common addition to this is the fact there is also a lake, which seems very contradictory. The theme of fire and ice is a lot more common than fire and water (e.g. In the Vision of </w:t>
      </w:r>
      <w:proofErr w:type="spellStart"/>
      <w:r>
        <w:t>Tnugdel</w:t>
      </w:r>
      <w:proofErr w:type="spellEnd"/>
      <w:r>
        <w:t xml:space="preserve">). The contradictory nature of this scene that </w:t>
      </w:r>
      <w:proofErr w:type="spellStart"/>
      <w:r>
        <w:t>Thurkill</w:t>
      </w:r>
      <w:proofErr w:type="spellEnd"/>
      <w:r>
        <w:t xml:space="preserve"> paints for us (and is indeed reflected by other authors) seems to reflect the confusion that the people had about purgatory in the middle ages. With no official documents published, they had to rely on presumptions and visions from all over the world, which seems like one giant game of Chinese whispers. </w:t>
      </w:r>
    </w:p>
    <w:p w14:paraId="2B8806F7" w14:textId="77777777" w:rsidR="00EC5D1F" w:rsidRDefault="00EC5D1F" w:rsidP="00EC5D1F">
      <w:r>
        <w:t xml:space="preserve">The final part of the text is concerns crossing a bridge into a church, which we can infer is their version of completing purgatory and moving on to heaven. This bridge they are made to walk with bare feet and is spiky and painful to cross. This is </w:t>
      </w:r>
      <w:proofErr w:type="gramStart"/>
      <w:r>
        <w:t>similar to</w:t>
      </w:r>
      <w:proofErr w:type="gramEnd"/>
      <w:r>
        <w:t xml:space="preserve"> the Vision of </w:t>
      </w:r>
      <w:proofErr w:type="spellStart"/>
      <w:r>
        <w:t>Tnugdel</w:t>
      </w:r>
      <w:proofErr w:type="spellEnd"/>
      <w:r>
        <w:t xml:space="preserve"> in which he is made to lead a cow over a bridge of nails in recompense for stealing his neighbour’s cow. Although they symbolise different things, the motif of a spiky nail bridge must be a </w:t>
      </w:r>
      <w:proofErr w:type="spellStart"/>
      <w:r>
        <w:t>well known</w:t>
      </w:r>
      <w:proofErr w:type="spellEnd"/>
      <w:r>
        <w:t xml:space="preserve"> one as it is also pictured in much purgatorial artwork, the most interesting being the one mentioned above as art historians believe it to have been added in later, suggesting that this was an idea about purgatory more popular nearer the end of the middle ages.  </w:t>
      </w:r>
    </w:p>
    <w:p w14:paraId="1C7FEBE1" w14:textId="77777777" w:rsidR="00EC5D1F" w:rsidRDefault="00EC5D1F" w:rsidP="00EC5D1F">
      <w:r>
        <w:t>Finally, the extract mentions that once these people entered the church, they ‘</w:t>
      </w:r>
      <w:r w:rsidRPr="00614510">
        <w:t>gained a happy entrance and remembered little of their vehement tortures</w:t>
      </w:r>
      <w:r>
        <w:t xml:space="preserve">’. To me this seems very contradictory to the ideals of human </w:t>
      </w:r>
      <w:proofErr w:type="spellStart"/>
      <w:r>
        <w:t>self improvement</w:t>
      </w:r>
      <w:proofErr w:type="spellEnd"/>
      <w:r>
        <w:t xml:space="preserve">, if you </w:t>
      </w:r>
      <w:proofErr w:type="spellStart"/>
      <w:proofErr w:type="gramStart"/>
      <w:r>
        <w:t>cant</w:t>
      </w:r>
      <w:proofErr w:type="spellEnd"/>
      <w:proofErr w:type="gramEnd"/>
      <w:r>
        <w:t xml:space="preserve"> remember paying for your crimes, couldn’t you just regress back to the sinful person you were before purgatory?  It is possible that the middle ages church agreed with me, as in my research, I came across nothing similar. </w:t>
      </w:r>
    </w:p>
    <w:p w14:paraId="7288C86A" w14:textId="77777777" w:rsidR="00EC5D1F" w:rsidRDefault="00EC5D1F" w:rsidP="00EC5D1F">
      <w:r>
        <w:t xml:space="preserve">In conclusion, The Vision of </w:t>
      </w:r>
      <w:proofErr w:type="spellStart"/>
      <w:r>
        <w:t>Thurkill</w:t>
      </w:r>
      <w:proofErr w:type="spellEnd"/>
      <w:r>
        <w:t xml:space="preserve"> is interesting as it reflects a lot of purgatorial </w:t>
      </w:r>
      <w:proofErr w:type="gramStart"/>
      <w:r>
        <w:t>idea’s</w:t>
      </w:r>
      <w:proofErr w:type="gramEnd"/>
      <w:r>
        <w:t xml:space="preserve"> at the time, but also tends to add in different contexts to the norm.  </w:t>
      </w:r>
    </w:p>
    <w:p w14:paraId="047D74C3" w14:textId="77777777" w:rsidR="00EC5D1F" w:rsidRDefault="00EC5D1F" w:rsidP="00EC5D1F">
      <w:r>
        <w:t xml:space="preserve">  </w:t>
      </w:r>
    </w:p>
    <w:p w14:paraId="5BF4FFD4" w14:textId="77777777" w:rsidR="00EC5D1F" w:rsidRDefault="00EC5D1F" w:rsidP="00EC5D1F"/>
    <w:p w14:paraId="161B2639" w14:textId="77777777" w:rsidR="00EC5D1F" w:rsidRDefault="00EC5D1F" w:rsidP="00EC5D1F"/>
    <w:p w14:paraId="2A9622F6" w14:textId="77777777" w:rsidR="00EC5D1F" w:rsidRDefault="00EC5D1F" w:rsidP="00EC5D1F"/>
    <w:p w14:paraId="2F35D408" w14:textId="77777777" w:rsidR="00955A48" w:rsidRDefault="00955A48" w:rsidP="00EC5D1F"/>
    <w:p w14:paraId="7D6EFC9A" w14:textId="77777777" w:rsidR="00955A48" w:rsidRDefault="00955A48" w:rsidP="00EC5D1F"/>
    <w:p w14:paraId="41950C24" w14:textId="77777777" w:rsidR="00955A48" w:rsidRDefault="00955A48" w:rsidP="00EC5D1F"/>
    <w:p w14:paraId="22F80EC2" w14:textId="77777777" w:rsidR="00955A48" w:rsidRDefault="00955A48" w:rsidP="00EC5D1F"/>
    <w:p w14:paraId="3A359D74" w14:textId="77777777" w:rsidR="00955A48" w:rsidRDefault="00955A48" w:rsidP="00EC5D1F"/>
    <w:p w14:paraId="5D6FC8AC" w14:textId="77777777" w:rsidR="00955A48" w:rsidRDefault="00955A48" w:rsidP="00EC5D1F"/>
    <w:p w14:paraId="54079361" w14:textId="77777777" w:rsidR="00955A48" w:rsidRDefault="00955A48" w:rsidP="00EC5D1F"/>
    <w:p w14:paraId="41D26296" w14:textId="77777777" w:rsidR="00955A48" w:rsidRDefault="00955A48" w:rsidP="00EC5D1F"/>
    <w:p w14:paraId="53DBE575" w14:textId="77777777" w:rsidR="00955A48" w:rsidRDefault="00955A48" w:rsidP="00EC5D1F"/>
    <w:p w14:paraId="00E919D8" w14:textId="77777777" w:rsidR="00955A48" w:rsidRDefault="00955A48" w:rsidP="00EC5D1F"/>
    <w:p w14:paraId="5CC8116E" w14:textId="35FE8961" w:rsidR="00EC5D1F" w:rsidRDefault="00EC5D1F" w:rsidP="00EC5D1F">
      <w:r>
        <w:t>Bibliography</w:t>
      </w:r>
    </w:p>
    <w:p w14:paraId="02518F8B" w14:textId="77777777" w:rsidR="00EC5D1F" w:rsidRPr="00955A48" w:rsidRDefault="00EC5D1F" w:rsidP="00EC5D1F">
      <w:pPr>
        <w:pStyle w:val="ListParagraph"/>
        <w:numPr>
          <w:ilvl w:val="0"/>
          <w:numId w:val="1"/>
        </w:numPr>
        <w:rPr>
          <w:rFonts w:cstheme="minorHAnsi"/>
        </w:rPr>
      </w:pPr>
      <w:r w:rsidRPr="00955A48">
        <w:rPr>
          <w:rFonts w:cstheme="minorHAnsi"/>
          <w:shd w:val="clear" w:color="auto" w:fill="FFFFFF"/>
        </w:rPr>
        <w:t>Vincent, Nicholas. “Some Pardoners' Tales: The Earliest English Indulgences.” </w:t>
      </w:r>
      <w:r w:rsidRPr="00955A48">
        <w:rPr>
          <w:rFonts w:cstheme="minorHAnsi"/>
          <w:i/>
          <w:iCs/>
          <w:shd w:val="clear" w:color="auto" w:fill="FFFFFF"/>
        </w:rPr>
        <w:t>Transactions of the Royal Historical Society</w:t>
      </w:r>
      <w:r w:rsidRPr="00955A48">
        <w:rPr>
          <w:rFonts w:cstheme="minorHAnsi"/>
          <w:shd w:val="clear" w:color="auto" w:fill="FFFFFF"/>
        </w:rPr>
        <w:t>, vol. 12, 2002, pp. 23–58. </w:t>
      </w:r>
      <w:r w:rsidRPr="00955A48">
        <w:rPr>
          <w:rFonts w:cstheme="minorHAnsi"/>
          <w:i/>
          <w:iCs/>
          <w:shd w:val="clear" w:color="auto" w:fill="FFFFFF"/>
        </w:rPr>
        <w:t>JSTOR</w:t>
      </w:r>
      <w:r w:rsidRPr="00955A48">
        <w:rPr>
          <w:rFonts w:cstheme="minorHAnsi"/>
          <w:shd w:val="clear" w:color="auto" w:fill="FFFFFF"/>
        </w:rPr>
        <w:t xml:space="preserve">, </w:t>
      </w:r>
      <w:hyperlink r:id="rId11" w:history="1">
        <w:r w:rsidRPr="00955A48">
          <w:rPr>
            <w:rStyle w:val="Hyperlink"/>
            <w:rFonts w:cstheme="minorHAnsi"/>
            <w:shd w:val="clear" w:color="auto" w:fill="FFFFFF"/>
          </w:rPr>
          <w:t>www.jstor.org/stable/3679340</w:t>
        </w:r>
      </w:hyperlink>
      <w:r w:rsidRPr="00955A48">
        <w:rPr>
          <w:rFonts w:cstheme="minorHAnsi"/>
          <w:color w:val="333333"/>
          <w:shd w:val="clear" w:color="auto" w:fill="FFFFFF"/>
        </w:rPr>
        <w:t xml:space="preserve">. </w:t>
      </w:r>
    </w:p>
    <w:p w14:paraId="0DFC6E2A" w14:textId="5977C324" w:rsidR="00EC5D1F" w:rsidRPr="00955A48" w:rsidRDefault="00EC5D1F" w:rsidP="00EC5D1F">
      <w:pPr>
        <w:pStyle w:val="ListParagraph"/>
        <w:numPr>
          <w:ilvl w:val="0"/>
          <w:numId w:val="1"/>
        </w:numPr>
        <w:rPr>
          <w:rFonts w:cstheme="minorHAnsi"/>
        </w:rPr>
      </w:pPr>
      <w:r w:rsidRPr="00955A48">
        <w:rPr>
          <w:rFonts w:cstheme="minorHAnsi"/>
        </w:rPr>
        <w:t xml:space="preserve">Richardson, John D. (2009). Medieval confession practices and the emergence of modern psychotherapy. Mental Health, Religion &amp; Culture, 12(5), 473-485. </w:t>
      </w:r>
    </w:p>
    <w:p w14:paraId="3CCEB50E" w14:textId="55DEFE32" w:rsidR="00955A48" w:rsidRPr="00955A48" w:rsidRDefault="00EC5D1F" w:rsidP="00955A48">
      <w:pPr>
        <w:pStyle w:val="ListParagraph"/>
        <w:numPr>
          <w:ilvl w:val="0"/>
          <w:numId w:val="1"/>
        </w:numPr>
        <w:rPr>
          <w:rFonts w:cstheme="minorHAnsi"/>
        </w:rPr>
      </w:pPr>
      <w:hyperlink r:id="rId12" w:history="1">
        <w:r w:rsidRPr="00955A48">
          <w:rPr>
            <w:rStyle w:val="Hyperlink"/>
            <w:rFonts w:cstheme="minorHAnsi"/>
          </w:rPr>
          <w:t>https://forums.catholic.com/t/st-augustines-four-states-of-afterlife/165305</w:t>
        </w:r>
      </w:hyperlink>
      <w:r w:rsidRPr="00955A48">
        <w:rPr>
          <w:rStyle w:val="Hyperlink"/>
          <w:rFonts w:cstheme="minorHAnsi"/>
        </w:rPr>
        <w:t xml:space="preserve"> </w:t>
      </w:r>
    </w:p>
    <w:p w14:paraId="6104B5F2" w14:textId="77777777" w:rsidR="00955A48" w:rsidRPr="00955A48" w:rsidRDefault="00955A48" w:rsidP="00955A48">
      <w:pPr>
        <w:pStyle w:val="ListParagraph"/>
        <w:numPr>
          <w:ilvl w:val="0"/>
          <w:numId w:val="1"/>
        </w:numPr>
        <w:rPr>
          <w:rFonts w:cstheme="minorHAnsi"/>
        </w:rPr>
      </w:pPr>
      <w:r w:rsidRPr="00955A48">
        <w:rPr>
          <w:rFonts w:cstheme="minorHAnsi"/>
          <w:color w:val="333333"/>
          <w:shd w:val="clear" w:color="auto" w:fill="FFFFFF"/>
        </w:rPr>
        <w:t>Jordan, William Chester. </w:t>
      </w:r>
      <w:r w:rsidRPr="00955A48">
        <w:rPr>
          <w:rFonts w:cstheme="minorHAnsi"/>
          <w:i/>
          <w:iCs/>
          <w:color w:val="333333"/>
          <w:shd w:val="clear" w:color="auto" w:fill="FFFFFF"/>
        </w:rPr>
        <w:t>The Journal of Economic History</w:t>
      </w:r>
      <w:r w:rsidRPr="00955A48">
        <w:rPr>
          <w:rFonts w:cstheme="minorHAnsi"/>
          <w:color w:val="333333"/>
          <w:shd w:val="clear" w:color="auto" w:fill="FFFFFF"/>
        </w:rPr>
        <w:t>, vol. 61, no. 3, 2001, pp. 821–821. </w:t>
      </w:r>
      <w:r w:rsidRPr="00955A48">
        <w:rPr>
          <w:rFonts w:cstheme="minorHAnsi"/>
          <w:i/>
          <w:iCs/>
          <w:color w:val="333333"/>
          <w:shd w:val="clear" w:color="auto" w:fill="FFFFFF"/>
        </w:rPr>
        <w:t>JSTOR</w:t>
      </w:r>
      <w:r w:rsidRPr="00955A48">
        <w:rPr>
          <w:rFonts w:cstheme="minorHAnsi"/>
          <w:color w:val="333333"/>
          <w:shd w:val="clear" w:color="auto" w:fill="FFFFFF"/>
        </w:rPr>
        <w:t xml:space="preserve">, </w:t>
      </w:r>
      <w:hyperlink r:id="rId13" w:history="1">
        <w:r w:rsidRPr="00955A48">
          <w:rPr>
            <w:rStyle w:val="Hyperlink"/>
            <w:rFonts w:cstheme="minorHAnsi"/>
            <w:shd w:val="clear" w:color="auto" w:fill="FFFFFF"/>
          </w:rPr>
          <w:t>www.jstor.org/stable/2698139</w:t>
        </w:r>
      </w:hyperlink>
      <w:r w:rsidRPr="00955A48">
        <w:rPr>
          <w:rFonts w:cstheme="minorHAnsi"/>
          <w:color w:val="333333"/>
          <w:shd w:val="clear" w:color="auto" w:fill="FFFFFF"/>
        </w:rPr>
        <w:t xml:space="preserve">. </w:t>
      </w:r>
    </w:p>
    <w:p w14:paraId="0CC4F948" w14:textId="77777777" w:rsidR="00955A48" w:rsidRPr="00955A48" w:rsidRDefault="00955A48" w:rsidP="00955A48">
      <w:pPr>
        <w:pStyle w:val="ListParagraph"/>
        <w:numPr>
          <w:ilvl w:val="0"/>
          <w:numId w:val="1"/>
        </w:numPr>
        <w:rPr>
          <w:rFonts w:cstheme="minorHAnsi"/>
        </w:rPr>
      </w:pPr>
      <w:r w:rsidRPr="00955A48">
        <w:rPr>
          <w:rFonts w:cstheme="minorHAnsi"/>
        </w:rPr>
        <w:t xml:space="preserve">Thomas Basin, </w:t>
      </w:r>
      <w:proofErr w:type="spellStart"/>
      <w:r w:rsidRPr="00955A48">
        <w:rPr>
          <w:rFonts w:cstheme="minorHAnsi"/>
        </w:rPr>
        <w:t>Histoire</w:t>
      </w:r>
      <w:proofErr w:type="spellEnd"/>
      <w:r w:rsidRPr="00955A48">
        <w:rPr>
          <w:rFonts w:cstheme="minorHAnsi"/>
        </w:rPr>
        <w:t xml:space="preserve"> des </w:t>
      </w:r>
      <w:proofErr w:type="spellStart"/>
      <w:r w:rsidRPr="00955A48">
        <w:rPr>
          <w:rFonts w:cstheme="minorHAnsi"/>
        </w:rPr>
        <w:t>rÃ¨gnes</w:t>
      </w:r>
      <w:proofErr w:type="spellEnd"/>
      <w:r w:rsidRPr="00955A48">
        <w:rPr>
          <w:rFonts w:cstheme="minorHAnsi"/>
        </w:rPr>
        <w:t xml:space="preserve"> de Charles VII et de Louis XI, </w:t>
      </w:r>
      <w:proofErr w:type="spellStart"/>
      <w:r w:rsidRPr="00955A48">
        <w:rPr>
          <w:rFonts w:cstheme="minorHAnsi"/>
        </w:rPr>
        <w:t>i</w:t>
      </w:r>
      <w:proofErr w:type="spellEnd"/>
      <w:r w:rsidRPr="00955A48">
        <w:rPr>
          <w:rFonts w:cstheme="minorHAnsi"/>
        </w:rPr>
        <w:t xml:space="preserve">. </w:t>
      </w:r>
    </w:p>
    <w:p w14:paraId="7B9BF600" w14:textId="77777777" w:rsidR="00955A48" w:rsidRPr="00955A48" w:rsidRDefault="00955A48" w:rsidP="00955A48">
      <w:pPr>
        <w:pStyle w:val="ListParagraph"/>
        <w:numPr>
          <w:ilvl w:val="0"/>
          <w:numId w:val="1"/>
        </w:numPr>
        <w:rPr>
          <w:rFonts w:cstheme="minorHAnsi"/>
        </w:rPr>
      </w:pPr>
      <w:r w:rsidRPr="00955A48">
        <w:rPr>
          <w:rFonts w:cstheme="minorHAnsi"/>
        </w:rPr>
        <w:t xml:space="preserve">Seidel, Linda. The American Historical Review, vol. 80, no. 5, 1975, pp. 1307–1307. JSTOR, </w:t>
      </w:r>
      <w:hyperlink r:id="rId14" w:history="1">
        <w:r w:rsidRPr="00955A48">
          <w:rPr>
            <w:rStyle w:val="Hyperlink"/>
            <w:rFonts w:cstheme="minorHAnsi"/>
          </w:rPr>
          <w:t>www.jstor.org/stable/1852077</w:t>
        </w:r>
      </w:hyperlink>
      <w:r w:rsidRPr="00955A48">
        <w:rPr>
          <w:rFonts w:cstheme="minorHAnsi"/>
        </w:rPr>
        <w:t xml:space="preserve">. </w:t>
      </w:r>
    </w:p>
    <w:bookmarkStart w:id="1" w:name="_Hlk536052398"/>
    <w:p w14:paraId="29395CB5" w14:textId="77777777" w:rsidR="00955A48" w:rsidRPr="00955A48" w:rsidRDefault="00955A48" w:rsidP="00955A48">
      <w:pPr>
        <w:pStyle w:val="ListParagraph"/>
        <w:numPr>
          <w:ilvl w:val="0"/>
          <w:numId w:val="1"/>
        </w:numPr>
        <w:rPr>
          <w:rFonts w:cstheme="minorHAnsi"/>
        </w:rPr>
      </w:pPr>
      <w:r w:rsidRPr="00955A48">
        <w:rPr>
          <w:rFonts w:cstheme="minorHAnsi"/>
        </w:rPr>
        <w:fldChar w:fldCharType="begin"/>
      </w:r>
      <w:r w:rsidRPr="00955A48">
        <w:rPr>
          <w:rFonts w:cstheme="minorHAnsi"/>
        </w:rPr>
        <w:instrText xml:space="preserve"> HYPERLINK "https://flickeringlamps.com/2015/01/03/a-most-macabre-tomb-in-lincoln-cathedral/" </w:instrText>
      </w:r>
      <w:r w:rsidRPr="00955A48">
        <w:rPr>
          <w:rFonts w:cstheme="minorHAnsi"/>
        </w:rPr>
        <w:fldChar w:fldCharType="separate"/>
      </w:r>
      <w:r w:rsidRPr="00955A48">
        <w:rPr>
          <w:rStyle w:val="Hyperlink"/>
          <w:rFonts w:cstheme="minorHAnsi"/>
        </w:rPr>
        <w:t>https://flickeringlamps.com/2015/01/03/a-most-macabre-tomb-in-lincoln-cathedral/</w:t>
      </w:r>
      <w:r w:rsidRPr="00955A48">
        <w:rPr>
          <w:rFonts w:cstheme="minorHAnsi"/>
        </w:rPr>
        <w:fldChar w:fldCharType="end"/>
      </w:r>
      <w:r w:rsidRPr="00955A48">
        <w:rPr>
          <w:rFonts w:cstheme="minorHAnsi"/>
        </w:rPr>
        <w:t xml:space="preserve"> </w:t>
      </w:r>
    </w:p>
    <w:bookmarkEnd w:id="1"/>
    <w:p w14:paraId="18A6453A" w14:textId="77777777" w:rsidR="00955A48" w:rsidRPr="00955A48" w:rsidRDefault="00955A48" w:rsidP="00955A48">
      <w:pPr>
        <w:pStyle w:val="ListParagraph"/>
        <w:numPr>
          <w:ilvl w:val="0"/>
          <w:numId w:val="1"/>
        </w:numPr>
        <w:rPr>
          <w:rFonts w:cstheme="minorHAnsi"/>
        </w:rPr>
      </w:pPr>
      <w:r w:rsidRPr="00955A48">
        <w:rPr>
          <w:rStyle w:val="personname"/>
          <w:rFonts w:cstheme="minorHAnsi"/>
          <w:color w:val="000000"/>
          <w:shd w:val="clear" w:color="auto" w:fill="FFFFFF"/>
        </w:rPr>
        <w:t>King, Pamela Margaret</w:t>
      </w:r>
      <w:r w:rsidRPr="00955A48">
        <w:rPr>
          <w:rFonts w:cstheme="minorHAnsi"/>
          <w:color w:val="000000"/>
          <w:shd w:val="clear" w:color="auto" w:fill="FFFFFF"/>
        </w:rPr>
        <w:t> (1987) </w:t>
      </w:r>
      <w:r w:rsidRPr="00955A48">
        <w:rPr>
          <w:rStyle w:val="Emphasis"/>
          <w:rFonts w:cstheme="minorHAnsi"/>
          <w:color w:val="000000"/>
          <w:shd w:val="clear" w:color="auto" w:fill="FFFFFF"/>
        </w:rPr>
        <w:t>Contexts of the cadaver tomb in fifteenth century England.</w:t>
      </w:r>
      <w:r w:rsidRPr="00955A48">
        <w:rPr>
          <w:rFonts w:cstheme="minorHAnsi"/>
          <w:color w:val="000000"/>
          <w:shd w:val="clear" w:color="auto" w:fill="FFFFFF"/>
        </w:rPr>
        <w:t xml:space="preserve"> PhD thesis, University of York. </w:t>
      </w:r>
    </w:p>
    <w:p w14:paraId="3DBA81C3" w14:textId="77777777" w:rsidR="00955A48" w:rsidRPr="00955A48" w:rsidRDefault="00955A48" w:rsidP="00955A48">
      <w:pPr>
        <w:pStyle w:val="ListParagraph"/>
        <w:numPr>
          <w:ilvl w:val="0"/>
          <w:numId w:val="1"/>
        </w:numPr>
        <w:rPr>
          <w:rFonts w:cstheme="minorHAnsi"/>
          <w:i/>
        </w:rPr>
      </w:pPr>
      <w:r w:rsidRPr="00955A48">
        <w:rPr>
          <w:rFonts w:cstheme="minorHAnsi"/>
        </w:rPr>
        <w:t xml:space="preserve">OOSTERWIJK, S. </w:t>
      </w:r>
      <w:r w:rsidRPr="00955A48">
        <w:rPr>
          <w:rFonts w:cstheme="minorHAnsi"/>
          <w:i/>
        </w:rPr>
        <w:t xml:space="preserve">Food for worms – food for thought </w:t>
      </w:r>
      <w:proofErr w:type="gramStart"/>
      <w:r w:rsidRPr="00955A48">
        <w:rPr>
          <w:rFonts w:cstheme="minorHAnsi"/>
          <w:i/>
        </w:rPr>
        <w:t>The</w:t>
      </w:r>
      <w:proofErr w:type="gramEnd"/>
      <w:r w:rsidRPr="00955A48">
        <w:rPr>
          <w:rFonts w:cstheme="minorHAnsi"/>
          <w:i/>
        </w:rPr>
        <w:t xml:space="preserve"> appearance and interpretation of the ‘verminous’ cadaver in Britain and Europe</w:t>
      </w:r>
    </w:p>
    <w:p w14:paraId="3710D874" w14:textId="77777777" w:rsidR="00955A48" w:rsidRPr="00955A48" w:rsidRDefault="00955A48" w:rsidP="00955A48">
      <w:pPr>
        <w:pStyle w:val="ListParagraph"/>
        <w:numPr>
          <w:ilvl w:val="0"/>
          <w:numId w:val="1"/>
        </w:numPr>
        <w:rPr>
          <w:rFonts w:cstheme="minorHAnsi"/>
          <w:i/>
        </w:rPr>
      </w:pPr>
      <w:hyperlink r:id="rId15" w:history="1">
        <w:r w:rsidRPr="00955A48">
          <w:rPr>
            <w:rStyle w:val="Hyperlink"/>
            <w:rFonts w:cstheme="minorHAnsi"/>
            <w:i/>
          </w:rPr>
          <w:t>https://www.winchester-cathedral.org.uk/wp-content/uploads/Bishop-Richard-Fox-His-Reformation-and-Piety-by-Pat-Thornhill.pdf</w:t>
        </w:r>
      </w:hyperlink>
      <w:r w:rsidRPr="00955A48">
        <w:rPr>
          <w:rFonts w:cstheme="minorHAnsi"/>
          <w:i/>
        </w:rPr>
        <w:t xml:space="preserve"> </w:t>
      </w:r>
    </w:p>
    <w:p w14:paraId="57644598" w14:textId="7C2B6150" w:rsidR="00955A48" w:rsidRPr="00955A48" w:rsidRDefault="00955A48" w:rsidP="00EC5D1F">
      <w:pPr>
        <w:pStyle w:val="ListParagraph"/>
        <w:numPr>
          <w:ilvl w:val="0"/>
          <w:numId w:val="1"/>
        </w:numPr>
        <w:rPr>
          <w:rFonts w:cstheme="minorHAnsi"/>
        </w:rPr>
      </w:pPr>
      <w:r w:rsidRPr="00955A48">
        <w:rPr>
          <w:rFonts w:cstheme="minorHAnsi"/>
        </w:rPr>
        <w:t xml:space="preserve">“Summaries of Articles.” The Philosophical Review, vol. 29, no. 6, 1920, pp. 596–604. JSTOR, </w:t>
      </w:r>
      <w:hyperlink r:id="rId16" w:history="1">
        <w:r w:rsidRPr="00955A48">
          <w:rPr>
            <w:rStyle w:val="Hyperlink"/>
            <w:rFonts w:cstheme="minorHAnsi"/>
          </w:rPr>
          <w:t>www.jstor.org/stable/2179372</w:t>
        </w:r>
      </w:hyperlink>
      <w:r w:rsidRPr="00955A48">
        <w:rPr>
          <w:rFonts w:cstheme="minorHAnsi"/>
        </w:rPr>
        <w:t>.</w:t>
      </w:r>
      <w:r w:rsidRPr="00955A48">
        <w:rPr>
          <w:rFonts w:cstheme="minorHAnsi"/>
        </w:rPr>
        <w:t xml:space="preserve"> </w:t>
      </w:r>
    </w:p>
    <w:p w14:paraId="281AEA3F" w14:textId="02E719F1" w:rsidR="00EC5D1F" w:rsidRPr="00955A48" w:rsidRDefault="00955A48" w:rsidP="00EC5D1F">
      <w:pPr>
        <w:pStyle w:val="ListParagraph"/>
        <w:numPr>
          <w:ilvl w:val="0"/>
          <w:numId w:val="1"/>
        </w:numPr>
        <w:rPr>
          <w:rFonts w:cstheme="minorHAnsi"/>
        </w:rPr>
      </w:pPr>
      <w:r w:rsidRPr="00955A48">
        <w:rPr>
          <w:rFonts w:cstheme="minorHAnsi"/>
        </w:rPr>
        <w:t>Translation and retelling of The Revelation of the Monk of Eynsham copyright © 2008, 2017 by Richard Scott-Robinson</w:t>
      </w:r>
      <w:r w:rsidRPr="00955A48">
        <w:rPr>
          <w:rFonts w:cstheme="minorHAnsi"/>
        </w:rPr>
        <w:t xml:space="preserve">. Retrieved from </w:t>
      </w:r>
      <w:hyperlink r:id="rId17" w:history="1">
        <w:r w:rsidRPr="00955A48">
          <w:rPr>
            <w:rStyle w:val="Hyperlink"/>
            <w:rFonts w:cstheme="minorHAnsi"/>
          </w:rPr>
          <w:t>http://www.eleusinianm.co.uk/middle-english-literature-retold-in-modern-english/visits-to-purgatory/monk-of-eynsham</w:t>
        </w:r>
        <w:r w:rsidRPr="00955A48">
          <w:rPr>
            <w:rStyle w:val="Hyperlink"/>
            <w:rFonts w:cstheme="minorHAnsi"/>
          </w:rPr>
          <w:t xml:space="preserve">. </w:t>
        </w:r>
      </w:hyperlink>
      <w:r w:rsidRPr="00955A48">
        <w:rPr>
          <w:rFonts w:cstheme="minorHAnsi"/>
        </w:rPr>
        <w:t xml:space="preserve">(27/01/19) </w:t>
      </w:r>
    </w:p>
    <w:p w14:paraId="0139C22F" w14:textId="77777777" w:rsidR="00EC5D1F" w:rsidRPr="00EC5D1F" w:rsidRDefault="00EC5D1F">
      <w:pPr>
        <w:rPr>
          <w:b/>
          <w:u w:val="single"/>
        </w:rPr>
      </w:pPr>
    </w:p>
    <w:p w14:paraId="1365DC48" w14:textId="77777777" w:rsidR="00EC5D1F" w:rsidRDefault="00EC5D1F"/>
    <w:sectPr w:rsidR="00EC5D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AA64F" w14:textId="77777777" w:rsidR="00C621AC" w:rsidRDefault="00C621AC" w:rsidP="00EC5D1F">
      <w:pPr>
        <w:spacing w:after="0" w:line="240" w:lineRule="auto"/>
      </w:pPr>
      <w:r>
        <w:separator/>
      </w:r>
    </w:p>
  </w:endnote>
  <w:endnote w:type="continuationSeparator" w:id="0">
    <w:p w14:paraId="451F70CC" w14:textId="77777777" w:rsidR="00C621AC" w:rsidRDefault="00C621AC" w:rsidP="00EC5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5010B" w14:textId="77777777" w:rsidR="00C621AC" w:rsidRDefault="00C621AC" w:rsidP="00EC5D1F">
      <w:pPr>
        <w:spacing w:after="0" w:line="240" w:lineRule="auto"/>
      </w:pPr>
      <w:r>
        <w:separator/>
      </w:r>
    </w:p>
  </w:footnote>
  <w:footnote w:type="continuationSeparator" w:id="0">
    <w:p w14:paraId="704916DC" w14:textId="77777777" w:rsidR="00C621AC" w:rsidRDefault="00C621AC" w:rsidP="00EC5D1F">
      <w:pPr>
        <w:spacing w:after="0" w:line="240" w:lineRule="auto"/>
      </w:pPr>
      <w:r>
        <w:continuationSeparator/>
      </w:r>
    </w:p>
  </w:footnote>
  <w:footnote w:id="1">
    <w:p w14:paraId="2B994B14" w14:textId="77777777" w:rsidR="00EC5D1F" w:rsidRPr="001F47B9" w:rsidRDefault="00EC5D1F" w:rsidP="00EC5D1F">
      <w:pPr>
        <w:pStyle w:val="FootnoteText"/>
        <w:rPr>
          <w:sz w:val="18"/>
        </w:rPr>
      </w:pPr>
      <w:r w:rsidRPr="001F47B9">
        <w:rPr>
          <w:rStyle w:val="FootnoteReference"/>
          <w:sz w:val="18"/>
        </w:rPr>
        <w:footnoteRef/>
      </w:r>
      <w:r w:rsidRPr="001F47B9">
        <w:rPr>
          <w:sz w:val="18"/>
        </w:rPr>
        <w:t xml:space="preserve"> </w:t>
      </w:r>
      <w:hyperlink r:id="rId1" w:history="1">
        <w:r w:rsidRPr="001F47B9">
          <w:rPr>
            <w:rStyle w:val="Hyperlink"/>
            <w:sz w:val="18"/>
          </w:rPr>
          <w:t>https://www.catholic.com/magazine/online-edition/is-purgatory-in-the-bible</w:t>
        </w:r>
      </w:hyperlink>
      <w:r w:rsidRPr="001F47B9">
        <w:rPr>
          <w:sz w:val="18"/>
        </w:rPr>
        <w:t xml:space="preserve"> </w:t>
      </w:r>
    </w:p>
  </w:footnote>
  <w:footnote w:id="2">
    <w:p w14:paraId="32E21017" w14:textId="77777777" w:rsidR="00EC5D1F" w:rsidRDefault="00EC5D1F" w:rsidP="00EC5D1F">
      <w:pPr>
        <w:pStyle w:val="FootnoteText"/>
      </w:pPr>
      <w:r w:rsidRPr="001F47B9">
        <w:rPr>
          <w:rStyle w:val="FootnoteReference"/>
          <w:sz w:val="18"/>
        </w:rPr>
        <w:footnoteRef/>
      </w:r>
      <w:r w:rsidRPr="001F47B9">
        <w:rPr>
          <w:sz w:val="18"/>
        </w:rPr>
        <w:t xml:space="preserve"> Casey (2009)</w:t>
      </w:r>
    </w:p>
  </w:footnote>
  <w:footnote w:id="3">
    <w:p w14:paraId="25900352" w14:textId="77777777" w:rsidR="00EC5D1F" w:rsidRDefault="00EC5D1F" w:rsidP="00EC5D1F">
      <w:pPr>
        <w:pStyle w:val="FootnoteText"/>
      </w:pPr>
      <w:r>
        <w:rPr>
          <w:rStyle w:val="FootnoteReference"/>
        </w:rPr>
        <w:footnoteRef/>
      </w:r>
      <w:r>
        <w:t xml:space="preserve"> Richardson (2009) </w:t>
      </w:r>
    </w:p>
  </w:footnote>
  <w:footnote w:id="4">
    <w:p w14:paraId="20DC26C6" w14:textId="77777777" w:rsidR="00EC5D1F" w:rsidRDefault="00EC5D1F" w:rsidP="00EC5D1F">
      <w:pPr>
        <w:pStyle w:val="FootnoteText"/>
      </w:pPr>
      <w:r>
        <w:rPr>
          <w:rStyle w:val="FootnoteReference"/>
        </w:rPr>
        <w:footnoteRef/>
      </w:r>
      <w:r>
        <w:t xml:space="preserve"> Le Goff (1981) p192</w:t>
      </w:r>
    </w:p>
  </w:footnote>
  <w:footnote w:id="5">
    <w:p w14:paraId="38C8466F" w14:textId="77777777" w:rsidR="00EC5D1F" w:rsidRDefault="00EC5D1F" w:rsidP="00EC5D1F">
      <w:pPr>
        <w:pStyle w:val="FootnoteText"/>
      </w:pPr>
      <w:r>
        <w:rPr>
          <w:rStyle w:val="FootnoteReference"/>
        </w:rPr>
        <w:footnoteRef/>
      </w:r>
      <w:r>
        <w:t xml:space="preserve"> </w:t>
      </w:r>
      <w:hyperlink r:id="rId2" w:history="1">
        <w:r w:rsidRPr="003A09FF">
          <w:rPr>
            <w:rStyle w:val="Hyperlink"/>
          </w:rPr>
          <w:t>https://forums.catholic.com/t/st-augustines-four-states-of-afterlife/165305</w:t>
        </w:r>
      </w:hyperlink>
      <w:r>
        <w:t xml:space="preserve"> </w:t>
      </w:r>
    </w:p>
  </w:footnote>
  <w:footnote w:id="6">
    <w:p w14:paraId="04D9A9F4" w14:textId="77777777" w:rsidR="00EC5D1F" w:rsidRDefault="00EC5D1F" w:rsidP="00EC5D1F">
      <w:pPr>
        <w:pStyle w:val="FootnoteText"/>
      </w:pPr>
      <w:r>
        <w:rPr>
          <w:rStyle w:val="FootnoteReference"/>
        </w:rPr>
        <w:footnoteRef/>
      </w:r>
      <w:r>
        <w:t xml:space="preserve"> </w:t>
      </w:r>
      <w:r w:rsidRPr="000D577E">
        <w:t xml:space="preserve">“Summaries of Articles.” The Philosophical Review, vol. 29, no. 6, 1920, pp. 596–604. JSTOR, </w:t>
      </w:r>
      <w:hyperlink r:id="rId3" w:history="1">
        <w:r w:rsidRPr="00B22B79">
          <w:rPr>
            <w:rStyle w:val="Hyperlink"/>
          </w:rPr>
          <w:t>www.jstor.org/stable/2179372</w:t>
        </w:r>
      </w:hyperlink>
      <w:r w:rsidRPr="000D577E">
        <w:t>.</w:t>
      </w:r>
      <w:r>
        <w:t xml:space="preserve"> </w:t>
      </w:r>
    </w:p>
  </w:footnote>
  <w:footnote w:id="7">
    <w:p w14:paraId="2ADD3B0A" w14:textId="77777777" w:rsidR="00EC5D1F" w:rsidRDefault="00EC5D1F" w:rsidP="00EC5D1F">
      <w:pPr>
        <w:pStyle w:val="FootnoteText"/>
      </w:pPr>
      <w:r>
        <w:rPr>
          <w:rStyle w:val="FootnoteReference"/>
        </w:rPr>
        <w:footnoteRef/>
      </w:r>
      <w:r>
        <w:t xml:space="preserve"> </w:t>
      </w:r>
      <w:r w:rsidRPr="00C47CA7">
        <w:t>Seidel</w:t>
      </w:r>
      <w:r>
        <w:t xml:space="preserve"> (1975) p1307</w:t>
      </w:r>
    </w:p>
  </w:footnote>
  <w:footnote w:id="8">
    <w:p w14:paraId="042EB585" w14:textId="77777777" w:rsidR="00EC5D1F" w:rsidRDefault="00EC5D1F" w:rsidP="00EC5D1F">
      <w:pPr>
        <w:pStyle w:val="FootnoteText"/>
      </w:pPr>
      <w:r>
        <w:rPr>
          <w:rStyle w:val="FootnoteReference"/>
        </w:rPr>
        <w:footnoteRef/>
      </w:r>
      <w:r>
        <w:t xml:space="preserve"> </w:t>
      </w:r>
      <w:r w:rsidRPr="00273A6D">
        <w:t>https://flickeringlamps.com/2015/01/03/a-most-macabre-tomb-in-lincoln-cathedral/</w:t>
      </w:r>
    </w:p>
  </w:footnote>
  <w:footnote w:id="9">
    <w:p w14:paraId="0EF65C5A" w14:textId="77777777" w:rsidR="00EC5D1F" w:rsidRDefault="00EC5D1F" w:rsidP="00EC5D1F">
      <w:pPr>
        <w:pStyle w:val="FootnoteText"/>
      </w:pPr>
      <w:r>
        <w:rPr>
          <w:rStyle w:val="FootnoteReference"/>
        </w:rPr>
        <w:footnoteRef/>
      </w:r>
      <w:r>
        <w:t xml:space="preserve"> </w:t>
      </w:r>
      <w:r w:rsidRPr="00C47CA7">
        <w:t>Seidel</w:t>
      </w:r>
      <w:r>
        <w:t xml:space="preserve"> (1975) p1307 </w:t>
      </w:r>
    </w:p>
  </w:footnote>
  <w:footnote w:id="10">
    <w:p w14:paraId="1C41A28B" w14:textId="77777777" w:rsidR="00EC5D1F" w:rsidRDefault="00EC5D1F" w:rsidP="00EC5D1F">
      <w:pPr>
        <w:pStyle w:val="FootnoteText"/>
      </w:pPr>
      <w:r>
        <w:rPr>
          <w:rStyle w:val="FootnoteReference"/>
        </w:rPr>
        <w:footnoteRef/>
      </w:r>
      <w:r>
        <w:t xml:space="preserve"> Jordan (2001) p281</w:t>
      </w:r>
    </w:p>
  </w:footnote>
  <w:footnote w:id="11">
    <w:p w14:paraId="1D056AAA" w14:textId="77777777" w:rsidR="00EC5D1F" w:rsidRDefault="00EC5D1F" w:rsidP="00EC5D1F">
      <w:pPr>
        <w:pStyle w:val="FootnoteText"/>
      </w:pPr>
      <w:r>
        <w:rPr>
          <w:rStyle w:val="FootnoteReference"/>
        </w:rPr>
        <w:footnoteRef/>
      </w:r>
      <w:r>
        <w:t xml:space="preserve"> Basin p111</w:t>
      </w:r>
    </w:p>
  </w:footnote>
  <w:footnote w:id="12">
    <w:p w14:paraId="73D9D020" w14:textId="77777777" w:rsidR="00EC5D1F" w:rsidRDefault="00EC5D1F" w:rsidP="00EC5D1F">
      <w:pPr>
        <w:pStyle w:val="FootnoteText"/>
      </w:pPr>
      <w:r>
        <w:rPr>
          <w:rStyle w:val="FootnoteReference"/>
        </w:rPr>
        <w:footnoteRef/>
      </w:r>
      <w:r>
        <w:t xml:space="preserve"> </w:t>
      </w:r>
      <w:r w:rsidRPr="00C47CA7">
        <w:t>Seidel</w:t>
      </w:r>
      <w:r>
        <w:t xml:space="preserve"> (1975) p1307 </w:t>
      </w:r>
    </w:p>
  </w:footnote>
  <w:footnote w:id="13">
    <w:p w14:paraId="238F9584" w14:textId="09BEC383" w:rsidR="00955A48" w:rsidRDefault="00955A48">
      <w:pPr>
        <w:pStyle w:val="FootnoteText"/>
      </w:pPr>
      <w:r>
        <w:rPr>
          <w:rStyle w:val="FootnoteReference"/>
        </w:rPr>
        <w:footnoteRef/>
      </w:r>
      <w:r>
        <w:t xml:space="preserve"> </w:t>
      </w:r>
      <w:hyperlink r:id="rId4" w:history="1">
        <w:r w:rsidRPr="00297836">
          <w:rPr>
            <w:rStyle w:val="Hyperlink"/>
          </w:rPr>
          <w:t>https://salemcc.instructure.com/courses/121/pages/bede-description-of-purgatory-hell-and-heaven-731</w:t>
        </w:r>
      </w:hyperlink>
      <w:r>
        <w:t xml:space="preserve"> </w:t>
      </w:r>
    </w:p>
  </w:footnote>
  <w:footnote w:id="14">
    <w:p w14:paraId="3D63ABC0" w14:textId="41BA88C2" w:rsidR="00955A48" w:rsidRDefault="00955A48">
      <w:pPr>
        <w:pStyle w:val="FootnoteText"/>
      </w:pPr>
      <w:r>
        <w:rPr>
          <w:rStyle w:val="FootnoteReference"/>
        </w:rPr>
        <w:footnoteRef/>
      </w:r>
      <w:r>
        <w:t xml:space="preserve"> </w:t>
      </w:r>
      <w:hyperlink r:id="rId5" w:history="1">
        <w:r w:rsidRPr="00297836">
          <w:rPr>
            <w:rStyle w:val="Hyperlink"/>
          </w:rPr>
          <w:t>http://www.eleusinianm.co.uk/middle-english-literature-retold-in-modern-english/visits-to-purgatory/monk-of-eynsham</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D7F24"/>
    <w:multiLevelType w:val="hybridMultilevel"/>
    <w:tmpl w:val="B9EE5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14C62"/>
    <w:multiLevelType w:val="hybridMultilevel"/>
    <w:tmpl w:val="25268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D1F"/>
    <w:rsid w:val="00254447"/>
    <w:rsid w:val="00574A5B"/>
    <w:rsid w:val="00955A48"/>
    <w:rsid w:val="00C621AC"/>
    <w:rsid w:val="00EC5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EC369"/>
  <w15:chartTrackingRefBased/>
  <w15:docId w15:val="{7D3C4176-3018-4CD6-AB77-2EB49ED3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D1F"/>
    <w:pPr>
      <w:ind w:left="720"/>
      <w:contextualSpacing/>
    </w:pPr>
  </w:style>
  <w:style w:type="paragraph" w:styleId="FootnoteText">
    <w:name w:val="footnote text"/>
    <w:basedOn w:val="Normal"/>
    <w:link w:val="FootnoteTextChar"/>
    <w:uiPriority w:val="99"/>
    <w:semiHidden/>
    <w:unhideWhenUsed/>
    <w:rsid w:val="00EC5D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5D1F"/>
    <w:rPr>
      <w:sz w:val="20"/>
      <w:szCs w:val="20"/>
    </w:rPr>
  </w:style>
  <w:style w:type="character" w:styleId="FootnoteReference">
    <w:name w:val="footnote reference"/>
    <w:basedOn w:val="DefaultParagraphFont"/>
    <w:uiPriority w:val="99"/>
    <w:semiHidden/>
    <w:unhideWhenUsed/>
    <w:rsid w:val="00EC5D1F"/>
    <w:rPr>
      <w:vertAlign w:val="superscript"/>
    </w:rPr>
  </w:style>
  <w:style w:type="character" w:styleId="Hyperlink">
    <w:name w:val="Hyperlink"/>
    <w:basedOn w:val="DefaultParagraphFont"/>
    <w:uiPriority w:val="99"/>
    <w:unhideWhenUsed/>
    <w:rsid w:val="00EC5D1F"/>
    <w:rPr>
      <w:color w:val="0563C1" w:themeColor="hyperlink"/>
      <w:u w:val="single"/>
    </w:rPr>
  </w:style>
  <w:style w:type="character" w:styleId="CommentReference">
    <w:name w:val="annotation reference"/>
    <w:basedOn w:val="DefaultParagraphFont"/>
    <w:uiPriority w:val="99"/>
    <w:semiHidden/>
    <w:unhideWhenUsed/>
    <w:rsid w:val="00EC5D1F"/>
    <w:rPr>
      <w:sz w:val="16"/>
      <w:szCs w:val="16"/>
    </w:rPr>
  </w:style>
  <w:style w:type="character" w:customStyle="1" w:styleId="personname">
    <w:name w:val="person_name"/>
    <w:basedOn w:val="DefaultParagraphFont"/>
    <w:rsid w:val="00EC5D1F"/>
  </w:style>
  <w:style w:type="character" w:styleId="Emphasis">
    <w:name w:val="Emphasis"/>
    <w:basedOn w:val="DefaultParagraphFont"/>
    <w:uiPriority w:val="20"/>
    <w:qFormat/>
    <w:rsid w:val="00EC5D1F"/>
    <w:rPr>
      <w:i/>
      <w:iCs/>
    </w:rPr>
  </w:style>
  <w:style w:type="character" w:styleId="UnresolvedMention">
    <w:name w:val="Unresolved Mention"/>
    <w:basedOn w:val="DefaultParagraphFont"/>
    <w:uiPriority w:val="99"/>
    <w:semiHidden/>
    <w:unhideWhenUsed/>
    <w:rsid w:val="00955A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269813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ums.catholic.com/t/st-augustines-four-states-of-afterlife/165305" TargetMode="External"/><Relationship Id="rId17" Type="http://schemas.openxmlformats.org/officeDocument/2006/relationships/hyperlink" Target="http://www.eleusinianm.co.uk/middle-english-literature-retold-in-modern-english/visits-to-purgatory/monk-of-eynsham.%20" TargetMode="External"/><Relationship Id="rId2" Type="http://schemas.openxmlformats.org/officeDocument/2006/relationships/numbering" Target="numbering.xml"/><Relationship Id="rId16" Type="http://schemas.openxmlformats.org/officeDocument/2006/relationships/hyperlink" Target="http://www.jstor.org/stable/21793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3679340" TargetMode="External"/><Relationship Id="rId5" Type="http://schemas.openxmlformats.org/officeDocument/2006/relationships/webSettings" Target="webSettings.xml"/><Relationship Id="rId15" Type="http://schemas.openxmlformats.org/officeDocument/2006/relationships/hyperlink" Target="https://www.winchester-cathedral.org.uk/wp-content/uploads/Bishop-Richard-Fox-His-Reformation-and-Piety-by-Pat-Thornhill.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jstor.org/stable/185207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2179372" TargetMode="External"/><Relationship Id="rId2" Type="http://schemas.openxmlformats.org/officeDocument/2006/relationships/hyperlink" Target="https://forums.catholic.com/t/st-augustines-four-states-of-afterlife/165305" TargetMode="External"/><Relationship Id="rId1" Type="http://schemas.openxmlformats.org/officeDocument/2006/relationships/hyperlink" Target="https://www.catholic.com/magazine/online-edition/is-purgatory-in-the-bible" TargetMode="External"/><Relationship Id="rId5" Type="http://schemas.openxmlformats.org/officeDocument/2006/relationships/hyperlink" Target="http://www.eleusinianm.co.uk/middle-english-literature-retold-in-modern-english/visits-to-purgatory/monk-of-eynsham" TargetMode="External"/><Relationship Id="rId4" Type="http://schemas.openxmlformats.org/officeDocument/2006/relationships/hyperlink" Target="https://salemcc.instructure.com/courses/121/pages/bede-description-of-purgatory-hell-and-heaven-7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55A35E-6665-4B9D-9783-38C81B3FA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3583</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2</cp:revision>
  <dcterms:created xsi:type="dcterms:W3CDTF">2019-02-01T20:37:00Z</dcterms:created>
  <dcterms:modified xsi:type="dcterms:W3CDTF">2019-02-01T20:57:00Z</dcterms:modified>
</cp:coreProperties>
</file>