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AB348D" w14:textId="77777777" w:rsidR="008F6CDB" w:rsidRDefault="008F6CDB" w:rsidP="008F6CDB">
      <w:pPr>
        <w:rPr>
          <w:b/>
          <w:sz w:val="24"/>
          <w:szCs w:val="24"/>
        </w:rPr>
      </w:pPr>
    </w:p>
    <w:p w14:paraId="4F0C0CC4" w14:textId="77777777" w:rsidR="008F6CDB" w:rsidRPr="00711329" w:rsidRDefault="008F6CDB" w:rsidP="008F6CDB">
      <w:pPr>
        <w:spacing w:after="0" w:line="240" w:lineRule="auto"/>
        <w:ind w:left="-180" w:right="-334"/>
        <w:rPr>
          <w:rFonts w:ascii="Georgia" w:eastAsia="SimSun" w:hAnsi="Georgia" w:cs="Times New Roman"/>
          <w:color w:val="000000"/>
          <w:sz w:val="21"/>
          <w:szCs w:val="21"/>
          <w:lang w:eastAsia="zh-CN"/>
        </w:rPr>
      </w:pPr>
      <w:r w:rsidRPr="00711329">
        <w:rPr>
          <w:rFonts w:ascii="Georgia" w:eastAsia="SimSun" w:hAnsi="Georgia" w:cs="Times New Roman"/>
          <w:noProof/>
          <w:color w:val="000000"/>
          <w:sz w:val="21"/>
          <w:szCs w:val="21"/>
          <w:lang w:eastAsia="en-GB"/>
        </w:rPr>
        <w:drawing>
          <wp:inline distT="0" distB="0" distL="0" distR="0" wp14:anchorId="3507F284" wp14:editId="0CEF79E3">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1C52ABAC" w14:textId="77777777" w:rsidR="008F6CDB" w:rsidRPr="00711329" w:rsidRDefault="008F6CDB" w:rsidP="008F6CDB">
      <w:pPr>
        <w:spacing w:after="0" w:line="240" w:lineRule="auto"/>
        <w:ind w:left="-180" w:right="-334"/>
        <w:rPr>
          <w:rFonts w:ascii="Georgia" w:eastAsia="SimSun" w:hAnsi="Georgia" w:cs="Times New Roman"/>
          <w:color w:val="000000"/>
          <w:sz w:val="21"/>
          <w:szCs w:val="21"/>
          <w:lang w:eastAsia="zh-CN"/>
        </w:rPr>
      </w:pPr>
    </w:p>
    <w:p w14:paraId="2A90B19D" w14:textId="77777777" w:rsidR="008F6CDB" w:rsidRPr="00711329" w:rsidRDefault="008F6CDB" w:rsidP="008F6CDB">
      <w:pPr>
        <w:spacing w:after="0" w:line="240" w:lineRule="auto"/>
        <w:ind w:left="-180" w:right="-334"/>
        <w:rPr>
          <w:rFonts w:ascii="Georgia" w:eastAsia="SimSun" w:hAnsi="Georgia" w:cs="Times New Roman"/>
          <w:color w:val="000000"/>
          <w:sz w:val="21"/>
          <w:szCs w:val="21"/>
          <w:lang w:eastAsia="zh-CN"/>
        </w:rPr>
      </w:pPr>
    </w:p>
    <w:p w14:paraId="0BFA9C7F" w14:textId="77777777" w:rsidR="008F6CDB" w:rsidRPr="00711329" w:rsidRDefault="008F6CDB" w:rsidP="008F6CDB">
      <w:pPr>
        <w:spacing w:after="0" w:line="240" w:lineRule="auto"/>
        <w:ind w:left="-180" w:right="-334"/>
        <w:jc w:val="center"/>
        <w:rPr>
          <w:rFonts w:ascii="Arial" w:eastAsia="SimSun" w:hAnsi="Arial" w:cs="Arial"/>
          <w:b/>
          <w:color w:val="000000"/>
          <w:sz w:val="28"/>
          <w:szCs w:val="28"/>
          <w:lang w:val="cy-GB" w:eastAsia="zh-CN"/>
        </w:rPr>
      </w:pPr>
      <w:r w:rsidRPr="00711329">
        <w:rPr>
          <w:rFonts w:ascii="Arial" w:eastAsia="SimSun" w:hAnsi="Arial" w:cs="Arial"/>
          <w:b/>
          <w:color w:val="000000"/>
          <w:sz w:val="28"/>
          <w:szCs w:val="28"/>
          <w:lang w:val="cy-GB" w:eastAsia="zh-CN"/>
        </w:rPr>
        <w:t xml:space="preserve">Postgraduate/Distance Learning </w:t>
      </w:r>
    </w:p>
    <w:p w14:paraId="28525A0D" w14:textId="77777777" w:rsidR="008F6CDB" w:rsidRPr="00711329" w:rsidRDefault="008F6CDB" w:rsidP="008F6CDB">
      <w:pPr>
        <w:spacing w:after="0" w:line="240" w:lineRule="auto"/>
        <w:ind w:left="-180" w:right="-334"/>
        <w:jc w:val="center"/>
        <w:rPr>
          <w:rFonts w:ascii="Arial" w:eastAsia="SimSun" w:hAnsi="Arial" w:cs="Arial"/>
          <w:b/>
          <w:color w:val="000000"/>
          <w:sz w:val="28"/>
          <w:szCs w:val="28"/>
          <w:lang w:eastAsia="zh-CN"/>
        </w:rPr>
      </w:pPr>
      <w:r w:rsidRPr="00711329">
        <w:rPr>
          <w:rFonts w:ascii="Arial" w:eastAsia="SimSun" w:hAnsi="Arial" w:cs="Arial"/>
          <w:b/>
          <w:color w:val="000000"/>
          <w:sz w:val="28"/>
          <w:szCs w:val="28"/>
          <w:lang w:val="cy-GB" w:eastAsia="zh-CN"/>
        </w:rPr>
        <w:t>Assignment coversheet &amp; feedback form</w:t>
      </w:r>
    </w:p>
    <w:p w14:paraId="7A557B1D" w14:textId="77777777" w:rsidR="008F6CDB" w:rsidRPr="00711329" w:rsidRDefault="008F6CDB" w:rsidP="008F6CDB">
      <w:pPr>
        <w:rPr>
          <w:rFonts w:ascii="Arial" w:hAnsi="Arial" w:cs="Arial"/>
          <w:sz w:val="28"/>
          <w:szCs w:val="28"/>
          <w:lang w:val="cy-GB"/>
        </w:rPr>
      </w:pPr>
    </w:p>
    <w:p w14:paraId="3C60F1EF" w14:textId="77777777" w:rsidR="008F6CDB" w:rsidRPr="00711329" w:rsidRDefault="008F6CDB" w:rsidP="008F6CDB">
      <w:pPr>
        <w:keepNext/>
        <w:spacing w:after="0" w:line="240" w:lineRule="auto"/>
        <w:ind w:left="720"/>
        <w:jc w:val="center"/>
        <w:outlineLvl w:val="2"/>
        <w:rPr>
          <w:rFonts w:ascii="Tahoma" w:eastAsia="SimSun" w:hAnsi="Tahoma" w:cs="Tahoma"/>
          <w:b/>
          <w:bCs/>
          <w:sz w:val="20"/>
          <w:szCs w:val="20"/>
          <w:lang w:val="cy-GB" w:eastAsia="zh-CN"/>
        </w:rPr>
      </w:pPr>
      <w:r w:rsidRPr="00711329">
        <w:rPr>
          <w:rFonts w:ascii="Tahoma" w:eastAsia="SimSun" w:hAnsi="Tahoma" w:cs="Tahoma"/>
          <w:b/>
          <w:bCs/>
          <w:sz w:val="20"/>
          <w:szCs w:val="20"/>
          <w:lang w:val="cy-GB" w:eastAsia="zh-CN"/>
        </w:rPr>
        <w:t>THIS SHEET MUST BE THE FIRST PAGE OF THE ASSIGNMENT YOU ARE SUBMITTING  (DO NOT SEND AS A SEPARATE FILE)</w:t>
      </w:r>
    </w:p>
    <w:p w14:paraId="6E2E34F7" w14:textId="77777777" w:rsidR="008F6CDB" w:rsidRPr="00711329" w:rsidRDefault="008F6CDB" w:rsidP="008F6CDB">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8F6CDB" w:rsidRPr="00711329" w14:paraId="4F25DF70" w14:textId="77777777" w:rsidTr="00782BDB">
        <w:trPr>
          <w:trHeight w:val="614"/>
        </w:trPr>
        <w:tc>
          <w:tcPr>
            <w:tcW w:w="8856" w:type="dxa"/>
            <w:gridSpan w:val="5"/>
          </w:tcPr>
          <w:p w14:paraId="7DB2CB15" w14:textId="77777777" w:rsidR="008F6CDB" w:rsidRPr="00711329" w:rsidRDefault="008F6CDB" w:rsidP="00782BDB">
            <w:pPr>
              <w:spacing w:after="0" w:line="240" w:lineRule="auto"/>
              <w:ind w:right="34"/>
              <w:rPr>
                <w:rFonts w:ascii="Arial" w:eastAsia="SimSun" w:hAnsi="Arial" w:cs="Arial"/>
                <w:color w:val="000000"/>
                <w:lang w:eastAsia="zh-CN"/>
              </w:rPr>
            </w:pPr>
            <w:r w:rsidRPr="00711329">
              <w:rPr>
                <w:rFonts w:ascii="Arial" w:eastAsia="SimSun" w:hAnsi="Arial" w:cs="Arial"/>
                <w:b/>
                <w:color w:val="000000"/>
                <w:lang w:eastAsia="zh-CN"/>
              </w:rPr>
              <w:t>For completion by the student</w:t>
            </w:r>
            <w:r w:rsidRPr="00711329">
              <w:rPr>
                <w:rFonts w:ascii="Arial" w:eastAsia="SimSun" w:hAnsi="Arial" w:cs="Arial"/>
                <w:color w:val="000000"/>
                <w:lang w:eastAsia="zh-CN"/>
              </w:rPr>
              <w:t>:</w:t>
            </w:r>
          </w:p>
        </w:tc>
      </w:tr>
      <w:tr w:rsidR="008F6CDB" w:rsidRPr="00711329" w14:paraId="208B50F9" w14:textId="77777777" w:rsidTr="00782BDB">
        <w:trPr>
          <w:trHeight w:val="718"/>
        </w:trPr>
        <w:tc>
          <w:tcPr>
            <w:tcW w:w="8856" w:type="dxa"/>
            <w:gridSpan w:val="5"/>
          </w:tcPr>
          <w:p w14:paraId="7AF99A6F" w14:textId="77777777" w:rsidR="008F6CDB" w:rsidRPr="00711329" w:rsidRDefault="008F6CDB" w:rsidP="00782BDB">
            <w:pPr>
              <w:spacing w:after="0" w:line="240" w:lineRule="auto"/>
              <w:ind w:right="34"/>
              <w:rPr>
                <w:rFonts w:ascii="Arial" w:eastAsia="SimSun" w:hAnsi="Arial" w:cs="Arial"/>
                <w:color w:val="000000"/>
                <w:lang w:eastAsia="zh-CN"/>
              </w:rPr>
            </w:pPr>
            <w:r w:rsidRPr="00711329">
              <w:rPr>
                <w:rFonts w:ascii="Arial" w:eastAsia="SimSun" w:hAnsi="Arial" w:cs="Arial"/>
                <w:color w:val="000000"/>
                <w:lang w:eastAsia="zh-CN"/>
              </w:rPr>
              <w:t>Student Name: Colin Laker</w:t>
            </w:r>
          </w:p>
          <w:p w14:paraId="54A690DB" w14:textId="77777777" w:rsidR="008F6CDB" w:rsidRPr="00711329" w:rsidRDefault="008F6CDB" w:rsidP="00782BDB">
            <w:pPr>
              <w:spacing w:after="0" w:line="240" w:lineRule="auto"/>
              <w:ind w:right="34"/>
              <w:rPr>
                <w:rFonts w:ascii="Arial" w:eastAsia="SimSun" w:hAnsi="Arial" w:cs="Arial"/>
                <w:color w:val="000000"/>
                <w:lang w:eastAsia="zh-CN"/>
              </w:rPr>
            </w:pPr>
          </w:p>
          <w:p w14:paraId="150FF734" w14:textId="77777777" w:rsidR="008F6CDB" w:rsidRPr="00711329" w:rsidRDefault="008F6CDB" w:rsidP="00782BDB">
            <w:pPr>
              <w:spacing w:after="0" w:line="240" w:lineRule="auto"/>
              <w:ind w:right="34"/>
              <w:rPr>
                <w:rFonts w:ascii="Arial" w:eastAsia="SimSun" w:hAnsi="Arial" w:cs="Arial"/>
                <w:color w:val="000000"/>
                <w:lang w:eastAsia="zh-CN"/>
              </w:rPr>
            </w:pPr>
            <w:r w:rsidRPr="00711329">
              <w:rPr>
                <w:rFonts w:ascii="Arial" w:eastAsia="SimSun" w:hAnsi="Arial" w:cs="Arial"/>
                <w:color w:val="000000"/>
                <w:lang w:eastAsia="zh-CN"/>
              </w:rPr>
              <w:t xml:space="preserve">Student </w:t>
            </w:r>
            <w:r w:rsidRPr="00711329">
              <w:rPr>
                <w:rFonts w:ascii="Arial" w:eastAsia="SimSun" w:hAnsi="Arial" w:cs="Arial"/>
                <w:b/>
                <w:bCs/>
                <w:color w:val="000000"/>
                <w:u w:val="single"/>
                <w:lang w:eastAsia="zh-CN"/>
              </w:rPr>
              <w:t>University</w:t>
            </w:r>
            <w:r w:rsidRPr="00711329">
              <w:rPr>
                <w:rFonts w:ascii="Arial" w:eastAsia="SimSun" w:hAnsi="Arial" w:cs="Arial"/>
                <w:color w:val="000000"/>
                <w:u w:val="single"/>
                <w:lang w:eastAsia="zh-CN"/>
              </w:rPr>
              <w:t xml:space="preserve"> </w:t>
            </w:r>
            <w:r w:rsidRPr="00711329">
              <w:rPr>
                <w:rFonts w:ascii="Arial" w:eastAsia="SimSun" w:hAnsi="Arial" w:cs="Arial"/>
                <w:color w:val="000000"/>
                <w:lang w:eastAsia="zh-CN"/>
              </w:rPr>
              <w:t>Email:  2002290@student.uwtsd.ac.uk</w:t>
            </w:r>
          </w:p>
        </w:tc>
      </w:tr>
      <w:tr w:rsidR="008F6CDB" w:rsidRPr="00711329" w14:paraId="27E2BF5D" w14:textId="77777777" w:rsidTr="00782BDB">
        <w:trPr>
          <w:trHeight w:val="849"/>
        </w:trPr>
        <w:tc>
          <w:tcPr>
            <w:tcW w:w="4788" w:type="dxa"/>
          </w:tcPr>
          <w:p w14:paraId="1BAE1416" w14:textId="156B4698" w:rsidR="008F6CDB" w:rsidRPr="00711329" w:rsidRDefault="008F6CDB" w:rsidP="00782BDB">
            <w:pPr>
              <w:spacing w:after="0" w:line="240" w:lineRule="auto"/>
              <w:ind w:right="34"/>
              <w:rPr>
                <w:rFonts w:ascii="Arial" w:eastAsia="SimSun" w:hAnsi="Arial" w:cs="Arial"/>
                <w:color w:val="000000"/>
                <w:lang w:eastAsia="zh-CN"/>
              </w:rPr>
            </w:pPr>
            <w:r w:rsidRPr="00711329">
              <w:rPr>
                <w:rFonts w:ascii="Arial" w:eastAsia="SimSun" w:hAnsi="Arial" w:cs="Arial"/>
                <w:color w:val="000000"/>
                <w:lang w:eastAsia="zh-CN"/>
              </w:rPr>
              <w:t>Module code:</w:t>
            </w:r>
            <w:r>
              <w:rPr>
                <w:rFonts w:ascii="Arial" w:eastAsia="SimSun" w:hAnsi="Arial" w:cs="Arial"/>
                <w:color w:val="000000"/>
                <w:lang w:eastAsia="zh-CN"/>
              </w:rPr>
              <w:t xml:space="preserve">  CYCS70</w:t>
            </w:r>
            <w:r w:rsidR="00531DC5">
              <w:rPr>
                <w:rFonts w:ascii="Arial" w:eastAsia="SimSun" w:hAnsi="Arial" w:cs="Arial"/>
                <w:color w:val="000000"/>
                <w:lang w:eastAsia="zh-CN"/>
              </w:rPr>
              <w:t>21</w:t>
            </w:r>
          </w:p>
          <w:p w14:paraId="0045493E" w14:textId="77777777" w:rsidR="008F6CDB" w:rsidRPr="00711329" w:rsidRDefault="008F6CDB" w:rsidP="00782BDB">
            <w:pPr>
              <w:spacing w:after="0" w:line="240" w:lineRule="auto"/>
              <w:ind w:right="34"/>
              <w:rPr>
                <w:rFonts w:ascii="Arial" w:eastAsia="SimSun" w:hAnsi="Arial" w:cs="Arial"/>
                <w:color w:val="000000"/>
                <w:lang w:eastAsia="zh-CN"/>
              </w:rPr>
            </w:pPr>
          </w:p>
          <w:p w14:paraId="7D177A4E" w14:textId="62DF02D5" w:rsidR="008F6CDB" w:rsidRPr="00711329" w:rsidRDefault="008F6CDB" w:rsidP="00782BDB">
            <w:pPr>
              <w:spacing w:after="0" w:line="240" w:lineRule="auto"/>
              <w:ind w:right="34"/>
              <w:rPr>
                <w:rFonts w:ascii="Arial" w:eastAsia="SimSun" w:hAnsi="Arial" w:cs="Arial"/>
                <w:color w:val="000000"/>
                <w:lang w:eastAsia="zh-CN"/>
              </w:rPr>
            </w:pPr>
            <w:r w:rsidRPr="00711329">
              <w:rPr>
                <w:rFonts w:ascii="Arial" w:eastAsia="SimSun" w:hAnsi="Arial" w:cs="Arial"/>
                <w:color w:val="000000"/>
                <w:lang w:eastAsia="zh-CN"/>
              </w:rPr>
              <w:t xml:space="preserve">Module </w:t>
            </w:r>
            <w:r>
              <w:rPr>
                <w:rFonts w:ascii="Arial" w:eastAsia="SimSun" w:hAnsi="Arial" w:cs="Arial"/>
                <w:color w:val="000000"/>
                <w:lang w:eastAsia="zh-CN"/>
              </w:rPr>
              <w:t xml:space="preserve">title:  </w:t>
            </w:r>
            <w:r w:rsidR="00531DC5">
              <w:rPr>
                <w:rFonts w:ascii="Arial" w:eastAsia="SimSun" w:hAnsi="Arial" w:cs="Arial"/>
                <w:color w:val="000000"/>
                <w:lang w:eastAsia="zh-CN"/>
              </w:rPr>
              <w:t xml:space="preserve">The Celtic Arthur and the Matter of Britain </w:t>
            </w:r>
          </w:p>
          <w:p w14:paraId="08BBF7AE" w14:textId="77777777" w:rsidR="008F6CDB" w:rsidRPr="00711329" w:rsidRDefault="008F6CDB" w:rsidP="00782BDB">
            <w:pPr>
              <w:spacing w:after="0" w:line="240" w:lineRule="auto"/>
              <w:ind w:right="34"/>
              <w:rPr>
                <w:rFonts w:ascii="Arial" w:eastAsia="SimSun" w:hAnsi="Arial" w:cs="Arial"/>
                <w:color w:val="000000"/>
                <w:lang w:eastAsia="zh-CN"/>
              </w:rPr>
            </w:pPr>
          </w:p>
          <w:p w14:paraId="2E197AF2" w14:textId="77777777" w:rsidR="008F6CDB" w:rsidRPr="00711329" w:rsidRDefault="008F6CDB" w:rsidP="00782BDB">
            <w:pPr>
              <w:spacing w:after="0" w:line="240" w:lineRule="auto"/>
              <w:ind w:right="34"/>
              <w:rPr>
                <w:rFonts w:ascii="Arial" w:eastAsia="SimSun" w:hAnsi="Arial" w:cs="Arial"/>
                <w:color w:val="000000"/>
                <w:lang w:eastAsia="zh-CN"/>
              </w:rPr>
            </w:pPr>
          </w:p>
        </w:tc>
        <w:tc>
          <w:tcPr>
            <w:tcW w:w="2266" w:type="dxa"/>
            <w:gridSpan w:val="3"/>
          </w:tcPr>
          <w:p w14:paraId="228E5A40" w14:textId="77777777" w:rsidR="008F6CDB" w:rsidRPr="00711329" w:rsidRDefault="008F6CDB" w:rsidP="00782BDB">
            <w:pPr>
              <w:spacing w:after="0" w:line="240" w:lineRule="auto"/>
              <w:ind w:right="34"/>
              <w:rPr>
                <w:rFonts w:ascii="Arial" w:eastAsia="SimSun" w:hAnsi="Arial" w:cs="Arial"/>
                <w:color w:val="000000"/>
                <w:lang w:eastAsia="zh-CN"/>
              </w:rPr>
            </w:pPr>
            <w:r w:rsidRPr="00711329">
              <w:rPr>
                <w:rFonts w:ascii="Arial" w:eastAsia="SimSun" w:hAnsi="Arial" w:cs="Arial"/>
                <w:color w:val="000000"/>
                <w:lang w:eastAsia="zh-CN"/>
              </w:rPr>
              <w:t>Student ID number:</w:t>
            </w:r>
          </w:p>
          <w:p w14:paraId="4A2915E7" w14:textId="77777777" w:rsidR="008F6CDB" w:rsidRPr="00711329" w:rsidRDefault="008F6CDB" w:rsidP="00782BDB">
            <w:pPr>
              <w:spacing w:after="0" w:line="240" w:lineRule="auto"/>
              <w:ind w:right="34"/>
              <w:rPr>
                <w:rFonts w:ascii="Arial" w:eastAsia="SimSun" w:hAnsi="Arial" w:cs="Arial"/>
                <w:color w:val="000000"/>
                <w:lang w:eastAsia="zh-CN"/>
              </w:rPr>
            </w:pPr>
            <w:r w:rsidRPr="00711329">
              <w:rPr>
                <w:rFonts w:ascii="Arial" w:eastAsia="SimSun" w:hAnsi="Arial" w:cs="Arial"/>
                <w:color w:val="000000"/>
                <w:lang w:eastAsia="zh-CN"/>
              </w:rPr>
              <w:t>2002290</w:t>
            </w:r>
          </w:p>
        </w:tc>
        <w:tc>
          <w:tcPr>
            <w:tcW w:w="1802" w:type="dxa"/>
          </w:tcPr>
          <w:p w14:paraId="253A11CA" w14:textId="77777777" w:rsidR="008F6CDB" w:rsidRPr="00711329" w:rsidRDefault="008F6CDB" w:rsidP="00782BDB">
            <w:pPr>
              <w:spacing w:after="0" w:line="240" w:lineRule="auto"/>
              <w:ind w:right="34"/>
              <w:rPr>
                <w:rFonts w:ascii="Arial" w:eastAsia="SimSun" w:hAnsi="Arial" w:cs="Arial"/>
                <w:color w:val="000000"/>
                <w:lang w:eastAsia="zh-CN"/>
              </w:rPr>
            </w:pPr>
            <w:r w:rsidRPr="00711329">
              <w:rPr>
                <w:rFonts w:ascii="Arial" w:eastAsia="SimSun" w:hAnsi="Arial" w:cs="Arial"/>
                <w:color w:val="000000"/>
                <w:lang w:eastAsia="zh-CN"/>
              </w:rPr>
              <w:t>Educational support needs:</w:t>
            </w:r>
          </w:p>
          <w:p w14:paraId="3FC9482D" w14:textId="77777777" w:rsidR="008F6CDB" w:rsidRPr="00711329" w:rsidRDefault="008F6CDB" w:rsidP="00782BDB">
            <w:pPr>
              <w:spacing w:after="0" w:line="240" w:lineRule="auto"/>
              <w:ind w:right="34"/>
              <w:rPr>
                <w:rFonts w:ascii="Arial" w:eastAsia="SimSun" w:hAnsi="Arial" w:cs="Arial"/>
                <w:color w:val="000000"/>
                <w:lang w:eastAsia="zh-CN"/>
              </w:rPr>
            </w:pPr>
            <w:r w:rsidRPr="00711329">
              <w:rPr>
                <w:rFonts w:ascii="Arial" w:eastAsia="SimSun" w:hAnsi="Arial" w:cs="Arial"/>
                <w:color w:val="000000"/>
                <w:lang w:eastAsia="zh-CN"/>
              </w:rPr>
              <w:t>No</w:t>
            </w:r>
          </w:p>
        </w:tc>
      </w:tr>
      <w:tr w:rsidR="008F6CDB" w:rsidRPr="00711329" w14:paraId="272C5331" w14:textId="77777777" w:rsidTr="00782BDB">
        <w:trPr>
          <w:trHeight w:val="1139"/>
        </w:trPr>
        <w:tc>
          <w:tcPr>
            <w:tcW w:w="8856" w:type="dxa"/>
            <w:gridSpan w:val="5"/>
          </w:tcPr>
          <w:p w14:paraId="40DD44D4" w14:textId="33BA7FAA" w:rsidR="008F6CDB" w:rsidRPr="00531DC5" w:rsidRDefault="008F6CDB" w:rsidP="00531DC5">
            <w:pPr>
              <w:rPr>
                <w:b/>
                <w:sz w:val="24"/>
                <w:szCs w:val="24"/>
              </w:rPr>
            </w:pPr>
            <w:r w:rsidRPr="00711329">
              <w:rPr>
                <w:rFonts w:ascii="Arial" w:eastAsia="SimSun" w:hAnsi="Arial" w:cs="Arial"/>
                <w:color w:val="000000"/>
                <w:lang w:eastAsia="zh-CN"/>
              </w:rPr>
              <w:t>Assignment title</w:t>
            </w:r>
            <w:r w:rsidRPr="00531DC5">
              <w:rPr>
                <w:rFonts w:ascii="Arial" w:eastAsia="SimSun" w:hAnsi="Arial" w:cs="Arial"/>
                <w:b/>
                <w:color w:val="000000"/>
                <w:lang w:eastAsia="zh-CN"/>
              </w:rPr>
              <w:t xml:space="preserve">: </w:t>
            </w:r>
            <w:r w:rsidR="00531DC5" w:rsidRPr="00531DC5">
              <w:rPr>
                <w:b/>
                <w:sz w:val="24"/>
                <w:szCs w:val="24"/>
              </w:rPr>
              <w:t>Outline the critical debate which has surrounded the historicity of Arthur. Do you agree that it is the lack of key biographical details relating to Arthur that has made him so amenable to literary contexts?</w:t>
            </w:r>
          </w:p>
          <w:p w14:paraId="03A6417A" w14:textId="77777777" w:rsidR="008F6CDB" w:rsidRPr="00711329" w:rsidRDefault="008F6CDB" w:rsidP="00782BDB">
            <w:pPr>
              <w:spacing w:after="0" w:line="240" w:lineRule="auto"/>
              <w:ind w:right="34"/>
              <w:rPr>
                <w:rFonts w:ascii="Arial" w:eastAsia="SimSun" w:hAnsi="Arial" w:cs="Arial"/>
                <w:color w:val="000000"/>
                <w:lang w:eastAsia="zh-CN"/>
              </w:rPr>
            </w:pPr>
          </w:p>
          <w:p w14:paraId="1C2A8B3D" w14:textId="7B5C6E3B" w:rsidR="008F6CDB" w:rsidRPr="00711329" w:rsidRDefault="008F6CDB" w:rsidP="00782BDB">
            <w:pPr>
              <w:spacing w:after="0" w:line="240" w:lineRule="auto"/>
              <w:ind w:right="34"/>
              <w:rPr>
                <w:rFonts w:ascii="Arial" w:eastAsia="SimSun" w:hAnsi="Arial" w:cs="Arial"/>
                <w:color w:val="000000"/>
                <w:lang w:eastAsia="zh-CN"/>
              </w:rPr>
            </w:pPr>
            <w:r w:rsidRPr="00711329">
              <w:rPr>
                <w:rFonts w:ascii="Arial" w:eastAsia="SimSun" w:hAnsi="Arial" w:cs="Arial"/>
                <w:color w:val="000000"/>
                <w:lang w:eastAsia="zh-CN"/>
              </w:rPr>
              <w:t>Assignment due date:</w:t>
            </w:r>
            <w:r>
              <w:rPr>
                <w:rFonts w:ascii="Arial" w:eastAsia="SimSun" w:hAnsi="Arial" w:cs="Arial"/>
                <w:color w:val="000000"/>
                <w:lang w:eastAsia="zh-CN"/>
              </w:rPr>
              <w:t xml:space="preserve">  </w:t>
            </w:r>
            <w:r w:rsidR="00531DC5">
              <w:rPr>
                <w:rFonts w:ascii="Arial" w:eastAsia="SimSun" w:hAnsi="Arial" w:cs="Arial"/>
                <w:color w:val="000000"/>
                <w:lang w:eastAsia="zh-CN"/>
              </w:rPr>
              <w:t>14</w:t>
            </w:r>
            <w:r>
              <w:rPr>
                <w:rFonts w:ascii="Arial" w:eastAsia="SimSun" w:hAnsi="Arial" w:cs="Arial"/>
                <w:color w:val="000000"/>
                <w:lang w:eastAsia="zh-CN"/>
              </w:rPr>
              <w:t>.1.18</w:t>
            </w:r>
          </w:p>
        </w:tc>
      </w:tr>
      <w:tr w:rsidR="008F6CDB" w:rsidRPr="00711329" w14:paraId="5590E2E2" w14:textId="77777777" w:rsidTr="00782BDB">
        <w:trPr>
          <w:trHeight w:val="978"/>
        </w:trPr>
        <w:tc>
          <w:tcPr>
            <w:tcW w:w="8856" w:type="dxa"/>
            <w:gridSpan w:val="5"/>
            <w:tcBorders>
              <w:bottom w:val="single" w:sz="4" w:space="0" w:color="000000"/>
            </w:tcBorders>
          </w:tcPr>
          <w:p w14:paraId="6A8042D5" w14:textId="3795519E" w:rsidR="008F6CDB" w:rsidRPr="00711329" w:rsidRDefault="008F6CDB" w:rsidP="00782BDB">
            <w:pPr>
              <w:rPr>
                <w:rFonts w:ascii="Arial" w:hAnsi="Arial" w:cs="Arial"/>
              </w:rPr>
            </w:pPr>
            <w:r w:rsidRPr="00711329">
              <w:rPr>
                <w:rFonts w:ascii="Arial" w:hAnsi="Arial" w:cs="Arial"/>
              </w:rPr>
              <w:t>This assignment is for the       1</w:t>
            </w:r>
            <w:r w:rsidRPr="00711329">
              <w:rPr>
                <w:rFonts w:ascii="Arial" w:hAnsi="Arial" w:cs="Arial"/>
                <w:vertAlign w:val="superscript"/>
              </w:rPr>
              <w:t xml:space="preserve">st </w:t>
            </w:r>
            <w:r w:rsidRPr="00711329">
              <w:rPr>
                <w:rFonts w:ascii="Arial" w:hAnsi="Arial" w:cs="Arial"/>
              </w:rPr>
              <w:fldChar w:fldCharType="begin">
                <w:ffData>
                  <w:name w:val="Check13"/>
                  <w:enabled/>
                  <w:calcOnExit w:val="0"/>
                  <w:checkBox>
                    <w:sizeAuto/>
                    <w:default w:val="0"/>
                  </w:checkBox>
                </w:ffData>
              </w:fldChar>
            </w:r>
            <w:bookmarkStart w:id="0" w:name="Check13"/>
            <w:r w:rsidRPr="00711329">
              <w:rPr>
                <w:rFonts w:ascii="Arial" w:hAnsi="Arial" w:cs="Arial"/>
              </w:rPr>
              <w:instrText xml:space="preserve"> FORMCHECKBOX </w:instrText>
            </w:r>
            <w:r>
              <w:rPr>
                <w:rFonts w:ascii="Arial" w:hAnsi="Arial" w:cs="Arial"/>
              </w:rPr>
            </w:r>
            <w:r>
              <w:rPr>
                <w:rFonts w:ascii="Arial" w:hAnsi="Arial" w:cs="Arial"/>
              </w:rPr>
              <w:fldChar w:fldCharType="separate"/>
            </w:r>
            <w:r w:rsidRPr="00711329">
              <w:rPr>
                <w:rFonts w:ascii="Arial" w:hAnsi="Arial" w:cs="Arial"/>
              </w:rPr>
              <w:fldChar w:fldCharType="end"/>
            </w:r>
            <w:bookmarkEnd w:id="0"/>
            <w:r w:rsidRPr="00711329">
              <w:rPr>
                <w:rFonts w:ascii="Arial" w:hAnsi="Arial" w:cs="Arial"/>
              </w:rPr>
              <w:t xml:space="preserve">    2</w:t>
            </w:r>
            <w:r w:rsidRPr="00711329">
              <w:rPr>
                <w:rFonts w:ascii="Arial" w:hAnsi="Arial" w:cs="Arial"/>
                <w:vertAlign w:val="superscript"/>
              </w:rPr>
              <w:t>nd</w:t>
            </w:r>
            <w:r>
              <w:rPr>
                <w:rFonts w:ascii="Arial" w:hAnsi="Arial" w:cs="Arial"/>
              </w:rPr>
              <w:t xml:space="preserve">  </w:t>
            </w:r>
            <w:r w:rsidRPr="00711329">
              <w:rPr>
                <w:rFonts w:ascii="Arial" w:hAnsi="Arial" w:cs="Arial"/>
              </w:rPr>
              <w:fldChar w:fldCharType="begin">
                <w:ffData>
                  <w:name w:val="Check14"/>
                  <w:enabled/>
                  <w:calcOnExit w:val="0"/>
                  <w:checkBox>
                    <w:sizeAuto/>
                    <w:default w:val="0"/>
                  </w:checkBox>
                </w:ffData>
              </w:fldChar>
            </w:r>
            <w:bookmarkStart w:id="1" w:name="Check14"/>
            <w:r w:rsidRPr="00711329">
              <w:rPr>
                <w:rFonts w:ascii="Arial" w:hAnsi="Arial" w:cs="Arial"/>
              </w:rPr>
              <w:instrText xml:space="preserve"> FORMCHECKBOX </w:instrText>
            </w:r>
            <w:r>
              <w:rPr>
                <w:rFonts w:ascii="Arial" w:hAnsi="Arial" w:cs="Arial"/>
              </w:rPr>
            </w:r>
            <w:r>
              <w:rPr>
                <w:rFonts w:ascii="Arial" w:hAnsi="Arial" w:cs="Arial"/>
              </w:rPr>
              <w:fldChar w:fldCharType="separate"/>
            </w:r>
            <w:r w:rsidRPr="00711329">
              <w:rPr>
                <w:rFonts w:ascii="Arial" w:hAnsi="Arial" w:cs="Arial"/>
              </w:rPr>
              <w:fldChar w:fldCharType="end"/>
            </w:r>
            <w:bookmarkEnd w:id="1"/>
            <w:r w:rsidRPr="00711329">
              <w:rPr>
                <w:rFonts w:ascii="Arial" w:hAnsi="Arial" w:cs="Arial"/>
              </w:rPr>
              <w:t xml:space="preserve">     3</w:t>
            </w:r>
            <w:r w:rsidRPr="00711329">
              <w:rPr>
                <w:rFonts w:ascii="Arial" w:hAnsi="Arial" w:cs="Arial"/>
                <w:vertAlign w:val="superscript"/>
              </w:rPr>
              <w:t>rd</w:t>
            </w:r>
            <w:r w:rsidRPr="00711329">
              <w:rPr>
                <w:rFonts w:ascii="Arial" w:hAnsi="Arial" w:cs="Arial"/>
              </w:rPr>
              <w:t xml:space="preserve">  </w:t>
            </w:r>
            <w:r w:rsidRPr="00711329">
              <w:rPr>
                <w:rFonts w:ascii="Arial" w:hAnsi="Arial" w:cs="Arial"/>
              </w:rPr>
              <w:fldChar w:fldCharType="begin">
                <w:ffData>
                  <w:name w:val="Check15"/>
                  <w:enabled/>
                  <w:calcOnExit w:val="0"/>
                  <w:checkBox>
                    <w:sizeAuto/>
                    <w:default w:val="0"/>
                  </w:checkBox>
                </w:ffData>
              </w:fldChar>
            </w:r>
            <w:bookmarkStart w:id="2" w:name="Check15"/>
            <w:r w:rsidRPr="00711329">
              <w:rPr>
                <w:rFonts w:ascii="Arial" w:hAnsi="Arial" w:cs="Arial"/>
              </w:rPr>
              <w:instrText xml:space="preserve"> FORMCHECKBOX </w:instrText>
            </w:r>
            <w:r>
              <w:rPr>
                <w:rFonts w:ascii="Arial" w:hAnsi="Arial" w:cs="Arial"/>
              </w:rPr>
            </w:r>
            <w:r>
              <w:rPr>
                <w:rFonts w:ascii="Arial" w:hAnsi="Arial" w:cs="Arial"/>
              </w:rPr>
              <w:fldChar w:fldCharType="separate"/>
            </w:r>
            <w:r w:rsidRPr="00711329">
              <w:rPr>
                <w:rFonts w:ascii="Arial" w:hAnsi="Arial" w:cs="Arial"/>
              </w:rPr>
              <w:fldChar w:fldCharType="end"/>
            </w:r>
            <w:bookmarkEnd w:id="2"/>
            <w:r w:rsidRPr="00711329">
              <w:rPr>
                <w:rFonts w:ascii="Arial" w:hAnsi="Arial" w:cs="Arial"/>
              </w:rPr>
              <w:t xml:space="preserve">      4</w:t>
            </w:r>
            <w:r w:rsidRPr="00711329">
              <w:rPr>
                <w:rFonts w:ascii="Arial" w:hAnsi="Arial" w:cs="Arial"/>
                <w:vertAlign w:val="superscript"/>
              </w:rPr>
              <w:t>th</w:t>
            </w:r>
            <w:r w:rsidRPr="00711329">
              <w:rPr>
                <w:rFonts w:ascii="Arial" w:hAnsi="Arial" w:cs="Arial"/>
              </w:rPr>
              <w:t xml:space="preserve"> </w:t>
            </w:r>
            <w:r w:rsidRPr="00711329">
              <w:rPr>
                <w:rFonts w:ascii="Arial" w:hAnsi="Arial" w:cs="Arial"/>
              </w:rPr>
              <w:fldChar w:fldCharType="begin">
                <w:ffData>
                  <w:name w:val="Check16"/>
                  <w:enabled/>
                  <w:calcOnExit w:val="0"/>
                  <w:checkBox>
                    <w:sizeAuto/>
                    <w:default w:val="0"/>
                  </w:checkBox>
                </w:ffData>
              </w:fldChar>
            </w:r>
            <w:bookmarkStart w:id="3" w:name="Check16"/>
            <w:r w:rsidRPr="00711329">
              <w:rPr>
                <w:rFonts w:ascii="Arial" w:hAnsi="Arial" w:cs="Arial"/>
              </w:rPr>
              <w:instrText xml:space="preserve"> FORMCHECKBOX </w:instrText>
            </w:r>
            <w:r>
              <w:rPr>
                <w:rFonts w:ascii="Arial" w:hAnsi="Arial" w:cs="Arial"/>
              </w:rPr>
            </w:r>
            <w:r>
              <w:rPr>
                <w:rFonts w:ascii="Arial" w:hAnsi="Arial" w:cs="Arial"/>
              </w:rPr>
              <w:fldChar w:fldCharType="separate"/>
            </w:r>
            <w:r w:rsidRPr="00711329">
              <w:rPr>
                <w:rFonts w:ascii="Arial" w:hAnsi="Arial" w:cs="Arial"/>
              </w:rPr>
              <w:fldChar w:fldCharType="end"/>
            </w:r>
            <w:bookmarkEnd w:id="3"/>
            <w:r w:rsidRPr="00711329">
              <w:rPr>
                <w:rFonts w:ascii="Arial" w:hAnsi="Arial" w:cs="Arial"/>
              </w:rPr>
              <w:t xml:space="preserve">      </w:t>
            </w:r>
            <w:r w:rsidR="00531DC5">
              <w:rPr>
                <w:rFonts w:ascii="Arial" w:hAnsi="Arial" w:cs="Arial"/>
              </w:rPr>
              <w:t>x</w:t>
            </w:r>
            <w:r w:rsidRPr="00711329">
              <w:rPr>
                <w:rFonts w:ascii="Arial" w:hAnsi="Arial" w:cs="Arial"/>
              </w:rPr>
              <w:t>5</w:t>
            </w:r>
            <w:r w:rsidRPr="00711329">
              <w:rPr>
                <w:rFonts w:ascii="Arial" w:hAnsi="Arial" w:cs="Arial"/>
                <w:vertAlign w:val="superscript"/>
              </w:rPr>
              <w:t>th</w:t>
            </w:r>
            <w:r w:rsidRPr="00711329">
              <w:rPr>
                <w:rFonts w:ascii="Arial" w:hAnsi="Arial" w:cs="Arial"/>
              </w:rPr>
              <w:t xml:space="preserve"> </w:t>
            </w:r>
            <w:r w:rsidRPr="00711329">
              <w:rPr>
                <w:rFonts w:ascii="Arial" w:hAnsi="Arial" w:cs="Arial"/>
              </w:rPr>
              <w:fldChar w:fldCharType="begin">
                <w:ffData>
                  <w:name w:val="Check17"/>
                  <w:enabled/>
                  <w:calcOnExit w:val="0"/>
                  <w:checkBox>
                    <w:sizeAuto/>
                    <w:default w:val="0"/>
                  </w:checkBox>
                </w:ffData>
              </w:fldChar>
            </w:r>
            <w:bookmarkStart w:id="4" w:name="Check17"/>
            <w:r w:rsidRPr="00711329">
              <w:rPr>
                <w:rFonts w:ascii="Arial" w:hAnsi="Arial" w:cs="Arial"/>
              </w:rPr>
              <w:instrText xml:space="preserve"> FORMCHECKBOX </w:instrText>
            </w:r>
            <w:r>
              <w:rPr>
                <w:rFonts w:ascii="Arial" w:hAnsi="Arial" w:cs="Arial"/>
              </w:rPr>
            </w:r>
            <w:r>
              <w:rPr>
                <w:rFonts w:ascii="Arial" w:hAnsi="Arial" w:cs="Arial"/>
              </w:rPr>
              <w:fldChar w:fldCharType="separate"/>
            </w:r>
            <w:r w:rsidRPr="00711329">
              <w:rPr>
                <w:rFonts w:ascii="Arial" w:hAnsi="Arial" w:cs="Arial"/>
              </w:rPr>
              <w:fldChar w:fldCharType="end"/>
            </w:r>
            <w:bookmarkEnd w:id="4"/>
            <w:r w:rsidRPr="00711329">
              <w:rPr>
                <w:rFonts w:ascii="Arial" w:hAnsi="Arial" w:cs="Arial"/>
              </w:rPr>
              <w:t xml:space="preserve">      6</w:t>
            </w:r>
            <w:r w:rsidRPr="00711329">
              <w:rPr>
                <w:rFonts w:ascii="Arial" w:hAnsi="Arial" w:cs="Arial"/>
                <w:vertAlign w:val="superscript"/>
              </w:rPr>
              <w:t>th</w:t>
            </w:r>
            <w:r w:rsidRPr="00711329">
              <w:rPr>
                <w:rFonts w:ascii="Arial" w:hAnsi="Arial" w:cs="Arial"/>
              </w:rPr>
              <w:t xml:space="preserve"> </w:t>
            </w:r>
            <w:r w:rsidRPr="00711329">
              <w:rPr>
                <w:rFonts w:ascii="Arial" w:hAnsi="Arial" w:cs="Arial"/>
              </w:rPr>
              <w:fldChar w:fldCharType="begin">
                <w:ffData>
                  <w:name w:val="Check18"/>
                  <w:enabled/>
                  <w:calcOnExit w:val="0"/>
                  <w:checkBox>
                    <w:sizeAuto/>
                    <w:default w:val="0"/>
                  </w:checkBox>
                </w:ffData>
              </w:fldChar>
            </w:r>
            <w:bookmarkStart w:id="5" w:name="Check18"/>
            <w:r w:rsidRPr="00711329">
              <w:rPr>
                <w:rFonts w:ascii="Arial" w:hAnsi="Arial" w:cs="Arial"/>
              </w:rPr>
              <w:instrText xml:space="preserve"> FORMCHECKBOX </w:instrText>
            </w:r>
            <w:r>
              <w:rPr>
                <w:rFonts w:ascii="Arial" w:hAnsi="Arial" w:cs="Arial"/>
              </w:rPr>
            </w:r>
            <w:r>
              <w:rPr>
                <w:rFonts w:ascii="Arial" w:hAnsi="Arial" w:cs="Arial"/>
              </w:rPr>
              <w:fldChar w:fldCharType="separate"/>
            </w:r>
            <w:r w:rsidRPr="00711329">
              <w:rPr>
                <w:rFonts w:ascii="Arial" w:hAnsi="Arial" w:cs="Arial"/>
              </w:rPr>
              <w:fldChar w:fldCharType="end"/>
            </w:r>
            <w:bookmarkEnd w:id="5"/>
            <w:r w:rsidRPr="00711329">
              <w:rPr>
                <w:rFonts w:ascii="Arial" w:hAnsi="Arial" w:cs="Arial"/>
                <w:b/>
              </w:rPr>
              <w:t xml:space="preserve">   </w:t>
            </w:r>
            <w:r w:rsidRPr="00711329">
              <w:rPr>
                <w:rFonts w:ascii="Arial" w:hAnsi="Arial" w:cs="Arial"/>
              </w:rPr>
              <w:t>module of the degree</w:t>
            </w:r>
          </w:p>
        </w:tc>
      </w:tr>
      <w:tr w:rsidR="008F6CDB" w:rsidRPr="00711329" w14:paraId="7471D835" w14:textId="77777777" w:rsidTr="00782BDB">
        <w:trPr>
          <w:trHeight w:val="978"/>
        </w:trPr>
        <w:tc>
          <w:tcPr>
            <w:tcW w:w="8856" w:type="dxa"/>
            <w:gridSpan w:val="5"/>
            <w:shd w:val="clear" w:color="auto" w:fill="D9D9D9"/>
          </w:tcPr>
          <w:p w14:paraId="325CDB75" w14:textId="77777777" w:rsidR="008F6CDB" w:rsidRPr="00711329" w:rsidRDefault="008F6CDB" w:rsidP="00782BDB">
            <w:pPr>
              <w:spacing w:after="0" w:line="240" w:lineRule="auto"/>
              <w:ind w:right="34"/>
              <w:rPr>
                <w:rFonts w:ascii="Arial" w:eastAsia="SimSun" w:hAnsi="Arial" w:cs="Arial"/>
                <w:color w:val="000000"/>
                <w:lang w:eastAsia="zh-CN"/>
              </w:rPr>
            </w:pPr>
            <w:r w:rsidRPr="00711329">
              <w:rPr>
                <w:rFonts w:ascii="Arial" w:eastAsia="SimSun" w:hAnsi="Arial" w:cs="Arial"/>
                <w:color w:val="000000"/>
                <w:lang w:eastAsia="zh-CN"/>
              </w:rPr>
              <w:t>I confirm that this is my original work and that I have adhered to the University policy on plagiarism.</w:t>
            </w:r>
          </w:p>
          <w:p w14:paraId="2F5BEBCD" w14:textId="77777777" w:rsidR="008F6CDB" w:rsidRPr="00711329" w:rsidRDefault="008F6CDB" w:rsidP="00782BDB">
            <w:pPr>
              <w:spacing w:after="0" w:line="240" w:lineRule="auto"/>
              <w:ind w:right="34"/>
              <w:rPr>
                <w:rFonts w:ascii="Arial" w:eastAsia="SimSun" w:hAnsi="Arial" w:cs="Arial"/>
                <w:color w:val="000000"/>
                <w:lang w:eastAsia="zh-CN"/>
              </w:rPr>
            </w:pPr>
            <w:r w:rsidRPr="00711329">
              <w:rPr>
                <w:rFonts w:ascii="Arial" w:eastAsia="SimSun" w:hAnsi="Arial" w:cs="Arial"/>
                <w:color w:val="000000"/>
                <w:lang w:eastAsia="zh-CN"/>
              </w:rPr>
              <w:t>Signed ………Colin Laker……………………………………………………</w:t>
            </w:r>
          </w:p>
        </w:tc>
      </w:tr>
      <w:tr w:rsidR="008F6CDB" w:rsidRPr="00711329" w14:paraId="372B4D5B" w14:textId="77777777" w:rsidTr="00782BDB">
        <w:trPr>
          <w:trHeight w:val="3972"/>
        </w:trPr>
        <w:tc>
          <w:tcPr>
            <w:tcW w:w="8856" w:type="dxa"/>
            <w:gridSpan w:val="5"/>
          </w:tcPr>
          <w:p w14:paraId="4E80670F" w14:textId="77777777" w:rsidR="008F6CDB" w:rsidRPr="00711329" w:rsidRDefault="008F6CDB" w:rsidP="00782BDB">
            <w:pPr>
              <w:spacing w:after="0" w:line="240" w:lineRule="auto"/>
              <w:rPr>
                <w:rFonts w:ascii="Arial" w:eastAsia="SimSun" w:hAnsi="Arial" w:cs="Arial"/>
                <w:b/>
                <w:color w:val="000000"/>
                <w:lang w:eastAsia="zh-CN"/>
              </w:rPr>
            </w:pPr>
          </w:p>
          <w:p w14:paraId="2EFE8364" w14:textId="77777777" w:rsidR="008F6CDB" w:rsidRPr="00711329" w:rsidRDefault="008F6CDB" w:rsidP="00782BDB">
            <w:pPr>
              <w:rPr>
                <w:rFonts w:ascii="Arial" w:hAnsi="Arial"/>
                <w:b/>
              </w:rPr>
            </w:pPr>
          </w:p>
          <w:p w14:paraId="75035E1B" w14:textId="77777777" w:rsidR="008F6CDB" w:rsidRPr="00711329" w:rsidRDefault="008F6CDB" w:rsidP="00782BDB">
            <w:pPr>
              <w:rPr>
                <w:rFonts w:ascii="Arial" w:hAnsi="Arial"/>
                <w:b/>
              </w:rPr>
            </w:pPr>
          </w:p>
          <w:p w14:paraId="1D3E164A" w14:textId="77777777" w:rsidR="008F6CDB" w:rsidRPr="00711329" w:rsidRDefault="008F6CDB" w:rsidP="00782BDB">
            <w:pPr>
              <w:rPr>
                <w:rFonts w:ascii="Arial" w:hAnsi="Arial"/>
              </w:rPr>
            </w:pPr>
            <w:r w:rsidRPr="00711329">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F6CDB" w:rsidRPr="00711329" w14:paraId="7EEF61D1" w14:textId="77777777" w:rsidTr="00782BDB">
              <w:tc>
                <w:tcPr>
                  <w:tcW w:w="6970" w:type="dxa"/>
                </w:tcPr>
                <w:p w14:paraId="71E9DEAF" w14:textId="77777777" w:rsidR="008F6CDB" w:rsidRPr="00711329" w:rsidRDefault="008F6CDB" w:rsidP="00782BDB">
                  <w:pPr>
                    <w:rPr>
                      <w:rFonts w:ascii="Arial" w:hAnsi="Arial"/>
                      <w:sz w:val="20"/>
                      <w:szCs w:val="20"/>
                    </w:rPr>
                  </w:pPr>
                </w:p>
                <w:p w14:paraId="3410DC8E" w14:textId="77777777" w:rsidR="008F6CDB" w:rsidRPr="00711329" w:rsidRDefault="008F6CDB" w:rsidP="00782BDB">
                  <w:pPr>
                    <w:rPr>
                      <w:rFonts w:ascii="Arial" w:hAnsi="Arial"/>
                      <w:sz w:val="20"/>
                      <w:szCs w:val="20"/>
                    </w:rPr>
                  </w:pPr>
                  <w:r w:rsidRPr="00711329">
                    <w:rPr>
                      <w:rFonts w:ascii="Arial" w:hAnsi="Arial"/>
                      <w:sz w:val="20"/>
                      <w:szCs w:val="20"/>
                    </w:rPr>
                    <w:t>1</w:t>
                  </w:r>
                  <w:r w:rsidRPr="00711329">
                    <w:rPr>
                      <w:rFonts w:ascii="Arial" w:hAnsi="Arial"/>
                      <w:sz w:val="20"/>
                      <w:szCs w:val="20"/>
                      <w:vertAlign w:val="superscript"/>
                    </w:rPr>
                    <w:t>st</w:t>
                  </w:r>
                  <w:r w:rsidRPr="00711329">
                    <w:rPr>
                      <w:rFonts w:ascii="Arial" w:hAnsi="Arial"/>
                      <w:sz w:val="20"/>
                      <w:szCs w:val="20"/>
                    </w:rPr>
                    <w:t xml:space="preserve"> Marker’s Provisional mark</w:t>
                  </w:r>
                </w:p>
              </w:tc>
              <w:tc>
                <w:tcPr>
                  <w:tcW w:w="1660" w:type="dxa"/>
                </w:tcPr>
                <w:p w14:paraId="05EA0C88" w14:textId="77777777" w:rsidR="008F6CDB" w:rsidRPr="00711329" w:rsidRDefault="008F6CDB" w:rsidP="00782BDB">
                  <w:pPr>
                    <w:rPr>
                      <w:rFonts w:ascii="Arial" w:hAnsi="Arial"/>
                      <w:sz w:val="20"/>
                      <w:szCs w:val="20"/>
                    </w:rPr>
                  </w:pPr>
                </w:p>
              </w:tc>
            </w:tr>
            <w:tr w:rsidR="008F6CDB" w:rsidRPr="00711329" w14:paraId="0F77B5EE" w14:textId="77777777" w:rsidTr="00782BDB">
              <w:tc>
                <w:tcPr>
                  <w:tcW w:w="6970" w:type="dxa"/>
                </w:tcPr>
                <w:p w14:paraId="408899C5" w14:textId="77777777" w:rsidR="008F6CDB" w:rsidRPr="00711329" w:rsidRDefault="008F6CDB" w:rsidP="00782BDB">
                  <w:pPr>
                    <w:rPr>
                      <w:rFonts w:ascii="Arial" w:hAnsi="Arial"/>
                      <w:sz w:val="20"/>
                      <w:szCs w:val="20"/>
                    </w:rPr>
                  </w:pPr>
                </w:p>
                <w:p w14:paraId="537FE45F" w14:textId="77777777" w:rsidR="008F6CDB" w:rsidRPr="00711329" w:rsidRDefault="008F6CDB" w:rsidP="00782BDB">
                  <w:pPr>
                    <w:rPr>
                      <w:rFonts w:ascii="Arial" w:hAnsi="Arial"/>
                      <w:sz w:val="20"/>
                      <w:szCs w:val="20"/>
                    </w:rPr>
                  </w:pPr>
                  <w:r w:rsidRPr="00711329">
                    <w:rPr>
                      <w:rFonts w:ascii="Arial" w:hAnsi="Arial"/>
                      <w:sz w:val="20"/>
                      <w:szCs w:val="20"/>
                    </w:rPr>
                    <w:t>2</w:t>
                  </w:r>
                  <w:r w:rsidRPr="00711329">
                    <w:rPr>
                      <w:rFonts w:ascii="Arial" w:hAnsi="Arial"/>
                      <w:sz w:val="20"/>
                      <w:szCs w:val="20"/>
                      <w:vertAlign w:val="superscript"/>
                    </w:rPr>
                    <w:t>nd</w:t>
                  </w:r>
                  <w:r w:rsidRPr="00711329">
                    <w:rPr>
                      <w:rFonts w:ascii="Arial" w:hAnsi="Arial"/>
                      <w:sz w:val="20"/>
                      <w:szCs w:val="20"/>
                    </w:rPr>
                    <w:t xml:space="preserve"> Marker’s/Moderator’s provisional mark</w:t>
                  </w:r>
                </w:p>
              </w:tc>
              <w:tc>
                <w:tcPr>
                  <w:tcW w:w="1660" w:type="dxa"/>
                </w:tcPr>
                <w:p w14:paraId="6C68E720" w14:textId="77777777" w:rsidR="008F6CDB" w:rsidRPr="00711329" w:rsidRDefault="008F6CDB" w:rsidP="00782BDB">
                  <w:pPr>
                    <w:rPr>
                      <w:rFonts w:ascii="Arial" w:hAnsi="Arial"/>
                      <w:sz w:val="20"/>
                      <w:szCs w:val="20"/>
                    </w:rPr>
                  </w:pPr>
                </w:p>
              </w:tc>
            </w:tr>
            <w:tr w:rsidR="008F6CDB" w:rsidRPr="00711329" w14:paraId="43E7D54B" w14:textId="77777777" w:rsidTr="00782BDB">
              <w:tc>
                <w:tcPr>
                  <w:tcW w:w="6970" w:type="dxa"/>
                </w:tcPr>
                <w:p w14:paraId="7E8B3650" w14:textId="77777777" w:rsidR="008F6CDB" w:rsidRPr="00711329" w:rsidRDefault="008F6CDB" w:rsidP="00782BDB">
                  <w:pPr>
                    <w:rPr>
                      <w:rFonts w:ascii="Arial" w:hAnsi="Arial"/>
                      <w:sz w:val="20"/>
                      <w:szCs w:val="20"/>
                    </w:rPr>
                  </w:pPr>
                </w:p>
                <w:p w14:paraId="3DAF8683" w14:textId="77777777" w:rsidR="008F6CDB" w:rsidRPr="00711329" w:rsidRDefault="008F6CDB" w:rsidP="00782BDB">
                  <w:pPr>
                    <w:rPr>
                      <w:rFonts w:ascii="Arial" w:hAnsi="Arial"/>
                      <w:sz w:val="20"/>
                      <w:szCs w:val="20"/>
                    </w:rPr>
                  </w:pPr>
                  <w:r w:rsidRPr="00711329">
                    <w:rPr>
                      <w:rFonts w:ascii="Arial" w:hAnsi="Arial"/>
                      <w:sz w:val="20"/>
                      <w:szCs w:val="20"/>
                    </w:rPr>
                    <w:t>External Examiner’s mark (if relevant)</w:t>
                  </w:r>
                </w:p>
              </w:tc>
              <w:tc>
                <w:tcPr>
                  <w:tcW w:w="1660" w:type="dxa"/>
                </w:tcPr>
                <w:p w14:paraId="11C8155A" w14:textId="77777777" w:rsidR="008F6CDB" w:rsidRPr="00711329" w:rsidRDefault="008F6CDB" w:rsidP="00782BDB">
                  <w:pPr>
                    <w:rPr>
                      <w:rFonts w:ascii="Arial" w:hAnsi="Arial"/>
                      <w:sz w:val="20"/>
                      <w:szCs w:val="20"/>
                    </w:rPr>
                  </w:pPr>
                </w:p>
              </w:tc>
            </w:tr>
            <w:tr w:rsidR="008F6CDB" w:rsidRPr="00711329" w14:paraId="5E754ABE" w14:textId="77777777" w:rsidTr="00782BDB">
              <w:tc>
                <w:tcPr>
                  <w:tcW w:w="6970" w:type="dxa"/>
                </w:tcPr>
                <w:p w14:paraId="2FEE6F8B" w14:textId="77777777" w:rsidR="008F6CDB" w:rsidRPr="00711329" w:rsidRDefault="008F6CDB" w:rsidP="00782BDB">
                  <w:pPr>
                    <w:rPr>
                      <w:rFonts w:ascii="Arial" w:hAnsi="Arial"/>
                      <w:sz w:val="20"/>
                      <w:szCs w:val="20"/>
                    </w:rPr>
                  </w:pPr>
                </w:p>
                <w:p w14:paraId="693A0468" w14:textId="77777777" w:rsidR="008F6CDB" w:rsidRPr="00711329" w:rsidRDefault="008F6CDB" w:rsidP="00782BDB">
                  <w:pPr>
                    <w:rPr>
                      <w:rFonts w:ascii="Arial" w:hAnsi="Arial"/>
                      <w:b/>
                      <w:sz w:val="20"/>
                      <w:szCs w:val="20"/>
                    </w:rPr>
                  </w:pPr>
                  <w:r w:rsidRPr="00711329">
                    <w:rPr>
                      <w:rFonts w:ascii="Arial" w:hAnsi="Arial"/>
                      <w:b/>
                      <w:sz w:val="20"/>
                      <w:szCs w:val="20"/>
                    </w:rPr>
                    <w:t>Final Mark</w:t>
                  </w:r>
                </w:p>
                <w:p w14:paraId="71C7EC9C" w14:textId="77777777" w:rsidR="008F6CDB" w:rsidRPr="00711329" w:rsidRDefault="008F6CDB" w:rsidP="00782BDB">
                  <w:pPr>
                    <w:rPr>
                      <w:rFonts w:ascii="Arial" w:hAnsi="Arial"/>
                      <w:sz w:val="20"/>
                      <w:szCs w:val="20"/>
                    </w:rPr>
                  </w:pPr>
                </w:p>
              </w:tc>
              <w:tc>
                <w:tcPr>
                  <w:tcW w:w="1660" w:type="dxa"/>
                </w:tcPr>
                <w:p w14:paraId="1DCD0CEB" w14:textId="77777777" w:rsidR="008F6CDB" w:rsidRPr="00711329" w:rsidRDefault="008F6CDB" w:rsidP="00782BDB">
                  <w:pPr>
                    <w:rPr>
                      <w:rFonts w:ascii="Arial" w:hAnsi="Arial"/>
                      <w:sz w:val="20"/>
                      <w:szCs w:val="20"/>
                    </w:rPr>
                  </w:pPr>
                </w:p>
              </w:tc>
            </w:tr>
          </w:tbl>
          <w:p w14:paraId="54C13DC7" w14:textId="77777777" w:rsidR="008F6CDB" w:rsidRPr="00711329" w:rsidRDefault="008F6CDB" w:rsidP="00782BDB">
            <w:pPr>
              <w:spacing w:after="0" w:line="240" w:lineRule="auto"/>
              <w:ind w:left="142" w:right="34"/>
              <w:rPr>
                <w:rFonts w:ascii="Arial" w:eastAsia="SimSun" w:hAnsi="Arial" w:cs="Arial"/>
                <w:b/>
                <w:color w:val="000000"/>
                <w:lang w:eastAsia="zh-CN"/>
              </w:rPr>
            </w:pPr>
          </w:p>
          <w:p w14:paraId="146BE492" w14:textId="77777777" w:rsidR="008F6CDB" w:rsidRPr="00711329" w:rsidRDefault="008F6CDB" w:rsidP="00782BDB">
            <w:pPr>
              <w:spacing w:after="0" w:line="240" w:lineRule="auto"/>
              <w:ind w:left="142" w:right="34"/>
              <w:rPr>
                <w:rFonts w:ascii="Arial" w:eastAsia="SimSun" w:hAnsi="Arial" w:cs="Arial"/>
                <w:color w:val="000000"/>
                <w:lang w:eastAsia="zh-CN"/>
              </w:rPr>
            </w:pPr>
            <w:r w:rsidRPr="00711329">
              <w:rPr>
                <w:rFonts w:ascii="Arial" w:eastAsia="SimSun" w:hAnsi="Arial" w:cs="Arial"/>
                <w:b/>
                <w:color w:val="000000"/>
                <w:lang w:eastAsia="zh-CN"/>
              </w:rPr>
              <w:t>NB.</w:t>
            </w:r>
            <w:r w:rsidRPr="00711329">
              <w:rPr>
                <w:rFonts w:ascii="Arial" w:eastAsia="SimSun" w:hAnsi="Arial" w:cs="Arial"/>
                <w:color w:val="000000"/>
                <w:lang w:eastAsia="zh-CN"/>
              </w:rPr>
              <w:t xml:space="preserve">  All marks are provisional until confirmed by the Final Examination Board.</w:t>
            </w:r>
          </w:p>
          <w:p w14:paraId="0A2C7063" w14:textId="77777777" w:rsidR="008F6CDB" w:rsidRPr="00711329" w:rsidRDefault="008F6CDB" w:rsidP="00782BDB">
            <w:pPr>
              <w:spacing w:after="0" w:line="240" w:lineRule="auto"/>
              <w:rPr>
                <w:rFonts w:ascii="Arial" w:eastAsia="SimSun" w:hAnsi="Arial" w:cs="Arial"/>
                <w:b/>
                <w:color w:val="000000"/>
                <w:lang w:eastAsia="zh-CN"/>
              </w:rPr>
            </w:pPr>
          </w:p>
          <w:p w14:paraId="65E0340B" w14:textId="77777777" w:rsidR="008F6CDB" w:rsidRPr="00711329" w:rsidRDefault="008F6CDB" w:rsidP="00782BDB">
            <w:pPr>
              <w:spacing w:after="0" w:line="240" w:lineRule="auto"/>
              <w:rPr>
                <w:rFonts w:ascii="Arial" w:eastAsia="SimSun" w:hAnsi="Arial" w:cs="Arial"/>
                <w:b/>
                <w:color w:val="000000"/>
                <w:lang w:eastAsia="zh-CN"/>
              </w:rPr>
            </w:pPr>
          </w:p>
          <w:p w14:paraId="65397F08" w14:textId="77777777" w:rsidR="008F6CDB" w:rsidRPr="00711329" w:rsidRDefault="008F6CDB" w:rsidP="00782BDB">
            <w:pPr>
              <w:spacing w:after="0" w:line="240" w:lineRule="auto"/>
              <w:rPr>
                <w:rFonts w:ascii="Arial" w:eastAsia="SimSun" w:hAnsi="Arial" w:cs="Arial"/>
                <w:b/>
                <w:color w:val="000000"/>
                <w:lang w:eastAsia="zh-CN"/>
              </w:rPr>
            </w:pPr>
          </w:p>
          <w:p w14:paraId="69CB4B77" w14:textId="77777777" w:rsidR="008F6CDB" w:rsidRPr="00711329" w:rsidRDefault="008F6CDB" w:rsidP="00782BDB">
            <w:pPr>
              <w:spacing w:after="0" w:line="240" w:lineRule="auto"/>
              <w:rPr>
                <w:rFonts w:ascii="Arial" w:eastAsia="SimSun" w:hAnsi="Arial" w:cs="Arial"/>
                <w:b/>
                <w:color w:val="000000"/>
                <w:lang w:eastAsia="zh-CN"/>
              </w:rPr>
            </w:pPr>
            <w:r w:rsidRPr="00711329">
              <w:rPr>
                <w:rFonts w:ascii="Arial" w:eastAsia="SimSun" w:hAnsi="Arial" w:cs="Arial"/>
                <w:b/>
                <w:color w:val="000000"/>
                <w:lang w:eastAsia="zh-CN"/>
              </w:rPr>
              <w:t>For completion by Marker 1 :</w:t>
            </w:r>
          </w:p>
          <w:p w14:paraId="371B1435" w14:textId="77777777" w:rsidR="008F6CDB" w:rsidRPr="00711329" w:rsidRDefault="008F6CDB" w:rsidP="00782BDB">
            <w:pPr>
              <w:spacing w:before="100" w:beforeAutospacing="1" w:after="100" w:afterAutospacing="1" w:line="240" w:lineRule="auto"/>
              <w:rPr>
                <w:rFonts w:ascii="Arial" w:eastAsia="SimSun" w:hAnsi="Arial" w:cs="Arial"/>
                <w:color w:val="000000"/>
                <w:lang w:eastAsia="zh-CN"/>
              </w:rPr>
            </w:pPr>
            <w:r w:rsidRPr="00711329">
              <w:rPr>
                <w:rFonts w:ascii="Arial" w:eastAsia="SimSun" w:hAnsi="Arial" w:cs="Arial"/>
                <w:color w:val="000000"/>
                <w:lang w:eastAsia="zh-CN"/>
              </w:rPr>
              <w:t>Comments:</w:t>
            </w:r>
          </w:p>
          <w:p w14:paraId="24E31863" w14:textId="77777777" w:rsidR="008F6CDB" w:rsidRPr="00711329" w:rsidRDefault="008F6CDB" w:rsidP="00782BDB">
            <w:pPr>
              <w:spacing w:before="100" w:beforeAutospacing="1" w:after="100" w:afterAutospacing="1" w:line="240" w:lineRule="auto"/>
              <w:rPr>
                <w:rFonts w:ascii="Arial" w:eastAsia="SimSun" w:hAnsi="Arial" w:cs="Arial"/>
                <w:color w:val="000000"/>
                <w:lang w:eastAsia="zh-CN"/>
              </w:rPr>
            </w:pPr>
          </w:p>
        </w:tc>
      </w:tr>
      <w:tr w:rsidR="008F6CDB" w:rsidRPr="00711329" w14:paraId="7DAE9B0B" w14:textId="77777777" w:rsidTr="00782BDB">
        <w:trPr>
          <w:trHeight w:val="492"/>
        </w:trPr>
        <w:tc>
          <w:tcPr>
            <w:tcW w:w="6768" w:type="dxa"/>
            <w:gridSpan w:val="3"/>
          </w:tcPr>
          <w:p w14:paraId="1343692A" w14:textId="77777777" w:rsidR="008F6CDB" w:rsidRPr="00711329" w:rsidRDefault="008F6CDB" w:rsidP="00782BDB">
            <w:pPr>
              <w:spacing w:before="100" w:beforeAutospacing="1" w:after="100" w:afterAutospacing="1" w:line="240" w:lineRule="auto"/>
              <w:ind w:left="142" w:right="34"/>
              <w:rPr>
                <w:rFonts w:ascii="Arial" w:eastAsia="SimSun" w:hAnsi="Arial" w:cs="Arial"/>
                <w:color w:val="000000"/>
                <w:lang w:eastAsia="zh-CN"/>
              </w:rPr>
            </w:pPr>
            <w:r w:rsidRPr="00711329">
              <w:rPr>
                <w:rFonts w:ascii="Arial" w:eastAsia="SimSun" w:hAnsi="Arial" w:cs="Arial"/>
                <w:color w:val="000000"/>
                <w:lang w:eastAsia="zh-CN"/>
              </w:rPr>
              <w:t>Marker’s signature:</w:t>
            </w:r>
          </w:p>
        </w:tc>
        <w:tc>
          <w:tcPr>
            <w:tcW w:w="2088" w:type="dxa"/>
            <w:gridSpan w:val="2"/>
          </w:tcPr>
          <w:p w14:paraId="1C262037" w14:textId="77777777" w:rsidR="008F6CDB" w:rsidRPr="00711329" w:rsidRDefault="008F6CDB" w:rsidP="00782BDB">
            <w:pPr>
              <w:spacing w:before="100" w:beforeAutospacing="1" w:after="0" w:afterAutospacing="1" w:line="240" w:lineRule="auto"/>
              <w:ind w:left="142" w:right="34"/>
              <w:rPr>
                <w:rFonts w:ascii="Arial" w:eastAsia="SimSun" w:hAnsi="Arial" w:cs="Arial"/>
                <w:color w:val="000000"/>
                <w:lang w:eastAsia="zh-CN"/>
              </w:rPr>
            </w:pPr>
            <w:r w:rsidRPr="00711329">
              <w:rPr>
                <w:rFonts w:ascii="Arial" w:eastAsia="SimSun" w:hAnsi="Arial" w:cs="Arial"/>
                <w:color w:val="000000"/>
                <w:lang w:eastAsia="zh-CN"/>
              </w:rPr>
              <w:t>Date:</w:t>
            </w:r>
          </w:p>
        </w:tc>
      </w:tr>
      <w:tr w:rsidR="008F6CDB" w:rsidRPr="00711329" w14:paraId="671679AD" w14:textId="77777777" w:rsidTr="00782BDB">
        <w:tc>
          <w:tcPr>
            <w:tcW w:w="8856" w:type="dxa"/>
            <w:gridSpan w:val="5"/>
          </w:tcPr>
          <w:p w14:paraId="2E7EF6A0" w14:textId="77777777" w:rsidR="008F6CDB" w:rsidRPr="00711329" w:rsidRDefault="008F6CDB" w:rsidP="00782BDB">
            <w:pPr>
              <w:spacing w:after="0" w:line="240" w:lineRule="auto"/>
              <w:ind w:right="-334"/>
              <w:rPr>
                <w:rFonts w:ascii="Arial" w:eastAsia="SimSun" w:hAnsi="Arial" w:cs="Arial"/>
                <w:bCs/>
                <w:i/>
                <w:color w:val="000000"/>
                <w:lang w:eastAsia="zh-CN"/>
              </w:rPr>
            </w:pPr>
          </w:p>
          <w:p w14:paraId="57C814E4" w14:textId="77777777" w:rsidR="008F6CDB" w:rsidRPr="00711329" w:rsidRDefault="008F6CDB" w:rsidP="00782BDB">
            <w:pPr>
              <w:spacing w:after="0" w:line="240" w:lineRule="auto"/>
              <w:ind w:right="-334"/>
              <w:rPr>
                <w:rFonts w:ascii="Arial" w:eastAsia="SimSun" w:hAnsi="Arial" w:cs="Arial"/>
                <w:b/>
                <w:bCs/>
                <w:color w:val="000000"/>
                <w:lang w:eastAsia="zh-CN"/>
              </w:rPr>
            </w:pPr>
            <w:r w:rsidRPr="00711329">
              <w:rPr>
                <w:rFonts w:ascii="Arial" w:eastAsia="SimSun" w:hAnsi="Arial" w:cs="Arial"/>
                <w:b/>
                <w:bCs/>
                <w:color w:val="000000"/>
                <w:lang w:eastAsia="zh-CN"/>
              </w:rPr>
              <w:t>For completion by Marker 2/Moderator:</w:t>
            </w:r>
          </w:p>
          <w:p w14:paraId="31D65495" w14:textId="77777777" w:rsidR="008F6CDB" w:rsidRPr="00711329" w:rsidRDefault="008F6CDB" w:rsidP="00782BDB">
            <w:pPr>
              <w:spacing w:after="0" w:line="240" w:lineRule="auto"/>
              <w:ind w:right="-334"/>
              <w:rPr>
                <w:rFonts w:ascii="Arial" w:eastAsia="SimSun" w:hAnsi="Arial" w:cs="Arial"/>
                <w:b/>
                <w:bCs/>
                <w:color w:val="000000"/>
                <w:lang w:eastAsia="zh-CN"/>
              </w:rPr>
            </w:pPr>
          </w:p>
          <w:p w14:paraId="0677A53C" w14:textId="77777777" w:rsidR="008F6CDB" w:rsidRPr="00711329" w:rsidRDefault="008F6CDB" w:rsidP="00782BDB">
            <w:pPr>
              <w:spacing w:after="0" w:line="240" w:lineRule="auto"/>
              <w:ind w:right="-334"/>
              <w:rPr>
                <w:rFonts w:ascii="Arial" w:eastAsia="SimSun" w:hAnsi="Arial" w:cs="Arial"/>
                <w:bCs/>
                <w:color w:val="000000"/>
                <w:lang w:eastAsia="zh-CN"/>
              </w:rPr>
            </w:pPr>
            <w:r w:rsidRPr="00711329">
              <w:rPr>
                <w:rFonts w:ascii="Arial" w:eastAsia="SimSun" w:hAnsi="Arial" w:cs="Arial"/>
                <w:bCs/>
                <w:color w:val="000000"/>
                <w:lang w:eastAsia="zh-CN"/>
              </w:rPr>
              <w:t>Comments:</w:t>
            </w:r>
          </w:p>
          <w:p w14:paraId="370A9EC0" w14:textId="77777777" w:rsidR="008F6CDB" w:rsidRPr="00711329" w:rsidRDefault="008F6CDB" w:rsidP="00782BDB">
            <w:pPr>
              <w:spacing w:after="0" w:line="240" w:lineRule="auto"/>
              <w:ind w:right="-334"/>
              <w:rPr>
                <w:rFonts w:ascii="Arial" w:eastAsia="SimSun" w:hAnsi="Arial" w:cs="Arial"/>
                <w:bCs/>
                <w:color w:val="000000"/>
                <w:lang w:eastAsia="zh-CN"/>
              </w:rPr>
            </w:pPr>
          </w:p>
          <w:p w14:paraId="2D790F2E" w14:textId="77777777" w:rsidR="008F6CDB" w:rsidRPr="00711329" w:rsidRDefault="008F6CDB" w:rsidP="00782BDB">
            <w:pPr>
              <w:spacing w:after="0" w:line="240" w:lineRule="auto"/>
              <w:ind w:right="-334"/>
              <w:rPr>
                <w:rFonts w:ascii="Arial" w:eastAsia="SimSun" w:hAnsi="Arial" w:cs="Arial"/>
                <w:bCs/>
                <w:color w:val="000000"/>
                <w:lang w:eastAsia="zh-CN"/>
              </w:rPr>
            </w:pPr>
          </w:p>
          <w:p w14:paraId="184832FA" w14:textId="77777777" w:rsidR="008F6CDB" w:rsidRPr="00711329" w:rsidRDefault="008F6CDB" w:rsidP="00782BDB">
            <w:pPr>
              <w:spacing w:after="0" w:line="240" w:lineRule="auto"/>
              <w:ind w:right="-334"/>
              <w:rPr>
                <w:rFonts w:ascii="Arial" w:eastAsia="SimSun" w:hAnsi="Arial" w:cs="Arial"/>
                <w:bCs/>
                <w:color w:val="000000"/>
                <w:lang w:eastAsia="zh-CN"/>
              </w:rPr>
            </w:pPr>
          </w:p>
          <w:p w14:paraId="24D85D70" w14:textId="77777777" w:rsidR="008F6CDB" w:rsidRPr="00711329" w:rsidRDefault="008F6CDB" w:rsidP="00782BDB">
            <w:pPr>
              <w:spacing w:after="0" w:line="240" w:lineRule="auto"/>
              <w:ind w:right="-334"/>
              <w:rPr>
                <w:rFonts w:ascii="Arial" w:eastAsia="SimSun" w:hAnsi="Arial" w:cs="Arial"/>
                <w:bCs/>
                <w:color w:val="000000"/>
                <w:lang w:eastAsia="zh-CN"/>
              </w:rPr>
            </w:pPr>
          </w:p>
          <w:p w14:paraId="1B856982" w14:textId="77777777" w:rsidR="008F6CDB" w:rsidRPr="00711329" w:rsidRDefault="008F6CDB" w:rsidP="00782BDB">
            <w:pPr>
              <w:spacing w:after="0" w:line="240" w:lineRule="auto"/>
              <w:ind w:right="-334"/>
              <w:rPr>
                <w:rFonts w:ascii="Arial" w:eastAsia="SimSun" w:hAnsi="Arial" w:cs="Arial"/>
                <w:bCs/>
                <w:color w:val="000000"/>
                <w:lang w:eastAsia="zh-CN"/>
              </w:rPr>
            </w:pPr>
          </w:p>
          <w:p w14:paraId="682D4F34" w14:textId="77777777" w:rsidR="008F6CDB" w:rsidRPr="00711329" w:rsidRDefault="008F6CDB" w:rsidP="00782BDB">
            <w:pPr>
              <w:spacing w:after="0" w:line="240" w:lineRule="auto"/>
              <w:ind w:right="-334"/>
              <w:rPr>
                <w:rFonts w:ascii="Arial" w:eastAsia="SimSun" w:hAnsi="Arial" w:cs="Arial"/>
                <w:bCs/>
                <w:color w:val="000000"/>
                <w:lang w:eastAsia="zh-CN"/>
              </w:rPr>
            </w:pPr>
          </w:p>
          <w:p w14:paraId="2D4479D3" w14:textId="77777777" w:rsidR="008F6CDB" w:rsidRPr="00711329" w:rsidRDefault="008F6CDB" w:rsidP="00782BDB">
            <w:pPr>
              <w:spacing w:after="0" w:line="240" w:lineRule="auto"/>
              <w:ind w:right="-334"/>
              <w:rPr>
                <w:rFonts w:ascii="Arial" w:eastAsia="SimSun" w:hAnsi="Arial" w:cs="Arial"/>
                <w:bCs/>
                <w:color w:val="000000"/>
                <w:lang w:eastAsia="zh-CN"/>
              </w:rPr>
            </w:pPr>
          </w:p>
          <w:p w14:paraId="370257C3" w14:textId="77777777" w:rsidR="008F6CDB" w:rsidRPr="00711329" w:rsidRDefault="008F6CDB" w:rsidP="00782BDB">
            <w:pPr>
              <w:spacing w:after="0" w:line="240" w:lineRule="auto"/>
              <w:ind w:right="-334"/>
              <w:rPr>
                <w:rFonts w:ascii="Arial" w:eastAsia="SimSun" w:hAnsi="Arial" w:cs="Arial"/>
                <w:bCs/>
                <w:color w:val="000000"/>
                <w:lang w:eastAsia="zh-CN"/>
              </w:rPr>
            </w:pPr>
          </w:p>
          <w:p w14:paraId="6FEDB1F2" w14:textId="77777777" w:rsidR="008F6CDB" w:rsidRPr="00711329" w:rsidRDefault="008F6CDB" w:rsidP="00782BDB">
            <w:pPr>
              <w:spacing w:after="0" w:line="240" w:lineRule="auto"/>
              <w:ind w:right="-334"/>
              <w:rPr>
                <w:rFonts w:ascii="Arial" w:eastAsia="SimSun" w:hAnsi="Arial" w:cs="Arial"/>
                <w:bCs/>
                <w:color w:val="000000"/>
                <w:lang w:eastAsia="zh-CN"/>
              </w:rPr>
            </w:pPr>
          </w:p>
          <w:p w14:paraId="0CD09684" w14:textId="77777777" w:rsidR="008F6CDB" w:rsidRPr="00711329" w:rsidRDefault="008F6CDB" w:rsidP="00782BDB">
            <w:pPr>
              <w:spacing w:after="0" w:line="240" w:lineRule="auto"/>
              <w:ind w:right="-334"/>
              <w:rPr>
                <w:rFonts w:ascii="Arial" w:eastAsia="SimSun" w:hAnsi="Arial" w:cs="Arial"/>
                <w:bCs/>
                <w:color w:val="000000"/>
                <w:lang w:eastAsia="zh-CN"/>
              </w:rPr>
            </w:pPr>
          </w:p>
          <w:p w14:paraId="392AF456" w14:textId="77777777" w:rsidR="008F6CDB" w:rsidRPr="00711329" w:rsidRDefault="008F6CDB" w:rsidP="00782BDB">
            <w:pPr>
              <w:spacing w:after="0" w:line="240" w:lineRule="auto"/>
              <w:ind w:right="-334"/>
              <w:rPr>
                <w:rFonts w:ascii="Arial" w:eastAsia="SimSun" w:hAnsi="Arial" w:cs="Arial"/>
                <w:bCs/>
                <w:color w:val="000000"/>
                <w:lang w:eastAsia="zh-CN"/>
              </w:rPr>
            </w:pPr>
          </w:p>
          <w:p w14:paraId="3FEC4B6D" w14:textId="77777777" w:rsidR="008F6CDB" w:rsidRPr="00711329" w:rsidRDefault="008F6CDB" w:rsidP="00782BDB">
            <w:pPr>
              <w:spacing w:after="0" w:line="240" w:lineRule="auto"/>
              <w:ind w:right="-334"/>
              <w:rPr>
                <w:rFonts w:ascii="Arial" w:eastAsia="SimSun" w:hAnsi="Arial" w:cs="Arial"/>
                <w:bCs/>
                <w:color w:val="000000"/>
                <w:lang w:eastAsia="zh-CN"/>
              </w:rPr>
            </w:pPr>
          </w:p>
        </w:tc>
      </w:tr>
      <w:tr w:rsidR="008F6CDB" w:rsidRPr="00711329" w14:paraId="14EBE235" w14:textId="77777777" w:rsidTr="00782BDB">
        <w:trPr>
          <w:trHeight w:val="720"/>
        </w:trPr>
        <w:tc>
          <w:tcPr>
            <w:tcW w:w="5211" w:type="dxa"/>
            <w:gridSpan w:val="2"/>
          </w:tcPr>
          <w:p w14:paraId="6446BCF5" w14:textId="77777777" w:rsidR="008F6CDB" w:rsidRPr="00711329" w:rsidRDefault="008F6CDB" w:rsidP="00782BDB">
            <w:pPr>
              <w:spacing w:after="0" w:line="240" w:lineRule="auto"/>
              <w:ind w:right="-334"/>
              <w:rPr>
                <w:rFonts w:ascii="Arial" w:eastAsia="SimSun" w:hAnsi="Arial" w:cs="Arial"/>
                <w:bCs/>
                <w:color w:val="000000"/>
                <w:lang w:eastAsia="zh-CN"/>
              </w:rPr>
            </w:pPr>
            <w:r w:rsidRPr="00711329">
              <w:rPr>
                <w:rFonts w:ascii="Arial" w:eastAsia="SimSun" w:hAnsi="Arial" w:cs="Arial"/>
                <w:bCs/>
                <w:color w:val="000000"/>
                <w:lang w:eastAsia="zh-CN"/>
              </w:rPr>
              <w:t>Marker’s Signature:</w:t>
            </w:r>
          </w:p>
        </w:tc>
        <w:tc>
          <w:tcPr>
            <w:tcW w:w="3645" w:type="dxa"/>
            <w:gridSpan w:val="3"/>
          </w:tcPr>
          <w:p w14:paraId="08CBFE6A" w14:textId="77777777" w:rsidR="008F6CDB" w:rsidRPr="00711329" w:rsidRDefault="008F6CDB" w:rsidP="00782BDB">
            <w:pPr>
              <w:spacing w:after="0" w:line="240" w:lineRule="auto"/>
              <w:ind w:right="-334"/>
              <w:rPr>
                <w:rFonts w:ascii="Arial" w:eastAsia="SimSun" w:hAnsi="Arial" w:cs="Arial"/>
                <w:bCs/>
                <w:color w:val="000000"/>
                <w:lang w:eastAsia="zh-CN"/>
              </w:rPr>
            </w:pPr>
            <w:r w:rsidRPr="00711329">
              <w:rPr>
                <w:rFonts w:ascii="Arial" w:eastAsia="SimSun" w:hAnsi="Arial" w:cs="Arial"/>
                <w:bCs/>
                <w:color w:val="000000"/>
                <w:lang w:eastAsia="zh-CN"/>
              </w:rPr>
              <w:t>Date:</w:t>
            </w:r>
          </w:p>
        </w:tc>
      </w:tr>
      <w:tr w:rsidR="008F6CDB" w:rsidRPr="00711329" w14:paraId="699F7D19" w14:textId="77777777" w:rsidTr="00782BDB">
        <w:trPr>
          <w:trHeight w:val="720"/>
        </w:trPr>
        <w:tc>
          <w:tcPr>
            <w:tcW w:w="8856" w:type="dxa"/>
            <w:gridSpan w:val="5"/>
          </w:tcPr>
          <w:p w14:paraId="3851B97C" w14:textId="77777777" w:rsidR="008F6CDB" w:rsidRPr="00711329" w:rsidRDefault="008F6CDB" w:rsidP="00782BDB">
            <w:pPr>
              <w:rPr>
                <w:rFonts w:ascii="Arial" w:hAnsi="Arial" w:cs="Arial"/>
                <w:b/>
              </w:rPr>
            </w:pPr>
            <w:r w:rsidRPr="00711329">
              <w:rPr>
                <w:rFonts w:ascii="Arial" w:hAnsi="Arial" w:cs="Arial"/>
                <w:b/>
              </w:rPr>
              <w:t>External Examiner’s comments (if relevant)</w:t>
            </w:r>
          </w:p>
          <w:p w14:paraId="3245A6A9" w14:textId="77777777" w:rsidR="008F6CDB" w:rsidRPr="00711329" w:rsidRDefault="008F6CDB" w:rsidP="00782BDB">
            <w:pPr>
              <w:spacing w:after="0" w:line="240" w:lineRule="auto"/>
              <w:ind w:right="-334"/>
              <w:rPr>
                <w:rFonts w:ascii="Arial" w:eastAsia="SimSun" w:hAnsi="Arial" w:cs="Arial"/>
                <w:bCs/>
                <w:color w:val="000000"/>
                <w:lang w:eastAsia="zh-CN"/>
              </w:rPr>
            </w:pPr>
          </w:p>
          <w:p w14:paraId="3517685A" w14:textId="77777777" w:rsidR="008F6CDB" w:rsidRPr="00711329" w:rsidRDefault="008F6CDB" w:rsidP="00782BDB">
            <w:pPr>
              <w:spacing w:after="0" w:line="240" w:lineRule="auto"/>
              <w:ind w:right="-334"/>
              <w:rPr>
                <w:rFonts w:ascii="Arial" w:eastAsia="SimSun" w:hAnsi="Arial" w:cs="Arial"/>
                <w:bCs/>
                <w:color w:val="000000"/>
                <w:lang w:eastAsia="zh-CN"/>
              </w:rPr>
            </w:pPr>
          </w:p>
          <w:p w14:paraId="5E0B1F0F" w14:textId="77777777" w:rsidR="008F6CDB" w:rsidRPr="00711329" w:rsidRDefault="008F6CDB" w:rsidP="00782BDB">
            <w:pPr>
              <w:spacing w:after="0" w:line="240" w:lineRule="auto"/>
              <w:ind w:right="-334"/>
              <w:rPr>
                <w:rFonts w:ascii="Arial" w:eastAsia="SimSun" w:hAnsi="Arial" w:cs="Arial"/>
                <w:bCs/>
                <w:color w:val="000000"/>
                <w:lang w:eastAsia="zh-CN"/>
              </w:rPr>
            </w:pPr>
          </w:p>
          <w:p w14:paraId="6BB35E89" w14:textId="77777777" w:rsidR="008F6CDB" w:rsidRPr="00711329" w:rsidRDefault="008F6CDB" w:rsidP="00782BDB">
            <w:pPr>
              <w:spacing w:after="0" w:line="240" w:lineRule="auto"/>
              <w:ind w:right="-334"/>
              <w:rPr>
                <w:rFonts w:ascii="Arial" w:eastAsia="SimSun" w:hAnsi="Arial" w:cs="Arial"/>
                <w:bCs/>
                <w:color w:val="000000"/>
                <w:lang w:eastAsia="zh-CN"/>
              </w:rPr>
            </w:pPr>
          </w:p>
          <w:p w14:paraId="5B3E90AC" w14:textId="77777777" w:rsidR="008F6CDB" w:rsidRPr="00711329" w:rsidRDefault="008F6CDB" w:rsidP="00782BDB">
            <w:pPr>
              <w:spacing w:after="0" w:line="240" w:lineRule="auto"/>
              <w:ind w:right="-334"/>
              <w:rPr>
                <w:rFonts w:ascii="Arial" w:eastAsia="SimSun" w:hAnsi="Arial" w:cs="Arial"/>
                <w:bCs/>
                <w:color w:val="000000"/>
                <w:lang w:eastAsia="zh-CN"/>
              </w:rPr>
            </w:pPr>
          </w:p>
          <w:p w14:paraId="0A410DB3" w14:textId="77777777" w:rsidR="008F6CDB" w:rsidRPr="00711329" w:rsidRDefault="008F6CDB" w:rsidP="00782BDB">
            <w:pPr>
              <w:spacing w:after="0" w:line="240" w:lineRule="auto"/>
              <w:ind w:right="-334"/>
              <w:rPr>
                <w:rFonts w:ascii="Arial" w:eastAsia="SimSun" w:hAnsi="Arial" w:cs="Arial"/>
                <w:bCs/>
                <w:color w:val="000000"/>
                <w:lang w:eastAsia="zh-CN"/>
              </w:rPr>
            </w:pPr>
          </w:p>
          <w:p w14:paraId="7CB73F20" w14:textId="77777777" w:rsidR="008F6CDB" w:rsidRPr="00711329" w:rsidRDefault="008F6CDB" w:rsidP="00782BDB">
            <w:pPr>
              <w:spacing w:after="0" w:line="240" w:lineRule="auto"/>
              <w:ind w:right="-334"/>
              <w:rPr>
                <w:rFonts w:ascii="Arial" w:eastAsia="SimSun" w:hAnsi="Arial" w:cs="Arial"/>
                <w:bCs/>
                <w:color w:val="000000"/>
                <w:lang w:eastAsia="zh-CN"/>
              </w:rPr>
            </w:pPr>
          </w:p>
          <w:p w14:paraId="1CFDAA2F" w14:textId="77777777" w:rsidR="008F6CDB" w:rsidRPr="00711329" w:rsidRDefault="008F6CDB" w:rsidP="00782BDB">
            <w:pPr>
              <w:spacing w:after="0" w:line="240" w:lineRule="auto"/>
              <w:ind w:right="-334"/>
              <w:rPr>
                <w:rFonts w:ascii="Arial" w:eastAsia="SimSun" w:hAnsi="Arial" w:cs="Arial"/>
                <w:bCs/>
                <w:color w:val="000000"/>
                <w:lang w:eastAsia="zh-CN"/>
              </w:rPr>
            </w:pPr>
          </w:p>
          <w:p w14:paraId="4A7694C8" w14:textId="77777777" w:rsidR="008F6CDB" w:rsidRPr="00711329" w:rsidRDefault="008F6CDB" w:rsidP="00782BDB">
            <w:pPr>
              <w:spacing w:after="0" w:line="240" w:lineRule="auto"/>
              <w:ind w:right="-334"/>
              <w:rPr>
                <w:rFonts w:ascii="Arial" w:eastAsia="SimSun" w:hAnsi="Arial" w:cs="Arial"/>
                <w:bCs/>
                <w:color w:val="000000"/>
                <w:lang w:eastAsia="zh-CN"/>
              </w:rPr>
            </w:pPr>
          </w:p>
          <w:p w14:paraId="42368FFA" w14:textId="77777777" w:rsidR="008F6CDB" w:rsidRPr="00711329" w:rsidRDefault="008F6CDB" w:rsidP="00782BDB">
            <w:pPr>
              <w:spacing w:after="0" w:line="240" w:lineRule="auto"/>
              <w:ind w:right="-334"/>
              <w:rPr>
                <w:rFonts w:ascii="Arial" w:eastAsia="SimSun" w:hAnsi="Arial" w:cs="Arial"/>
                <w:bCs/>
                <w:color w:val="000000"/>
                <w:lang w:eastAsia="zh-CN"/>
              </w:rPr>
            </w:pPr>
          </w:p>
          <w:p w14:paraId="423E430F" w14:textId="77777777" w:rsidR="008F6CDB" w:rsidRPr="00711329" w:rsidRDefault="008F6CDB" w:rsidP="00782BDB">
            <w:pPr>
              <w:spacing w:after="0" w:line="240" w:lineRule="auto"/>
              <w:ind w:right="-334"/>
              <w:rPr>
                <w:rFonts w:ascii="Arial" w:eastAsia="SimSun" w:hAnsi="Arial" w:cs="Arial"/>
                <w:bCs/>
                <w:color w:val="000000"/>
                <w:lang w:eastAsia="zh-CN"/>
              </w:rPr>
            </w:pPr>
          </w:p>
        </w:tc>
      </w:tr>
      <w:tr w:rsidR="008F6CDB" w:rsidRPr="00711329" w14:paraId="2EFBCFB8" w14:textId="77777777" w:rsidTr="00782BDB">
        <w:trPr>
          <w:trHeight w:val="720"/>
        </w:trPr>
        <w:tc>
          <w:tcPr>
            <w:tcW w:w="5211" w:type="dxa"/>
            <w:gridSpan w:val="2"/>
          </w:tcPr>
          <w:p w14:paraId="268F2271" w14:textId="77777777" w:rsidR="008F6CDB" w:rsidRPr="00711329" w:rsidRDefault="008F6CDB" w:rsidP="00782BDB">
            <w:pPr>
              <w:rPr>
                <w:rFonts w:ascii="Arial" w:hAnsi="Arial" w:cs="Arial"/>
              </w:rPr>
            </w:pPr>
            <w:r w:rsidRPr="00711329">
              <w:rPr>
                <w:rFonts w:ascii="Arial" w:hAnsi="Arial" w:cs="Arial"/>
              </w:rPr>
              <w:lastRenderedPageBreak/>
              <w:t>External Examiner’s Signature:</w:t>
            </w:r>
          </w:p>
        </w:tc>
        <w:tc>
          <w:tcPr>
            <w:tcW w:w="3645" w:type="dxa"/>
            <w:gridSpan w:val="3"/>
          </w:tcPr>
          <w:p w14:paraId="5C291447" w14:textId="77777777" w:rsidR="008F6CDB" w:rsidRPr="00711329" w:rsidRDefault="008F6CDB" w:rsidP="00782BDB">
            <w:pPr>
              <w:rPr>
                <w:rFonts w:ascii="Arial" w:hAnsi="Arial" w:cs="Arial"/>
              </w:rPr>
            </w:pPr>
            <w:r w:rsidRPr="00711329">
              <w:rPr>
                <w:rFonts w:ascii="Arial" w:hAnsi="Arial" w:cs="Arial"/>
              </w:rPr>
              <w:t>Date:</w:t>
            </w:r>
          </w:p>
        </w:tc>
      </w:tr>
    </w:tbl>
    <w:p w14:paraId="0D5C9D37" w14:textId="77777777" w:rsidR="008F6CDB" w:rsidRDefault="008F6CDB" w:rsidP="008F6CDB">
      <w:pPr>
        <w:rPr>
          <w:b/>
          <w:sz w:val="24"/>
          <w:szCs w:val="24"/>
        </w:rPr>
      </w:pPr>
    </w:p>
    <w:p w14:paraId="5D89C770" w14:textId="77777777" w:rsidR="008F6CDB" w:rsidRDefault="008F6CDB">
      <w:pPr>
        <w:rPr>
          <w:b/>
          <w:sz w:val="24"/>
          <w:szCs w:val="24"/>
        </w:rPr>
      </w:pPr>
    </w:p>
    <w:p w14:paraId="7C73AC70" w14:textId="77777777" w:rsidR="008F6CDB" w:rsidRDefault="008F6CDB">
      <w:pPr>
        <w:rPr>
          <w:b/>
          <w:sz w:val="24"/>
          <w:szCs w:val="24"/>
        </w:rPr>
      </w:pPr>
    </w:p>
    <w:p w14:paraId="47DB0B3D" w14:textId="77777777" w:rsidR="008F6CDB" w:rsidRDefault="008F6CDB">
      <w:pPr>
        <w:rPr>
          <w:b/>
          <w:sz w:val="24"/>
          <w:szCs w:val="24"/>
        </w:rPr>
      </w:pPr>
    </w:p>
    <w:p w14:paraId="0CE43A28" w14:textId="77777777" w:rsidR="008F6CDB" w:rsidRDefault="008F6CDB">
      <w:pPr>
        <w:rPr>
          <w:b/>
          <w:sz w:val="24"/>
          <w:szCs w:val="24"/>
        </w:rPr>
      </w:pPr>
    </w:p>
    <w:p w14:paraId="1E7D6D6A" w14:textId="77777777" w:rsidR="008F6CDB" w:rsidRDefault="008F6CDB">
      <w:pPr>
        <w:rPr>
          <w:b/>
          <w:sz w:val="24"/>
          <w:szCs w:val="24"/>
        </w:rPr>
      </w:pPr>
    </w:p>
    <w:p w14:paraId="112D39A2" w14:textId="77777777" w:rsidR="008F6CDB" w:rsidRDefault="008F6CDB">
      <w:pPr>
        <w:rPr>
          <w:b/>
          <w:sz w:val="24"/>
          <w:szCs w:val="24"/>
        </w:rPr>
      </w:pPr>
    </w:p>
    <w:p w14:paraId="5D68A219" w14:textId="77777777" w:rsidR="008F6CDB" w:rsidRDefault="008F6CDB">
      <w:pPr>
        <w:rPr>
          <w:b/>
          <w:sz w:val="24"/>
          <w:szCs w:val="24"/>
        </w:rPr>
      </w:pPr>
    </w:p>
    <w:p w14:paraId="5C630F93" w14:textId="77777777" w:rsidR="008F6CDB" w:rsidRDefault="008F6CDB">
      <w:pPr>
        <w:rPr>
          <w:b/>
          <w:sz w:val="24"/>
          <w:szCs w:val="24"/>
        </w:rPr>
      </w:pPr>
    </w:p>
    <w:p w14:paraId="05BEA9A0" w14:textId="77777777" w:rsidR="008F6CDB" w:rsidRDefault="008F6CDB">
      <w:pPr>
        <w:rPr>
          <w:b/>
          <w:sz w:val="24"/>
          <w:szCs w:val="24"/>
        </w:rPr>
      </w:pPr>
    </w:p>
    <w:p w14:paraId="43A28661" w14:textId="77777777" w:rsidR="008F6CDB" w:rsidRDefault="008F6CDB">
      <w:pPr>
        <w:rPr>
          <w:b/>
          <w:sz w:val="24"/>
          <w:szCs w:val="24"/>
        </w:rPr>
      </w:pPr>
    </w:p>
    <w:p w14:paraId="15A884AA" w14:textId="77777777" w:rsidR="008F6CDB" w:rsidRDefault="008F6CDB">
      <w:pPr>
        <w:rPr>
          <w:b/>
          <w:sz w:val="24"/>
          <w:szCs w:val="24"/>
        </w:rPr>
      </w:pPr>
    </w:p>
    <w:p w14:paraId="0CB2E673" w14:textId="77777777" w:rsidR="008F6CDB" w:rsidRDefault="008F6CDB">
      <w:pPr>
        <w:rPr>
          <w:b/>
          <w:sz w:val="24"/>
          <w:szCs w:val="24"/>
        </w:rPr>
      </w:pPr>
    </w:p>
    <w:p w14:paraId="0F0ADD63" w14:textId="77777777" w:rsidR="008F6CDB" w:rsidRDefault="008F6CDB">
      <w:pPr>
        <w:rPr>
          <w:b/>
          <w:sz w:val="24"/>
          <w:szCs w:val="24"/>
        </w:rPr>
      </w:pPr>
    </w:p>
    <w:p w14:paraId="45D9A00C" w14:textId="77777777" w:rsidR="008F6CDB" w:rsidRDefault="008F6CDB">
      <w:pPr>
        <w:rPr>
          <w:b/>
          <w:sz w:val="24"/>
          <w:szCs w:val="24"/>
        </w:rPr>
      </w:pPr>
    </w:p>
    <w:p w14:paraId="7C6302B7" w14:textId="77777777" w:rsidR="008F6CDB" w:rsidRDefault="008F6CDB">
      <w:pPr>
        <w:rPr>
          <w:b/>
          <w:sz w:val="24"/>
          <w:szCs w:val="24"/>
        </w:rPr>
      </w:pPr>
    </w:p>
    <w:p w14:paraId="3B0902D2" w14:textId="77777777" w:rsidR="008F6CDB" w:rsidRDefault="008F6CDB">
      <w:pPr>
        <w:rPr>
          <w:b/>
          <w:sz w:val="24"/>
          <w:szCs w:val="24"/>
        </w:rPr>
      </w:pPr>
    </w:p>
    <w:p w14:paraId="09E78210" w14:textId="77777777" w:rsidR="008F6CDB" w:rsidRDefault="008F6CDB">
      <w:pPr>
        <w:rPr>
          <w:b/>
          <w:sz w:val="24"/>
          <w:szCs w:val="24"/>
        </w:rPr>
      </w:pPr>
    </w:p>
    <w:p w14:paraId="6044EA4F" w14:textId="77777777" w:rsidR="008F6CDB" w:rsidRDefault="008F6CDB">
      <w:pPr>
        <w:rPr>
          <w:b/>
          <w:sz w:val="24"/>
          <w:szCs w:val="24"/>
        </w:rPr>
      </w:pPr>
    </w:p>
    <w:p w14:paraId="2A61E672" w14:textId="77777777" w:rsidR="008F6CDB" w:rsidRDefault="008F6CDB">
      <w:pPr>
        <w:rPr>
          <w:b/>
          <w:sz w:val="24"/>
          <w:szCs w:val="24"/>
        </w:rPr>
      </w:pPr>
    </w:p>
    <w:p w14:paraId="097BAD92" w14:textId="77777777" w:rsidR="008F6CDB" w:rsidRDefault="008F6CDB">
      <w:pPr>
        <w:rPr>
          <w:b/>
          <w:sz w:val="24"/>
          <w:szCs w:val="24"/>
        </w:rPr>
      </w:pPr>
    </w:p>
    <w:p w14:paraId="7BA0DDD5" w14:textId="08D25E63" w:rsidR="007557D3" w:rsidRPr="007557D3" w:rsidRDefault="007557D3">
      <w:pPr>
        <w:rPr>
          <w:b/>
          <w:sz w:val="24"/>
          <w:szCs w:val="24"/>
        </w:rPr>
      </w:pPr>
      <w:r w:rsidRPr="007557D3">
        <w:rPr>
          <w:b/>
          <w:sz w:val="24"/>
          <w:szCs w:val="24"/>
        </w:rPr>
        <w:lastRenderedPageBreak/>
        <w:t>Outline the critical debate which has surrounded the historicity of Arthur. Do you agree that it is the lack of key biographical details relating to Arthur that has made him so amenable to literary contexts?</w:t>
      </w:r>
      <w:bookmarkStart w:id="6" w:name="_GoBack"/>
      <w:bookmarkEnd w:id="6"/>
    </w:p>
    <w:p w14:paraId="035D449E" w14:textId="358ECFA9" w:rsidR="007557D3" w:rsidRDefault="007557D3">
      <w:r>
        <w:t xml:space="preserve">For many historians, Thomas Charles-Edwards’ conclusion in 1991 that </w:t>
      </w:r>
      <w:r w:rsidR="0069406B">
        <w:t>‘</w:t>
      </w:r>
      <w:r>
        <w:t xml:space="preserve">one can only say there may </w:t>
      </w:r>
    </w:p>
    <w:p w14:paraId="34C117A1" w14:textId="3E071CDD" w:rsidR="00D65DEA" w:rsidRDefault="007557D3">
      <w:r>
        <w:t>well have been an historical Arthur</w:t>
      </w:r>
      <w:r w:rsidR="00F116E1">
        <w:t>…</w:t>
      </w:r>
      <w:r>
        <w:t xml:space="preserve"> the historian can as yet say nothing of value about him</w:t>
      </w:r>
      <w:r w:rsidR="00D65DEA">
        <w:t>’</w:t>
      </w:r>
      <w:r w:rsidR="0035289A">
        <w:rPr>
          <w:rStyle w:val="EndnoteReference"/>
        </w:rPr>
        <w:endnoteReference w:id="1"/>
      </w:r>
      <w:r w:rsidR="0035289A">
        <w:t xml:space="preserve"> </w:t>
      </w:r>
      <w:r w:rsidR="00342005">
        <w:t xml:space="preserve">would, </w:t>
      </w:r>
    </w:p>
    <w:p w14:paraId="51BBF3EB" w14:textId="77777777" w:rsidR="00D65DEA" w:rsidRDefault="00342005">
      <w:r>
        <w:t xml:space="preserve">at many times in the past, have been seen as a balanced and judicious one. </w:t>
      </w:r>
      <w:r w:rsidR="003313C2">
        <w:t>Although</w:t>
      </w:r>
      <w:r w:rsidR="001D3ACD">
        <w:t xml:space="preserve"> s</w:t>
      </w:r>
      <w:r>
        <w:t xml:space="preserve">ome, such as </w:t>
      </w:r>
    </w:p>
    <w:p w14:paraId="2E814CB2" w14:textId="77777777" w:rsidR="00D65DEA" w:rsidRDefault="00342005">
      <w:r>
        <w:t>Alcock or Morris, might have been more ‘positivist’ about what could be said of value about Arthur</w:t>
      </w:r>
      <w:r w:rsidR="00F116E1">
        <w:t xml:space="preserve"> </w:t>
      </w:r>
    </w:p>
    <w:p w14:paraId="00CCE138" w14:textId="77777777" w:rsidR="00D65DEA" w:rsidRDefault="00F116E1">
      <w:r>
        <w:t>as a figure in the late 5</w:t>
      </w:r>
      <w:r w:rsidRPr="00F116E1">
        <w:rPr>
          <w:vertAlign w:val="superscript"/>
        </w:rPr>
        <w:t>th</w:t>
      </w:r>
      <w:r>
        <w:t xml:space="preserve"> and early 6</w:t>
      </w:r>
      <w:r w:rsidRPr="00F116E1">
        <w:rPr>
          <w:vertAlign w:val="superscript"/>
        </w:rPr>
        <w:t>th</w:t>
      </w:r>
      <w:r>
        <w:t xml:space="preserve"> centuries</w:t>
      </w:r>
      <w:r w:rsidR="00342005">
        <w:t xml:space="preserve">, </w:t>
      </w:r>
      <w:r>
        <w:t xml:space="preserve">with </w:t>
      </w:r>
      <w:r w:rsidR="00342005">
        <w:t>others, such as David Dumville, be</w:t>
      </w:r>
      <w:r w:rsidR="001D3ACD">
        <w:t>ing</w:t>
      </w:r>
      <w:r w:rsidR="00342005">
        <w:t xml:space="preserve"> more </w:t>
      </w:r>
    </w:p>
    <w:p w14:paraId="12A04833" w14:textId="77777777" w:rsidR="00D65DEA" w:rsidRDefault="00342005">
      <w:r>
        <w:t xml:space="preserve">sceptical about whether the sources purporting to mention Arthur were reliable enough to say </w:t>
      </w:r>
    </w:p>
    <w:p w14:paraId="523BF106" w14:textId="77777777" w:rsidR="00D65DEA" w:rsidRDefault="00342005">
      <w:r>
        <w:t xml:space="preserve">anything useful about him, Charles-Edwards’ view might have been described as a ‘centrist’ one. </w:t>
      </w:r>
    </w:p>
    <w:p w14:paraId="56C6918D" w14:textId="77777777" w:rsidR="00D65DEA" w:rsidRDefault="00342005">
      <w:r>
        <w:t xml:space="preserve">Since the 1990s, however, the academic pendulum has swung decisively, not only significantly </w:t>
      </w:r>
    </w:p>
    <w:p w14:paraId="4E577A24" w14:textId="77777777" w:rsidR="00D65DEA" w:rsidRDefault="00342005">
      <w:r>
        <w:t xml:space="preserve">undermining the ‘traditional’ </w:t>
      </w:r>
      <w:r w:rsidR="00F116E1">
        <w:t xml:space="preserve">pre-Galfridian </w:t>
      </w:r>
      <w:r>
        <w:t>Arthurian sources (primari</w:t>
      </w:r>
      <w:r w:rsidR="004C042F">
        <w:t xml:space="preserve">ly </w:t>
      </w:r>
      <w:r>
        <w:t xml:space="preserve">the </w:t>
      </w:r>
      <w:r w:rsidRPr="004C042F">
        <w:rPr>
          <w:i/>
        </w:rPr>
        <w:t>Historia Brittonum</w:t>
      </w:r>
      <w:r>
        <w:t xml:space="preserve">, the </w:t>
      </w:r>
    </w:p>
    <w:p w14:paraId="2FC656A6" w14:textId="77777777" w:rsidR="00D65DEA" w:rsidRDefault="00342005">
      <w:pPr>
        <w:rPr>
          <w:i/>
        </w:rPr>
      </w:pPr>
      <w:r w:rsidRPr="004C042F">
        <w:rPr>
          <w:i/>
        </w:rPr>
        <w:t>Annal</w:t>
      </w:r>
      <w:r w:rsidR="004C042F" w:rsidRPr="004C042F">
        <w:rPr>
          <w:i/>
        </w:rPr>
        <w:t>e</w:t>
      </w:r>
      <w:r w:rsidRPr="004C042F">
        <w:rPr>
          <w:i/>
        </w:rPr>
        <w:t xml:space="preserve">s </w:t>
      </w:r>
      <w:r w:rsidR="00FC43EC" w:rsidRPr="004C042F">
        <w:rPr>
          <w:i/>
        </w:rPr>
        <w:t>Cambriae</w:t>
      </w:r>
      <w:r w:rsidR="004C042F">
        <w:t xml:space="preserve">, the Welsh Genealogies and the most contemporary source, Gildas’ </w:t>
      </w:r>
      <w:r w:rsidR="004C042F" w:rsidRPr="004C042F">
        <w:rPr>
          <w:i/>
        </w:rPr>
        <w:t xml:space="preserve">De Excidio </w:t>
      </w:r>
    </w:p>
    <w:p w14:paraId="4A80C91D" w14:textId="77777777" w:rsidR="00D65DEA" w:rsidRDefault="004C042F">
      <w:r w:rsidRPr="004C042F">
        <w:rPr>
          <w:i/>
        </w:rPr>
        <w:t>Brittonum</w:t>
      </w:r>
      <w:r>
        <w:t>), but going further, especially in the case of Padel, Higham and Green</w:t>
      </w:r>
      <w:r w:rsidR="00C72D16">
        <w:t>,</w:t>
      </w:r>
      <w:r>
        <w:t xml:space="preserve"> to argue that </w:t>
      </w:r>
    </w:p>
    <w:p w14:paraId="0028593B" w14:textId="2542EC62" w:rsidR="00D65DEA" w:rsidRDefault="004C042F">
      <w:r>
        <w:t>Arthur was, from the outset, a purely ‘pseudo-historical character … [in a] synthetic pseudo-history’</w:t>
      </w:r>
      <w:r w:rsidR="0035289A">
        <w:rPr>
          <w:rStyle w:val="EndnoteReference"/>
        </w:rPr>
        <w:endnoteReference w:id="2"/>
      </w:r>
      <w:r>
        <w:t xml:space="preserve">, </w:t>
      </w:r>
    </w:p>
    <w:p w14:paraId="507BFB00" w14:textId="77777777" w:rsidR="00D65DEA" w:rsidRDefault="004C042F">
      <w:r>
        <w:t xml:space="preserve">so that ‘in the blatant absence of anything even approaching proof of his historicity… there is simply </w:t>
      </w:r>
    </w:p>
    <w:p w14:paraId="7490629C" w14:textId="0DFAF075" w:rsidR="00D65DEA" w:rsidRDefault="004C042F">
      <w:r>
        <w:t>no reason to think that a “historical Arthur” is a serious possibility’</w:t>
      </w:r>
      <w:r w:rsidR="0035289A">
        <w:rPr>
          <w:rStyle w:val="EndnoteReference"/>
        </w:rPr>
        <w:endnoteReference w:id="3"/>
      </w:r>
      <w:r>
        <w:t xml:space="preserve">. Indeed, the focus of historians </w:t>
      </w:r>
    </w:p>
    <w:p w14:paraId="1CE62B65" w14:textId="77777777" w:rsidR="00D65DEA" w:rsidRDefault="004C042F">
      <w:r>
        <w:t xml:space="preserve">has shifted much more towards examining Arthur’s role as ‘a highly adaptable figure… [who was] </w:t>
      </w:r>
    </w:p>
    <w:p w14:paraId="64BA84CB" w14:textId="77777777" w:rsidR="00D65DEA" w:rsidRDefault="004C042F">
      <w:r>
        <w:t xml:space="preserve">capable of being recast in a variety of guises to fulfil the differing needs of writers producing works </w:t>
      </w:r>
    </w:p>
    <w:p w14:paraId="04008766" w14:textId="0E3C3813" w:rsidR="00D65DEA" w:rsidRDefault="004C042F">
      <w:r>
        <w:t>at different times, for very different audiences</w:t>
      </w:r>
      <w:r w:rsidR="00A23857">
        <w:t>’</w:t>
      </w:r>
      <w:r w:rsidR="0035289A">
        <w:rPr>
          <w:rStyle w:val="EndnoteReference"/>
        </w:rPr>
        <w:endnoteReference w:id="4"/>
      </w:r>
      <w:r w:rsidR="00A23857">
        <w:t xml:space="preserve">. </w:t>
      </w:r>
      <w:r w:rsidR="00C37633">
        <w:t xml:space="preserve">This adaptability </w:t>
      </w:r>
      <w:r w:rsidR="00782BDB">
        <w:t>could</w:t>
      </w:r>
      <w:r w:rsidR="00C37633">
        <w:t xml:space="preserve"> be said to lie with the fact </w:t>
      </w:r>
    </w:p>
    <w:p w14:paraId="5176F575" w14:textId="0E9D5A1F" w:rsidR="00D65DEA" w:rsidRDefault="00C37633">
      <w:r>
        <w:t xml:space="preserve">that Arthur emerged in the sources with </w:t>
      </w:r>
      <w:r w:rsidR="00D65DEA">
        <w:t>s</w:t>
      </w:r>
      <w:r>
        <w:t xml:space="preserve">o few biographical details attached to him, as a sort of </w:t>
      </w:r>
    </w:p>
    <w:p w14:paraId="1E075CA0" w14:textId="77777777" w:rsidR="00D65DEA" w:rsidRDefault="00C37633">
      <w:r w:rsidRPr="00A23857">
        <w:rPr>
          <w:i/>
        </w:rPr>
        <w:t>tabula rasa</w:t>
      </w:r>
      <w:r>
        <w:t>, which made it easy to make those attachments to him</w:t>
      </w:r>
      <w:r w:rsidR="000E75E2">
        <w:t>;</w:t>
      </w:r>
      <w:r>
        <w:t xml:space="preserve"> </w:t>
      </w:r>
      <w:r w:rsidR="000E75E2">
        <w:t xml:space="preserve">however, </w:t>
      </w:r>
      <w:r>
        <w:t xml:space="preserve">on the contrary, it </w:t>
      </w:r>
    </w:p>
    <w:p w14:paraId="31C2E57A" w14:textId="6953C2E0" w:rsidR="00D65DEA" w:rsidRDefault="008D4F83">
      <w:r>
        <w:t>may</w:t>
      </w:r>
      <w:r w:rsidR="00C37633">
        <w:t xml:space="preserve"> be said to be due to the fact that exactly enough was known about him to make him an </w:t>
      </w:r>
    </w:p>
    <w:p w14:paraId="2011FB14" w14:textId="74D0DF14" w:rsidR="007557D3" w:rsidRDefault="00C37633">
      <w:r>
        <w:t>important, even essential</w:t>
      </w:r>
      <w:r w:rsidR="003313C2">
        <w:t>,</w:t>
      </w:r>
      <w:r>
        <w:t xml:space="preserve"> touchstone that people want</w:t>
      </w:r>
      <w:r w:rsidR="0077691D">
        <w:t>ed</w:t>
      </w:r>
      <w:r>
        <w:t xml:space="preserve"> to be associated with. </w:t>
      </w:r>
    </w:p>
    <w:p w14:paraId="65A7758C" w14:textId="64557072" w:rsidR="00A23857" w:rsidRDefault="00A23857"/>
    <w:p w14:paraId="0FE81831" w14:textId="55F4BFE7" w:rsidR="00F347D8" w:rsidRDefault="00A23857">
      <w:r>
        <w:t>Historians are engaged, in E.H. Carr’s phrase, in ‘a</w:t>
      </w:r>
      <w:r w:rsidR="00F347D8">
        <w:t xml:space="preserve">n unending </w:t>
      </w:r>
      <w:r>
        <w:t xml:space="preserve">dialogue between the present and the </w:t>
      </w:r>
    </w:p>
    <w:p w14:paraId="6F9F6ADC" w14:textId="330F7CA4" w:rsidR="00F347D8" w:rsidRDefault="00A23857">
      <w:r>
        <w:t>past’</w:t>
      </w:r>
      <w:r w:rsidR="0035289A">
        <w:rPr>
          <w:rStyle w:val="EndnoteReference"/>
        </w:rPr>
        <w:endnoteReference w:id="5"/>
      </w:r>
      <w:r>
        <w:t xml:space="preserve">, the past being represented by and accessible through sources, ‘that is </w:t>
      </w:r>
      <w:r w:rsidR="00D65DEA">
        <w:t xml:space="preserve">to </w:t>
      </w:r>
      <w:r>
        <w:t xml:space="preserve">say the physical </w:t>
      </w:r>
    </w:p>
    <w:p w14:paraId="54A6C2F8" w14:textId="144357A4" w:rsidR="00F347D8" w:rsidRDefault="00A23857">
      <w:r>
        <w:t>survivals from the events to be studied’</w:t>
      </w:r>
      <w:r w:rsidR="008A76F9">
        <w:rPr>
          <w:rStyle w:val="EndnoteReference"/>
        </w:rPr>
        <w:endnoteReference w:id="6"/>
      </w:r>
      <w:r>
        <w:t xml:space="preserve">. The role of historians is therefore ‘the attempt to discover </w:t>
      </w:r>
    </w:p>
    <w:p w14:paraId="627F93B0" w14:textId="3A012AB5" w:rsidR="00F347D8" w:rsidRDefault="00A23857">
      <w:r>
        <w:t>on the basis of fragmentary evidence the significant things about the past’</w:t>
      </w:r>
      <w:r w:rsidR="008A76F9">
        <w:rPr>
          <w:rStyle w:val="EndnoteReference"/>
        </w:rPr>
        <w:endnoteReference w:id="7"/>
      </w:r>
      <w:r>
        <w:t xml:space="preserve">, with, in general, the </w:t>
      </w:r>
    </w:p>
    <w:p w14:paraId="43A2F956" w14:textId="77777777" w:rsidR="00F62B58" w:rsidRDefault="00A23857">
      <w:r>
        <w:t xml:space="preserve">most useful and/or reliable evidence being provided by sources which are as contemporary to the </w:t>
      </w:r>
    </w:p>
    <w:p w14:paraId="6166DC99" w14:textId="7D9120C4" w:rsidR="00F347D8" w:rsidRDefault="00A23857">
      <w:r>
        <w:t>events as possible.</w:t>
      </w:r>
      <w:r w:rsidR="00397834">
        <w:t xml:space="preserve"> The first underlying problem faced by historians concerning the historicity of </w:t>
      </w:r>
    </w:p>
    <w:p w14:paraId="3B768AE5" w14:textId="77777777" w:rsidR="00DF61D0" w:rsidRDefault="00397834">
      <w:r>
        <w:lastRenderedPageBreak/>
        <w:t xml:space="preserve">Arthur is the paucity of extant </w:t>
      </w:r>
      <w:r w:rsidR="00D65DEA">
        <w:t xml:space="preserve">insular </w:t>
      </w:r>
      <w:r w:rsidR="00DF61D0">
        <w:t xml:space="preserve">contemporary </w:t>
      </w:r>
      <w:r>
        <w:t>sources</w:t>
      </w:r>
      <w:r w:rsidR="00380A2A">
        <w:t xml:space="preserve">, for ‘this time remains the darkest, the </w:t>
      </w:r>
    </w:p>
    <w:p w14:paraId="3CDB2484" w14:textId="118ADCBA" w:rsidR="00DF61D0" w:rsidRDefault="00380A2A" w:rsidP="00D65DEA">
      <w:r>
        <w:t>least documented in British history’</w:t>
      </w:r>
      <w:r w:rsidR="008A76F9">
        <w:rPr>
          <w:rStyle w:val="EndnoteReference"/>
        </w:rPr>
        <w:endnoteReference w:id="8"/>
      </w:r>
      <w:r w:rsidR="00D65DEA">
        <w:t xml:space="preserve">. Moreover, </w:t>
      </w:r>
      <w:r>
        <w:t xml:space="preserve">only a fraction of </w:t>
      </w:r>
      <w:r w:rsidR="00DF61D0">
        <w:t xml:space="preserve">such </w:t>
      </w:r>
      <w:r w:rsidR="00F62B58">
        <w:t xml:space="preserve">sources even </w:t>
      </w:r>
      <w:r w:rsidR="00397834">
        <w:t>mention</w:t>
      </w:r>
      <w:r>
        <w:t xml:space="preserve"> </w:t>
      </w:r>
    </w:p>
    <w:p w14:paraId="01C21103" w14:textId="77777777" w:rsidR="00DF61D0" w:rsidRDefault="00397834" w:rsidP="00D65DEA">
      <w:r>
        <w:t xml:space="preserve">Arthur. </w:t>
      </w:r>
      <w:r w:rsidR="00D65DEA">
        <w:t xml:space="preserve">That is not to say that </w:t>
      </w:r>
      <w:r w:rsidR="00F62B58">
        <w:t xml:space="preserve">more </w:t>
      </w:r>
      <w:r w:rsidR="00D65DEA">
        <w:t>accounts</w:t>
      </w:r>
      <w:r w:rsidR="00F62B58">
        <w:t xml:space="preserve"> did not exist</w:t>
      </w:r>
      <w:r w:rsidR="00D65DEA">
        <w:t xml:space="preserve">, but </w:t>
      </w:r>
      <w:r w:rsidR="00F62B58">
        <w:t>if the</w:t>
      </w:r>
      <w:r w:rsidR="000D0D0C">
        <w:t>y did</w:t>
      </w:r>
      <w:r w:rsidR="00F62B58">
        <w:t xml:space="preserve">, they have not survived. </w:t>
      </w:r>
    </w:p>
    <w:p w14:paraId="070E846C" w14:textId="77777777" w:rsidR="00DF61D0" w:rsidRDefault="00D65DEA" w:rsidP="00D65DEA">
      <w:r>
        <w:t xml:space="preserve">Sources of the period from the Anglo-Saxon perspective- such as the </w:t>
      </w:r>
      <w:r w:rsidRPr="00B9638E">
        <w:rPr>
          <w:i/>
        </w:rPr>
        <w:t>Anglo-Saxon Chronicle</w:t>
      </w:r>
      <w:r>
        <w:t xml:space="preserve"> and </w:t>
      </w:r>
    </w:p>
    <w:p w14:paraId="18BFCDC9" w14:textId="6BDA4EFF" w:rsidR="00DF61D0" w:rsidRDefault="00D65DEA" w:rsidP="00D65DEA">
      <w:r>
        <w:t xml:space="preserve">Bede’s </w:t>
      </w:r>
      <w:r w:rsidRPr="00B9638E">
        <w:rPr>
          <w:i/>
        </w:rPr>
        <w:t>Ecclesiastical History</w:t>
      </w:r>
      <w:r>
        <w:t xml:space="preserve"> </w:t>
      </w:r>
      <w:r w:rsidR="00DF61D0">
        <w:t xml:space="preserve">- </w:t>
      </w:r>
      <w:r>
        <w:t xml:space="preserve">do not mention Arthur at all, though since the latter is wholly based on </w:t>
      </w:r>
    </w:p>
    <w:p w14:paraId="26696367" w14:textId="77777777" w:rsidR="00DF61D0" w:rsidRDefault="00D65DEA">
      <w:r>
        <w:t xml:space="preserve">Gildas for that period, and the former is, at least in part, derived from Bede’s sources, that should </w:t>
      </w:r>
    </w:p>
    <w:p w14:paraId="189F9DB3" w14:textId="77777777" w:rsidR="00DF61D0" w:rsidRDefault="00D65DEA">
      <w:r>
        <w:t>not be surprising.</w:t>
      </w:r>
      <w:r>
        <w:rPr>
          <w:i/>
        </w:rPr>
        <w:t xml:space="preserve"> </w:t>
      </w:r>
      <w:r w:rsidR="00397834">
        <w:t xml:space="preserve">External to Britain are Zosimus’ </w:t>
      </w:r>
      <w:r w:rsidR="00397834" w:rsidRPr="00397834">
        <w:rPr>
          <w:i/>
        </w:rPr>
        <w:t>Historia Nova</w:t>
      </w:r>
      <w:r w:rsidR="00397834">
        <w:t xml:space="preserve"> and the </w:t>
      </w:r>
      <w:r w:rsidR="00397834" w:rsidRPr="006C1424">
        <w:rPr>
          <w:i/>
        </w:rPr>
        <w:t>Gallic Chronicles</w:t>
      </w:r>
      <w:r w:rsidR="00397834">
        <w:t xml:space="preserve"> of 452 and </w:t>
      </w:r>
    </w:p>
    <w:p w14:paraId="67AFBBF8" w14:textId="77777777" w:rsidR="00DF61D0" w:rsidRDefault="00397834">
      <w:r>
        <w:t>511</w:t>
      </w:r>
      <w:r w:rsidR="00F62B58">
        <w:rPr>
          <w:rStyle w:val="EndnoteReference"/>
        </w:rPr>
        <w:endnoteReference w:id="9"/>
      </w:r>
      <w:r>
        <w:t>, which may be useful for an understanding of the context of post-Roman Britain, but</w:t>
      </w:r>
      <w:r w:rsidR="006C1424">
        <w:t>,</w:t>
      </w:r>
      <w:r>
        <w:t xml:space="preserve"> again</w:t>
      </w:r>
      <w:r w:rsidR="006C1424">
        <w:t>,</w:t>
      </w:r>
      <w:r>
        <w:t xml:space="preserve"> </w:t>
      </w:r>
    </w:p>
    <w:p w14:paraId="048BC590" w14:textId="77777777" w:rsidR="00DF61D0" w:rsidRDefault="00397834">
      <w:r>
        <w:t xml:space="preserve">make no mention of Arthur. </w:t>
      </w:r>
      <w:r w:rsidR="00064628">
        <w:t xml:space="preserve">The first </w:t>
      </w:r>
      <w:r w:rsidR="006C1424">
        <w:t xml:space="preserve">extant </w:t>
      </w:r>
      <w:r w:rsidR="00064628">
        <w:t xml:space="preserve">source to overtly mention Arthur is </w:t>
      </w:r>
      <w:r w:rsidR="00064628" w:rsidRPr="00064628">
        <w:rPr>
          <w:i/>
        </w:rPr>
        <w:t>Historia Brittonum</w:t>
      </w:r>
      <w:r w:rsidR="00064628">
        <w:t xml:space="preserve">, </w:t>
      </w:r>
    </w:p>
    <w:p w14:paraId="6EA5D082" w14:textId="77777777" w:rsidR="00DF61D0" w:rsidRDefault="00064628">
      <w:r>
        <w:t xml:space="preserve">formerly attributed to </w:t>
      </w:r>
      <w:r w:rsidR="008A76F9">
        <w:t>‘</w:t>
      </w:r>
      <w:r>
        <w:t>Nennius</w:t>
      </w:r>
      <w:r w:rsidR="008A76F9">
        <w:t>’</w:t>
      </w:r>
      <w:r w:rsidR="008A76F9">
        <w:rPr>
          <w:rStyle w:val="EndnoteReference"/>
        </w:rPr>
        <w:endnoteReference w:id="10"/>
      </w:r>
      <w:r w:rsidR="008A76F9">
        <w:t>,</w:t>
      </w:r>
      <w:r>
        <w:t xml:space="preserve"> which is usually dated to 828-30, but survives only in its earliest </w:t>
      </w:r>
    </w:p>
    <w:p w14:paraId="31AC977C" w14:textId="77777777" w:rsidR="00DF61D0" w:rsidRDefault="00064628">
      <w:r>
        <w:t xml:space="preserve">manuscript form as Harley 3859 in the British Library, which has been dated to c1100. The same </w:t>
      </w:r>
    </w:p>
    <w:p w14:paraId="5C1DFAF0" w14:textId="77777777" w:rsidR="00DF61D0" w:rsidRDefault="00064628">
      <w:r>
        <w:t xml:space="preserve">manuscript collection, known collectively by Alcock as the </w:t>
      </w:r>
      <w:r w:rsidRPr="00B9638E">
        <w:rPr>
          <w:i/>
        </w:rPr>
        <w:t>British Historical Miscellany</w:t>
      </w:r>
      <w:r>
        <w:t>, also includes</w:t>
      </w:r>
      <w:r w:rsidR="00CE1745">
        <w:t xml:space="preserve"> </w:t>
      </w:r>
    </w:p>
    <w:p w14:paraId="70A4168D" w14:textId="77777777" w:rsidR="00DF61D0" w:rsidRDefault="00CE1745">
      <w:r>
        <w:t xml:space="preserve">the earliest extant </w:t>
      </w:r>
      <w:r w:rsidR="00064628">
        <w:t xml:space="preserve">copies of two other sources that mention Arthur, the </w:t>
      </w:r>
      <w:r w:rsidR="00064628" w:rsidRPr="00064628">
        <w:rPr>
          <w:i/>
        </w:rPr>
        <w:t>Annals Cambr</w:t>
      </w:r>
      <w:r w:rsidR="00FC43EC">
        <w:rPr>
          <w:i/>
        </w:rPr>
        <w:t>iae</w:t>
      </w:r>
      <w:r w:rsidR="00064628">
        <w:t xml:space="preserve"> and the </w:t>
      </w:r>
    </w:p>
    <w:p w14:paraId="451EF421" w14:textId="77777777" w:rsidR="00DF61D0" w:rsidRDefault="00064628" w:rsidP="00D65DEA">
      <w:r w:rsidRPr="006C1424">
        <w:rPr>
          <w:i/>
        </w:rPr>
        <w:t>Welsh Genealogies</w:t>
      </w:r>
      <w:r w:rsidR="00CE1745">
        <w:t xml:space="preserve">, which </w:t>
      </w:r>
      <w:r>
        <w:t xml:space="preserve">can be internally dated to the mid-950s, though </w:t>
      </w:r>
      <w:r w:rsidR="00CE1745">
        <w:t>t</w:t>
      </w:r>
      <w:r>
        <w:t xml:space="preserve">he </w:t>
      </w:r>
      <w:r w:rsidR="00CE1745">
        <w:t xml:space="preserve">earliest </w:t>
      </w:r>
      <w:r w:rsidRPr="00064628">
        <w:rPr>
          <w:i/>
        </w:rPr>
        <w:t>Annals</w:t>
      </w:r>
      <w:r>
        <w:t xml:space="preserve"> may </w:t>
      </w:r>
    </w:p>
    <w:p w14:paraId="5E6177A5" w14:textId="4F887AC4" w:rsidR="00064628" w:rsidRDefault="00064628" w:rsidP="00D65DEA">
      <w:r>
        <w:t>be based on an earlier Irish edition</w:t>
      </w:r>
      <w:r w:rsidR="00D65DEA">
        <w:t xml:space="preserve">.  </w:t>
      </w:r>
    </w:p>
    <w:p w14:paraId="18AA6710" w14:textId="5C409632" w:rsidR="00B9638E" w:rsidRDefault="00B9638E"/>
    <w:p w14:paraId="2128A898" w14:textId="77777777" w:rsidR="00B9638E" w:rsidRDefault="00B9638E">
      <w:r>
        <w:t xml:space="preserve">A second underlying problem for historians of this period is that the two essential elements in </w:t>
      </w:r>
    </w:p>
    <w:p w14:paraId="72304FA9" w14:textId="77777777" w:rsidR="00CE1745" w:rsidRDefault="00B9638E">
      <w:r>
        <w:t xml:space="preserve">writing coherent history – chronology and corroboration- are largely missing from the </w:t>
      </w:r>
      <w:r w:rsidR="00CE1745">
        <w:t xml:space="preserve">extant </w:t>
      </w:r>
    </w:p>
    <w:p w14:paraId="2E6ECCCF" w14:textId="0B450728" w:rsidR="00B9638E" w:rsidRDefault="00B9638E">
      <w:r>
        <w:t xml:space="preserve">sources. Gildas identifies the Siege of Badon Hill as ‘pretty well the last defeat of the villains, and </w:t>
      </w:r>
    </w:p>
    <w:p w14:paraId="33D0F3D0" w14:textId="7F42D685" w:rsidR="00B9638E" w:rsidRDefault="00B9638E">
      <w:r>
        <w:t>certainly not the least’</w:t>
      </w:r>
      <w:r w:rsidR="008A76F9">
        <w:rPr>
          <w:rStyle w:val="EndnoteReference"/>
        </w:rPr>
        <w:endnoteReference w:id="11"/>
      </w:r>
      <w:r>
        <w:t xml:space="preserve"> and ‘the final victory of our country that has been granted to our times’</w:t>
      </w:r>
      <w:r w:rsidR="008A76F9">
        <w:rPr>
          <w:rStyle w:val="EndnoteReference"/>
        </w:rPr>
        <w:endnoteReference w:id="12"/>
      </w:r>
      <w:r>
        <w:t xml:space="preserve">, </w:t>
      </w:r>
    </w:p>
    <w:p w14:paraId="26D1D1AB" w14:textId="509398E7" w:rsidR="00B9638E" w:rsidRDefault="00B9638E">
      <w:r>
        <w:t xml:space="preserve">identifying this as perhaps </w:t>
      </w:r>
      <w:r w:rsidRPr="00D65DEA">
        <w:rPr>
          <w:b/>
        </w:rPr>
        <w:t>the</w:t>
      </w:r>
      <w:r>
        <w:t xml:space="preserve"> defining event of </w:t>
      </w:r>
      <w:r w:rsidR="00A6639F">
        <w:t>his</w:t>
      </w:r>
      <w:r>
        <w:t xml:space="preserve"> time, but fails to allocate a date to it, except by </w:t>
      </w:r>
    </w:p>
    <w:p w14:paraId="22729B77" w14:textId="495DA352" w:rsidR="007975A6" w:rsidRDefault="00B9638E">
      <w:r>
        <w:t>saying ‘that was the year of my birth; as I know, one mo</w:t>
      </w:r>
      <w:r w:rsidR="00A6639F">
        <w:t>n</w:t>
      </w:r>
      <w:r>
        <w:t>th of the forty-fou</w:t>
      </w:r>
      <w:r w:rsidR="007975A6">
        <w:t>r</w:t>
      </w:r>
      <w:r>
        <w:t>th year since then</w:t>
      </w:r>
      <w:r w:rsidR="007975A6">
        <w:t xml:space="preserve"> has </w:t>
      </w:r>
    </w:p>
    <w:p w14:paraId="45AF8E7F" w14:textId="1DE46570" w:rsidR="007975A6" w:rsidRDefault="007975A6">
      <w:r>
        <w:t>already passed’</w:t>
      </w:r>
      <w:r w:rsidR="008A76F9">
        <w:rPr>
          <w:rStyle w:val="EndnoteReference"/>
        </w:rPr>
        <w:endnoteReference w:id="13"/>
      </w:r>
      <w:r w:rsidR="008A76F9">
        <w:t>.</w:t>
      </w:r>
      <w:r>
        <w:t xml:space="preserve"> The interpretation of this phrase has been varied and tortuous</w:t>
      </w:r>
      <w:r w:rsidR="008A76F9">
        <w:rPr>
          <w:rStyle w:val="EndnoteReference"/>
        </w:rPr>
        <w:endnoteReference w:id="14"/>
      </w:r>
      <w:r>
        <w:t xml:space="preserve">, but it is the </w:t>
      </w:r>
    </w:p>
    <w:p w14:paraId="2076ACDA" w14:textId="3DCBC0DE" w:rsidR="00E533B0" w:rsidRDefault="007975A6">
      <w:r>
        <w:t xml:space="preserve">closest to a dateable event within the </w:t>
      </w:r>
      <w:r w:rsidRPr="007975A6">
        <w:rPr>
          <w:i/>
        </w:rPr>
        <w:t>De Excidi</w:t>
      </w:r>
      <w:r w:rsidR="008A76F9">
        <w:rPr>
          <w:i/>
        </w:rPr>
        <w:t>o</w:t>
      </w:r>
      <w:r w:rsidR="008A76F9">
        <w:rPr>
          <w:rStyle w:val="EndnoteReference"/>
          <w:i/>
        </w:rPr>
        <w:endnoteReference w:id="15"/>
      </w:r>
      <w:r w:rsidR="008A76F9">
        <w:rPr>
          <w:i/>
        </w:rPr>
        <w:t xml:space="preserve">. </w:t>
      </w:r>
      <w:r>
        <w:t xml:space="preserve">The </w:t>
      </w:r>
      <w:r w:rsidRPr="00E533B0">
        <w:rPr>
          <w:i/>
        </w:rPr>
        <w:t xml:space="preserve">Annals </w:t>
      </w:r>
      <w:r w:rsidR="00FC43EC" w:rsidRPr="00E533B0">
        <w:rPr>
          <w:i/>
        </w:rPr>
        <w:t>Cambriae</w:t>
      </w:r>
      <w:r>
        <w:t xml:space="preserve">, by contrast, </w:t>
      </w:r>
      <w:r w:rsidR="00E533B0">
        <w:t>are</w:t>
      </w:r>
      <w:r>
        <w:t xml:space="preserve"> full of </w:t>
      </w:r>
    </w:p>
    <w:p w14:paraId="3FCFC1FB" w14:textId="6CADDE01" w:rsidR="00E533B0" w:rsidRDefault="007975A6">
      <w:r>
        <w:t>dates; the Battle of Badon comes under 516 and the Battle of Camlan</w:t>
      </w:r>
      <w:r w:rsidR="006C1424">
        <w:t>n</w:t>
      </w:r>
      <w:r>
        <w:t xml:space="preserve"> (‘in which Arthur and </w:t>
      </w:r>
    </w:p>
    <w:p w14:paraId="72BE66C5" w14:textId="22CE58AF" w:rsidR="00E533B0" w:rsidRDefault="007975A6">
      <w:r>
        <w:t>Medraut fell’</w:t>
      </w:r>
      <w:r w:rsidR="008A76F9">
        <w:rPr>
          <w:rStyle w:val="EndnoteReference"/>
        </w:rPr>
        <w:endnoteReference w:id="16"/>
      </w:r>
      <w:r>
        <w:t xml:space="preserve">) in 537, however neither date is open to corroboration from other sources. None of </w:t>
      </w:r>
    </w:p>
    <w:p w14:paraId="33873035" w14:textId="652ACB5E" w:rsidR="00E533B0" w:rsidRDefault="007975A6">
      <w:r>
        <w:t>the dates suggested from any dating of Gildas’ Badon coincide with 516, and Camlan</w:t>
      </w:r>
      <w:r w:rsidR="006C1424">
        <w:t>n</w:t>
      </w:r>
      <w:r>
        <w:t xml:space="preserve"> only appears </w:t>
      </w:r>
    </w:p>
    <w:p w14:paraId="29BA042C" w14:textId="77777777" w:rsidR="00CE1745" w:rsidRDefault="007975A6">
      <w:r>
        <w:t xml:space="preserve">in the </w:t>
      </w:r>
      <w:r w:rsidRPr="007975A6">
        <w:rPr>
          <w:i/>
        </w:rPr>
        <w:t>Annals</w:t>
      </w:r>
      <w:r w:rsidR="003316CF">
        <w:t xml:space="preserve">, which, </w:t>
      </w:r>
      <w:r>
        <w:t xml:space="preserve">as Alcock notes, ‘in themselves </w:t>
      </w:r>
      <w:r w:rsidR="003316CF">
        <w:t xml:space="preserve">… </w:t>
      </w:r>
      <w:r>
        <w:t xml:space="preserve">bear no </w:t>
      </w:r>
      <w:r w:rsidRPr="00652CA4">
        <w:rPr>
          <w:i/>
        </w:rPr>
        <w:t>anno domini</w:t>
      </w:r>
      <w:r>
        <w:t xml:space="preserve"> dates</w:t>
      </w:r>
      <w:r w:rsidR="00E533B0">
        <w:t>’</w:t>
      </w:r>
      <w:r w:rsidR="008A76F9">
        <w:rPr>
          <w:rStyle w:val="EndnoteReference"/>
        </w:rPr>
        <w:endnoteReference w:id="17"/>
      </w:r>
      <w:r w:rsidR="00CE1745">
        <w:t>.</w:t>
      </w:r>
      <w:r>
        <w:t xml:space="preserve"> </w:t>
      </w:r>
      <w:r w:rsidR="00CE1745">
        <w:t>T</w:t>
      </w:r>
      <w:r>
        <w:t xml:space="preserve">hey are in the </w:t>
      </w:r>
    </w:p>
    <w:p w14:paraId="21B5C1EA" w14:textId="77777777" w:rsidR="00CE1745" w:rsidRDefault="00E533B0">
      <w:r>
        <w:t>form of Easter Tables</w:t>
      </w:r>
      <w:r w:rsidR="008A76F9">
        <w:rPr>
          <w:rStyle w:val="EndnoteReference"/>
        </w:rPr>
        <w:endnoteReference w:id="18"/>
      </w:r>
      <w:r>
        <w:t xml:space="preserve">, where decades and centuries are marked, but ‘the first thing we have to do </w:t>
      </w:r>
    </w:p>
    <w:p w14:paraId="36E3D9CA" w14:textId="77777777" w:rsidR="00CE1745" w:rsidRDefault="00E533B0">
      <w:r>
        <w:t>before we can extract any dated history from the annals is to calibrate them’</w:t>
      </w:r>
      <w:r w:rsidR="008A76F9">
        <w:rPr>
          <w:rStyle w:val="EndnoteReference"/>
        </w:rPr>
        <w:endnoteReference w:id="19"/>
      </w:r>
      <w:r>
        <w:t xml:space="preserve">. In addition to this </w:t>
      </w:r>
      <w:r w:rsidR="00CE1745">
        <w:t xml:space="preserve"> </w:t>
      </w:r>
    </w:p>
    <w:p w14:paraId="239E161A" w14:textId="77777777" w:rsidR="00CE1745" w:rsidRDefault="00E533B0">
      <w:r>
        <w:t>problem, one recent writer</w:t>
      </w:r>
      <w:r w:rsidR="008A76F9">
        <w:rPr>
          <w:rStyle w:val="EndnoteReference"/>
        </w:rPr>
        <w:endnoteReference w:id="20"/>
      </w:r>
      <w:r>
        <w:t xml:space="preserve"> has suggested that the </w:t>
      </w:r>
      <w:r w:rsidR="00CE1745">
        <w:t xml:space="preserve">assumed </w:t>
      </w:r>
      <w:r>
        <w:t xml:space="preserve">source for the earliest entries in the </w:t>
      </w:r>
    </w:p>
    <w:p w14:paraId="018A733A" w14:textId="77777777" w:rsidR="00CE1745" w:rsidRDefault="00E533B0">
      <w:r w:rsidRPr="00D65DEA">
        <w:rPr>
          <w:i/>
        </w:rPr>
        <w:lastRenderedPageBreak/>
        <w:t>Annals</w:t>
      </w:r>
      <w:r>
        <w:t xml:space="preserve">, the </w:t>
      </w:r>
      <w:r w:rsidRPr="00D65DEA">
        <w:rPr>
          <w:i/>
        </w:rPr>
        <w:t>Annals of Ulster</w:t>
      </w:r>
      <w:r>
        <w:t xml:space="preserve">, may have events that are between 30 and 80 years out of sequence, </w:t>
      </w:r>
    </w:p>
    <w:p w14:paraId="223F7DC1" w14:textId="77777777" w:rsidR="00CE1745" w:rsidRDefault="00E533B0">
      <w:r>
        <w:t xml:space="preserve">with the </w:t>
      </w:r>
      <w:r w:rsidRPr="00E533B0">
        <w:rPr>
          <w:i/>
        </w:rPr>
        <w:t>AC</w:t>
      </w:r>
      <w:r>
        <w:t xml:space="preserve"> potentially being up to 130 years adrift on some entries</w:t>
      </w:r>
      <w:r w:rsidR="003D46A1">
        <w:rPr>
          <w:rStyle w:val="EndnoteReference"/>
        </w:rPr>
        <w:endnoteReference w:id="21"/>
      </w:r>
      <w:r w:rsidR="003D46A1">
        <w:t xml:space="preserve">. </w:t>
      </w:r>
      <w:r w:rsidRPr="00A6639F">
        <w:rPr>
          <w:i/>
        </w:rPr>
        <w:t>HB</w:t>
      </w:r>
      <w:r>
        <w:t xml:space="preserve"> attaches no dates </w:t>
      </w:r>
      <w:r w:rsidR="00D65DEA">
        <w:t xml:space="preserve">at all </w:t>
      </w:r>
      <w:r>
        <w:t xml:space="preserve">to </w:t>
      </w:r>
    </w:p>
    <w:p w14:paraId="0B3F7999" w14:textId="77777777" w:rsidR="00CE1745" w:rsidRDefault="00E533B0">
      <w:r>
        <w:t xml:space="preserve">Chapter 56, which deals with Arthur, except to note Badon Hill as the last in a series of twelve </w:t>
      </w:r>
    </w:p>
    <w:p w14:paraId="50010C64" w14:textId="77777777" w:rsidR="00CE1745" w:rsidRDefault="00E533B0">
      <w:r>
        <w:t>battles; it does, however, date some events in relation to notable events, such as</w:t>
      </w:r>
      <w:r w:rsidR="00C524B1">
        <w:t xml:space="preserve"> </w:t>
      </w:r>
      <w:r>
        <w:t>’the beginn</w:t>
      </w:r>
      <w:r w:rsidR="00C524B1">
        <w:t>i</w:t>
      </w:r>
      <w:r>
        <w:t>ng</w:t>
      </w:r>
      <w:r w:rsidR="00C524B1">
        <w:t xml:space="preserve"> of </w:t>
      </w:r>
    </w:p>
    <w:p w14:paraId="1878D042" w14:textId="77777777" w:rsidR="00CE1745" w:rsidRDefault="00C524B1">
      <w:r>
        <w:t xml:space="preserve">the World’ and the ‘Passion of Christ’ and, in Chapter 66, various Roman consulships, however this, if </w:t>
      </w:r>
    </w:p>
    <w:p w14:paraId="34CEDDA6" w14:textId="6DDA2F9E" w:rsidR="00B9638E" w:rsidRDefault="00C524B1">
      <w:r>
        <w:t>anything</w:t>
      </w:r>
      <w:r w:rsidR="00BF12FC">
        <w:t>,</w:t>
      </w:r>
      <w:r>
        <w:t xml:space="preserve"> brings in additional confusion and chronological inexactitude</w:t>
      </w:r>
      <w:r w:rsidR="00EA0BB7">
        <w:t>.</w:t>
      </w:r>
    </w:p>
    <w:p w14:paraId="31949CA9" w14:textId="77777777" w:rsidR="009B754C" w:rsidRDefault="009B754C"/>
    <w:p w14:paraId="10D52A29" w14:textId="77777777" w:rsidR="009B754C" w:rsidRDefault="009B754C">
      <w:r>
        <w:t xml:space="preserve">A third underlying factor also increases the difficulty for historians trying to make sense of these </w:t>
      </w:r>
    </w:p>
    <w:p w14:paraId="4A65EBF7" w14:textId="053B1C59" w:rsidR="008D7841" w:rsidRDefault="00A6639F">
      <w:r>
        <w:t>s</w:t>
      </w:r>
      <w:r w:rsidR="009B754C">
        <w:t xml:space="preserve">ources; as Helen Fulton puts it, ‘Arthurian literature of all ages and in all forms is effectively a site </w:t>
      </w:r>
    </w:p>
    <w:p w14:paraId="3770D22C" w14:textId="06639A73" w:rsidR="008D7841" w:rsidRDefault="009B754C">
      <w:r>
        <w:t xml:space="preserve">of </w:t>
      </w:r>
      <w:r w:rsidR="008D7841">
        <w:t>ideological struggle, a place where competing viewpoints engage in complex dialectics’</w:t>
      </w:r>
      <w:r w:rsidR="003D46A1">
        <w:rPr>
          <w:rStyle w:val="EndnoteReference"/>
        </w:rPr>
        <w:endnoteReference w:id="22"/>
      </w:r>
      <w:r w:rsidR="008D7841">
        <w:t xml:space="preserve">, and this </w:t>
      </w:r>
    </w:p>
    <w:p w14:paraId="0F42E29E" w14:textId="77777777" w:rsidR="00CE1745" w:rsidRDefault="00CE1745">
      <w:r>
        <w:t xml:space="preserve">certainly </w:t>
      </w:r>
      <w:r w:rsidR="008D7841">
        <w:t>could be said to apply to the late 5</w:t>
      </w:r>
      <w:r w:rsidR="008D7841" w:rsidRPr="008D7841">
        <w:rPr>
          <w:vertAlign w:val="superscript"/>
        </w:rPr>
        <w:t>th</w:t>
      </w:r>
      <w:r w:rsidR="008D7841">
        <w:t>/early 6</w:t>
      </w:r>
      <w:r w:rsidR="008D7841" w:rsidRPr="008D7841">
        <w:rPr>
          <w:vertAlign w:val="superscript"/>
        </w:rPr>
        <w:t>th</w:t>
      </w:r>
      <w:r w:rsidR="008D7841">
        <w:t xml:space="preserve"> centuries, for if the contemporary sources </w:t>
      </w:r>
    </w:p>
    <w:p w14:paraId="0EE6383F" w14:textId="77777777" w:rsidR="00CE1745" w:rsidRDefault="008D7841">
      <w:r>
        <w:t xml:space="preserve">show nothing more, they show evidence of widespread military and ethnic, but also religious and </w:t>
      </w:r>
    </w:p>
    <w:p w14:paraId="6CAC6559" w14:textId="77777777" w:rsidR="00CE1745" w:rsidRDefault="008D7841">
      <w:r>
        <w:t xml:space="preserve">social, conflict. Gildas describes ‘the cities of our land… not populated even now as they once were; </w:t>
      </w:r>
    </w:p>
    <w:p w14:paraId="25544B85" w14:textId="77777777" w:rsidR="00CE1745" w:rsidRDefault="008D7841">
      <w:r>
        <w:t>right to the present they are deserted, in ruins and unkempt’</w:t>
      </w:r>
      <w:r w:rsidR="003D46A1">
        <w:rPr>
          <w:rStyle w:val="EndnoteReference"/>
        </w:rPr>
        <w:endnoteReference w:id="23"/>
      </w:r>
      <w:r>
        <w:t xml:space="preserve">, a view that is supported by a </w:t>
      </w:r>
      <w:r w:rsidR="00D65DEA">
        <w:t xml:space="preserve">recent </w:t>
      </w:r>
    </w:p>
    <w:p w14:paraId="044F3A56" w14:textId="77777777" w:rsidR="00CE1745" w:rsidRDefault="008D7841">
      <w:r>
        <w:t xml:space="preserve">survey of the archaeological evidence, which suggests that ‘No one built a mortared masonry </w:t>
      </w:r>
    </w:p>
    <w:p w14:paraId="089BBBAF" w14:textId="77777777" w:rsidR="00CE1745" w:rsidRDefault="008D7841">
      <w:r>
        <w:t xml:space="preserve">structure, tiled a roof, threw a pot on a fast wheel, or fired a pottery kiln from sometime in the fifth </w:t>
      </w:r>
    </w:p>
    <w:p w14:paraId="50606633" w14:textId="77777777" w:rsidR="00CE1745" w:rsidRDefault="008D7841">
      <w:r>
        <w:t>century until the seventh century’</w:t>
      </w:r>
      <w:r w:rsidR="003D46A1">
        <w:rPr>
          <w:rStyle w:val="EndnoteReference"/>
        </w:rPr>
        <w:endnoteReference w:id="24"/>
      </w:r>
      <w:r>
        <w:t xml:space="preserve">. There is also clear evidence not only of religious conflict </w:t>
      </w:r>
    </w:p>
    <w:p w14:paraId="29C5567B" w14:textId="77777777" w:rsidR="00CE1745" w:rsidRDefault="008D7841">
      <w:r>
        <w:t xml:space="preserve">between Christian Britons and Anglo-Saxon Pagans, but also of divisions </w:t>
      </w:r>
      <w:r w:rsidRPr="006C1424">
        <w:rPr>
          <w:i/>
        </w:rPr>
        <w:t>within</w:t>
      </w:r>
      <w:r>
        <w:t xml:space="preserve"> Christianity, as there </w:t>
      </w:r>
    </w:p>
    <w:p w14:paraId="7F377566" w14:textId="77777777" w:rsidR="00CE1745" w:rsidRDefault="008D7841">
      <w:r>
        <w:t>were a series of theological views (Arianism, Pelagianism) that we</w:t>
      </w:r>
      <w:r w:rsidR="0039517A">
        <w:t>r</w:t>
      </w:r>
      <w:r>
        <w:t>e outla</w:t>
      </w:r>
      <w:r w:rsidR="0039517A">
        <w:t>w</w:t>
      </w:r>
      <w:r>
        <w:t>ed by the</w:t>
      </w:r>
      <w:r w:rsidR="0039517A">
        <w:t xml:space="preserve"> Papacy as </w:t>
      </w:r>
    </w:p>
    <w:p w14:paraId="281D4609" w14:textId="77777777" w:rsidR="00CE1745" w:rsidRDefault="0039517A">
      <w:r>
        <w:t xml:space="preserve">heresies that gained significant popularity in Britain. Myers, for example, suggests in relation to </w:t>
      </w:r>
    </w:p>
    <w:p w14:paraId="70567227" w14:textId="77777777" w:rsidR="00CE1745" w:rsidRDefault="0039517A">
      <w:r>
        <w:t xml:space="preserve">Pelagianism that ‘the whole circumstances of Germanus’ visits both in 429 and in the 440s show that </w:t>
      </w:r>
    </w:p>
    <w:p w14:paraId="2A0D72F7" w14:textId="77777777" w:rsidR="00CE1745" w:rsidRDefault="0039517A">
      <w:r>
        <w:t xml:space="preserve">the movement had attained such political authority in Britain as to be thought a serious menace to </w:t>
      </w:r>
    </w:p>
    <w:p w14:paraId="48C2CC08" w14:textId="77777777" w:rsidR="00CE1745" w:rsidRDefault="0039517A">
      <w:r>
        <w:t xml:space="preserve">the orthodox regime in Gaul, still clinging precariously to the political framework of the dying </w:t>
      </w:r>
    </w:p>
    <w:p w14:paraId="6DB05287" w14:textId="77777777" w:rsidR="00CE1745" w:rsidRDefault="0039517A">
      <w:r>
        <w:t>empire’</w:t>
      </w:r>
      <w:r w:rsidR="003D46A1">
        <w:rPr>
          <w:rStyle w:val="EndnoteReference"/>
        </w:rPr>
        <w:endnoteReference w:id="25"/>
      </w:r>
      <w:r w:rsidR="003D46A1">
        <w:t>.</w:t>
      </w:r>
      <w:r w:rsidR="00D65DEA">
        <w:t xml:space="preserve"> </w:t>
      </w:r>
      <w:r w:rsidR="003316CF">
        <w:t xml:space="preserve">Almost certainly, </w:t>
      </w:r>
      <w:r>
        <w:t xml:space="preserve">the compilers of all the written documents of this period (extant or lost) </w:t>
      </w:r>
    </w:p>
    <w:p w14:paraId="3B21D028" w14:textId="77777777" w:rsidR="00CE1745" w:rsidRDefault="0039517A">
      <w:r>
        <w:t xml:space="preserve">were monks, who were not only writing </w:t>
      </w:r>
      <w:r w:rsidR="00347859">
        <w:t xml:space="preserve">from a general </w:t>
      </w:r>
      <w:r>
        <w:t>Christian</w:t>
      </w:r>
      <w:r w:rsidR="00347859">
        <w:t xml:space="preserve"> perspective, </w:t>
      </w:r>
      <w:r>
        <w:t xml:space="preserve">but also defending </w:t>
      </w:r>
    </w:p>
    <w:p w14:paraId="6D0E068D" w14:textId="77777777" w:rsidR="00CE1745" w:rsidRDefault="0039517A">
      <w:r>
        <w:t>their ‘doctrinal orthodoxy’</w:t>
      </w:r>
      <w:r w:rsidR="00347859">
        <w:t xml:space="preserve">. As Myers suggests </w:t>
      </w:r>
      <w:r w:rsidR="00F16FAB">
        <w:t xml:space="preserve">‘it is the Catholic ideology of [t]his movement which </w:t>
      </w:r>
    </w:p>
    <w:p w14:paraId="5609C19E" w14:textId="77777777" w:rsidR="00CE1745" w:rsidRDefault="00F16FAB">
      <w:r>
        <w:t xml:space="preserve">not only inspired Gildas in the first half of the sixth century, but is [also] reflected in the stories still </w:t>
      </w:r>
    </w:p>
    <w:p w14:paraId="5772A5A6" w14:textId="4A07EB05" w:rsidR="00CE1745" w:rsidRDefault="00F16FAB">
      <w:r>
        <w:t>being collected and edited by Nennius and his predecessors 200 or 300 years later’</w:t>
      </w:r>
      <w:r w:rsidR="003D46A1">
        <w:rPr>
          <w:rStyle w:val="EndnoteReference"/>
        </w:rPr>
        <w:endnoteReference w:id="26"/>
      </w:r>
      <w:r w:rsidR="00DF61D0">
        <w:t>. T</w:t>
      </w:r>
      <w:r w:rsidR="00347859">
        <w:t xml:space="preserve">he </w:t>
      </w:r>
      <w:r w:rsidR="00347859" w:rsidRPr="00347859">
        <w:rPr>
          <w:i/>
        </w:rPr>
        <w:t>HB</w:t>
      </w:r>
      <w:r w:rsidR="00347859">
        <w:t xml:space="preserve">’s </w:t>
      </w:r>
    </w:p>
    <w:p w14:paraId="5C37E443" w14:textId="77777777" w:rsidR="00CE1745" w:rsidRDefault="00347859">
      <w:r>
        <w:t>account of Arthur carrying ‘the image of the Holy Mary, ever Virgin on his shield’</w:t>
      </w:r>
      <w:r w:rsidR="003D46A1">
        <w:rPr>
          <w:rStyle w:val="EndnoteReference"/>
        </w:rPr>
        <w:endnoteReference w:id="27"/>
      </w:r>
      <w:r>
        <w:t xml:space="preserve"> and the </w:t>
      </w:r>
      <w:r w:rsidRPr="00347859">
        <w:rPr>
          <w:i/>
        </w:rPr>
        <w:t>AC</w:t>
      </w:r>
      <w:r>
        <w:t xml:space="preserve">’s </w:t>
      </w:r>
    </w:p>
    <w:p w14:paraId="7101855E" w14:textId="77777777" w:rsidR="00CE1745" w:rsidRDefault="00347859">
      <w:r>
        <w:t xml:space="preserve">account ‘in which Arthur bore the Cross of our Lord Jesus Christ for three days and for three nights </w:t>
      </w:r>
    </w:p>
    <w:p w14:paraId="2422862E" w14:textId="412743CD" w:rsidR="00F16FAB" w:rsidRDefault="00347859">
      <w:r>
        <w:t>on his shoulders’</w:t>
      </w:r>
      <w:r w:rsidR="003D46A1">
        <w:rPr>
          <w:rStyle w:val="EndnoteReference"/>
        </w:rPr>
        <w:endnoteReference w:id="28"/>
      </w:r>
      <w:r>
        <w:t xml:space="preserve"> during the siege of Badon </w:t>
      </w:r>
      <w:r w:rsidR="00DF61D0">
        <w:t xml:space="preserve">therefore </w:t>
      </w:r>
      <w:r>
        <w:t xml:space="preserve">need (at the least) to be seen in this light. </w:t>
      </w:r>
    </w:p>
    <w:p w14:paraId="670C3AC2" w14:textId="77777777" w:rsidR="00084FDE" w:rsidRDefault="00084FDE"/>
    <w:p w14:paraId="461B1FD3" w14:textId="63C48DAB" w:rsidR="004C7878" w:rsidRDefault="00084FDE">
      <w:r>
        <w:t xml:space="preserve">The first modern historians </w:t>
      </w:r>
      <w:r w:rsidR="00A6639F">
        <w:t xml:space="preserve">writing about Arthur </w:t>
      </w:r>
      <w:r w:rsidR="004C7878">
        <w:t xml:space="preserve">were certainly aware of these problems. Thomas </w:t>
      </w:r>
    </w:p>
    <w:p w14:paraId="07EEC333" w14:textId="02AE93CC" w:rsidR="00347859" w:rsidRDefault="004C7878">
      <w:r>
        <w:t>Jones admitted</w:t>
      </w:r>
      <w:r w:rsidR="00347859">
        <w:t xml:space="preserve"> that </w:t>
      </w:r>
      <w:r w:rsidR="00A34F87">
        <w:t>‘</w:t>
      </w:r>
      <w:r w:rsidR="001B7EBE">
        <w:t xml:space="preserve">it is difficult </w:t>
      </w:r>
      <w:r w:rsidR="00A34F87">
        <w:t>to say anything precise about the Arthur of history’</w:t>
      </w:r>
      <w:r w:rsidR="003D46A1">
        <w:rPr>
          <w:rStyle w:val="EndnoteReference"/>
        </w:rPr>
        <w:endnoteReference w:id="29"/>
      </w:r>
      <w:r w:rsidR="00A34F87">
        <w:t xml:space="preserve"> accepting </w:t>
      </w:r>
    </w:p>
    <w:p w14:paraId="0796F387" w14:textId="0117F89B" w:rsidR="00347859" w:rsidRDefault="00A34F87">
      <w:r>
        <w:t xml:space="preserve">that </w:t>
      </w:r>
      <w:r w:rsidRPr="00A34F87">
        <w:rPr>
          <w:i/>
        </w:rPr>
        <w:t>De Excidio Brittaniae</w:t>
      </w:r>
      <w:r>
        <w:t xml:space="preserve"> and the </w:t>
      </w:r>
      <w:r w:rsidRPr="00A34F87">
        <w:rPr>
          <w:i/>
        </w:rPr>
        <w:t>Annales Cambriae</w:t>
      </w:r>
      <w:r>
        <w:t xml:space="preserve"> present ‘difficulties of dating’</w:t>
      </w:r>
      <w:r w:rsidR="003D46A1">
        <w:rPr>
          <w:rStyle w:val="EndnoteReference"/>
        </w:rPr>
        <w:endnoteReference w:id="30"/>
      </w:r>
      <w:r>
        <w:t xml:space="preserve"> to the extent </w:t>
      </w:r>
    </w:p>
    <w:p w14:paraId="364E94BE" w14:textId="77777777" w:rsidR="00347859" w:rsidRDefault="00A34F87">
      <w:r>
        <w:t xml:space="preserve">that ‘it is not unreasonable to suggest that </w:t>
      </w:r>
      <w:r w:rsidRPr="00A34F87">
        <w:rPr>
          <w:i/>
        </w:rPr>
        <w:t>Bellum Badonis</w:t>
      </w:r>
      <w:r>
        <w:t xml:space="preserve"> has been dated ten years too late in the </w:t>
      </w:r>
    </w:p>
    <w:p w14:paraId="71B9FFBF" w14:textId="31853E79" w:rsidR="00347859" w:rsidRDefault="00A34F87">
      <w:r w:rsidRPr="00A34F87">
        <w:rPr>
          <w:i/>
        </w:rPr>
        <w:t>Annales Cambriae</w:t>
      </w:r>
      <w:r>
        <w:t>’</w:t>
      </w:r>
      <w:r w:rsidR="003D46A1">
        <w:rPr>
          <w:rStyle w:val="EndnoteReference"/>
        </w:rPr>
        <w:endnoteReference w:id="31"/>
      </w:r>
      <w:r w:rsidR="00A6639F">
        <w:t xml:space="preserve">. </w:t>
      </w:r>
      <w:r w:rsidR="00347859">
        <w:t xml:space="preserve">Similarly, </w:t>
      </w:r>
      <w:r>
        <w:t xml:space="preserve">Kenneth Jackson accepted that the author of the </w:t>
      </w:r>
      <w:r w:rsidRPr="00A34F87">
        <w:rPr>
          <w:i/>
        </w:rPr>
        <w:t xml:space="preserve">HB </w:t>
      </w:r>
      <w:r>
        <w:t xml:space="preserve">may well have </w:t>
      </w:r>
    </w:p>
    <w:p w14:paraId="51589FE5" w14:textId="5886D307" w:rsidR="00347859" w:rsidRDefault="00A34F87" w:rsidP="00347859">
      <w:r>
        <w:t>‘searched his memory for any battle of the olden time about which he had vaguely heard’</w:t>
      </w:r>
      <w:r w:rsidR="003D46A1">
        <w:rPr>
          <w:rStyle w:val="EndnoteReference"/>
        </w:rPr>
        <w:endnoteReference w:id="32"/>
      </w:r>
      <w:r>
        <w:t xml:space="preserve"> </w:t>
      </w:r>
      <w:r w:rsidR="00347859">
        <w:t xml:space="preserve">to add </w:t>
      </w:r>
    </w:p>
    <w:p w14:paraId="7BADB900" w14:textId="3948CA66" w:rsidR="0014151B" w:rsidRDefault="00A34F87">
      <w:r>
        <w:t>to ‘the lost original Northern History’</w:t>
      </w:r>
      <w:r w:rsidR="003D46A1">
        <w:rPr>
          <w:rStyle w:val="EndnoteReference"/>
        </w:rPr>
        <w:endnoteReference w:id="33"/>
      </w:r>
      <w:r w:rsidR="00347859">
        <w:t xml:space="preserve"> when compiling </w:t>
      </w:r>
      <w:r w:rsidR="0014151B">
        <w:t xml:space="preserve">the battle list in </w:t>
      </w:r>
      <w:r w:rsidR="00347859">
        <w:t>chapter 56</w:t>
      </w:r>
      <w:r>
        <w:t xml:space="preserve">. Nevertheless, </w:t>
      </w:r>
    </w:p>
    <w:p w14:paraId="0EDC4E7A" w14:textId="77777777" w:rsidR="0014151B" w:rsidRDefault="00A34F87">
      <w:r>
        <w:t>both were clear that they were researching and writing about</w:t>
      </w:r>
      <w:r w:rsidR="0067716B">
        <w:t xml:space="preserve"> a real historical person. Jackson, for </w:t>
      </w:r>
    </w:p>
    <w:p w14:paraId="3117AC8B" w14:textId="77777777" w:rsidR="0014151B" w:rsidRDefault="0067716B">
      <w:r>
        <w:t xml:space="preserve">example, suggested that the </w:t>
      </w:r>
      <w:r w:rsidRPr="0067716B">
        <w:rPr>
          <w:i/>
        </w:rPr>
        <w:t>HB</w:t>
      </w:r>
      <w:r>
        <w:t xml:space="preserve">’s limitations ‘need not imply that there never was a real Arthur, nor </w:t>
      </w:r>
    </w:p>
    <w:p w14:paraId="7D2767EB" w14:textId="1D42D4BC" w:rsidR="0014151B" w:rsidRDefault="0067716B">
      <w:r>
        <w:t>that he was not more than a local chief’</w:t>
      </w:r>
      <w:r w:rsidR="003D46A1">
        <w:rPr>
          <w:rStyle w:val="EndnoteReference"/>
        </w:rPr>
        <w:endnoteReference w:id="34"/>
      </w:r>
      <w:r>
        <w:t xml:space="preserve">, whilst Jones was even more overt: ‘I accept the idea that </w:t>
      </w:r>
    </w:p>
    <w:p w14:paraId="29453926" w14:textId="77777777" w:rsidR="0014151B" w:rsidRDefault="0067716B">
      <w:r>
        <w:t xml:space="preserve">there was a historical person of the name of Arthur early in the sixth century, who may have been </w:t>
      </w:r>
    </w:p>
    <w:p w14:paraId="30E74A79" w14:textId="581ABC28" w:rsidR="0014151B" w:rsidRDefault="0067716B">
      <w:r>
        <w:t xml:space="preserve">one of the leaders of the </w:t>
      </w:r>
      <w:r w:rsidR="00484CAF">
        <w:t>B</w:t>
      </w:r>
      <w:r>
        <w:t>ritons</w:t>
      </w:r>
      <w:r w:rsidR="00484CAF">
        <w:t xml:space="preserve"> against their enemies’</w:t>
      </w:r>
      <w:r w:rsidR="00E16CFE">
        <w:t xml:space="preserve">, stating also that ‘the idea that he was a </w:t>
      </w:r>
    </w:p>
    <w:p w14:paraId="6116083B" w14:textId="78C894E0" w:rsidR="0014151B" w:rsidRDefault="00E16CFE">
      <w:r>
        <w:t>mythological figure is no longer acceptable’</w:t>
      </w:r>
      <w:r w:rsidR="003D46A1">
        <w:rPr>
          <w:rStyle w:val="EndnoteReference"/>
        </w:rPr>
        <w:endnoteReference w:id="35"/>
      </w:r>
      <w:r>
        <w:t xml:space="preserve">. Rachel Bromwich, writing in 1976, had some </w:t>
      </w:r>
    </w:p>
    <w:p w14:paraId="159C4AA1" w14:textId="77777777" w:rsidR="0014151B" w:rsidRDefault="00E16CFE">
      <w:r>
        <w:t xml:space="preserve">differences of interpretation, suggesting that ‘the most acceptable conclusion is that Arthur was a </w:t>
      </w:r>
    </w:p>
    <w:p w14:paraId="22EAB0AC" w14:textId="77777777" w:rsidR="0014151B" w:rsidRDefault="00E16CFE">
      <w:r>
        <w:t xml:space="preserve">hero of local fame in Strathclyde, where the earliest documents relating to the Heroic Age of the </w:t>
      </w:r>
    </w:p>
    <w:p w14:paraId="43730D70" w14:textId="77777777" w:rsidR="0014151B" w:rsidRDefault="00E16CFE">
      <w:r>
        <w:t xml:space="preserve">‘Old British North’ took shape and were preserved, though he may have originally belonged to one </w:t>
      </w:r>
    </w:p>
    <w:p w14:paraId="3DE2F387" w14:textId="1FD49E22" w:rsidR="0014151B" w:rsidRDefault="00E16CFE">
      <w:r>
        <w:t>of the other kingdoms of the northern Britons’</w:t>
      </w:r>
      <w:r w:rsidR="00796162">
        <w:t>,</w:t>
      </w:r>
      <w:r>
        <w:t xml:space="preserve"> but again, accepted that she was dealing with an </w:t>
      </w:r>
    </w:p>
    <w:p w14:paraId="5BC6352B" w14:textId="77777777" w:rsidR="0014151B" w:rsidRDefault="00E16CFE">
      <w:r>
        <w:t xml:space="preserve">historical Arthur, though ‘the memories of Arthur may have been enshrined merely in unwritten </w:t>
      </w:r>
    </w:p>
    <w:p w14:paraId="7BD75FB2" w14:textId="77777777" w:rsidR="0014151B" w:rsidRDefault="00E16CFE">
      <w:r>
        <w:t xml:space="preserve">tradition and in orally preserved bardic verse, not yet having been taken up into the ‘learned and </w:t>
      </w:r>
    </w:p>
    <w:p w14:paraId="6923EB73" w14:textId="59874AF4" w:rsidR="00A6639F" w:rsidRDefault="00E16CFE">
      <w:r>
        <w:t>written’ tradition’</w:t>
      </w:r>
      <w:r w:rsidR="003D46A1">
        <w:rPr>
          <w:rStyle w:val="EndnoteReference"/>
        </w:rPr>
        <w:endnoteReference w:id="36"/>
      </w:r>
      <w:r w:rsidR="002E178B">
        <w:t>.</w:t>
      </w:r>
    </w:p>
    <w:p w14:paraId="55BFA217" w14:textId="77777777" w:rsidR="00A6639F" w:rsidRDefault="00A6639F"/>
    <w:p w14:paraId="3C619CC9" w14:textId="167AB64D" w:rsidR="00A6639F" w:rsidRDefault="00E16CFE">
      <w:r>
        <w:t>All these historians (and other such as Nora Chadwick</w:t>
      </w:r>
      <w:r w:rsidR="002F3182">
        <w:rPr>
          <w:rStyle w:val="EndnoteReference"/>
        </w:rPr>
        <w:endnoteReference w:id="37"/>
      </w:r>
      <w:r>
        <w:t xml:space="preserve">) were noted Celticists, and added to their </w:t>
      </w:r>
    </w:p>
    <w:p w14:paraId="5E8FBFC2" w14:textId="77777777" w:rsidR="00A6639F" w:rsidRDefault="00E16CFE">
      <w:r>
        <w:t xml:space="preserve">understanding of the Latin sources </w:t>
      </w:r>
      <w:r w:rsidR="003A5708">
        <w:t xml:space="preserve">a knowledge of references to Arthur in the extant Welsh sources </w:t>
      </w:r>
    </w:p>
    <w:p w14:paraId="11EA551E" w14:textId="577B4792" w:rsidR="00A6639F" w:rsidRDefault="003A5708">
      <w:r>
        <w:t xml:space="preserve">that were known to pre-date Geoffrey of Monmouth’s </w:t>
      </w:r>
      <w:r w:rsidRPr="0014151B">
        <w:rPr>
          <w:i/>
        </w:rPr>
        <w:t>Histor</w:t>
      </w:r>
      <w:r w:rsidR="00A6639F" w:rsidRPr="0014151B">
        <w:rPr>
          <w:i/>
        </w:rPr>
        <w:t>ia Regum Brittaniae</w:t>
      </w:r>
      <w:r>
        <w:t xml:space="preserve"> of </w:t>
      </w:r>
      <w:r w:rsidR="00A6639F">
        <w:t>113</w:t>
      </w:r>
      <w:r w:rsidR="0014151B">
        <w:t>8</w:t>
      </w:r>
      <w:r w:rsidR="00A6639F">
        <w:t xml:space="preserve"> </w:t>
      </w:r>
      <w:r>
        <w:t xml:space="preserve">(such as </w:t>
      </w:r>
    </w:p>
    <w:p w14:paraId="3F52C3DE" w14:textId="77777777" w:rsidR="00A6639F" w:rsidRDefault="003A5708">
      <w:r w:rsidRPr="003A5708">
        <w:rPr>
          <w:i/>
        </w:rPr>
        <w:t>Y Gododdin</w:t>
      </w:r>
      <w:r>
        <w:t xml:space="preserve">, </w:t>
      </w:r>
      <w:r w:rsidRPr="003A5708">
        <w:rPr>
          <w:i/>
        </w:rPr>
        <w:t>Par Gur</w:t>
      </w:r>
      <w:r>
        <w:t xml:space="preserve">, </w:t>
      </w:r>
      <w:r w:rsidRPr="003A5708">
        <w:rPr>
          <w:i/>
        </w:rPr>
        <w:t>Gereint filius Erbin</w:t>
      </w:r>
      <w:r>
        <w:t xml:space="preserve"> and </w:t>
      </w:r>
      <w:r w:rsidRPr="003A5708">
        <w:rPr>
          <w:i/>
        </w:rPr>
        <w:t>Englynion y Beddau</w:t>
      </w:r>
      <w:r>
        <w:t xml:space="preserve">), as well as an understanding of the </w:t>
      </w:r>
    </w:p>
    <w:p w14:paraId="413E483E" w14:textId="5C97C649" w:rsidR="00A6639F" w:rsidRDefault="003A5708" w:rsidP="00A6639F">
      <w:r>
        <w:t>oral culture associated with the Bardic system in post-Roman Brittonic culture.</w:t>
      </w:r>
      <w:r w:rsidR="00A6639F" w:rsidRPr="00A6639F">
        <w:t xml:space="preserve"> </w:t>
      </w:r>
      <w:r w:rsidR="00A6639F">
        <w:t>Jones</w:t>
      </w:r>
      <w:r w:rsidR="002F3182">
        <w:t>,</w:t>
      </w:r>
      <w:r w:rsidR="00A6639F">
        <w:t xml:space="preserve"> in particular</w:t>
      </w:r>
      <w:r w:rsidR="002F3182">
        <w:t>,</w:t>
      </w:r>
      <w:r w:rsidR="00A6639F">
        <w:t xml:space="preserve"> </w:t>
      </w:r>
    </w:p>
    <w:p w14:paraId="12140FD2" w14:textId="77777777" w:rsidR="00A6639F" w:rsidRDefault="00A6639F" w:rsidP="00A6639F">
      <w:r>
        <w:t xml:space="preserve">was struck by how much was contained within ‘literary’ rather than ‘historical’ sources. Indeed, even </w:t>
      </w:r>
    </w:p>
    <w:p w14:paraId="7EABBA33" w14:textId="77777777" w:rsidR="00A6639F" w:rsidRDefault="00A6639F" w:rsidP="00A6639F">
      <w:r>
        <w:t xml:space="preserve">in the </w:t>
      </w:r>
      <w:r w:rsidRPr="00006BA5">
        <w:rPr>
          <w:i/>
        </w:rPr>
        <w:t>HB</w:t>
      </w:r>
      <w:r>
        <w:t xml:space="preserve"> it could be said that there are nearly as many lines about this ‘literary’ Arthur (15 in the </w:t>
      </w:r>
    </w:p>
    <w:p w14:paraId="4BB98ED8" w14:textId="77777777" w:rsidR="00A6639F" w:rsidRDefault="00A6639F" w:rsidP="00A6639F">
      <w:r w:rsidRPr="00006BA5">
        <w:rPr>
          <w:i/>
        </w:rPr>
        <w:t>Mirabilia</w:t>
      </w:r>
      <w:r>
        <w:t xml:space="preserve"> Chapter 73 about Carn Cafal and Llygad Amr) as about the ‘historical’ Arthur (16 in Chapter </w:t>
      </w:r>
    </w:p>
    <w:p w14:paraId="145CD990" w14:textId="77777777" w:rsidR="00A6639F" w:rsidRDefault="00A6639F" w:rsidP="00A6639F">
      <w:r>
        <w:t xml:space="preserve">56); moreover, Jones accepted that at least some parts of the latter might be based on ‘an early </w:t>
      </w:r>
    </w:p>
    <w:p w14:paraId="65EF20B7" w14:textId="40F12E1B" w:rsidR="00A6639F" w:rsidRDefault="00A6639F" w:rsidP="00A6639F">
      <w:r>
        <w:lastRenderedPageBreak/>
        <w:t xml:space="preserve">Welsh poem’ now not extant, perhaps something like the praise-poem to Cynan Garwyn </w:t>
      </w:r>
    </w:p>
    <w:p w14:paraId="0E55183F" w14:textId="77777777" w:rsidR="00CE1745" w:rsidRDefault="00A6639F" w:rsidP="00A6639F">
      <w:r>
        <w:t>fab Brochfael Ysgithrog of Powys,</w:t>
      </w:r>
      <w:r w:rsidR="0014151B">
        <w:t xml:space="preserve"> </w:t>
      </w:r>
      <w:r w:rsidR="00CE1745">
        <w:t>bec</w:t>
      </w:r>
      <w:r w:rsidR="002F3182">
        <w:t>a</w:t>
      </w:r>
      <w:r w:rsidR="00CE1745">
        <w:t>u</w:t>
      </w:r>
      <w:r w:rsidR="002F3182">
        <w:t>s</w:t>
      </w:r>
      <w:r w:rsidR="00CE1745">
        <w:t>e</w:t>
      </w:r>
      <w:r w:rsidR="002F3182">
        <w:t xml:space="preserve"> </w:t>
      </w:r>
      <w:r>
        <w:t xml:space="preserve">‘listing a chief’s victorious battles was a fairly common </w:t>
      </w:r>
    </w:p>
    <w:p w14:paraId="5DA6306E" w14:textId="235EAAF8" w:rsidR="00CE1745" w:rsidRDefault="00A6639F" w:rsidP="00A6639F">
      <w:r>
        <w:t xml:space="preserve">feature of </w:t>
      </w:r>
      <w:r w:rsidR="0014151B">
        <w:t>W</w:t>
      </w:r>
      <w:r>
        <w:t>elsh poems of praise from the earliest poets onwards’</w:t>
      </w:r>
      <w:r w:rsidR="002E178B">
        <w:rPr>
          <w:rStyle w:val="EndnoteReference"/>
        </w:rPr>
        <w:endnoteReference w:id="38"/>
      </w:r>
      <w:r>
        <w:t>. Certainly, Jones conclude</w:t>
      </w:r>
      <w:r w:rsidR="00734021">
        <w:t>d</w:t>
      </w:r>
      <w:r>
        <w:t xml:space="preserve">, </w:t>
      </w:r>
    </w:p>
    <w:p w14:paraId="5D23C9E2" w14:textId="77777777" w:rsidR="00CE1745" w:rsidRDefault="00A6639F" w:rsidP="00A6639F">
      <w:r>
        <w:t xml:space="preserve">’there are traces of translation from Welsh in parts of the </w:t>
      </w:r>
      <w:r w:rsidRPr="0014151B">
        <w:rPr>
          <w:i/>
        </w:rPr>
        <w:t>Historia Brittonum</w:t>
      </w:r>
      <w:r>
        <w:t xml:space="preserve">, and one should not </w:t>
      </w:r>
    </w:p>
    <w:p w14:paraId="6C92DC4C" w14:textId="77777777" w:rsidR="00CE1745" w:rsidRDefault="00A6639F" w:rsidP="00A6639F">
      <w:r>
        <w:t>overlook the possibility that a Welsh poem is at the root of the list of battles in chapter 56’</w:t>
      </w:r>
      <w:r w:rsidR="002E178B">
        <w:rPr>
          <w:rStyle w:val="EndnoteReference"/>
        </w:rPr>
        <w:endnoteReference w:id="39"/>
      </w:r>
      <w:r>
        <w:t xml:space="preserve">. </w:t>
      </w:r>
      <w:r w:rsidR="003A5708">
        <w:t xml:space="preserve"> In </w:t>
      </w:r>
    </w:p>
    <w:p w14:paraId="2E7B14DB" w14:textId="77777777" w:rsidR="00734021" w:rsidRDefault="003A5708">
      <w:r>
        <w:t>general terms the</w:t>
      </w:r>
      <w:r w:rsidR="00A6639F">
        <w:t xml:space="preserve">n, Jones and others </w:t>
      </w:r>
      <w:r>
        <w:t>argued that</w:t>
      </w:r>
      <w:r w:rsidR="00F97FF2">
        <w:t xml:space="preserve">, even possibly </w:t>
      </w:r>
      <w:r w:rsidR="00734021">
        <w:t>with</w:t>
      </w:r>
      <w:r w:rsidR="00F97FF2">
        <w:t xml:space="preserve">in his own lifetime, ‘traditions </w:t>
      </w:r>
    </w:p>
    <w:p w14:paraId="3A913BBD" w14:textId="42DBD9F8" w:rsidR="00CE1745" w:rsidRDefault="00F97FF2">
      <w:r>
        <w:t xml:space="preserve">of Arthur as a leader and winner of victories against the Saxons’ had developed and that, certainly by </w:t>
      </w:r>
    </w:p>
    <w:p w14:paraId="7ECE7BC4" w14:textId="77777777" w:rsidR="00CE1745" w:rsidRDefault="00F97FF2">
      <w:r>
        <w:t xml:space="preserve">the </w:t>
      </w:r>
      <w:r w:rsidR="00A6639F">
        <w:t>ninth</w:t>
      </w:r>
      <w:r>
        <w:t xml:space="preserve"> century (as shown in the </w:t>
      </w:r>
      <w:r w:rsidRPr="00D40997">
        <w:rPr>
          <w:i/>
        </w:rPr>
        <w:t>Mirabilia</w:t>
      </w:r>
      <w:r>
        <w:t xml:space="preserve"> of the </w:t>
      </w:r>
      <w:r w:rsidRPr="00D40997">
        <w:rPr>
          <w:i/>
        </w:rPr>
        <w:t>HB</w:t>
      </w:r>
      <w:r>
        <w:t xml:space="preserve">) ‘non-heroic stories had begun to </w:t>
      </w:r>
      <w:r w:rsidR="00A6639F">
        <w:t>g</w:t>
      </w:r>
      <w:r>
        <w:t xml:space="preserve">ather </w:t>
      </w:r>
    </w:p>
    <w:p w14:paraId="3AB403B2" w14:textId="77777777" w:rsidR="00CE1745" w:rsidRDefault="00F97FF2">
      <w:r>
        <w:t>round the heroic tradition of Arthur’</w:t>
      </w:r>
      <w:r w:rsidR="002E178B">
        <w:rPr>
          <w:rStyle w:val="EndnoteReference"/>
        </w:rPr>
        <w:endnoteReference w:id="40"/>
      </w:r>
      <w:r>
        <w:t xml:space="preserve">. As time went on the story of Arthur became so powerful that </w:t>
      </w:r>
    </w:p>
    <w:p w14:paraId="4F80F43D" w14:textId="77777777" w:rsidR="00CE1745" w:rsidRDefault="00F97FF2">
      <w:r>
        <w:t xml:space="preserve">‘we can see fairly clearly the process of connecting with Arthur folk stories and heroic sagas which </w:t>
      </w:r>
    </w:p>
    <w:p w14:paraId="6D9A424D" w14:textId="77777777" w:rsidR="00CE1745" w:rsidRDefault="00F97FF2">
      <w:r>
        <w:t xml:space="preserve">had once </w:t>
      </w:r>
      <w:r w:rsidR="00A6639F">
        <w:t xml:space="preserve"> </w:t>
      </w:r>
      <w:r>
        <w:t>been independent of him’</w:t>
      </w:r>
      <w:r w:rsidR="002E178B">
        <w:rPr>
          <w:rStyle w:val="EndnoteReference"/>
        </w:rPr>
        <w:endnoteReference w:id="41"/>
      </w:r>
      <w:r>
        <w:t xml:space="preserve">, culminating in the enormous list of those present at his court </w:t>
      </w:r>
    </w:p>
    <w:p w14:paraId="32CA1F8F" w14:textId="51EE86DF" w:rsidR="002F3182" w:rsidRDefault="00F97FF2">
      <w:r>
        <w:t xml:space="preserve">in </w:t>
      </w:r>
      <w:r w:rsidRPr="00723CBA">
        <w:rPr>
          <w:i/>
        </w:rPr>
        <w:t>Cul</w:t>
      </w:r>
      <w:r w:rsidR="00723CBA" w:rsidRPr="00723CBA">
        <w:rPr>
          <w:i/>
        </w:rPr>
        <w:t>h</w:t>
      </w:r>
      <w:r w:rsidRPr="00723CBA">
        <w:rPr>
          <w:i/>
        </w:rPr>
        <w:t>wch a</w:t>
      </w:r>
      <w:r w:rsidR="00723CBA" w:rsidRPr="00723CBA">
        <w:rPr>
          <w:i/>
        </w:rPr>
        <w:t>c</w:t>
      </w:r>
      <w:r w:rsidRPr="00723CBA">
        <w:rPr>
          <w:i/>
        </w:rPr>
        <w:t xml:space="preserve"> Olwen</w:t>
      </w:r>
      <w:r w:rsidR="002E178B">
        <w:rPr>
          <w:rStyle w:val="EndnoteReference"/>
          <w:i/>
        </w:rPr>
        <w:endnoteReference w:id="42"/>
      </w:r>
      <w:r w:rsidR="00E064EF">
        <w:t xml:space="preserve">, </w:t>
      </w:r>
      <w:r w:rsidR="002F3182">
        <w:t xml:space="preserve">resulting from </w:t>
      </w:r>
      <w:r>
        <w:t xml:space="preserve">‘the process of bringing more and more figures who originally </w:t>
      </w:r>
    </w:p>
    <w:p w14:paraId="67DDE1B0" w14:textId="77777777" w:rsidR="002F3182" w:rsidRDefault="00F97FF2">
      <w:r>
        <w:t xml:space="preserve">belonged to other </w:t>
      </w:r>
      <w:r w:rsidR="00723CBA">
        <w:t>W</w:t>
      </w:r>
      <w:r>
        <w:t xml:space="preserve">elsh and Irish sagas, to history, to legend and folk-lore, into the orbit of </w:t>
      </w:r>
    </w:p>
    <w:p w14:paraId="0EE267D2" w14:textId="464889DE" w:rsidR="00084FDE" w:rsidRDefault="00F97FF2">
      <w:r>
        <w:t>Arthur</w:t>
      </w:r>
      <w:r w:rsidR="00723CBA">
        <w:t>’</w:t>
      </w:r>
      <w:r w:rsidR="002E178B">
        <w:rPr>
          <w:rStyle w:val="EndnoteReference"/>
        </w:rPr>
        <w:endnoteReference w:id="43"/>
      </w:r>
      <w:r w:rsidR="00723CBA">
        <w:t>.</w:t>
      </w:r>
    </w:p>
    <w:p w14:paraId="7C13E9B6" w14:textId="2823DDA7" w:rsidR="00723CBA" w:rsidRDefault="00723CBA"/>
    <w:p w14:paraId="35CE297C" w14:textId="6150FE99" w:rsidR="00723CBA" w:rsidRDefault="00723CBA">
      <w:r>
        <w:t>Building on th</w:t>
      </w:r>
      <w:r w:rsidR="00E064EF">
        <w:t>e</w:t>
      </w:r>
      <w:r>
        <w:t>s</w:t>
      </w:r>
      <w:r w:rsidR="00E064EF">
        <w:t>e</w:t>
      </w:r>
      <w:r>
        <w:t xml:space="preserve"> approach</w:t>
      </w:r>
      <w:r w:rsidR="00E064EF">
        <w:t>es</w:t>
      </w:r>
      <w:r>
        <w:t>, the acceptance of the ‘historical</w:t>
      </w:r>
      <w:r w:rsidR="00734021">
        <w:t>’</w:t>
      </w:r>
      <w:r>
        <w:t xml:space="preserve"> Arthur </w:t>
      </w:r>
      <w:r w:rsidR="00A6639F">
        <w:t>r</w:t>
      </w:r>
      <w:r>
        <w:t xml:space="preserve">eached its apogee in full </w:t>
      </w:r>
    </w:p>
    <w:p w14:paraId="2672583D" w14:textId="77777777" w:rsidR="00723CBA" w:rsidRDefault="00723CBA">
      <w:r>
        <w:t xml:space="preserve">scale histories of the period 400-600 by Leslie Alcock and John Morris. In </w:t>
      </w:r>
      <w:r w:rsidRPr="00723CBA">
        <w:rPr>
          <w:i/>
        </w:rPr>
        <w:t>Arthur’s Britain</w:t>
      </w:r>
      <w:r>
        <w:t xml:space="preserve"> (1971), </w:t>
      </w:r>
    </w:p>
    <w:p w14:paraId="73F2F5AD" w14:textId="77777777" w:rsidR="00723CBA" w:rsidRDefault="00723CBA">
      <w:r>
        <w:t xml:space="preserve">Alcock stated in the preface that ‘this book is about the Arthur of history… It will demonstrate that </w:t>
      </w:r>
    </w:p>
    <w:p w14:paraId="757F7AEE" w14:textId="77777777" w:rsidR="00723CBA" w:rsidRDefault="00723CBA">
      <w:r>
        <w:t xml:space="preserve">there is acceptable historical evidence that Arthur was a genuine historical figure, not a mere </w:t>
      </w:r>
    </w:p>
    <w:p w14:paraId="6B758C40" w14:textId="13339E23" w:rsidR="00376605" w:rsidRDefault="00723CBA" w:rsidP="00376605">
      <w:r>
        <w:t>figment of myth or romance’</w:t>
      </w:r>
      <w:r w:rsidR="002E178B">
        <w:rPr>
          <w:rStyle w:val="EndnoteReference"/>
        </w:rPr>
        <w:endnoteReference w:id="44"/>
      </w:r>
      <w:r w:rsidR="00A6639F">
        <w:t>.</w:t>
      </w:r>
      <w:r w:rsidR="00376605" w:rsidRPr="00376605">
        <w:t xml:space="preserve"> </w:t>
      </w:r>
      <w:r w:rsidR="00376605">
        <w:t xml:space="preserve">Morris, in </w:t>
      </w:r>
      <w:r w:rsidR="00376605" w:rsidRPr="00723CBA">
        <w:rPr>
          <w:i/>
        </w:rPr>
        <w:t>The Age of Arthur</w:t>
      </w:r>
      <w:r w:rsidR="00376605">
        <w:t xml:space="preserve"> (1973), similarly claimed that ‘the </w:t>
      </w:r>
    </w:p>
    <w:p w14:paraId="17926033" w14:textId="31827D0A" w:rsidR="00376605" w:rsidRDefault="00376605" w:rsidP="00376605">
      <w:r>
        <w:t xml:space="preserve">personality of Arthur is unknown and unknowable. But he was as real as Alfred the </w:t>
      </w:r>
      <w:r w:rsidR="0014151B">
        <w:t>G</w:t>
      </w:r>
      <w:r>
        <w:t xml:space="preserve">reat or William </w:t>
      </w:r>
    </w:p>
    <w:p w14:paraId="317D2B91" w14:textId="2442FE96" w:rsidR="000D647D" w:rsidRDefault="00376605" w:rsidP="00376605">
      <w:r>
        <w:t>the Conqueror’</w:t>
      </w:r>
      <w:r w:rsidR="002E178B">
        <w:rPr>
          <w:rStyle w:val="EndnoteReference"/>
        </w:rPr>
        <w:endnoteReference w:id="45"/>
      </w:r>
      <w:r>
        <w:t xml:space="preserve">. </w:t>
      </w:r>
      <w:r w:rsidR="00A6639F">
        <w:t xml:space="preserve"> Alcock’s background was in archaeology</w:t>
      </w:r>
      <w:r w:rsidR="000D647D">
        <w:t xml:space="preserve">; he had led excavations at </w:t>
      </w:r>
    </w:p>
    <w:p w14:paraId="63574C44" w14:textId="44F08FD5" w:rsidR="000D647D" w:rsidRDefault="000D647D">
      <w:r>
        <w:t>Cadbury Castle in Somerset, Dinas Powys in Wales and Alt Clut in Strathclyde</w:t>
      </w:r>
      <w:r w:rsidR="00E064EF">
        <w:t>.</w:t>
      </w:r>
      <w:r>
        <w:t xml:space="preserve"> Alan Lane recently </w:t>
      </w:r>
    </w:p>
    <w:p w14:paraId="1E59F096" w14:textId="77777777" w:rsidR="002513FD" w:rsidRDefault="000D647D">
      <w:r>
        <w:t>described his work as ‘a rigorous</w:t>
      </w:r>
      <w:r w:rsidR="00105652">
        <w:t xml:space="preserve"> academic attempt</w:t>
      </w:r>
      <w:r w:rsidR="002513FD">
        <w:t xml:space="preserve"> to put the historical evidence for Arthur </w:t>
      </w:r>
    </w:p>
    <w:p w14:paraId="1CD427A4" w14:textId="2D2AE696" w:rsidR="002513FD" w:rsidRDefault="002513FD">
      <w:r>
        <w:t>alongside the archaeology for the period in which he might have existed’</w:t>
      </w:r>
      <w:r w:rsidR="002E178B">
        <w:rPr>
          <w:rStyle w:val="EndnoteReference"/>
        </w:rPr>
        <w:endnoteReference w:id="46"/>
      </w:r>
      <w:r>
        <w:t xml:space="preserve">. Assessing Alcock’s </w:t>
      </w:r>
    </w:p>
    <w:p w14:paraId="610BC647" w14:textId="77777777" w:rsidR="002513FD" w:rsidRDefault="002513FD">
      <w:r>
        <w:t xml:space="preserve">archaeological evidence (supplemented as it has been by more recent important excavations of the </w:t>
      </w:r>
    </w:p>
    <w:p w14:paraId="0D8B1BB2" w14:textId="08A885A5" w:rsidR="002513FD" w:rsidRDefault="002513FD">
      <w:r>
        <w:t>‘Dark Age’ layers at Tintagel</w:t>
      </w:r>
      <w:r w:rsidR="002E178B">
        <w:rPr>
          <w:rStyle w:val="EndnoteReference"/>
        </w:rPr>
        <w:endnoteReference w:id="47"/>
      </w:r>
      <w:r>
        <w:t>), Lane conclude</w:t>
      </w:r>
      <w:r w:rsidR="002F3182">
        <w:t>d</w:t>
      </w:r>
      <w:r>
        <w:t xml:space="preserve"> that ‘the account of Dumnonia/Wales/Somerset </w:t>
      </w:r>
    </w:p>
    <w:p w14:paraId="56101C6B" w14:textId="1BC2718E" w:rsidR="002513FD" w:rsidRDefault="002513FD">
      <w:r>
        <w:t xml:space="preserve">[emerging from modern archaeological research] remains stubbornly close to how it is presented in </w:t>
      </w:r>
    </w:p>
    <w:p w14:paraId="64A4371C" w14:textId="2CEFBD2B" w:rsidR="0014151B" w:rsidRDefault="002513FD">
      <w:r w:rsidRPr="002513FD">
        <w:rPr>
          <w:i/>
        </w:rPr>
        <w:t>Arthur’s Britain</w:t>
      </w:r>
      <w:r>
        <w:t>’</w:t>
      </w:r>
      <w:r w:rsidR="002E178B">
        <w:rPr>
          <w:rStyle w:val="EndnoteReference"/>
        </w:rPr>
        <w:endnoteReference w:id="48"/>
      </w:r>
      <w:r>
        <w:t xml:space="preserve">. </w:t>
      </w:r>
      <w:r w:rsidR="000D647D">
        <w:t xml:space="preserve"> </w:t>
      </w:r>
      <w:r w:rsidR="00723CBA" w:rsidRPr="005D5213">
        <w:rPr>
          <w:i/>
        </w:rPr>
        <w:t xml:space="preserve">The </w:t>
      </w:r>
      <w:r w:rsidR="005D5213" w:rsidRPr="005D5213">
        <w:rPr>
          <w:i/>
        </w:rPr>
        <w:t>Ag</w:t>
      </w:r>
      <w:r w:rsidR="00723CBA" w:rsidRPr="005D5213">
        <w:rPr>
          <w:i/>
        </w:rPr>
        <w:t>e of Arthur</w:t>
      </w:r>
      <w:r w:rsidR="00723CBA">
        <w:t xml:space="preserve"> </w:t>
      </w:r>
      <w:r w:rsidR="00376605">
        <w:t>has</w:t>
      </w:r>
      <w:r w:rsidR="0014151B">
        <w:t xml:space="preserve"> likewise </w:t>
      </w:r>
      <w:r w:rsidR="00376605">
        <w:t xml:space="preserve">been recognised as </w:t>
      </w:r>
      <w:r w:rsidR="00723CBA">
        <w:t xml:space="preserve">‘a massive work…of tightly </w:t>
      </w:r>
    </w:p>
    <w:p w14:paraId="156D1710" w14:textId="0F374AF7" w:rsidR="00AD5D5D" w:rsidRDefault="00723CBA">
      <w:r>
        <w:t>constructed t</w:t>
      </w:r>
      <w:r w:rsidR="005D5213">
        <w:t>ext’</w:t>
      </w:r>
      <w:r w:rsidR="002E178B">
        <w:rPr>
          <w:rStyle w:val="EndnoteReference"/>
        </w:rPr>
        <w:endnoteReference w:id="49"/>
      </w:r>
      <w:r w:rsidR="005D5213">
        <w:t xml:space="preserve">, </w:t>
      </w:r>
      <w:r w:rsidR="00376605">
        <w:t xml:space="preserve">but </w:t>
      </w:r>
      <w:r w:rsidR="005D5213">
        <w:t xml:space="preserve">it also acted as something of a watershed in Arthurian studies. Morris </w:t>
      </w:r>
      <w:r w:rsidR="00AD5D5D">
        <w:t xml:space="preserve">(who </w:t>
      </w:r>
    </w:p>
    <w:p w14:paraId="68EF42B5" w14:textId="77777777" w:rsidR="00AD5D5D" w:rsidRDefault="00AD5D5D">
      <w:r>
        <w:t xml:space="preserve">died in 1977) </w:t>
      </w:r>
      <w:r w:rsidR="005D5213">
        <w:t xml:space="preserve">has been acknowledged as ‘a very learned and respected scholar, with an awareness of </w:t>
      </w:r>
    </w:p>
    <w:p w14:paraId="245B6EC5" w14:textId="7D52F923" w:rsidR="00AD5D5D" w:rsidRDefault="005D5213">
      <w:r>
        <w:lastRenderedPageBreak/>
        <w:t>an enormous range of evidence, written and archaeological’</w:t>
      </w:r>
      <w:r w:rsidR="002E178B">
        <w:rPr>
          <w:rStyle w:val="EndnoteReference"/>
        </w:rPr>
        <w:endnoteReference w:id="50"/>
      </w:r>
      <w:r>
        <w:t xml:space="preserve">, who produced a work that ‘is a </w:t>
      </w:r>
    </w:p>
    <w:p w14:paraId="38888434" w14:textId="4CD52C60" w:rsidR="00AD5D5D" w:rsidRDefault="005D5213">
      <w:r>
        <w:t>marvellous, inspiring read’</w:t>
      </w:r>
      <w:r w:rsidR="002E178B">
        <w:rPr>
          <w:rStyle w:val="EndnoteReference"/>
        </w:rPr>
        <w:endnoteReference w:id="51"/>
      </w:r>
      <w:r>
        <w:t>, which remains ‘a widely read description of the period’</w:t>
      </w:r>
      <w:r w:rsidR="002E178B">
        <w:rPr>
          <w:rStyle w:val="EndnoteReference"/>
        </w:rPr>
        <w:endnoteReference w:id="52"/>
      </w:r>
      <w:r>
        <w:t>; however</w:t>
      </w:r>
      <w:r w:rsidR="00CC4F52">
        <w:t>,</w:t>
      </w:r>
      <w:r>
        <w:t xml:space="preserve"> it </w:t>
      </w:r>
    </w:p>
    <w:p w14:paraId="2A0B2D17" w14:textId="5C93A1E0" w:rsidR="00AD5D5D" w:rsidRDefault="005D5213">
      <w:r>
        <w:t>led to ‘a barrage of criticism</w:t>
      </w:r>
      <w:r w:rsidR="00CC4F52">
        <w:t>’</w:t>
      </w:r>
      <w:r w:rsidR="002E178B">
        <w:rPr>
          <w:rStyle w:val="EndnoteReference"/>
        </w:rPr>
        <w:endnoteReference w:id="53"/>
      </w:r>
      <w:r w:rsidR="002E178B">
        <w:t xml:space="preserve"> </w:t>
      </w:r>
      <w:r w:rsidR="00CC4F52">
        <w:t xml:space="preserve">about his handling of particular sources, his general conclusions and, </w:t>
      </w:r>
    </w:p>
    <w:p w14:paraId="223A0325" w14:textId="77777777" w:rsidR="00E064EF" w:rsidRDefault="00E064EF">
      <w:r>
        <w:t>ultimately,</w:t>
      </w:r>
      <w:r w:rsidR="00CC4F52">
        <w:t xml:space="preserve"> ‘division between qualified academic students of the period and enthusiastic, wilfully </w:t>
      </w:r>
    </w:p>
    <w:p w14:paraId="02FB11D5" w14:textId="2EADF438" w:rsidR="00723CBA" w:rsidRDefault="00CC4F52">
      <w:r>
        <w:t>naïve (at best) amateurs’</w:t>
      </w:r>
      <w:r w:rsidR="002E178B">
        <w:rPr>
          <w:rStyle w:val="EndnoteReference"/>
        </w:rPr>
        <w:endnoteReference w:id="54"/>
      </w:r>
      <w:r>
        <w:t>.</w:t>
      </w:r>
    </w:p>
    <w:p w14:paraId="2212EA99" w14:textId="30CF00B8" w:rsidR="0052439B" w:rsidRDefault="0052439B"/>
    <w:p w14:paraId="74AE968B" w14:textId="77777777" w:rsidR="00AD5D5D" w:rsidRDefault="0014151B">
      <w:r>
        <w:t>In the vanguard of</w:t>
      </w:r>
      <w:r w:rsidR="00B70346">
        <w:t xml:space="preserve"> this </w:t>
      </w:r>
      <w:r>
        <w:t xml:space="preserve">backlash against </w:t>
      </w:r>
      <w:r w:rsidR="00AD5D5D" w:rsidRPr="00AD5D5D">
        <w:rPr>
          <w:i/>
        </w:rPr>
        <w:t>The Age of Arthur</w:t>
      </w:r>
      <w:r w:rsidR="00AD5D5D">
        <w:t xml:space="preserve"> </w:t>
      </w:r>
      <w:r w:rsidR="00B70346">
        <w:t xml:space="preserve">was David Dumville. In a series of articles </w:t>
      </w:r>
    </w:p>
    <w:p w14:paraId="26EEE27C" w14:textId="5AB4F99C" w:rsidR="00AD5D5D" w:rsidRDefault="00B70346">
      <w:r>
        <w:t>from 197</w:t>
      </w:r>
      <w:r w:rsidR="00E064EF">
        <w:t>6</w:t>
      </w:r>
      <w:r>
        <w:t xml:space="preserve"> </w:t>
      </w:r>
      <w:r w:rsidR="002E178B">
        <w:rPr>
          <w:rStyle w:val="EndnoteReference"/>
        </w:rPr>
        <w:endnoteReference w:id="55"/>
      </w:r>
      <w:r>
        <w:t xml:space="preserve"> he examined the main extant written sources in a ‘sophisticated analysis of the </w:t>
      </w:r>
    </w:p>
    <w:p w14:paraId="3F9E1973" w14:textId="474D106E" w:rsidR="00AD5D5D" w:rsidRDefault="00B70346">
      <w:r>
        <w:t>evidence, looking at the date, nature and purpose behind the composition of such writings’</w:t>
      </w:r>
      <w:r w:rsidR="002E178B">
        <w:rPr>
          <w:rStyle w:val="EndnoteReference"/>
        </w:rPr>
        <w:endnoteReference w:id="56"/>
      </w:r>
      <w:r>
        <w:t xml:space="preserve">, </w:t>
      </w:r>
    </w:p>
    <w:p w14:paraId="1187F499" w14:textId="77777777" w:rsidR="00AD5D5D" w:rsidRDefault="00B70346">
      <w:r>
        <w:t xml:space="preserve">arguing that the </w:t>
      </w:r>
      <w:r w:rsidRPr="002F36A1">
        <w:rPr>
          <w:i/>
        </w:rPr>
        <w:t>Historia Bri</w:t>
      </w:r>
      <w:r w:rsidR="00DF5235" w:rsidRPr="002F36A1">
        <w:rPr>
          <w:i/>
        </w:rPr>
        <w:t>tt</w:t>
      </w:r>
      <w:r w:rsidR="00D755AF" w:rsidRPr="002F36A1">
        <w:rPr>
          <w:i/>
        </w:rPr>
        <w:t>on</w:t>
      </w:r>
      <w:r w:rsidR="00DF5235" w:rsidRPr="002F36A1">
        <w:rPr>
          <w:i/>
        </w:rPr>
        <w:t>um</w:t>
      </w:r>
      <w:r w:rsidR="00DF5235">
        <w:t xml:space="preserve"> and the </w:t>
      </w:r>
      <w:r w:rsidR="00DF5235" w:rsidRPr="002F36A1">
        <w:rPr>
          <w:i/>
        </w:rPr>
        <w:t>Annales Cambriae</w:t>
      </w:r>
      <w:r w:rsidR="00DF5235">
        <w:t xml:space="preserve"> were examples of ‘synthetic history’, </w:t>
      </w:r>
    </w:p>
    <w:p w14:paraId="2D4BC5F9" w14:textId="77777777" w:rsidR="00AD5D5D" w:rsidRDefault="00DF5235">
      <w:r>
        <w:t xml:space="preserve">a phenomenon well </w:t>
      </w:r>
      <w:r w:rsidR="00376605">
        <w:t>k</w:t>
      </w:r>
      <w:r>
        <w:t xml:space="preserve">nown from early modern Ireland, which was essentially ‘an expression of a </w:t>
      </w:r>
    </w:p>
    <w:p w14:paraId="37A54881" w14:textId="4F92D2D7" w:rsidR="00E064EF" w:rsidRDefault="00DF5235">
      <w:r>
        <w:t>sense of national unity projected back into a legendary past’</w:t>
      </w:r>
      <w:r w:rsidR="002E178B">
        <w:rPr>
          <w:rStyle w:val="EndnoteReference"/>
        </w:rPr>
        <w:endnoteReference w:id="57"/>
      </w:r>
      <w:r w:rsidR="00E064EF">
        <w:t>.</w:t>
      </w:r>
      <w:r>
        <w:t xml:space="preserve"> </w:t>
      </w:r>
      <w:r w:rsidR="00E064EF">
        <w:t xml:space="preserve">The author of </w:t>
      </w:r>
      <w:r w:rsidR="003517A3" w:rsidRPr="003517A3">
        <w:rPr>
          <w:i/>
        </w:rPr>
        <w:t>HB</w:t>
      </w:r>
      <w:r w:rsidR="003517A3">
        <w:t xml:space="preserve">, Dumville </w:t>
      </w:r>
    </w:p>
    <w:p w14:paraId="1FE26E11" w14:textId="5239D9D4" w:rsidR="00E064EF" w:rsidRDefault="003517A3">
      <w:r>
        <w:t xml:space="preserve">maintained, had ‘made a rather competent attempt at an appallingly difficult task', based on the </w:t>
      </w:r>
    </w:p>
    <w:p w14:paraId="14C66C43" w14:textId="69329CE3" w:rsidR="00E064EF" w:rsidRDefault="003517A3" w:rsidP="00E064EF">
      <w:r>
        <w:t>‘utter flimsiness’</w:t>
      </w:r>
      <w:r w:rsidR="008B6B38">
        <w:rPr>
          <w:rStyle w:val="EndnoteReference"/>
        </w:rPr>
        <w:endnoteReference w:id="58"/>
      </w:r>
      <w:r w:rsidR="008B6B38">
        <w:t xml:space="preserve"> </w:t>
      </w:r>
      <w:r>
        <w:t>of the records available to him</w:t>
      </w:r>
      <w:r w:rsidR="00E064EF">
        <w:t>, but it meant that</w:t>
      </w:r>
      <w:r>
        <w:t xml:space="preserve"> </w:t>
      </w:r>
      <w:r w:rsidR="00E064EF">
        <w:t xml:space="preserve">there was little </w:t>
      </w:r>
      <w:r w:rsidR="00392739">
        <w:t xml:space="preserve">in it </w:t>
      </w:r>
      <w:r w:rsidR="00E064EF">
        <w:t xml:space="preserve">of historical </w:t>
      </w:r>
    </w:p>
    <w:p w14:paraId="28AFD1E3" w14:textId="01DCBF32" w:rsidR="00CE1745" w:rsidRDefault="00E064EF">
      <w:r>
        <w:t>value for historians of th</w:t>
      </w:r>
      <w:r w:rsidR="00392739">
        <w:t>is period</w:t>
      </w:r>
      <w:r>
        <w:t xml:space="preserve">. </w:t>
      </w:r>
      <w:r w:rsidR="003517A3">
        <w:t>Other sources</w:t>
      </w:r>
      <w:r w:rsidR="00CE1745">
        <w:t xml:space="preserve"> deployed by Morris, </w:t>
      </w:r>
      <w:r w:rsidR="003517A3">
        <w:t xml:space="preserve">he maintained, had even less </w:t>
      </w:r>
    </w:p>
    <w:p w14:paraId="01774615" w14:textId="77777777" w:rsidR="00CE1745" w:rsidRDefault="003517A3">
      <w:r>
        <w:t xml:space="preserve">value; the </w:t>
      </w:r>
      <w:r w:rsidR="00855868" w:rsidRPr="00855868">
        <w:rPr>
          <w:i/>
        </w:rPr>
        <w:t>W</w:t>
      </w:r>
      <w:r w:rsidRPr="00855868">
        <w:rPr>
          <w:i/>
        </w:rPr>
        <w:t>elsh Genealogies</w:t>
      </w:r>
      <w:r>
        <w:t xml:space="preserve"> ‘are not an historical record’ but documents staking ‘a legal and </w:t>
      </w:r>
    </w:p>
    <w:p w14:paraId="07A99F11" w14:textId="0C9F9D09" w:rsidR="00CE1745" w:rsidRDefault="003517A3">
      <w:r>
        <w:t>political claim’</w:t>
      </w:r>
      <w:r w:rsidR="00734021">
        <w:rPr>
          <w:rStyle w:val="EndnoteReference"/>
        </w:rPr>
        <w:endnoteReference w:id="59"/>
      </w:r>
      <w:r w:rsidR="00CE1745">
        <w:t xml:space="preserve"> </w:t>
      </w:r>
      <w:r>
        <w:t xml:space="preserve">in the 950s, whilst the corpus of early Welsh poetical traditions, such as </w:t>
      </w:r>
      <w:r w:rsidRPr="003517A3">
        <w:rPr>
          <w:i/>
        </w:rPr>
        <w:t>Y Gododdin</w:t>
      </w:r>
      <w:r>
        <w:t xml:space="preserve">, </w:t>
      </w:r>
    </w:p>
    <w:p w14:paraId="353A6F4F" w14:textId="77777777" w:rsidR="00CE1745" w:rsidRDefault="003517A3">
      <w:r>
        <w:t xml:space="preserve">‘if they have a claim to be part of the historical record, it is that of the later sixth century’, but since </w:t>
      </w:r>
    </w:p>
    <w:p w14:paraId="2840A4BF" w14:textId="77777777" w:rsidR="00CE1745" w:rsidRDefault="003517A3">
      <w:r>
        <w:t xml:space="preserve">‘they cannot be dated more securely than between the late sixth … and the end of the eleventh </w:t>
      </w:r>
    </w:p>
    <w:p w14:paraId="267F04F1" w14:textId="77777777" w:rsidR="00CE1745" w:rsidRDefault="003517A3">
      <w:r>
        <w:t>century… they cannot be used by the historian’</w:t>
      </w:r>
      <w:r w:rsidR="008B6B38">
        <w:rPr>
          <w:rStyle w:val="EndnoteReference"/>
        </w:rPr>
        <w:endnoteReference w:id="60"/>
      </w:r>
      <w:r>
        <w:t xml:space="preserve">.  </w:t>
      </w:r>
      <w:r w:rsidR="00376605">
        <w:t xml:space="preserve">The </w:t>
      </w:r>
      <w:r w:rsidR="00376605" w:rsidRPr="000927F9">
        <w:rPr>
          <w:i/>
        </w:rPr>
        <w:t xml:space="preserve">Lives of the Saints </w:t>
      </w:r>
      <w:r w:rsidR="00376605">
        <w:t xml:space="preserve">in Welsh and Latin of the </w:t>
      </w:r>
    </w:p>
    <w:p w14:paraId="160AAF10" w14:textId="77777777" w:rsidR="00CE1745" w:rsidRDefault="00376605">
      <w:r>
        <w:t>late eleventh and twelfth centuries, ‘used extensively by Morris as sources’</w:t>
      </w:r>
      <w:r w:rsidR="008B6B38">
        <w:rPr>
          <w:rStyle w:val="EndnoteReference"/>
        </w:rPr>
        <w:endnoteReference w:id="61"/>
      </w:r>
      <w:r>
        <w:t xml:space="preserve"> were, according to </w:t>
      </w:r>
    </w:p>
    <w:p w14:paraId="4147DED0" w14:textId="77777777" w:rsidR="00CE1745" w:rsidRDefault="00376605">
      <w:r>
        <w:t xml:space="preserve">Dumville, essentially hagiographies at best, as much to do with claiming ‘property and rights in the </w:t>
      </w:r>
    </w:p>
    <w:p w14:paraId="184463C5" w14:textId="77777777" w:rsidR="00CE1745" w:rsidRDefault="00376605">
      <w:r>
        <w:t>locality of its monastery</w:t>
      </w:r>
      <w:r w:rsidR="000927F9">
        <w:t>’</w:t>
      </w:r>
      <w:r>
        <w:t xml:space="preserve"> as any valid history, especially of the 5</w:t>
      </w:r>
      <w:r w:rsidRPr="00376605">
        <w:rPr>
          <w:vertAlign w:val="superscript"/>
        </w:rPr>
        <w:t>th</w:t>
      </w:r>
      <w:r>
        <w:t>/6</w:t>
      </w:r>
      <w:r w:rsidRPr="00376605">
        <w:rPr>
          <w:vertAlign w:val="superscript"/>
        </w:rPr>
        <w:t>th</w:t>
      </w:r>
      <w:r>
        <w:t xml:space="preserve"> centuries. As such, </w:t>
      </w:r>
      <w:r w:rsidR="000927F9">
        <w:t xml:space="preserve">‘we cannot </w:t>
      </w:r>
    </w:p>
    <w:p w14:paraId="5E978064" w14:textId="77777777" w:rsidR="00CE1745" w:rsidRDefault="000927F9">
      <w:r>
        <w:t>…expect that these works will ever provide information about the sub-Roman centuries’</w:t>
      </w:r>
      <w:r w:rsidR="008B6B38">
        <w:rPr>
          <w:rStyle w:val="EndnoteReference"/>
        </w:rPr>
        <w:endnoteReference w:id="62"/>
      </w:r>
      <w:r>
        <w:t xml:space="preserve">. </w:t>
      </w:r>
      <w:r w:rsidR="003517A3">
        <w:t xml:space="preserve">Arthur, ‘a </w:t>
      </w:r>
    </w:p>
    <w:p w14:paraId="7D6E9A0B" w14:textId="77777777" w:rsidR="00CE1745" w:rsidRDefault="003517A3">
      <w:r>
        <w:t>man without position or ancestry in pre-Geoffrey Welsh sources’</w:t>
      </w:r>
      <w:r w:rsidR="008B6B38">
        <w:rPr>
          <w:rStyle w:val="EndnoteReference"/>
        </w:rPr>
        <w:endnoteReference w:id="63"/>
      </w:r>
      <w:r w:rsidR="00A309ED">
        <w:t>,</w:t>
      </w:r>
      <w:r>
        <w:t xml:space="preserve"> should therefore be rejected</w:t>
      </w:r>
      <w:r w:rsidR="00376B9B">
        <w:t xml:space="preserve"> </w:t>
      </w:r>
    </w:p>
    <w:p w14:paraId="48D07E16" w14:textId="77777777" w:rsidR="00CE1745" w:rsidRDefault="00376B9B">
      <w:r>
        <w:t>‘from our histories, and, above all, from the titles of our books’</w:t>
      </w:r>
      <w:r w:rsidR="008B6B38">
        <w:rPr>
          <w:rStyle w:val="EndnoteReference"/>
        </w:rPr>
        <w:endnoteReference w:id="64"/>
      </w:r>
      <w:r>
        <w:t xml:space="preserve">, as he owes his place there purely </w:t>
      </w:r>
    </w:p>
    <w:p w14:paraId="6152C736" w14:textId="77777777" w:rsidR="00CE1745" w:rsidRDefault="00376B9B">
      <w:r>
        <w:t>‘to a no smoke without fire school of thought’</w:t>
      </w:r>
      <w:r w:rsidR="008B6B38">
        <w:rPr>
          <w:rStyle w:val="EndnoteReference"/>
        </w:rPr>
        <w:endnoteReference w:id="65"/>
      </w:r>
      <w:r>
        <w:t>.</w:t>
      </w:r>
      <w:r w:rsidR="000927F9">
        <w:t xml:space="preserve"> </w:t>
      </w:r>
      <w:r w:rsidR="00DF5235">
        <w:t xml:space="preserve">Consequently, ‘what should concern the historian is </w:t>
      </w:r>
    </w:p>
    <w:p w14:paraId="2F5EA936" w14:textId="77777777" w:rsidR="00CE1745" w:rsidRDefault="00DF5235">
      <w:r>
        <w:t xml:space="preserve">what the author of the </w:t>
      </w:r>
      <w:r w:rsidRPr="002F36A1">
        <w:rPr>
          <w:i/>
        </w:rPr>
        <w:t>Hist</w:t>
      </w:r>
      <w:r w:rsidR="002F36A1" w:rsidRPr="002F36A1">
        <w:rPr>
          <w:i/>
        </w:rPr>
        <w:t>oria</w:t>
      </w:r>
      <w:r w:rsidRPr="002F36A1">
        <w:rPr>
          <w:i/>
        </w:rPr>
        <w:t xml:space="preserve"> Britt</w:t>
      </w:r>
      <w:r w:rsidR="002F36A1" w:rsidRPr="002F36A1">
        <w:rPr>
          <w:i/>
        </w:rPr>
        <w:t>onum</w:t>
      </w:r>
      <w:r w:rsidR="002F36A1">
        <w:t xml:space="preserve"> </w:t>
      </w:r>
      <w:r>
        <w:t>said about</w:t>
      </w:r>
      <w:r w:rsidR="00376B9B">
        <w:t xml:space="preserve"> Germanus … and </w:t>
      </w:r>
      <w:r>
        <w:t xml:space="preserve">Arthur, and why he said it, </w:t>
      </w:r>
    </w:p>
    <w:p w14:paraId="105B650C" w14:textId="5D8E41B3" w:rsidR="00B70346" w:rsidRPr="00CE1745" w:rsidRDefault="00DF5235">
      <w:pPr>
        <w:rPr>
          <w:i/>
        </w:rPr>
      </w:pPr>
      <w:r>
        <w:t>not whether his statements about such personages</w:t>
      </w:r>
      <w:r w:rsidR="00A26DF7">
        <w:t xml:space="preserve"> have any value as evidence for their careers’</w:t>
      </w:r>
      <w:r w:rsidR="008B6B38">
        <w:rPr>
          <w:rStyle w:val="EndnoteReference"/>
        </w:rPr>
        <w:endnoteReference w:id="66"/>
      </w:r>
      <w:r w:rsidR="00AD630F">
        <w:t xml:space="preserve">. </w:t>
      </w:r>
    </w:p>
    <w:p w14:paraId="696B7910" w14:textId="5B104B47" w:rsidR="00376B9B" w:rsidRDefault="00376B9B"/>
    <w:p w14:paraId="56A2C78C" w14:textId="77777777" w:rsidR="00376B9B" w:rsidRDefault="00376B9B">
      <w:r>
        <w:t xml:space="preserve">Some, primarily Celticists, such as Thomas Charles-Edwards, offered some mild resistance to </w:t>
      </w:r>
    </w:p>
    <w:p w14:paraId="051EE299" w14:textId="77777777" w:rsidR="00376B9B" w:rsidRDefault="00376B9B">
      <w:r>
        <w:lastRenderedPageBreak/>
        <w:t xml:space="preserve">Dumville’s onslaught, suggesting that he was too sceptical of the </w:t>
      </w:r>
      <w:r w:rsidRPr="00376B9B">
        <w:rPr>
          <w:i/>
        </w:rPr>
        <w:t>HB</w:t>
      </w:r>
      <w:r>
        <w:t xml:space="preserve"> in particular. Whilst accepting </w:t>
      </w:r>
    </w:p>
    <w:p w14:paraId="237F863D" w14:textId="77777777" w:rsidR="00CE1745" w:rsidRDefault="00376B9B">
      <w:r>
        <w:t xml:space="preserve">that the </w:t>
      </w:r>
      <w:r w:rsidRPr="00376B9B">
        <w:rPr>
          <w:i/>
        </w:rPr>
        <w:t>HB</w:t>
      </w:r>
      <w:r>
        <w:t xml:space="preserve"> ‘contains elements comparable to Irish synthetic history</w:t>
      </w:r>
      <w:r w:rsidR="00CE1745">
        <w:t>’</w:t>
      </w:r>
      <w:r>
        <w:t xml:space="preserve">, suggesting that the </w:t>
      </w:r>
      <w:r w:rsidRPr="00376B9B">
        <w:rPr>
          <w:b/>
        </w:rPr>
        <w:t>whole</w:t>
      </w:r>
      <w:r>
        <w:t xml:space="preserve"> </w:t>
      </w:r>
    </w:p>
    <w:p w14:paraId="3AAA3615" w14:textId="77777777" w:rsidR="00CE1745" w:rsidRDefault="00376B9B">
      <w:r>
        <w:t xml:space="preserve">work was one of synthetic history, and therefore of no value to the historian at all, ‘is another </w:t>
      </w:r>
    </w:p>
    <w:p w14:paraId="72F8C494" w14:textId="77777777" w:rsidR="00CE1745" w:rsidRDefault="00376B9B">
      <w:r>
        <w:t>matter’</w:t>
      </w:r>
      <w:r w:rsidR="008B6B38">
        <w:rPr>
          <w:rStyle w:val="EndnoteReference"/>
        </w:rPr>
        <w:endnoteReference w:id="67"/>
      </w:r>
      <w:r>
        <w:t xml:space="preserve">. Charles-Edwards argued that it was more a work of ‘synchronistic’ history, drawing </w:t>
      </w:r>
    </w:p>
    <w:p w14:paraId="759A79D4" w14:textId="77777777" w:rsidR="00CE1745" w:rsidRDefault="00376B9B">
      <w:r>
        <w:t xml:space="preserve">together the </w:t>
      </w:r>
      <w:r w:rsidRPr="00376B9B">
        <w:rPr>
          <w:i/>
        </w:rPr>
        <w:t xml:space="preserve">historia gentis </w:t>
      </w:r>
      <w:r w:rsidR="0038457E" w:rsidRPr="0038457E">
        <w:t>(history of a people)</w:t>
      </w:r>
      <w:r w:rsidR="0038457E">
        <w:rPr>
          <w:i/>
        </w:rPr>
        <w:t xml:space="preserve"> </w:t>
      </w:r>
      <w:r w:rsidRPr="00376B9B">
        <w:t xml:space="preserve">tradition </w:t>
      </w:r>
      <w:r>
        <w:t xml:space="preserve">of Jordane’s </w:t>
      </w:r>
      <w:r w:rsidRPr="0038457E">
        <w:rPr>
          <w:i/>
        </w:rPr>
        <w:t>Historia Gothorum</w:t>
      </w:r>
      <w:r>
        <w:t xml:space="preserve"> and Paul </w:t>
      </w:r>
    </w:p>
    <w:p w14:paraId="20C1DC8C" w14:textId="77777777" w:rsidR="00CE1745" w:rsidRDefault="00376B9B">
      <w:r>
        <w:t xml:space="preserve">the Deacon’s </w:t>
      </w:r>
      <w:r w:rsidRPr="0038457E">
        <w:rPr>
          <w:i/>
        </w:rPr>
        <w:t>Historia Langoba</w:t>
      </w:r>
      <w:r w:rsidR="0038457E">
        <w:rPr>
          <w:i/>
        </w:rPr>
        <w:t>r</w:t>
      </w:r>
      <w:r w:rsidRPr="0038457E">
        <w:rPr>
          <w:i/>
        </w:rPr>
        <w:t xml:space="preserve">dorum </w:t>
      </w:r>
      <w:r w:rsidR="0038457E" w:rsidRPr="0038457E">
        <w:t>with the</w:t>
      </w:r>
      <w:r w:rsidR="0038457E">
        <w:t xml:space="preserve"> tradition of </w:t>
      </w:r>
      <w:r w:rsidR="0038457E" w:rsidRPr="0038457E">
        <w:rPr>
          <w:i/>
        </w:rPr>
        <w:t>historia ecclestiastica</w:t>
      </w:r>
      <w:r w:rsidR="0038457E">
        <w:rPr>
          <w:i/>
        </w:rPr>
        <w:t xml:space="preserve"> </w:t>
      </w:r>
      <w:r w:rsidR="0038457E" w:rsidRPr="0038457E">
        <w:t xml:space="preserve">(Church history), as </w:t>
      </w:r>
    </w:p>
    <w:p w14:paraId="3283E497" w14:textId="77777777" w:rsidR="00CE1745" w:rsidRDefault="0038457E" w:rsidP="0038457E">
      <w:r w:rsidRPr="0038457E">
        <w:t>exemplified by Gregory of Tours and Bede</w:t>
      </w:r>
      <w:r w:rsidR="000927F9">
        <w:t xml:space="preserve">. Therefore, </w:t>
      </w:r>
      <w:r>
        <w:t xml:space="preserve">‘If such history is unhistorical’, he concludes, </w:t>
      </w:r>
    </w:p>
    <w:p w14:paraId="071EA269" w14:textId="77777777" w:rsidR="00CE1745" w:rsidRDefault="0038457E" w:rsidP="0038457E">
      <w:r>
        <w:t>‘so also are all the major histories of the early Middle Ages’</w:t>
      </w:r>
      <w:r w:rsidR="008B6B38">
        <w:rPr>
          <w:rStyle w:val="EndnoteReference"/>
        </w:rPr>
        <w:endnoteReference w:id="68"/>
      </w:r>
      <w:r>
        <w:t xml:space="preserve">. However, for most historians, </w:t>
      </w:r>
    </w:p>
    <w:p w14:paraId="0C179996" w14:textId="77777777" w:rsidR="00CE1745" w:rsidRDefault="0038457E" w:rsidP="0038457E">
      <w:r>
        <w:t xml:space="preserve">Dumville’s </w:t>
      </w:r>
      <w:r w:rsidR="000927F9">
        <w:t xml:space="preserve"> </w:t>
      </w:r>
      <w:r>
        <w:t xml:space="preserve">scepticism prevailed and ‘in practice, most, if not all, of the academic community prefer </w:t>
      </w:r>
    </w:p>
    <w:p w14:paraId="6CD057D8" w14:textId="77777777" w:rsidR="00CE1745" w:rsidRDefault="0038457E" w:rsidP="0038457E">
      <w:r>
        <w:t xml:space="preserve">to explore the so-called </w:t>
      </w:r>
      <w:r w:rsidR="00006BA5">
        <w:t>“</w:t>
      </w:r>
      <w:r>
        <w:t>Arthurian</w:t>
      </w:r>
      <w:r w:rsidR="00006BA5">
        <w:t>”</w:t>
      </w:r>
      <w:r>
        <w:t xml:space="preserve"> texts of the central Middle Ages within a contemporary </w:t>
      </w:r>
    </w:p>
    <w:p w14:paraId="1B24D549" w14:textId="0FC6D928" w:rsidR="00376B9B" w:rsidRDefault="0038457E" w:rsidP="0038457E">
      <w:r>
        <w:t>intellectual, political and cultural context, r</w:t>
      </w:r>
      <w:r w:rsidR="00006BA5">
        <w:t>a</w:t>
      </w:r>
      <w:r>
        <w:t xml:space="preserve">ther than as a quarry for </w:t>
      </w:r>
      <w:r w:rsidR="00006BA5">
        <w:t>“</w:t>
      </w:r>
      <w:r>
        <w:t>Dark Age facts</w:t>
      </w:r>
      <w:r w:rsidR="00006BA5">
        <w:t>”’</w:t>
      </w:r>
      <w:r w:rsidR="008B6B38">
        <w:rPr>
          <w:rStyle w:val="EndnoteReference"/>
        </w:rPr>
        <w:endnoteReference w:id="69"/>
      </w:r>
      <w:r w:rsidR="00006BA5">
        <w:t>.</w:t>
      </w:r>
    </w:p>
    <w:p w14:paraId="21F5160F" w14:textId="77777777" w:rsidR="000927F9" w:rsidRDefault="000927F9" w:rsidP="0038457E"/>
    <w:p w14:paraId="0B5DF896" w14:textId="77777777" w:rsidR="00AD5D5D" w:rsidRDefault="000927F9" w:rsidP="0038457E">
      <w:r>
        <w:t xml:space="preserve">However, it was Dumville’s comparison with the Fionn </w:t>
      </w:r>
      <w:r w:rsidR="00AD5D5D">
        <w:t xml:space="preserve">MacCumhaill </w:t>
      </w:r>
      <w:r>
        <w:t xml:space="preserve">tradition in Irish literature that </w:t>
      </w:r>
    </w:p>
    <w:p w14:paraId="32C928A5" w14:textId="77777777" w:rsidR="00AD5D5D" w:rsidRDefault="000927F9" w:rsidP="0038457E">
      <w:r>
        <w:t>led to the most innovative assess</w:t>
      </w:r>
      <w:r w:rsidR="00AD5D5D">
        <w:t xml:space="preserve">ment of </w:t>
      </w:r>
      <w:r>
        <w:t xml:space="preserve">the historical Arthur. Building on that comparison along </w:t>
      </w:r>
    </w:p>
    <w:p w14:paraId="19A2AAFD" w14:textId="419658A4" w:rsidR="00AD5D5D" w:rsidRDefault="000927F9" w:rsidP="0038457E">
      <w:r>
        <w:t>with Jones’ observations and ‘Charles-Edwards’s perceptive analysis’</w:t>
      </w:r>
      <w:r w:rsidR="008B6B38">
        <w:rPr>
          <w:rStyle w:val="EndnoteReference"/>
        </w:rPr>
        <w:endnoteReference w:id="70"/>
      </w:r>
      <w:r>
        <w:t>,</w:t>
      </w:r>
      <w:r w:rsidR="00C2233E">
        <w:t xml:space="preserve"> </w:t>
      </w:r>
      <w:r w:rsidR="003F2943">
        <w:t xml:space="preserve">Oliver Padel </w:t>
      </w:r>
      <w:r>
        <w:t xml:space="preserve">came to the </w:t>
      </w:r>
    </w:p>
    <w:p w14:paraId="4E810E60" w14:textId="77777777" w:rsidR="00AD5D5D" w:rsidRDefault="000927F9" w:rsidP="000927F9">
      <w:r>
        <w:t xml:space="preserve">opposite conclusion to Jones; </w:t>
      </w:r>
      <w:r w:rsidR="003F2943">
        <w:t xml:space="preserve">that </w:t>
      </w:r>
      <w:r>
        <w:t xml:space="preserve">‘the legendary Arthur is the original one, and the historical </w:t>
      </w:r>
    </w:p>
    <w:p w14:paraId="21FF515A" w14:textId="430F0FEB" w:rsidR="00AD5D5D" w:rsidRDefault="000927F9" w:rsidP="0038457E">
      <w:r>
        <w:t>aspects are the accretion’</w:t>
      </w:r>
      <w:r w:rsidR="008B6B38">
        <w:rPr>
          <w:rStyle w:val="EndnoteReference"/>
        </w:rPr>
        <w:endnoteReference w:id="71"/>
      </w:r>
      <w:r w:rsidR="00E064EF">
        <w:t xml:space="preserve">. The </w:t>
      </w:r>
      <w:r w:rsidR="00FB1640">
        <w:t xml:space="preserve">same </w:t>
      </w:r>
      <w:r w:rsidR="00E064EF">
        <w:t xml:space="preserve">methods </w:t>
      </w:r>
      <w:r w:rsidR="00FB1640">
        <w:t xml:space="preserve">‘in which the legendary Fionn was historicized in </w:t>
      </w:r>
    </w:p>
    <w:p w14:paraId="74955A48" w14:textId="77777777" w:rsidR="00AD5D5D" w:rsidRDefault="00FB1640" w:rsidP="0038457E">
      <w:r>
        <w:t xml:space="preserve">Irish literary tradition’, by ‘entering his death in Annals… [and] making him fight Ireland’s most </w:t>
      </w:r>
    </w:p>
    <w:p w14:paraId="362DD7A5" w14:textId="77777777" w:rsidR="009645FB" w:rsidRDefault="00FB1640" w:rsidP="0038457E">
      <w:r>
        <w:t>threatening invaders’</w:t>
      </w:r>
      <w:r w:rsidR="008B6B38">
        <w:rPr>
          <w:rStyle w:val="EndnoteReference"/>
        </w:rPr>
        <w:endnoteReference w:id="72"/>
      </w:r>
      <w:r w:rsidR="009645FB">
        <w:t xml:space="preserve">, </w:t>
      </w:r>
      <w:r>
        <w:t>were applied</w:t>
      </w:r>
      <w:r w:rsidR="00E064EF">
        <w:t xml:space="preserve">, Padel suggested, </w:t>
      </w:r>
      <w:r>
        <w:t>to Arthur as well</w:t>
      </w:r>
      <w:r w:rsidR="00E064EF">
        <w:t>; i</w:t>
      </w:r>
      <w:r>
        <w:t>ndeed,</w:t>
      </w:r>
      <w:r w:rsidR="00C2233E">
        <w:t xml:space="preserve"> this was part of </w:t>
      </w:r>
    </w:p>
    <w:p w14:paraId="33FD739B" w14:textId="17B6A26C" w:rsidR="00E064EF" w:rsidRDefault="00FB1640" w:rsidP="0038457E">
      <w:r>
        <w:t xml:space="preserve">‘the process of historicizing legends </w:t>
      </w:r>
      <w:r w:rsidR="00C2233E">
        <w:t xml:space="preserve">[which] </w:t>
      </w:r>
      <w:r>
        <w:t xml:space="preserve">was a widespread feature of Celtic literary activity in the </w:t>
      </w:r>
    </w:p>
    <w:p w14:paraId="0DB9A541" w14:textId="1A7A5FFB" w:rsidR="00E064EF" w:rsidRDefault="00FB1640" w:rsidP="0038457E">
      <w:r>
        <w:t>Middle Ages’</w:t>
      </w:r>
      <w:r w:rsidR="008B6B38">
        <w:rPr>
          <w:rStyle w:val="EndnoteReference"/>
        </w:rPr>
        <w:endnoteReference w:id="73"/>
      </w:r>
      <w:r>
        <w:t>.</w:t>
      </w:r>
      <w:r w:rsidR="00C2233E">
        <w:t xml:space="preserve"> </w:t>
      </w:r>
      <w:r w:rsidR="00AD5D5D">
        <w:t xml:space="preserve">Through close analysis of pre-Galfridian Welsh literature </w:t>
      </w:r>
      <w:r w:rsidR="00A86FDE">
        <w:t xml:space="preserve">and Arthur-related folk tales </w:t>
      </w:r>
    </w:p>
    <w:p w14:paraId="51573820" w14:textId="77777777" w:rsidR="00E064EF" w:rsidRDefault="00A86FDE" w:rsidP="0038457E">
      <w:r>
        <w:t>from Cornwall and Brittany, he</w:t>
      </w:r>
      <w:r w:rsidR="00FB1640">
        <w:t xml:space="preserve"> suggested that this legendary figure may have long pre-dated the </w:t>
      </w:r>
    </w:p>
    <w:p w14:paraId="0456C375" w14:textId="77777777" w:rsidR="006746C6" w:rsidRDefault="00FB1640" w:rsidP="0038457E">
      <w:r>
        <w:t>post-Ro</w:t>
      </w:r>
      <w:r w:rsidR="000A57D9">
        <w:t>m</w:t>
      </w:r>
      <w:r>
        <w:t xml:space="preserve">an period in folklore as a ‘pan-Brittonic hero’, who was regarded as superhuman, perhaps </w:t>
      </w:r>
    </w:p>
    <w:p w14:paraId="371BA95B" w14:textId="77777777" w:rsidR="006746C6" w:rsidRDefault="00FB1640" w:rsidP="0038457E">
      <w:r>
        <w:t xml:space="preserve">with the qualities of a giant, perhaps associated with characters like Bendigeidfran, who eventually </w:t>
      </w:r>
    </w:p>
    <w:p w14:paraId="32D962D3" w14:textId="0F232FF3" w:rsidR="00392739" w:rsidRDefault="00FB1640" w:rsidP="0038457E">
      <w:r>
        <w:t>ma</w:t>
      </w:r>
      <w:r w:rsidR="009645FB">
        <w:t>d</w:t>
      </w:r>
      <w:r>
        <w:t xml:space="preserve">e their way into the stories known as </w:t>
      </w:r>
      <w:r w:rsidRPr="00FB1640">
        <w:rPr>
          <w:i/>
        </w:rPr>
        <w:t>The Mabinog</w:t>
      </w:r>
      <w:r w:rsidR="00DF61C5">
        <w:rPr>
          <w:i/>
        </w:rPr>
        <w:t>ion</w:t>
      </w:r>
      <w:r w:rsidR="008B6B38">
        <w:rPr>
          <w:rStyle w:val="EndnoteReference"/>
          <w:i/>
        </w:rPr>
        <w:endnoteReference w:id="74"/>
      </w:r>
      <w:r w:rsidR="00392739">
        <w:t xml:space="preserve">. These </w:t>
      </w:r>
      <w:r w:rsidR="0054182B">
        <w:t xml:space="preserve">points </w:t>
      </w:r>
      <w:r w:rsidR="00392739">
        <w:t xml:space="preserve">were </w:t>
      </w:r>
      <w:r w:rsidR="0054182B">
        <w:t xml:space="preserve">later developed by </w:t>
      </w:r>
    </w:p>
    <w:p w14:paraId="36F4FE44" w14:textId="77777777" w:rsidR="00392739" w:rsidRDefault="0054182B" w:rsidP="00392739">
      <w:r>
        <w:t xml:space="preserve">Thomas </w:t>
      </w:r>
      <w:r w:rsidRPr="003303DF">
        <w:t>Green</w:t>
      </w:r>
      <w:r w:rsidR="00DF61C5" w:rsidRPr="003303DF">
        <w:t xml:space="preserve">  in </w:t>
      </w:r>
      <w:r w:rsidR="00DF61C5" w:rsidRPr="003303DF">
        <w:rPr>
          <w:i/>
        </w:rPr>
        <w:t>Concepts of Arthur</w:t>
      </w:r>
      <w:r w:rsidR="00DF61C5" w:rsidRPr="003303DF">
        <w:t xml:space="preserve"> (2007)</w:t>
      </w:r>
      <w:r w:rsidR="00826956" w:rsidRPr="003303DF">
        <w:t xml:space="preserve">, returning Arthur to a ‘mythical prototype’ as advocated </w:t>
      </w:r>
    </w:p>
    <w:p w14:paraId="3EA8721B" w14:textId="77777777" w:rsidR="00392739" w:rsidRDefault="00826956" w:rsidP="00392739">
      <w:r w:rsidRPr="003303DF">
        <w:t xml:space="preserve">by Sir John Rhys in 1891, concluding that Arthur </w:t>
      </w:r>
      <w:r w:rsidR="00392739">
        <w:t xml:space="preserve">was </w:t>
      </w:r>
      <w:r w:rsidRPr="003303DF">
        <w:t xml:space="preserve">‘a folkloric, mythical and legendary character </w:t>
      </w:r>
    </w:p>
    <w:p w14:paraId="7852B884" w14:textId="5F2E4352" w:rsidR="00392739" w:rsidRDefault="00826956" w:rsidP="00392739">
      <w:r w:rsidRPr="003303DF">
        <w:t xml:space="preserve">who was probably historicized by </w:t>
      </w:r>
      <w:r w:rsidR="003303DF" w:rsidRPr="003303DF">
        <w:t xml:space="preserve">the author of the </w:t>
      </w:r>
      <w:r w:rsidR="003303DF" w:rsidRPr="009645FB">
        <w:rPr>
          <w:i/>
        </w:rPr>
        <w:t>Historia Brittonum</w:t>
      </w:r>
      <w:r w:rsidR="003303DF" w:rsidRPr="003303DF">
        <w:t xml:space="preserve"> in the ninth century’</w:t>
      </w:r>
      <w:r w:rsidR="003303DF" w:rsidRPr="003303DF">
        <w:rPr>
          <w:rStyle w:val="EndnoteReference"/>
        </w:rPr>
        <w:endnoteReference w:id="75"/>
      </w:r>
      <w:r w:rsidR="003303DF">
        <w:t xml:space="preserve">. </w:t>
      </w:r>
      <w:r w:rsidR="00FB1640" w:rsidRPr="003303DF">
        <w:t xml:space="preserve">Padel </w:t>
      </w:r>
    </w:p>
    <w:p w14:paraId="54B87F5B" w14:textId="4E3AE31F" w:rsidR="00392739" w:rsidRDefault="00FB1640" w:rsidP="00392739">
      <w:r w:rsidRPr="003303DF">
        <w:t>argue</w:t>
      </w:r>
      <w:r w:rsidR="00392739">
        <w:t xml:space="preserve">d </w:t>
      </w:r>
      <w:r w:rsidR="003303DF" w:rsidRPr="003303DF">
        <w:t xml:space="preserve">that </w:t>
      </w:r>
      <w:r w:rsidR="003135EB" w:rsidRPr="003303DF">
        <w:t xml:space="preserve">‘the historicizing would probably have been a gradual process, and it will be a matter of </w:t>
      </w:r>
    </w:p>
    <w:p w14:paraId="554EE8CD" w14:textId="77777777" w:rsidR="00392739" w:rsidRDefault="003135EB" w:rsidP="00392739">
      <w:r w:rsidRPr="003303DF">
        <w:t xml:space="preserve">opinion which part of it is likely to have come first, whether the battles attributed to him [i.e. </w:t>
      </w:r>
      <w:r w:rsidRPr="003303DF">
        <w:rPr>
          <w:i/>
        </w:rPr>
        <w:t>HB</w:t>
      </w:r>
      <w:r w:rsidRPr="003303DF">
        <w:t xml:space="preserve"> </w:t>
      </w:r>
    </w:p>
    <w:p w14:paraId="73F7BC5C" w14:textId="77777777" w:rsidR="00392739" w:rsidRDefault="003135EB" w:rsidP="00392739">
      <w:r w:rsidRPr="003303DF">
        <w:t>chapter 56] or a story about this death’</w:t>
      </w:r>
      <w:r w:rsidR="008B6B38" w:rsidRPr="003303DF">
        <w:rPr>
          <w:rStyle w:val="EndnoteReference"/>
        </w:rPr>
        <w:endnoteReference w:id="76"/>
      </w:r>
      <w:r w:rsidRPr="003303DF">
        <w:t xml:space="preserve"> [i.e. Camlann in the </w:t>
      </w:r>
      <w:r w:rsidRPr="003303DF">
        <w:rPr>
          <w:i/>
        </w:rPr>
        <w:t>AC</w:t>
      </w:r>
      <w:r w:rsidRPr="003303DF">
        <w:t xml:space="preserve">]. In essence, the process was much </w:t>
      </w:r>
    </w:p>
    <w:p w14:paraId="328033AC" w14:textId="77777777" w:rsidR="00392739" w:rsidRDefault="003135EB" w:rsidP="00392739">
      <w:r w:rsidRPr="003303DF">
        <w:lastRenderedPageBreak/>
        <w:t xml:space="preserve">the same as Jones had outlined thirty years earlier, except in reverse, rather than the historical </w:t>
      </w:r>
    </w:p>
    <w:p w14:paraId="745E8911" w14:textId="77777777" w:rsidR="00392739" w:rsidRDefault="003135EB" w:rsidP="00392739">
      <w:pPr>
        <w:rPr>
          <w:i/>
        </w:rPr>
      </w:pPr>
      <w:r w:rsidRPr="003303DF">
        <w:t>becoming legendary, the legend had been historicized</w:t>
      </w:r>
      <w:r w:rsidR="00B50BD1" w:rsidRPr="003303DF">
        <w:t xml:space="preserve">, or as John Ford’s newspaper editor in </w:t>
      </w:r>
      <w:r w:rsidR="00B50BD1" w:rsidRPr="003303DF">
        <w:rPr>
          <w:i/>
        </w:rPr>
        <w:t xml:space="preserve">The </w:t>
      </w:r>
    </w:p>
    <w:p w14:paraId="071F18DA" w14:textId="69BD429D" w:rsidR="00C2233E" w:rsidRPr="003303DF" w:rsidRDefault="00B50BD1" w:rsidP="00392739">
      <w:r w:rsidRPr="003303DF">
        <w:rPr>
          <w:i/>
        </w:rPr>
        <w:t>Man Who Shot Liberty Valance</w:t>
      </w:r>
      <w:r w:rsidRPr="003303DF">
        <w:t xml:space="preserve"> put it,’ When the legend becomes fact, print the legend’</w:t>
      </w:r>
      <w:r w:rsidR="008B6B38" w:rsidRPr="003303DF">
        <w:rPr>
          <w:rStyle w:val="EndnoteReference"/>
        </w:rPr>
        <w:endnoteReference w:id="77"/>
      </w:r>
      <w:r w:rsidRPr="003303DF">
        <w:t>.</w:t>
      </w:r>
    </w:p>
    <w:p w14:paraId="451271EF" w14:textId="77777777" w:rsidR="0054182B" w:rsidRDefault="0054182B" w:rsidP="0038457E"/>
    <w:p w14:paraId="44E7EE96" w14:textId="77777777" w:rsidR="003303DF" w:rsidRDefault="0054182B" w:rsidP="0038457E">
      <w:r>
        <w:t xml:space="preserve">The weakness of the argument here, though, </w:t>
      </w:r>
      <w:r w:rsidR="003303DF">
        <w:t xml:space="preserve">especially in the more developed form of Green, </w:t>
      </w:r>
      <w:r>
        <w:t xml:space="preserve">is the </w:t>
      </w:r>
    </w:p>
    <w:p w14:paraId="556FDA21" w14:textId="77777777" w:rsidR="00827734" w:rsidRDefault="0054182B" w:rsidP="0038457E">
      <w:r>
        <w:t xml:space="preserve">same as </w:t>
      </w:r>
      <w:r w:rsidR="00827734">
        <w:t xml:space="preserve">dealing with </w:t>
      </w:r>
      <w:r>
        <w:t xml:space="preserve">the historical Arthur; there is no extant documentary evidence that can be </w:t>
      </w:r>
    </w:p>
    <w:p w14:paraId="7D7C4630" w14:textId="77777777" w:rsidR="00827734" w:rsidRDefault="0054182B" w:rsidP="0038457E">
      <w:r>
        <w:t>used to prove it</w:t>
      </w:r>
      <w:r w:rsidR="00392739">
        <w:t xml:space="preserve"> (which Padel largely accepts</w:t>
      </w:r>
      <w:r w:rsidR="00392739">
        <w:rPr>
          <w:rStyle w:val="EndnoteReference"/>
        </w:rPr>
        <w:endnoteReference w:id="78"/>
      </w:r>
      <w:r w:rsidR="00392739">
        <w:t>).</w:t>
      </w:r>
      <w:r>
        <w:t xml:space="preserve"> There may have been folk tales about the giant </w:t>
      </w:r>
    </w:p>
    <w:p w14:paraId="3C0384C2" w14:textId="77777777" w:rsidR="00827734" w:rsidRDefault="0054182B" w:rsidP="0038457E">
      <w:r>
        <w:t xml:space="preserve">Arthur pre-dating the sixth </w:t>
      </w:r>
      <w:r w:rsidR="00DE54EF">
        <w:t>c</w:t>
      </w:r>
      <w:r>
        <w:t>entury</w:t>
      </w:r>
      <w:r w:rsidR="003303DF">
        <w:t xml:space="preserve"> (just as there may have been battle-praise poems to an historical </w:t>
      </w:r>
    </w:p>
    <w:p w14:paraId="736D959C" w14:textId="77777777" w:rsidR="00827734" w:rsidRDefault="003303DF" w:rsidP="0038457E">
      <w:r>
        <w:t xml:space="preserve">Arthur), </w:t>
      </w:r>
      <w:r w:rsidR="0054182B">
        <w:t xml:space="preserve">but ‘In arguing for a wholly mythic Arthur, Green doesn’t provide evidence for a divine being </w:t>
      </w:r>
    </w:p>
    <w:p w14:paraId="3FFBD3A2" w14:textId="77777777" w:rsidR="00827734" w:rsidRDefault="0054182B" w:rsidP="0038457E">
      <w:r>
        <w:t xml:space="preserve">who is venerated prior to the sixth century. Surely such a pre-existing divinity, with the name of </w:t>
      </w:r>
    </w:p>
    <w:p w14:paraId="1092922C" w14:textId="39F2325A" w:rsidR="00827734" w:rsidRDefault="00827734" w:rsidP="0038457E">
      <w:r>
        <w:t>Arthur,</w:t>
      </w:r>
      <w:r w:rsidR="0054182B">
        <w:t xml:space="preserve"> would appear commemorated somewhere upon a Romano-British inscription or relief?’</w:t>
      </w:r>
      <w:r w:rsidR="008B6B38">
        <w:rPr>
          <w:rStyle w:val="EndnoteReference"/>
        </w:rPr>
        <w:endnoteReference w:id="79"/>
      </w:r>
      <w:r w:rsidR="0054182B">
        <w:t xml:space="preserve">. </w:t>
      </w:r>
    </w:p>
    <w:p w14:paraId="67B57164" w14:textId="3420A819" w:rsidR="00827734" w:rsidRDefault="0054182B" w:rsidP="0038457E">
      <w:pPr>
        <w:rPr>
          <w:i/>
        </w:rPr>
      </w:pPr>
      <w:r>
        <w:t>Another review comment</w:t>
      </w:r>
      <w:r w:rsidR="0020574C">
        <w:t>ed</w:t>
      </w:r>
      <w:r>
        <w:t xml:space="preserve"> on Green’s ‘highly speculative deductions’</w:t>
      </w:r>
      <w:r w:rsidR="008B6B38">
        <w:rPr>
          <w:rStyle w:val="EndnoteReference"/>
        </w:rPr>
        <w:endnoteReference w:id="80"/>
      </w:r>
      <w:r w:rsidR="009645FB">
        <w:t>:</w:t>
      </w:r>
      <w:r>
        <w:t xml:space="preserve"> perhaps </w:t>
      </w:r>
      <w:r w:rsidRPr="0054182B">
        <w:rPr>
          <w:i/>
        </w:rPr>
        <w:t xml:space="preserve">Concepts of </w:t>
      </w:r>
      <w:r w:rsidR="00827734">
        <w:rPr>
          <w:i/>
        </w:rPr>
        <w:t xml:space="preserve"> </w:t>
      </w:r>
    </w:p>
    <w:p w14:paraId="4F8E5A92" w14:textId="77777777" w:rsidR="00827734" w:rsidRDefault="0054182B" w:rsidP="0038457E">
      <w:r w:rsidRPr="0054182B">
        <w:rPr>
          <w:i/>
        </w:rPr>
        <w:t>Arthur</w:t>
      </w:r>
      <w:r>
        <w:t xml:space="preserve"> will become seen as stretching the mythological case too far beyond the available evidence, </w:t>
      </w:r>
    </w:p>
    <w:p w14:paraId="1873C8F7" w14:textId="4B5D262D" w:rsidR="0054182B" w:rsidRPr="0054182B" w:rsidRDefault="0054182B" w:rsidP="0038457E">
      <w:r>
        <w:t xml:space="preserve">in the same way as </w:t>
      </w:r>
      <w:r w:rsidRPr="0054182B">
        <w:rPr>
          <w:i/>
        </w:rPr>
        <w:t>The Age of Arthur</w:t>
      </w:r>
      <w:r>
        <w:t xml:space="preserve"> was for the historical one. </w:t>
      </w:r>
    </w:p>
    <w:p w14:paraId="2B5E4EA8" w14:textId="77777777" w:rsidR="00C2233E" w:rsidRDefault="00C2233E" w:rsidP="0038457E"/>
    <w:p w14:paraId="7DD039E6" w14:textId="384A37D9" w:rsidR="0054182B" w:rsidRDefault="0054182B" w:rsidP="0038457E">
      <w:r>
        <w:t xml:space="preserve">What is clear is that this </w:t>
      </w:r>
      <w:r w:rsidR="000E35F2">
        <w:t xml:space="preserve">figure captured the imagination of Geoffrey of Monmouth so much that he </w:t>
      </w:r>
    </w:p>
    <w:p w14:paraId="34E2734A" w14:textId="33F612B9" w:rsidR="0054182B" w:rsidRDefault="00C2233E" w:rsidP="0038457E">
      <w:r>
        <w:t>wa</w:t>
      </w:r>
      <w:r w:rsidR="000E35F2">
        <w:t>s given the nickname ‘Geoffrey Arthur’, and in 1138, he produced his version of the story</w:t>
      </w:r>
      <w:r w:rsidR="001932F1">
        <w:t xml:space="preserve"> </w:t>
      </w:r>
      <w:r w:rsidR="000E35F2">
        <w:t xml:space="preserve">as part </w:t>
      </w:r>
    </w:p>
    <w:p w14:paraId="444C8BC4" w14:textId="77777777" w:rsidR="006D4F9F" w:rsidRDefault="000E35F2" w:rsidP="0038457E">
      <w:r>
        <w:t xml:space="preserve">of </w:t>
      </w:r>
      <w:r w:rsidRPr="000E35F2">
        <w:rPr>
          <w:i/>
        </w:rPr>
        <w:t>Historia Regum Brittanniae</w:t>
      </w:r>
      <w:r w:rsidR="006D4F9F">
        <w:t xml:space="preserve">, which constituted ‘the greatest watershed of Arthurian literature, in </w:t>
      </w:r>
    </w:p>
    <w:p w14:paraId="39E72F9B" w14:textId="26400F0A" w:rsidR="00C2233E" w:rsidRDefault="006D4F9F" w:rsidP="0038457E">
      <w:r>
        <w:t>Wales as elsewhere’</w:t>
      </w:r>
      <w:r w:rsidR="00B54FBE">
        <w:rPr>
          <w:rStyle w:val="EndnoteReference"/>
        </w:rPr>
        <w:endnoteReference w:id="81"/>
      </w:r>
      <w:r w:rsidR="00B54FBE">
        <w:t xml:space="preserve">. </w:t>
      </w:r>
      <w:r w:rsidR="00855868">
        <w:t>Based, allegedly, on ‘a certain very ancient book written in the British</w:t>
      </w:r>
      <w:r w:rsidR="00C2233E">
        <w:t xml:space="preserve"> </w:t>
      </w:r>
    </w:p>
    <w:p w14:paraId="668882E2" w14:textId="3A7AD810" w:rsidR="00C2233E" w:rsidRDefault="00855868" w:rsidP="0038457E">
      <w:r>
        <w:t>language’</w:t>
      </w:r>
      <w:r w:rsidR="00B54FBE">
        <w:rPr>
          <w:rStyle w:val="EndnoteReference"/>
        </w:rPr>
        <w:endnoteReference w:id="82"/>
      </w:r>
      <w:r>
        <w:t xml:space="preserve">, Geoffrey brought together the legends associated with Arthur with those attached to </w:t>
      </w:r>
    </w:p>
    <w:p w14:paraId="2B59FA72" w14:textId="77777777" w:rsidR="00C2233E" w:rsidRDefault="00855868" w:rsidP="0038457E">
      <w:r>
        <w:t xml:space="preserve">Merlin (such as those in the </w:t>
      </w:r>
      <w:r w:rsidRPr="004F3C5E">
        <w:rPr>
          <w:i/>
        </w:rPr>
        <w:t>Black Book of Carmarthen</w:t>
      </w:r>
      <w:r>
        <w:t xml:space="preserve"> and chapter 40 of </w:t>
      </w:r>
      <w:r w:rsidRPr="004F3C5E">
        <w:rPr>
          <w:i/>
        </w:rPr>
        <w:t>HB</w:t>
      </w:r>
      <w:r>
        <w:t xml:space="preserve">) and added local folk </w:t>
      </w:r>
    </w:p>
    <w:p w14:paraId="77C6F47E" w14:textId="77777777" w:rsidR="00C2233E" w:rsidRDefault="00855868" w:rsidP="0038457E">
      <w:r>
        <w:t xml:space="preserve">associations of ‘King’ Arthur’s ‘court’ being based at Kelli Wic in Cornwall to provide the essentials of </w:t>
      </w:r>
    </w:p>
    <w:p w14:paraId="37FAEBD4" w14:textId="3035F11E" w:rsidR="00C2233E" w:rsidRDefault="00855868" w:rsidP="0038457E">
      <w:r>
        <w:t xml:space="preserve">a full biography of the ‘king’, from magical conception to indeterminate death, along with the </w:t>
      </w:r>
    </w:p>
    <w:p w14:paraId="069A6E3F" w14:textId="77777777" w:rsidR="00F53E27" w:rsidRDefault="00855868" w:rsidP="0038457E">
      <w:r>
        <w:t>exploits of his various associates. Geoffrey’s text was then built on, embellished and extended</w:t>
      </w:r>
      <w:r w:rsidR="00F53E27">
        <w:t xml:space="preserve">, in all </w:t>
      </w:r>
    </w:p>
    <w:p w14:paraId="46E6FC4E" w14:textId="4F3385A2" w:rsidR="00C2233E" w:rsidRDefault="00F53E27" w:rsidP="0038457E">
      <w:r>
        <w:t>directions</w:t>
      </w:r>
      <w:r>
        <w:t>,</w:t>
      </w:r>
      <w:r w:rsidR="00855868">
        <w:t xml:space="preserve"> like an early </w:t>
      </w:r>
      <w:r w:rsidR="00855868" w:rsidRPr="00C2233E">
        <w:rPr>
          <w:i/>
        </w:rPr>
        <w:t>Marvel</w:t>
      </w:r>
      <w:r w:rsidR="00855868">
        <w:t xml:space="preserve"> franchise,  in a range of languages and contexts by Robert Wade, </w:t>
      </w:r>
    </w:p>
    <w:p w14:paraId="336B3DB5" w14:textId="77777777" w:rsidR="004E6CCB" w:rsidRDefault="00855868" w:rsidP="0038457E">
      <w:r>
        <w:t>Chr</w:t>
      </w:r>
      <m:oMath>
        <m:acc>
          <m:accPr>
            <m:chr m:val="́"/>
            <m:ctrlPr>
              <w:rPr>
                <w:rFonts w:ascii="Cambria Math" w:hAnsi="Cambria Math"/>
              </w:rPr>
            </m:ctrlPr>
          </m:accPr>
          <m:e>
            <m:r>
              <w:rPr>
                <w:rFonts w:ascii="Cambria Math" w:hAnsi="Cambria Math"/>
              </w:rPr>
              <m:t>e</m:t>
            </m:r>
          </m:e>
        </m:acc>
      </m:oMath>
      <w:r>
        <w:t>tien de Troyes, the ‘Gawain’ poet, Sir Thomas M</w:t>
      </w:r>
      <w:r w:rsidR="00C2233E">
        <w:t>a</w:t>
      </w:r>
      <w:r>
        <w:t xml:space="preserve">lory and countless others. The fact that  </w:t>
      </w:r>
    </w:p>
    <w:p w14:paraId="22F6CED3" w14:textId="1B957F15" w:rsidR="004E6CCB" w:rsidRDefault="00855868" w:rsidP="0038457E">
      <w:r>
        <w:t xml:space="preserve">‘Arthur </w:t>
      </w:r>
      <w:r w:rsidR="004E6CCB">
        <w:t xml:space="preserve">is </w:t>
      </w:r>
      <w:r>
        <w:t xml:space="preserve">without </w:t>
      </w:r>
      <w:r w:rsidR="004E6CCB">
        <w:t>a genealogy’</w:t>
      </w:r>
      <w:r w:rsidR="00B54FBE">
        <w:rPr>
          <w:rStyle w:val="EndnoteReference"/>
        </w:rPr>
        <w:endnoteReference w:id="83"/>
      </w:r>
      <w:r>
        <w:t xml:space="preserve"> </w:t>
      </w:r>
      <w:r w:rsidR="00E064EF">
        <w:t xml:space="preserve">with </w:t>
      </w:r>
      <w:r>
        <w:t>no biographical details at all perhaps made this process easier</w:t>
      </w:r>
      <w:r w:rsidR="00804BB3">
        <w:t xml:space="preserve">, </w:t>
      </w:r>
    </w:p>
    <w:p w14:paraId="034341F4" w14:textId="77777777" w:rsidR="004E6CCB" w:rsidRDefault="00804BB3" w:rsidP="0038457E">
      <w:r>
        <w:t xml:space="preserve">but </w:t>
      </w:r>
      <w:r w:rsidR="004F3C5E">
        <w:t xml:space="preserve">there is obviously something more going on here than the convenient use of a </w:t>
      </w:r>
      <w:r w:rsidR="004F3C5E" w:rsidRPr="004F3C5E">
        <w:rPr>
          <w:i/>
        </w:rPr>
        <w:t>tabula rasa</w:t>
      </w:r>
      <w:r w:rsidR="004F3C5E">
        <w:t xml:space="preserve">, not </w:t>
      </w:r>
    </w:p>
    <w:p w14:paraId="4ADFD4ED" w14:textId="77777777" w:rsidR="004E6CCB" w:rsidRDefault="004F3C5E" w:rsidP="0038457E">
      <w:r>
        <w:t>least that there is</w:t>
      </w:r>
      <w:r w:rsidR="00E064EF">
        <w:t xml:space="preserve"> </w:t>
      </w:r>
      <w:r>
        <w:t>a more suitable candidate in Gildas</w:t>
      </w:r>
      <w:r w:rsidR="00A86FDE">
        <w:t>:</w:t>
      </w:r>
      <w:r>
        <w:t xml:space="preserve"> Ambrosius Aurelianus, one of the few </w:t>
      </w:r>
    </w:p>
    <w:p w14:paraId="2DA64939" w14:textId="77777777" w:rsidR="004E6CCB" w:rsidRDefault="004F3C5E" w:rsidP="0038457E">
      <w:r>
        <w:t xml:space="preserve">inhabitants of Britain in this period that the author names. If the ‘legend accruing around the </w:t>
      </w:r>
    </w:p>
    <w:p w14:paraId="6889A293" w14:textId="4B11CACC" w:rsidR="004E6CCB" w:rsidRDefault="004F3C5E" w:rsidP="0038457E">
      <w:r>
        <w:t>historical figure’ school could be characterised by Dumville (and later at greater length by Green</w:t>
      </w:r>
      <w:r w:rsidR="00B54FBE">
        <w:rPr>
          <w:rStyle w:val="EndnoteReference"/>
        </w:rPr>
        <w:endnoteReference w:id="84"/>
      </w:r>
      <w:r>
        <w:t xml:space="preserve">) </w:t>
      </w:r>
    </w:p>
    <w:p w14:paraId="7DF1C76A" w14:textId="77777777" w:rsidR="004E6CCB" w:rsidRDefault="004F3C5E" w:rsidP="0038457E">
      <w:r>
        <w:lastRenderedPageBreak/>
        <w:t xml:space="preserve">as the </w:t>
      </w:r>
      <w:r w:rsidR="001905B0">
        <w:t>“N</w:t>
      </w:r>
      <w:r>
        <w:t>o smoke without fire” tendency</w:t>
      </w:r>
      <w:r w:rsidR="001905B0">
        <w:t xml:space="preserve">, we could perhaps characterise the ‘historicization of the </w:t>
      </w:r>
    </w:p>
    <w:p w14:paraId="2C81DA2F" w14:textId="77777777" w:rsidR="004E6CCB" w:rsidRDefault="001905B0" w:rsidP="0038457E">
      <w:r>
        <w:t>legend’ position as “If he didn’t exist, you’d have to invent him</w:t>
      </w:r>
      <w:r w:rsidR="00C2233E">
        <w:t xml:space="preserve">, </w:t>
      </w:r>
      <w:r>
        <w:t xml:space="preserve">so they did” theory. This is because </w:t>
      </w:r>
    </w:p>
    <w:p w14:paraId="4FEAF1EE" w14:textId="77777777" w:rsidR="004E6CCB" w:rsidRDefault="001905B0" w:rsidP="0038457E">
      <w:r>
        <w:t>the</w:t>
      </w:r>
      <w:r w:rsidR="00E064EF">
        <w:t>re</w:t>
      </w:r>
      <w:r>
        <w:t xml:space="preserve"> are two other</w:t>
      </w:r>
      <w:r w:rsidR="00C2233E">
        <w:t xml:space="preserve"> </w:t>
      </w:r>
      <w:r>
        <w:t xml:space="preserve">important factors in seeking to explain what made Arthur amenable to a range </w:t>
      </w:r>
    </w:p>
    <w:p w14:paraId="40BE3901" w14:textId="5FA6353F" w:rsidR="004E6CCB" w:rsidRDefault="001905B0" w:rsidP="0038457E">
      <w:r>
        <w:t>of literary contexts; that there is an ‘Arthur-shaped hole</w:t>
      </w:r>
      <w:r w:rsidR="00E064EF">
        <w:t>’</w:t>
      </w:r>
      <w:r w:rsidR="00B54FBE">
        <w:rPr>
          <w:rStyle w:val="EndnoteReference"/>
        </w:rPr>
        <w:endnoteReference w:id="85"/>
      </w:r>
      <w:r w:rsidR="00B54FBE">
        <w:t xml:space="preserve"> </w:t>
      </w:r>
      <w:r>
        <w:t xml:space="preserve">in the historical record for someone who </w:t>
      </w:r>
    </w:p>
    <w:p w14:paraId="222A4A72" w14:textId="36C1C780" w:rsidR="004E6CCB" w:rsidRDefault="001905B0" w:rsidP="0038457E">
      <w:r>
        <w:t>performed the functions associated with him, and, secondly, that the figure of Arthur bec</w:t>
      </w:r>
      <w:r w:rsidR="009645FB">
        <w:t>a</w:t>
      </w:r>
      <w:r>
        <w:t xml:space="preserve">me a </w:t>
      </w:r>
    </w:p>
    <w:p w14:paraId="047C8B86" w14:textId="3E05A1E4" w:rsidR="004E6CCB" w:rsidRDefault="001905B0" w:rsidP="0038457E">
      <w:r>
        <w:t>representative of a whole series of views, values and attributes that people want</w:t>
      </w:r>
      <w:r w:rsidR="009645FB">
        <w:t>ed</w:t>
      </w:r>
      <w:r>
        <w:t xml:space="preserve"> to be associated </w:t>
      </w:r>
    </w:p>
    <w:p w14:paraId="6DCB825D" w14:textId="77777777" w:rsidR="004E6CCB" w:rsidRDefault="001905B0" w:rsidP="0038457E">
      <w:r>
        <w:t xml:space="preserve">with, initially linked to Celticity, later with other ideas of the </w:t>
      </w:r>
      <w:r w:rsidRPr="003F77BD">
        <w:rPr>
          <w:i/>
        </w:rPr>
        <w:t>zeitgeist</w:t>
      </w:r>
      <w:r>
        <w:t xml:space="preserve">, such as chivalry and </w:t>
      </w:r>
    </w:p>
    <w:p w14:paraId="0989E427" w14:textId="77777777" w:rsidR="004E6CCB" w:rsidRDefault="001905B0" w:rsidP="0038457E">
      <w:r>
        <w:t>romanticism</w:t>
      </w:r>
      <w:r w:rsidR="003F77BD">
        <w:t xml:space="preserve">, ideas relating to ‘leadership, kingship, empire, nation, social identity, religion, [and] </w:t>
      </w:r>
    </w:p>
    <w:p w14:paraId="0D76FA18" w14:textId="40BE074E" w:rsidR="00FB1640" w:rsidRDefault="003F77BD" w:rsidP="0038457E">
      <w:r>
        <w:t>power’</w:t>
      </w:r>
      <w:r w:rsidR="00B54FBE">
        <w:rPr>
          <w:rStyle w:val="EndnoteReference"/>
        </w:rPr>
        <w:endnoteReference w:id="86"/>
      </w:r>
      <w:r>
        <w:t xml:space="preserve">. </w:t>
      </w:r>
    </w:p>
    <w:p w14:paraId="7B37C194" w14:textId="6EC08B09" w:rsidR="00361403" w:rsidRDefault="00361403" w:rsidP="0038457E"/>
    <w:p w14:paraId="6B1F934C" w14:textId="77777777" w:rsidR="00361403" w:rsidRDefault="00361403" w:rsidP="0038457E">
      <w:r>
        <w:t xml:space="preserve">Most historians, despite the limitations suggested above, would see Gildas’s </w:t>
      </w:r>
      <w:r w:rsidRPr="00361403">
        <w:rPr>
          <w:i/>
        </w:rPr>
        <w:t>De Excidio Brittonum</w:t>
      </w:r>
      <w:r>
        <w:t xml:space="preserve"> as </w:t>
      </w:r>
    </w:p>
    <w:p w14:paraId="33CEC823" w14:textId="77777777" w:rsidR="00361403" w:rsidRDefault="00361403" w:rsidP="0038457E">
      <w:r>
        <w:t xml:space="preserve">the closest thing to a contemporary and reliable source for the period under consideration. His </w:t>
      </w:r>
    </w:p>
    <w:p w14:paraId="43F89563" w14:textId="3B93C080" w:rsidR="00E064EF" w:rsidRDefault="00361403" w:rsidP="0038457E">
      <w:r>
        <w:t xml:space="preserve">overall purpose </w:t>
      </w:r>
      <w:r w:rsidR="00E064EF">
        <w:t>wa</w:t>
      </w:r>
      <w:r>
        <w:t>s not to write a ‘history’</w:t>
      </w:r>
      <w:r w:rsidR="007C7264">
        <w:rPr>
          <w:rStyle w:val="EndnoteReference"/>
        </w:rPr>
        <w:endnoteReference w:id="87"/>
      </w:r>
      <w:r>
        <w:t xml:space="preserve">, but there appears to be general consensus that in </w:t>
      </w:r>
    </w:p>
    <w:p w14:paraId="29975AC6" w14:textId="023F380C" w:rsidR="00BA36AC" w:rsidRDefault="00361403" w:rsidP="0038457E">
      <w:r>
        <w:t xml:space="preserve">writing the section on the History of Britain (chapters 2-26), </w:t>
      </w:r>
      <w:r w:rsidR="007C7264">
        <w:t xml:space="preserve"> </w:t>
      </w:r>
      <w:r>
        <w:t xml:space="preserve">‘Gildas had access to written </w:t>
      </w:r>
    </w:p>
    <w:p w14:paraId="45C09B70" w14:textId="6D2FC4E8" w:rsidR="00BA36AC" w:rsidRDefault="00361403" w:rsidP="0038457E">
      <w:r>
        <w:t>histories of the Roman empire’</w:t>
      </w:r>
      <w:r w:rsidR="00B54FBE">
        <w:rPr>
          <w:rStyle w:val="EndnoteReference"/>
        </w:rPr>
        <w:endnoteReference w:id="88"/>
      </w:r>
      <w:r>
        <w:t xml:space="preserve">, may have had access to some extant documents of the </w:t>
      </w:r>
      <w:r w:rsidR="009645FB">
        <w:t>p</w:t>
      </w:r>
      <w:r>
        <w:t>ost-</w:t>
      </w:r>
    </w:p>
    <w:p w14:paraId="1ACDC95D" w14:textId="21EE2F64" w:rsidR="00BA36AC" w:rsidRDefault="00361403" w:rsidP="0038457E">
      <w:r>
        <w:t>Roman British authorities</w:t>
      </w:r>
      <w:r w:rsidR="00B54FBE">
        <w:rPr>
          <w:rStyle w:val="EndnoteReference"/>
        </w:rPr>
        <w:endnoteReference w:id="89"/>
      </w:r>
      <w:r>
        <w:t xml:space="preserve"> and quite likely had access to individuals who had been involved in the </w:t>
      </w:r>
    </w:p>
    <w:p w14:paraId="1C89E3DF" w14:textId="5F52A876" w:rsidR="00BA36AC" w:rsidRDefault="00361403" w:rsidP="0038457E">
      <w:r>
        <w:t>events themselves (effectively what we would now refer to as oral history sources)</w:t>
      </w:r>
      <w:r w:rsidR="00B54FBE">
        <w:rPr>
          <w:rStyle w:val="EndnoteReference"/>
        </w:rPr>
        <w:endnoteReference w:id="90"/>
      </w:r>
      <w:r>
        <w:t>. Certainly</w:t>
      </w:r>
      <w:r w:rsidR="00A86FDE">
        <w:t>,</w:t>
      </w:r>
      <w:r>
        <w:t xml:space="preserve"> he </w:t>
      </w:r>
    </w:p>
    <w:p w14:paraId="20D790F0" w14:textId="77777777" w:rsidR="00BA36AC" w:rsidRDefault="00361403" w:rsidP="0038457E">
      <w:r>
        <w:t xml:space="preserve">appears to have been writing in a time frame that made the latter two </w:t>
      </w:r>
      <w:r w:rsidR="005F6F39">
        <w:t xml:space="preserve">feasible; Dumville, for </w:t>
      </w:r>
    </w:p>
    <w:p w14:paraId="5304AC47" w14:textId="77777777" w:rsidR="00BA36AC" w:rsidRDefault="005F6F39" w:rsidP="0038457E">
      <w:r>
        <w:t xml:space="preserve">example, is clear that ‘[chapter] 26 tells us that, as Gildas wrote, the forty-fourth year since the </w:t>
      </w:r>
    </w:p>
    <w:p w14:paraId="2D1047C9" w14:textId="1DE5841A" w:rsidR="00BA36AC" w:rsidRDefault="005F6F39" w:rsidP="0038457E">
      <w:r>
        <w:t>battle of Mount Badon was one month old’</w:t>
      </w:r>
      <w:r w:rsidR="00B54FBE">
        <w:rPr>
          <w:rStyle w:val="EndnoteReference"/>
        </w:rPr>
        <w:endnoteReference w:id="91"/>
      </w:r>
      <w:r w:rsidR="00F53E27">
        <w:t>.</w:t>
      </w:r>
      <w:r>
        <w:t xml:space="preserve"> </w:t>
      </w:r>
      <w:r w:rsidR="00F53E27">
        <w:t>M</w:t>
      </w:r>
      <w:r>
        <w:t xml:space="preserve">oreover chapter 25 notes, in relation to Ambrosius </w:t>
      </w:r>
    </w:p>
    <w:p w14:paraId="3D716E06" w14:textId="0909AD0F" w:rsidR="00BA36AC" w:rsidRDefault="005F6F39" w:rsidP="0038457E">
      <w:r>
        <w:t>Aurelianus</w:t>
      </w:r>
      <w:r w:rsidR="00F53E27">
        <w:t>,</w:t>
      </w:r>
      <w:r>
        <w:t xml:space="preserve"> that ‘his descendants in our day have become greatly inferior to their grandfather’s </w:t>
      </w:r>
    </w:p>
    <w:p w14:paraId="3761FDDF" w14:textId="660554CB" w:rsidR="00BA36AC" w:rsidRDefault="005F6F39" w:rsidP="0038457E">
      <w:r>
        <w:t>excellence’</w:t>
      </w:r>
      <w:r w:rsidR="00B54FBE">
        <w:rPr>
          <w:rStyle w:val="EndnoteReference"/>
        </w:rPr>
        <w:endnoteReference w:id="92"/>
      </w:r>
      <w:r>
        <w:t xml:space="preserve">, implying, as Dumville puts it, that ‘the first subsequent generation, and the second, </w:t>
      </w:r>
    </w:p>
    <w:p w14:paraId="7B770049" w14:textId="77777777" w:rsidR="00BA36AC" w:rsidRDefault="005F6F39" w:rsidP="0038457E">
      <w:r>
        <w:t xml:space="preserve">alive now, would hardly had lived so long as to require much more than forty-four years assigned to </w:t>
      </w:r>
    </w:p>
    <w:p w14:paraId="74376010" w14:textId="77777777" w:rsidR="00BA36AC" w:rsidRDefault="005F6F39" w:rsidP="0038457E">
      <w:r>
        <w:t xml:space="preserve">the period since Mount Badon. In sum, if we assign about fifty years to the period from Ambrosius’s </w:t>
      </w:r>
    </w:p>
    <w:p w14:paraId="2B408629" w14:textId="5D5202F3" w:rsidR="00BA36AC" w:rsidRDefault="005F6F39" w:rsidP="0038457E">
      <w:r>
        <w:t>victory to [Gildas’s] present that will not be at all too much’</w:t>
      </w:r>
      <w:r w:rsidR="00B54FBE">
        <w:rPr>
          <w:rStyle w:val="EndnoteReference"/>
        </w:rPr>
        <w:endnoteReference w:id="93"/>
      </w:r>
      <w:r>
        <w:t xml:space="preserve">. </w:t>
      </w:r>
      <w:r w:rsidR="004E1753">
        <w:t xml:space="preserve">Furthermore, even though the details </w:t>
      </w:r>
    </w:p>
    <w:p w14:paraId="099B88DA" w14:textId="77777777" w:rsidR="00BA36AC" w:rsidRDefault="004E1753" w:rsidP="0038457E">
      <w:r>
        <w:t xml:space="preserve">may be hazy, Higham suggests that Gildas had to make the order of events secure, because of ‘the </w:t>
      </w:r>
    </w:p>
    <w:p w14:paraId="1F3CDFC1" w14:textId="4B475CE2" w:rsidR="00BA36AC" w:rsidRDefault="004E1753" w:rsidP="0038457E">
      <w:r>
        <w:t>fact that his audience knew at least as much about it as he did’</w:t>
      </w:r>
      <w:r w:rsidR="00B54FBE">
        <w:rPr>
          <w:rStyle w:val="EndnoteReference"/>
        </w:rPr>
        <w:endnoteReference w:id="94"/>
      </w:r>
      <w:r w:rsidR="00B54FBE">
        <w:t xml:space="preserve">. </w:t>
      </w:r>
      <w:r w:rsidR="00BA36AC">
        <w:t>S</w:t>
      </w:r>
      <w:r>
        <w:t xml:space="preserve">o we can rely on the outline </w:t>
      </w:r>
    </w:p>
    <w:p w14:paraId="36C26398" w14:textId="77777777" w:rsidR="00BA36AC" w:rsidRDefault="004E1753" w:rsidP="0038457E">
      <w:r>
        <w:t xml:space="preserve">narrative of chapters 22-26, and especially on the order of importance that Gildas attaches to the   </w:t>
      </w:r>
    </w:p>
    <w:p w14:paraId="50176A9A" w14:textId="77777777" w:rsidR="00BA36AC" w:rsidRDefault="004E1753" w:rsidP="0038457E">
      <w:r>
        <w:t xml:space="preserve">Battle of Badon, ‘the final victory of our country that has been granted to our times by the will of </w:t>
      </w:r>
    </w:p>
    <w:p w14:paraId="3E8261B6" w14:textId="26495039" w:rsidR="00BA36AC" w:rsidRDefault="004E1753" w:rsidP="0038457E">
      <w:r>
        <w:t>God’</w:t>
      </w:r>
      <w:r w:rsidR="00B54FBE">
        <w:rPr>
          <w:rStyle w:val="EndnoteReference"/>
        </w:rPr>
        <w:endnoteReference w:id="95"/>
      </w:r>
      <w:r w:rsidR="00B54FBE">
        <w:t xml:space="preserve"> </w:t>
      </w:r>
      <w:r>
        <w:t>and its effect of stopping the ‘external wars’</w:t>
      </w:r>
      <w:r w:rsidR="00991346">
        <w:rPr>
          <w:rStyle w:val="EndnoteReference"/>
        </w:rPr>
        <w:endnoteReference w:id="96"/>
      </w:r>
      <w:r>
        <w:t xml:space="preserve">. The date of Badon may still be unclear but </w:t>
      </w:r>
    </w:p>
    <w:p w14:paraId="30FFDC45" w14:textId="06BD9F39" w:rsidR="00BA36AC" w:rsidRDefault="004E1753" w:rsidP="0038457E">
      <w:r>
        <w:t xml:space="preserve">the impact it had in the remaining ‘British zone’ and the veneration that whoever was the leader of   </w:t>
      </w:r>
    </w:p>
    <w:p w14:paraId="6C3BA422" w14:textId="77777777" w:rsidR="00BA36AC" w:rsidRDefault="004E1753" w:rsidP="0038457E">
      <w:r>
        <w:lastRenderedPageBreak/>
        <w:t xml:space="preserve">the Britons would have received, are not. It is surely inconceivable, within the cultural traditions </w:t>
      </w:r>
    </w:p>
    <w:p w14:paraId="3536FABD" w14:textId="0FF393F0" w:rsidR="00BA36AC" w:rsidRDefault="004E1753" w:rsidP="0038457E">
      <w:r>
        <w:t>outlined by Jones and Roberts</w:t>
      </w:r>
      <w:r w:rsidR="00991346">
        <w:rPr>
          <w:rStyle w:val="EndnoteReference"/>
        </w:rPr>
        <w:endnoteReference w:id="97"/>
      </w:r>
      <w:r>
        <w:t xml:space="preserve">, that the Victor of Badon would not have had praise-poems </w:t>
      </w:r>
    </w:p>
    <w:p w14:paraId="20B204A0" w14:textId="77777777" w:rsidR="00BA36AC" w:rsidRDefault="004E1753" w:rsidP="0038457E">
      <w:r>
        <w:t>composed in his honour</w:t>
      </w:r>
      <w:r w:rsidR="00211831">
        <w:t xml:space="preserve">, if not immediately after the battle, then certainly in the (at least) 44 years </w:t>
      </w:r>
    </w:p>
    <w:p w14:paraId="542B2F66" w14:textId="77777777" w:rsidR="006B0451" w:rsidRDefault="00211831" w:rsidP="0038457E">
      <w:r>
        <w:t xml:space="preserve">of ‘Badon peace’ that resulted from it. </w:t>
      </w:r>
      <w:r w:rsidR="00DF61C5">
        <w:t xml:space="preserve">Sims-Williams, for example, accepts that ‘ </w:t>
      </w:r>
      <w:r w:rsidR="006B0451">
        <w:t>ma</w:t>
      </w:r>
      <w:r w:rsidR="00DF61C5">
        <w:t xml:space="preserve">ny </w:t>
      </w:r>
      <w:r w:rsidR="006B0451">
        <w:t>W</w:t>
      </w:r>
      <w:r w:rsidR="00DF61C5">
        <w:t xml:space="preserve">elsh </w:t>
      </w:r>
    </w:p>
    <w:p w14:paraId="18C06FE4" w14:textId="28B746BD" w:rsidR="00BA36AC" w:rsidRDefault="00DF61C5" w:rsidP="0038457E">
      <w:r>
        <w:t>Arthurian poems must have been lost’</w:t>
      </w:r>
      <w:r w:rsidR="00991346">
        <w:rPr>
          <w:rStyle w:val="EndnoteReference"/>
        </w:rPr>
        <w:endnoteReference w:id="98"/>
      </w:r>
      <w:r>
        <w:t>.</w:t>
      </w:r>
      <w:r w:rsidR="006B0451">
        <w:t xml:space="preserve"> </w:t>
      </w:r>
      <w:r w:rsidR="00211831">
        <w:t xml:space="preserve">The ‘Victor of Badon’ may or may not have been named </w:t>
      </w:r>
    </w:p>
    <w:p w14:paraId="3C85696D" w14:textId="77777777" w:rsidR="00BA36AC" w:rsidRDefault="00211831" w:rsidP="001D3DC1">
      <w:r>
        <w:t xml:space="preserve">Arthur, but the reality outlined by Gildas clearly created an ‘Arthur-shaped hole’ that needed to be </w:t>
      </w:r>
    </w:p>
    <w:p w14:paraId="3BF6FF3A" w14:textId="77777777" w:rsidR="00BA36AC" w:rsidRDefault="00211831" w:rsidP="0038457E">
      <w:r>
        <w:t>filled by any</w:t>
      </w:r>
      <w:r w:rsidR="00BA36AC">
        <w:t xml:space="preserve"> ‘responsible historian’ </w:t>
      </w:r>
      <w:r>
        <w:t xml:space="preserve">addressing the history of the Britons in this period. It is also </w:t>
      </w:r>
    </w:p>
    <w:p w14:paraId="3B867F98" w14:textId="77777777" w:rsidR="00BA36AC" w:rsidRDefault="00211831" w:rsidP="0038457E">
      <w:r>
        <w:t xml:space="preserve">entirely plausible that someone responsible for such an historic victory in the battle against the </w:t>
      </w:r>
    </w:p>
    <w:p w14:paraId="38A8A380" w14:textId="77777777" w:rsidR="00BA36AC" w:rsidRDefault="00211831" w:rsidP="0038457E">
      <w:r>
        <w:t xml:space="preserve">Britons’ military, cultural, linguistic and religious enemies which led to a long-term peace (even if it </w:t>
      </w:r>
    </w:p>
    <w:p w14:paraId="4C16216F" w14:textId="77777777" w:rsidR="00BA36AC" w:rsidRDefault="00211831" w:rsidP="0038457E">
      <w:r>
        <w:t xml:space="preserve">later proved illusory) would have been seen as an exceptional individual, around whom, possibly </w:t>
      </w:r>
    </w:p>
    <w:p w14:paraId="0491AB0E" w14:textId="77777777" w:rsidR="00BA36AC" w:rsidRDefault="00211831" w:rsidP="0038457E">
      <w:r>
        <w:t xml:space="preserve">within his own lifetime and </w:t>
      </w:r>
      <w:r w:rsidR="00507B48">
        <w:t xml:space="preserve">certainly, </w:t>
      </w:r>
      <w:r>
        <w:t xml:space="preserve">after his death, stories, myths, legends, boasts, hopes, fears </w:t>
      </w:r>
    </w:p>
    <w:p w14:paraId="6BA2CBBB" w14:textId="23358528" w:rsidR="00361403" w:rsidRDefault="00211831" w:rsidP="0038457E">
      <w:r>
        <w:t>and lessons to be learned</w:t>
      </w:r>
      <w:r w:rsidR="00507B48">
        <w:t xml:space="preserve"> would have grown up</w:t>
      </w:r>
      <w:r w:rsidR="00827734">
        <w:rPr>
          <w:rStyle w:val="EndnoteReference"/>
        </w:rPr>
        <w:endnoteReference w:id="99"/>
      </w:r>
      <w:r w:rsidR="00507B48">
        <w:t xml:space="preserve">. </w:t>
      </w:r>
    </w:p>
    <w:p w14:paraId="29F25593" w14:textId="50C9B833" w:rsidR="00507B48" w:rsidRDefault="00507B48" w:rsidP="0038457E"/>
    <w:p w14:paraId="5599AC66" w14:textId="77777777" w:rsidR="00507B48" w:rsidRDefault="00507B48" w:rsidP="0038457E">
      <w:r>
        <w:t xml:space="preserve">Whether or not the Victor of Badon was called Arthur, that tradition is certainly represented in both </w:t>
      </w:r>
    </w:p>
    <w:p w14:paraId="00BBB8AE" w14:textId="77777777" w:rsidR="009520DF" w:rsidRDefault="00507B48" w:rsidP="0038457E">
      <w:r>
        <w:t xml:space="preserve">chapter 56 and the </w:t>
      </w:r>
      <w:r w:rsidRPr="00507B48">
        <w:rPr>
          <w:i/>
        </w:rPr>
        <w:t>Mirabilia</w:t>
      </w:r>
      <w:r>
        <w:t xml:space="preserve"> of the </w:t>
      </w:r>
      <w:r w:rsidRPr="00507B48">
        <w:rPr>
          <w:i/>
        </w:rPr>
        <w:t>Historia Brittonum</w:t>
      </w:r>
      <w:r>
        <w:t xml:space="preserve">. Whether the author(s) of that work </w:t>
      </w:r>
      <w:r w:rsidR="009520DF">
        <w:t xml:space="preserve"> </w:t>
      </w:r>
    </w:p>
    <w:p w14:paraId="3C04E2C9" w14:textId="6D7A1D1C" w:rsidR="00507B48" w:rsidRDefault="00507B48" w:rsidP="0038457E">
      <w:r>
        <w:t>‘invented’ a fictional character called Arthur, attached the characteristics of a pre-existing pan-</w:t>
      </w:r>
    </w:p>
    <w:p w14:paraId="517DD8B5" w14:textId="77777777" w:rsidR="00507B48" w:rsidRDefault="00507B48" w:rsidP="0038457E">
      <w:r>
        <w:t xml:space="preserve">Brittonic folk-hero to the Victor of Badon or used a barely remembered praise-poem to that Victor </w:t>
      </w:r>
    </w:p>
    <w:p w14:paraId="152F4F7D" w14:textId="77777777" w:rsidR="00A86FDE" w:rsidRDefault="00A86FDE" w:rsidP="0038457E">
      <w:r>
        <w:t>(</w:t>
      </w:r>
      <w:r w:rsidR="00507B48">
        <w:t xml:space="preserve">perhaps written down at a much later date than its oral composition in a garbled or composite </w:t>
      </w:r>
    </w:p>
    <w:p w14:paraId="4B9BA4D9" w14:textId="77777777" w:rsidR="001D3DC1" w:rsidRDefault="00507B48" w:rsidP="0038457E">
      <w:r>
        <w:t>form</w:t>
      </w:r>
      <w:r w:rsidR="00A86FDE">
        <w:t>)</w:t>
      </w:r>
      <w:r>
        <w:t xml:space="preserve"> </w:t>
      </w:r>
      <w:r w:rsidR="00A06309">
        <w:t xml:space="preserve">is impossible to tell. What is clear, however, is that by </w:t>
      </w:r>
      <w:r w:rsidR="001D3DC1">
        <w:t xml:space="preserve">about 830 </w:t>
      </w:r>
      <w:r w:rsidR="00A06309">
        <w:t xml:space="preserve">and most probably before </w:t>
      </w:r>
    </w:p>
    <w:p w14:paraId="48A80113" w14:textId="77777777" w:rsidR="00F35480" w:rsidRDefault="00A06309" w:rsidP="00050036">
      <w:r>
        <w:t>that, the Arthur figure was a</w:t>
      </w:r>
      <w:r w:rsidR="00F35480">
        <w:t xml:space="preserve"> compelling</w:t>
      </w:r>
      <w:r>
        <w:t xml:space="preserve"> one, one </w:t>
      </w:r>
      <w:r w:rsidR="00F35480">
        <w:t xml:space="preserve">so </w:t>
      </w:r>
      <w:r>
        <w:t xml:space="preserve">important as a touchstone and reference point </w:t>
      </w:r>
    </w:p>
    <w:p w14:paraId="48E710D4" w14:textId="77777777" w:rsidR="00F35480" w:rsidRDefault="00A06309" w:rsidP="00050036">
      <w:r>
        <w:t>that it was desirable</w:t>
      </w:r>
      <w:r w:rsidR="00F35480">
        <w:t xml:space="preserve"> </w:t>
      </w:r>
      <w:r>
        <w:t xml:space="preserve">to be associated with. This can be seen in the </w:t>
      </w:r>
      <w:r w:rsidRPr="009B5678">
        <w:rPr>
          <w:i/>
        </w:rPr>
        <w:t>Historia Brittonum</w:t>
      </w:r>
      <w:r>
        <w:t xml:space="preserve">, which it has </w:t>
      </w:r>
    </w:p>
    <w:p w14:paraId="5398BC8A" w14:textId="77777777" w:rsidR="00F35480" w:rsidRDefault="00A06309" w:rsidP="00050036">
      <w:r>
        <w:t xml:space="preserve">been argued </w:t>
      </w:r>
      <w:r w:rsidR="00050036">
        <w:t xml:space="preserve">‘is a post-colonial text, in regard to the aftermath of the Roman Empire. It is also a text </w:t>
      </w:r>
    </w:p>
    <w:p w14:paraId="5298CCEB" w14:textId="77777777" w:rsidR="00F35480" w:rsidRDefault="00050036" w:rsidP="00050036">
      <w:r>
        <w:t xml:space="preserve">developed so as the contest colonialism, written against the threat of renewed Mercian colonisation </w:t>
      </w:r>
    </w:p>
    <w:p w14:paraId="11094BF9" w14:textId="743B0671" w:rsidR="00F35480" w:rsidRDefault="00050036" w:rsidP="00050036">
      <w:r>
        <w:t>of Wales’</w:t>
      </w:r>
      <w:r w:rsidR="00991346">
        <w:rPr>
          <w:rStyle w:val="EndnoteReference"/>
        </w:rPr>
        <w:endnoteReference w:id="100"/>
      </w:r>
      <w:r w:rsidR="00F53E27">
        <w:t xml:space="preserve"> </w:t>
      </w:r>
      <w:r>
        <w:t>under the West Saxon king, Egberht, who had previously led an army into Wales and</w:t>
      </w:r>
      <w:r w:rsidR="004C18E1">
        <w:t xml:space="preserve"> </w:t>
      </w:r>
    </w:p>
    <w:p w14:paraId="4D353DB7" w14:textId="77777777" w:rsidR="009645FB" w:rsidRDefault="004C18E1" w:rsidP="00050036">
      <w:r>
        <w:t>‘reduced them all to humble submission’</w:t>
      </w:r>
      <w:r w:rsidR="00991346">
        <w:rPr>
          <w:rStyle w:val="EndnoteReference"/>
        </w:rPr>
        <w:endnoteReference w:id="101"/>
      </w:r>
      <w:r w:rsidR="009645FB">
        <w:t>.</w:t>
      </w:r>
      <w:r>
        <w:t xml:space="preserve"> It is the ‘author’s dismay at this turn of events’, suggests </w:t>
      </w:r>
    </w:p>
    <w:p w14:paraId="027BB6BE" w14:textId="77777777" w:rsidR="009645FB" w:rsidRDefault="004C18E1" w:rsidP="00050036">
      <w:r>
        <w:t xml:space="preserve">Higham, which ‘informs swathes of </w:t>
      </w:r>
      <w:r w:rsidRPr="004C18E1">
        <w:rPr>
          <w:i/>
        </w:rPr>
        <w:t>The History of the Britons</w:t>
      </w:r>
      <w:r>
        <w:t xml:space="preserve">, </w:t>
      </w:r>
      <w:r w:rsidR="009645FB">
        <w:t xml:space="preserve">… </w:t>
      </w:r>
      <w:r>
        <w:t xml:space="preserve">resulting in passages of text that are </w:t>
      </w:r>
    </w:p>
    <w:p w14:paraId="65C16396" w14:textId="77777777" w:rsidR="009645FB" w:rsidRDefault="004C18E1" w:rsidP="00050036">
      <w:pPr>
        <w:rPr>
          <w:i/>
        </w:rPr>
      </w:pPr>
      <w:r>
        <w:t>more political manifesto than reliable history’</w:t>
      </w:r>
      <w:r w:rsidR="00991346">
        <w:rPr>
          <w:rStyle w:val="EndnoteReference"/>
        </w:rPr>
        <w:endnoteReference w:id="102"/>
      </w:r>
      <w:r>
        <w:t xml:space="preserve">. The context had changed by the time of </w:t>
      </w:r>
      <w:r w:rsidRPr="004C18E1">
        <w:rPr>
          <w:i/>
        </w:rPr>
        <w:t xml:space="preserve">Historia </w:t>
      </w:r>
    </w:p>
    <w:p w14:paraId="652267E7" w14:textId="77777777" w:rsidR="009645FB" w:rsidRDefault="004C18E1" w:rsidP="00050036">
      <w:r w:rsidRPr="004C18E1">
        <w:rPr>
          <w:i/>
        </w:rPr>
        <w:t>Regum Brittaniae</w:t>
      </w:r>
      <w:r>
        <w:t xml:space="preserve">, </w:t>
      </w:r>
      <w:r w:rsidR="00BA36AC">
        <w:t>as</w:t>
      </w:r>
      <w:r>
        <w:t xml:space="preserve"> ‘the twelfth century Arthur emerged very largely as a consequence of the </w:t>
      </w:r>
    </w:p>
    <w:p w14:paraId="58EFE9A3" w14:textId="3FDA6927" w:rsidR="009645FB" w:rsidRDefault="004C18E1" w:rsidP="00050036">
      <w:r>
        <w:t>Norman conquests of all of Brittany, England</w:t>
      </w:r>
      <w:r w:rsidR="00CD054C">
        <w:t xml:space="preserve"> and </w:t>
      </w:r>
      <w:r w:rsidR="00F35480">
        <w:t xml:space="preserve">… </w:t>
      </w:r>
      <w:r w:rsidR="00CD054C">
        <w:t>Wales’</w:t>
      </w:r>
      <w:r w:rsidR="00991346">
        <w:rPr>
          <w:rStyle w:val="EndnoteReference"/>
        </w:rPr>
        <w:endnoteReference w:id="103"/>
      </w:r>
      <w:r w:rsidR="00AE53C3">
        <w:t>:</w:t>
      </w:r>
      <w:r w:rsidR="00CD054C">
        <w:t xml:space="preserve"> Geoffrey’s purpose</w:t>
      </w:r>
      <w:r w:rsidR="001D3DC1">
        <w:t xml:space="preserve">, </w:t>
      </w:r>
      <w:r w:rsidR="00384A32">
        <w:t>therefore,</w:t>
      </w:r>
      <w:r w:rsidR="00C2233E">
        <w:t xml:space="preserve"> </w:t>
      </w:r>
      <w:r w:rsidR="001D3DC1">
        <w:t xml:space="preserve">was </w:t>
      </w:r>
    </w:p>
    <w:p w14:paraId="0AB57E75" w14:textId="77777777" w:rsidR="009645FB" w:rsidRDefault="00CD054C" w:rsidP="00050036">
      <w:r>
        <w:t>not an anti-colonial one, but to provide ‘the new Anglo-Norman kings with a pr</w:t>
      </w:r>
      <w:r w:rsidR="00C2233E">
        <w:t>edecessor</w:t>
      </w:r>
      <w:r w:rsidR="001D3DC1">
        <w:t xml:space="preserve"> </w:t>
      </w:r>
      <w:r>
        <w:t xml:space="preserve">of heroic </w:t>
      </w:r>
    </w:p>
    <w:p w14:paraId="75C313CC" w14:textId="77777777" w:rsidR="009645FB" w:rsidRDefault="00CD054C" w:rsidP="00050036">
      <w:r>
        <w:t xml:space="preserve">size, a great pan-British king in a long line of monarchs capable of countering contemporary </w:t>
      </w:r>
    </w:p>
    <w:p w14:paraId="166E4097" w14:textId="77777777" w:rsidR="009645FB" w:rsidRDefault="00CD054C" w:rsidP="00050036">
      <w:r>
        <w:lastRenderedPageBreak/>
        <w:t xml:space="preserve">pressures for decentralization… and reinforcing claims of political superiority over the Celtic </w:t>
      </w:r>
    </w:p>
    <w:p w14:paraId="7EDA7C74" w14:textId="77777777" w:rsidR="009645FB" w:rsidRDefault="00CD054C" w:rsidP="00050036">
      <w:r>
        <w:t>lands’</w:t>
      </w:r>
      <w:r w:rsidR="00991346">
        <w:rPr>
          <w:rStyle w:val="EndnoteReference"/>
        </w:rPr>
        <w:endnoteReference w:id="104"/>
      </w:r>
      <w:r>
        <w:t>. ‘The Arthurian section</w:t>
      </w:r>
      <w:r w:rsidR="0053059D">
        <w:t>’</w:t>
      </w:r>
      <w:r>
        <w:t xml:space="preserve">, as Roberts puts it, ‘is Geoffrey’s literary creation and it owes </w:t>
      </w:r>
    </w:p>
    <w:p w14:paraId="0800EBE8" w14:textId="77777777" w:rsidR="009645FB" w:rsidRDefault="00CD054C" w:rsidP="00050036">
      <w:r>
        <w:t xml:space="preserve">nothing to a prior narrative, but elements here as throughout the book appear to be drawn from </w:t>
      </w:r>
    </w:p>
    <w:p w14:paraId="3A7058BE" w14:textId="77777777" w:rsidR="009645FB" w:rsidRDefault="00CD054C" w:rsidP="00050036">
      <w:r>
        <w:t>Welsh-or British- tradition’</w:t>
      </w:r>
      <w:r w:rsidR="00991346">
        <w:rPr>
          <w:rStyle w:val="EndnoteReference"/>
        </w:rPr>
        <w:endnoteReference w:id="105"/>
      </w:r>
      <w:r w:rsidR="009645FB">
        <w:t>.</w:t>
      </w:r>
      <w:r>
        <w:t xml:space="preserve"> </w:t>
      </w:r>
      <w:r w:rsidR="009645FB">
        <w:t>H</w:t>
      </w:r>
      <w:r>
        <w:t xml:space="preserve">owever those Welsh sources were </w:t>
      </w:r>
      <w:r w:rsidR="00BA36AC">
        <w:t xml:space="preserve">not used to oppose the Normans </w:t>
      </w:r>
    </w:p>
    <w:p w14:paraId="0303B663" w14:textId="77777777" w:rsidR="009645FB" w:rsidRDefault="00BA36AC" w:rsidP="00050036">
      <w:r>
        <w:t xml:space="preserve">but </w:t>
      </w:r>
      <w:r w:rsidR="00CD054C">
        <w:t xml:space="preserve">to support ‘the central myth of the </w:t>
      </w:r>
      <w:r w:rsidR="00CD054C" w:rsidRPr="002445C0">
        <w:rPr>
          <w:i/>
        </w:rPr>
        <w:t>Historia Regum Brittaniae</w:t>
      </w:r>
      <w:r w:rsidR="00CD054C">
        <w:t xml:space="preserve"> [which] is the legitimacy of the </w:t>
      </w:r>
    </w:p>
    <w:p w14:paraId="6520BCE7" w14:textId="77777777" w:rsidR="009645FB" w:rsidRDefault="00CD054C" w:rsidP="00050036">
      <w:r>
        <w:t xml:space="preserve">Norman </w:t>
      </w:r>
      <w:r w:rsidR="002445C0">
        <w:t xml:space="preserve">regime in Britain, achieved by conquest’, </w:t>
      </w:r>
      <w:r w:rsidR="00BA36AC">
        <w:t xml:space="preserve">so </w:t>
      </w:r>
      <w:r w:rsidR="002445C0">
        <w:t xml:space="preserve">‘Arthur is the validating ancestor of the </w:t>
      </w:r>
    </w:p>
    <w:p w14:paraId="007DF7C7" w14:textId="77777777" w:rsidR="009645FB" w:rsidRDefault="002445C0" w:rsidP="00050036">
      <w:r>
        <w:t xml:space="preserve">Normans, and a reminder that if the Normans depart from the standards of kingship set by Arthur, </w:t>
      </w:r>
    </w:p>
    <w:p w14:paraId="6C0C1AEB" w14:textId="77777777" w:rsidR="009645FB" w:rsidRDefault="002445C0" w:rsidP="00050036">
      <w:r>
        <w:t>their own regime will be imperilled’</w:t>
      </w:r>
      <w:r w:rsidR="00991346">
        <w:rPr>
          <w:rStyle w:val="EndnoteReference"/>
        </w:rPr>
        <w:endnoteReference w:id="106"/>
      </w:r>
      <w:r>
        <w:t xml:space="preserve">. It is not just the lack of biographical details that allows </w:t>
      </w:r>
    </w:p>
    <w:p w14:paraId="7348B42D" w14:textId="77777777" w:rsidR="009645FB" w:rsidRDefault="002445C0" w:rsidP="00050036">
      <w:r>
        <w:t xml:space="preserve">Geoffrey to create ‘a hero for his own day, a warrior king who is wise and generous and who is </w:t>
      </w:r>
    </w:p>
    <w:p w14:paraId="7377F593" w14:textId="77777777" w:rsidR="009645FB" w:rsidRDefault="002445C0" w:rsidP="00050036">
      <w:r>
        <w:t xml:space="preserve">sufficiently skilled in both war and politics to maintain a peaceful kingdom and an empire beyond his </w:t>
      </w:r>
    </w:p>
    <w:p w14:paraId="4621412F" w14:textId="7272E04E" w:rsidR="009645FB" w:rsidRDefault="002445C0" w:rsidP="00050036">
      <w:r>
        <w:t>own shores’</w:t>
      </w:r>
      <w:r w:rsidR="00991346">
        <w:rPr>
          <w:rStyle w:val="EndnoteReference"/>
        </w:rPr>
        <w:endnoteReference w:id="107"/>
      </w:r>
      <w:r>
        <w:t>, it is that Arthur ha</w:t>
      </w:r>
      <w:r w:rsidR="00AE53C3">
        <w:t>d</w:t>
      </w:r>
      <w:r>
        <w:t xml:space="preserve"> already become a hero to be associated with. </w:t>
      </w:r>
      <w:r w:rsidR="00C2233E">
        <w:t>Geoffrey</w:t>
      </w:r>
      <w:r>
        <w:t xml:space="preserve"> produce</w:t>
      </w:r>
      <w:r w:rsidR="009645FB">
        <w:t>d</w:t>
      </w:r>
      <w:r>
        <w:t xml:space="preserve"> </w:t>
      </w:r>
    </w:p>
    <w:p w14:paraId="44BE2DDD" w14:textId="77777777" w:rsidR="009645FB" w:rsidRDefault="002445C0" w:rsidP="00050036">
      <w:r>
        <w:t xml:space="preserve">‘not just “a” biography but “the” biography, the one which set the pattern for all successive accounts </w:t>
      </w:r>
    </w:p>
    <w:p w14:paraId="2921AD80" w14:textId="77777777" w:rsidR="009645FB" w:rsidRDefault="002445C0" w:rsidP="00050036">
      <w:r>
        <w:t>of Arthur’s life’</w:t>
      </w:r>
      <w:r w:rsidR="00991346">
        <w:rPr>
          <w:rStyle w:val="EndnoteReference"/>
        </w:rPr>
        <w:endnoteReference w:id="108"/>
      </w:r>
      <w:r>
        <w:t>. Such accounts</w:t>
      </w:r>
      <w:r w:rsidR="00005D54">
        <w:t xml:space="preserve">, increasingly mythologised, transferring Arthur, his court, castle </w:t>
      </w:r>
    </w:p>
    <w:p w14:paraId="71DB9DED" w14:textId="77777777" w:rsidR="009645FB" w:rsidRDefault="00005D54" w:rsidP="00050036">
      <w:r>
        <w:t xml:space="preserve">and warband to the role of icon and symbol </w:t>
      </w:r>
      <w:r w:rsidR="00BA36AC">
        <w:t>we</w:t>
      </w:r>
      <w:r>
        <w:t xml:space="preserve">re adaptable to almost any context, whether it be </w:t>
      </w:r>
    </w:p>
    <w:p w14:paraId="5273D7CB" w14:textId="77777777" w:rsidR="009645FB" w:rsidRDefault="00005D54" w:rsidP="00050036">
      <w:r>
        <w:t>Chr</w:t>
      </w:r>
      <m:oMath>
        <m:acc>
          <m:accPr>
            <m:chr m:val="́"/>
            <m:ctrlPr>
              <w:rPr>
                <w:rFonts w:ascii="Cambria Math" w:hAnsi="Cambria Math"/>
              </w:rPr>
            </m:ctrlPr>
          </m:accPr>
          <m:e>
            <m:r>
              <w:rPr>
                <w:rFonts w:ascii="Cambria Math" w:hAnsi="Cambria Math"/>
              </w:rPr>
              <m:t>e</m:t>
            </m:r>
          </m:e>
        </m:acc>
      </m:oMath>
      <w:r>
        <w:t xml:space="preserve">tien de Troyes and courtly love, chivalry </w:t>
      </w:r>
      <w:r w:rsidR="00BA36AC">
        <w:t xml:space="preserve">and adventure </w:t>
      </w:r>
      <w:r>
        <w:t xml:space="preserve">in </w:t>
      </w:r>
      <w:r w:rsidRPr="001D3DC1">
        <w:rPr>
          <w:i/>
        </w:rPr>
        <w:t>Sir Gawain and the Green Knight</w:t>
      </w:r>
      <w:r>
        <w:t xml:space="preserve">, the </w:t>
      </w:r>
    </w:p>
    <w:p w14:paraId="68A12E96" w14:textId="77777777" w:rsidR="009645FB" w:rsidRDefault="00005D54" w:rsidP="00050036">
      <w:r>
        <w:t xml:space="preserve">otherworld quests of Wolfram von Eschenbach or </w:t>
      </w:r>
      <w:r w:rsidR="00BA36AC">
        <w:t xml:space="preserve">Arthur as a figure </w:t>
      </w:r>
      <w:r>
        <w:t xml:space="preserve">in Scandinavian sagas. Through </w:t>
      </w:r>
    </w:p>
    <w:p w14:paraId="2AB8A829" w14:textId="77777777" w:rsidR="009645FB" w:rsidRDefault="00005D54" w:rsidP="00050036">
      <w:r>
        <w:t>this process, Arthur increasingly bec</w:t>
      </w:r>
      <w:r w:rsidR="009645FB">
        <w:t>a</w:t>
      </w:r>
      <w:r>
        <w:t xml:space="preserve">me ‘a floating signifier, empty of meaning until attached to a </w:t>
      </w:r>
    </w:p>
    <w:p w14:paraId="35A8C438" w14:textId="77777777" w:rsidR="009645FB" w:rsidRDefault="00005D54" w:rsidP="00050036">
      <w:r>
        <w:t>particular context in a specific period of time’</w:t>
      </w:r>
      <w:r w:rsidR="00991346">
        <w:rPr>
          <w:rStyle w:val="EndnoteReference"/>
        </w:rPr>
        <w:endnoteReference w:id="109"/>
      </w:r>
      <w:r>
        <w:t xml:space="preserve">, infinitely adaptable to literary contexts, attracting </w:t>
      </w:r>
    </w:p>
    <w:p w14:paraId="175A36CC" w14:textId="267C752F" w:rsidR="00050036" w:rsidRDefault="00005D54" w:rsidP="00050036">
      <w:r>
        <w:t>and engulfing genres and traditions like a literary black hole.</w:t>
      </w:r>
      <w:r w:rsidR="002F1429">
        <w:t xml:space="preserve"> </w:t>
      </w:r>
    </w:p>
    <w:p w14:paraId="7B1C4D03" w14:textId="07C36B2C" w:rsidR="001D3DC1" w:rsidRDefault="001D3DC1" w:rsidP="00050036"/>
    <w:p w14:paraId="2A4D4BE3" w14:textId="77777777" w:rsidR="00342AA6" w:rsidRDefault="00342AA6" w:rsidP="00050036"/>
    <w:p w14:paraId="10958BC3" w14:textId="77777777" w:rsidR="00BA36AC" w:rsidRDefault="001D3DC1" w:rsidP="00050036">
      <w:r>
        <w:t xml:space="preserve">Essentially this question comes </w:t>
      </w:r>
      <w:r w:rsidR="00BA36AC">
        <w:t xml:space="preserve">down </w:t>
      </w:r>
      <w:r>
        <w:t xml:space="preserve">to when the legend emerged; historical figure made legend </w:t>
      </w:r>
    </w:p>
    <w:p w14:paraId="3D5A04C0" w14:textId="77777777" w:rsidR="00BA36AC" w:rsidRDefault="001D3DC1" w:rsidP="00050036">
      <w:r>
        <w:t xml:space="preserve">perhaps within his own lifetime or shortly afterwards, or legendary figure historicized </w:t>
      </w:r>
      <w:r w:rsidR="00BA36AC">
        <w:t xml:space="preserve">initially </w:t>
      </w:r>
      <w:r>
        <w:t xml:space="preserve">for the </w:t>
      </w:r>
    </w:p>
    <w:p w14:paraId="0BA68D83" w14:textId="77777777" w:rsidR="00BA36AC" w:rsidRDefault="001D3DC1" w:rsidP="00050036">
      <w:r>
        <w:t xml:space="preserve">benefit of ninth century Welsh elites. </w:t>
      </w:r>
      <w:r w:rsidR="00E4757B">
        <w:t>In trying to make such a judgement, t</w:t>
      </w:r>
      <w:r w:rsidR="00FF337D">
        <w:t xml:space="preserve">he ‘dialogue between the </w:t>
      </w:r>
    </w:p>
    <w:p w14:paraId="3D58A2C6" w14:textId="77777777" w:rsidR="009645FB" w:rsidRDefault="00FF337D" w:rsidP="00050036">
      <w:r>
        <w:t xml:space="preserve">past and the present’ is obviously much more one-sided when the past has </w:t>
      </w:r>
      <w:r w:rsidR="009645FB">
        <w:t xml:space="preserve">so </w:t>
      </w:r>
      <w:r>
        <w:t>little to say</w:t>
      </w:r>
      <w:r w:rsidR="00E4757B">
        <w:t xml:space="preserve">, for, as </w:t>
      </w:r>
    </w:p>
    <w:p w14:paraId="310DF7AE" w14:textId="77777777" w:rsidR="009645FB" w:rsidRDefault="00E4757B" w:rsidP="00050036">
      <w:r>
        <w:t>Padel puts it ‘the same material [is] being treated many times over with different interpretations’</w:t>
      </w:r>
      <w:r w:rsidR="00991346">
        <w:rPr>
          <w:rStyle w:val="EndnoteReference"/>
        </w:rPr>
        <w:endnoteReference w:id="110"/>
      </w:r>
      <w:r>
        <w:t xml:space="preserve">. </w:t>
      </w:r>
    </w:p>
    <w:p w14:paraId="36E71BB9" w14:textId="77777777" w:rsidR="009645FB" w:rsidRDefault="00E4757B" w:rsidP="00050036">
      <w:r>
        <w:t xml:space="preserve">Thus, </w:t>
      </w:r>
      <w:r w:rsidR="00FF337D">
        <w:t>it is</w:t>
      </w:r>
      <w:r>
        <w:t xml:space="preserve"> </w:t>
      </w:r>
      <w:r w:rsidR="00FF337D">
        <w:t xml:space="preserve">perhaps inevitable that the present supplies much of the </w:t>
      </w:r>
      <w:r>
        <w:t>dialogue</w:t>
      </w:r>
      <w:r w:rsidR="00FF337D">
        <w:t xml:space="preserve"> when the subject is that </w:t>
      </w:r>
    </w:p>
    <w:p w14:paraId="763153C2" w14:textId="5B1F5D79" w:rsidR="00E4757B" w:rsidRDefault="00FF337D" w:rsidP="00050036">
      <w:r>
        <w:t xml:space="preserve">of the ‘Dark Age’ Arthur. ‘Scholarship’, suggested Jonathan Powell, ‘especially where the evidential </w:t>
      </w:r>
    </w:p>
    <w:p w14:paraId="63EE8667" w14:textId="77777777" w:rsidR="00E4757B" w:rsidRDefault="00FF337D" w:rsidP="00050036">
      <w:r>
        <w:t xml:space="preserve">base is limited, comes in two kinds: the constructive kind, which extrapolates the whole statue of </w:t>
      </w:r>
    </w:p>
    <w:p w14:paraId="79C8F78D" w14:textId="77777777" w:rsidR="00E4757B" w:rsidRDefault="00FF337D" w:rsidP="00050036">
      <w:r>
        <w:t xml:space="preserve">Hercules from his foot, and the demolitionist kind, which asserts that all we really have is the foot </w:t>
      </w:r>
    </w:p>
    <w:p w14:paraId="4EF75F5D" w14:textId="49AE86F6" w:rsidR="00E4757B" w:rsidRDefault="00FF337D" w:rsidP="00050036">
      <w:r>
        <w:t>and our own imagination’</w:t>
      </w:r>
      <w:r w:rsidR="00991346">
        <w:rPr>
          <w:rStyle w:val="EndnoteReference"/>
        </w:rPr>
        <w:endnoteReference w:id="111"/>
      </w:r>
      <w:r>
        <w:t xml:space="preserve">, and it would appear that the ‘demolitionists’, or ‘revisionists’, firmly </w:t>
      </w:r>
    </w:p>
    <w:p w14:paraId="127E39DF" w14:textId="77777777" w:rsidR="00083947" w:rsidRDefault="00FF337D" w:rsidP="00050036">
      <w:r>
        <w:lastRenderedPageBreak/>
        <w:t xml:space="preserve">have the upper hand in ‘Arthurian’ scholarship at the current time. </w:t>
      </w:r>
      <w:r w:rsidR="00E4757B">
        <w:t xml:space="preserve">However, as Padel again notes, ‘it </w:t>
      </w:r>
    </w:p>
    <w:p w14:paraId="4973BA34" w14:textId="77777777" w:rsidR="00083947" w:rsidRDefault="00E4757B" w:rsidP="00050036">
      <w:r>
        <w:t xml:space="preserve">is open to doubt whether anyone truly takes a dispassionate view of this matter: those who deny </w:t>
      </w:r>
    </w:p>
    <w:p w14:paraId="3ADA53AA" w14:textId="77777777" w:rsidR="00083947" w:rsidRDefault="00E4757B" w:rsidP="00050036">
      <w:r>
        <w:t xml:space="preserve">[Arthur’s] existence, and even more those who proclaim it, are all open to the charge of arriving at </w:t>
      </w:r>
    </w:p>
    <w:p w14:paraId="4D47BF4C" w14:textId="60B6006A" w:rsidR="00083947" w:rsidRDefault="00E4757B" w:rsidP="00050036">
      <w:r>
        <w:t>their conclusions first, and then finding arguments to justify them’</w:t>
      </w:r>
      <w:r w:rsidR="00BF6711">
        <w:rPr>
          <w:rStyle w:val="EndnoteReference"/>
        </w:rPr>
        <w:endnoteReference w:id="112"/>
      </w:r>
      <w:r>
        <w:t xml:space="preserve">. </w:t>
      </w:r>
      <w:r w:rsidR="00C4720D">
        <w:t>Wh</w:t>
      </w:r>
      <w:r w:rsidR="00083947">
        <w:t xml:space="preserve">enever the legend had its </w:t>
      </w:r>
    </w:p>
    <w:p w14:paraId="63FDC356" w14:textId="77777777" w:rsidR="00083947" w:rsidRDefault="00083947" w:rsidP="00050036">
      <w:r>
        <w:t xml:space="preserve">genesis, there is no doubt that it became a powerful one, that it had the ability to adapt to a range </w:t>
      </w:r>
    </w:p>
    <w:p w14:paraId="6230B224" w14:textId="77777777" w:rsidR="00F35480" w:rsidRDefault="00083947" w:rsidP="00050036">
      <w:r>
        <w:t xml:space="preserve">of literary contexts. Although the lack of biographical details probably did help in this adaptability, </w:t>
      </w:r>
    </w:p>
    <w:p w14:paraId="33C3E306" w14:textId="77777777" w:rsidR="00F35480" w:rsidRDefault="00083947" w:rsidP="00050036">
      <w:r>
        <w:t>the specificity of filling the ‘Arthur-shaped hole</w:t>
      </w:r>
      <w:r w:rsidR="00BA36AC">
        <w:t>’</w:t>
      </w:r>
      <w:r>
        <w:t xml:space="preserve"> </w:t>
      </w:r>
      <w:r w:rsidR="0020574C">
        <w:t>of</w:t>
      </w:r>
      <w:r>
        <w:t xml:space="preserve"> the Victor of Badon was initially just as important.</w:t>
      </w:r>
      <w:r w:rsidR="00126DC2">
        <w:t xml:space="preserve"> </w:t>
      </w:r>
    </w:p>
    <w:p w14:paraId="1C02D2D1" w14:textId="77777777" w:rsidR="00F35480" w:rsidRDefault="00126DC2" w:rsidP="00050036">
      <w:r>
        <w:t xml:space="preserve">Lack of specificity was then crucial in allowing the exodus of the story, especially in the mind of </w:t>
      </w:r>
    </w:p>
    <w:p w14:paraId="7C09C945" w14:textId="77777777" w:rsidR="00F35480" w:rsidRDefault="00126DC2" w:rsidP="00050036">
      <w:r>
        <w:t>Geoffrey of Monmouth; these ‘acts of imaginat</w:t>
      </w:r>
      <w:r w:rsidR="00352E80">
        <w:t>ive</w:t>
      </w:r>
      <w:r>
        <w:t xml:space="preserve"> reconstruction’</w:t>
      </w:r>
      <w:r w:rsidR="00BF6711">
        <w:rPr>
          <w:rStyle w:val="EndnoteReference"/>
        </w:rPr>
        <w:endnoteReference w:id="113"/>
      </w:r>
      <w:r>
        <w:t xml:space="preserve"> </w:t>
      </w:r>
      <w:r w:rsidR="00CA13E9">
        <w:t xml:space="preserve">were </w:t>
      </w:r>
      <w:r>
        <w:t xml:space="preserve">then caught up in ‘the </w:t>
      </w:r>
    </w:p>
    <w:p w14:paraId="4BA39A71" w14:textId="77777777" w:rsidR="00F35480" w:rsidRDefault="00126DC2" w:rsidP="00050036">
      <w:r>
        <w:t>whirl of floating signifiers and unstable meanings’</w:t>
      </w:r>
      <w:r w:rsidR="00BF6711">
        <w:rPr>
          <w:rStyle w:val="EndnoteReference"/>
        </w:rPr>
        <w:endnoteReference w:id="114"/>
      </w:r>
      <w:r>
        <w:t xml:space="preserve">, concerning themselves much more with </w:t>
      </w:r>
    </w:p>
    <w:p w14:paraId="2D900D87" w14:textId="77777777" w:rsidR="00F35480" w:rsidRDefault="00126DC2" w:rsidP="0038457E">
      <w:r>
        <w:t>‘anxieties of the present’</w:t>
      </w:r>
      <w:r w:rsidR="00BF6711">
        <w:rPr>
          <w:rStyle w:val="EndnoteReference"/>
        </w:rPr>
        <w:endnoteReference w:id="115"/>
      </w:r>
      <w:r w:rsidR="00BF6711">
        <w:t xml:space="preserve"> </w:t>
      </w:r>
      <w:r>
        <w:t>than the historical reality of the past</w:t>
      </w:r>
      <w:r w:rsidR="00D35B1C">
        <w:t>,</w:t>
      </w:r>
      <w:r w:rsidR="00F35480">
        <w:t xml:space="preserve"> contributing to ‘a particular style of </w:t>
      </w:r>
    </w:p>
    <w:p w14:paraId="5BD556CF" w14:textId="76296837" w:rsidR="00F35480" w:rsidRDefault="00F35480" w:rsidP="0038457E">
      <w:r>
        <w:t>nationalist storytelling’</w:t>
      </w:r>
      <w:r>
        <w:rPr>
          <w:rStyle w:val="EndnoteReference"/>
        </w:rPr>
        <w:endnoteReference w:id="116"/>
      </w:r>
      <w:r>
        <w:t>. A</w:t>
      </w:r>
      <w:r w:rsidR="00D35B1C">
        <w:t>s Gwyn Williams put it, ‘</w:t>
      </w:r>
      <w:r w:rsidR="00CA13E9">
        <w:t>i</w:t>
      </w:r>
      <w:r w:rsidR="00D35B1C">
        <w:t xml:space="preserve">n every generation, people have made </w:t>
      </w:r>
    </w:p>
    <w:p w14:paraId="6446898F" w14:textId="36F7CF38" w:rsidR="0035289A" w:rsidRDefault="00D35B1C" w:rsidP="0038457E">
      <w:r>
        <w:t>[Arthur] and his knights a vehicle for their own values’</w:t>
      </w:r>
      <w:r w:rsidR="00BF6711">
        <w:rPr>
          <w:rStyle w:val="EndnoteReference"/>
        </w:rPr>
        <w:endnoteReference w:id="117"/>
      </w:r>
      <w:r>
        <w:t>.</w:t>
      </w:r>
    </w:p>
    <w:p w14:paraId="5B5F248E" w14:textId="6C0A363F" w:rsidR="0035289A" w:rsidRDefault="0035289A" w:rsidP="0038457E">
      <w:pPr>
        <w:rPr>
          <w:b/>
          <w:sz w:val="28"/>
          <w:szCs w:val="28"/>
        </w:rPr>
      </w:pPr>
    </w:p>
    <w:p w14:paraId="6DA38553" w14:textId="61D13631" w:rsidR="0035289A" w:rsidRDefault="0035289A" w:rsidP="0035289A">
      <w:r>
        <w:t>5.</w:t>
      </w:r>
      <w:r w:rsidR="009645FB">
        <w:t xml:space="preserve">395 </w:t>
      </w:r>
      <w:r>
        <w:t>words</w:t>
      </w:r>
    </w:p>
    <w:p w14:paraId="40C4CE6B" w14:textId="592FB0B1" w:rsidR="00BF6711" w:rsidRDefault="00BF6711" w:rsidP="0035289A"/>
    <w:p w14:paraId="159A5DA1" w14:textId="5E06AF78" w:rsidR="00BF6711" w:rsidRDefault="00BF6711" w:rsidP="0035289A"/>
    <w:p w14:paraId="41868176" w14:textId="602150CD" w:rsidR="00BF6711" w:rsidRDefault="00BF6711" w:rsidP="0035289A"/>
    <w:p w14:paraId="7925A681" w14:textId="3471A17E" w:rsidR="00BF6711" w:rsidRDefault="00BF6711" w:rsidP="0035289A"/>
    <w:p w14:paraId="064D37B8" w14:textId="5B5F3242" w:rsidR="00BF6711" w:rsidRDefault="00BF6711" w:rsidP="0035289A"/>
    <w:p w14:paraId="6E17F274" w14:textId="27BD3C3C" w:rsidR="00BF6711" w:rsidRDefault="00BF6711" w:rsidP="0035289A"/>
    <w:p w14:paraId="21BC9973" w14:textId="5B578779" w:rsidR="00BF6711" w:rsidRDefault="00BF6711" w:rsidP="0035289A"/>
    <w:p w14:paraId="47F51DB9" w14:textId="21822A36" w:rsidR="00BF6711" w:rsidRDefault="00BF6711" w:rsidP="0035289A"/>
    <w:p w14:paraId="199A1197" w14:textId="46A19BA2" w:rsidR="00BF6711" w:rsidRDefault="00BF6711" w:rsidP="0035289A"/>
    <w:p w14:paraId="40DC5E28" w14:textId="6115093C" w:rsidR="00BF6711" w:rsidRDefault="00BF6711" w:rsidP="0035289A"/>
    <w:p w14:paraId="7F10216E" w14:textId="28DF629D" w:rsidR="00BF6711" w:rsidRDefault="00BF6711" w:rsidP="0035289A"/>
    <w:p w14:paraId="1CD6D902" w14:textId="794FEF80" w:rsidR="00BF6711" w:rsidRDefault="00BF6711" w:rsidP="0035289A"/>
    <w:p w14:paraId="0AA3F02C" w14:textId="4E418666" w:rsidR="00BF6711" w:rsidRDefault="00BF6711" w:rsidP="0035289A"/>
    <w:p w14:paraId="42CDDCA8" w14:textId="77777777" w:rsidR="00BF6711" w:rsidRPr="000E35F2" w:rsidRDefault="00BF6711" w:rsidP="0035289A"/>
    <w:p w14:paraId="5ED006D8" w14:textId="77777777" w:rsidR="0035289A" w:rsidRDefault="0035289A" w:rsidP="0038457E">
      <w:pPr>
        <w:rPr>
          <w:b/>
          <w:sz w:val="28"/>
          <w:szCs w:val="28"/>
        </w:rPr>
      </w:pPr>
    </w:p>
    <w:p w14:paraId="72CC1D95" w14:textId="5162B36E" w:rsidR="0035289A" w:rsidRPr="0035289A" w:rsidRDefault="0035289A" w:rsidP="0038457E">
      <w:pPr>
        <w:rPr>
          <w:b/>
          <w:sz w:val="28"/>
          <w:szCs w:val="28"/>
        </w:rPr>
      </w:pPr>
      <w:r w:rsidRPr="0035289A">
        <w:rPr>
          <w:b/>
          <w:sz w:val="28"/>
          <w:szCs w:val="28"/>
        </w:rPr>
        <w:lastRenderedPageBreak/>
        <w:t xml:space="preserve">FOOTNOTES </w:t>
      </w:r>
    </w:p>
    <w:sectPr w:rsidR="0035289A" w:rsidRPr="0035289A">
      <w:endnotePr>
        <w:numFmt w:val="decimal"/>
      </w:endnotePr>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904128" w14:textId="77777777" w:rsidR="00DD3979" w:rsidRDefault="00DD3979" w:rsidP="00342005">
      <w:pPr>
        <w:spacing w:after="0" w:line="240" w:lineRule="auto"/>
      </w:pPr>
      <w:r>
        <w:separator/>
      </w:r>
    </w:p>
  </w:endnote>
  <w:endnote w:type="continuationSeparator" w:id="0">
    <w:p w14:paraId="69150EDF" w14:textId="77777777" w:rsidR="00DD3979" w:rsidRDefault="00DD3979" w:rsidP="00342005">
      <w:pPr>
        <w:spacing w:after="0" w:line="240" w:lineRule="auto"/>
      </w:pPr>
      <w:r>
        <w:continuationSeparator/>
      </w:r>
    </w:p>
  </w:endnote>
  <w:endnote w:id="1">
    <w:p w14:paraId="2100C33E" w14:textId="0AEFAD59" w:rsidR="00782BDB" w:rsidRDefault="00782BDB" w:rsidP="0035289A">
      <w:pPr>
        <w:pStyle w:val="FootnoteText"/>
      </w:pPr>
      <w:r>
        <w:rPr>
          <w:rStyle w:val="EndnoteReference"/>
        </w:rPr>
        <w:endnoteRef/>
      </w:r>
      <w:r>
        <w:t xml:space="preserve"> Charles-Edwards T. (1995) ‘The Arthur of History’ p 29  Bromwich, Jarman, Roberts (Eds) </w:t>
      </w:r>
      <w:r w:rsidRPr="00681193">
        <w:rPr>
          <w:i/>
        </w:rPr>
        <w:t>The Arthur of the Welsh</w:t>
      </w:r>
    </w:p>
  </w:endnote>
  <w:endnote w:id="2">
    <w:p w14:paraId="137341D9" w14:textId="45E2ECDF" w:rsidR="00782BDB" w:rsidRPr="0035289A" w:rsidRDefault="00782BDB" w:rsidP="0035289A">
      <w:pPr>
        <w:pStyle w:val="FootnoteText"/>
        <w:rPr>
          <w:i/>
        </w:rPr>
      </w:pPr>
      <w:r>
        <w:rPr>
          <w:rStyle w:val="EndnoteReference"/>
        </w:rPr>
        <w:endnoteRef/>
      </w:r>
      <w:r>
        <w:t xml:space="preserve"> Higham N. (2012) ‘Early Latin Sources: Fragments of a Pseudo-Historical Arthur’ p 30 in Fulton H. Ed. </w:t>
      </w:r>
      <w:r w:rsidRPr="00681193">
        <w:rPr>
          <w:i/>
        </w:rPr>
        <w:t xml:space="preserve">A Companion to Arthurian Literature </w:t>
      </w:r>
    </w:p>
  </w:endnote>
  <w:endnote w:id="3">
    <w:p w14:paraId="6EE772DF" w14:textId="671EDA89" w:rsidR="00782BDB" w:rsidRDefault="00782BDB" w:rsidP="0035289A">
      <w:pPr>
        <w:pStyle w:val="FootnoteText"/>
      </w:pPr>
      <w:r>
        <w:rPr>
          <w:rStyle w:val="EndnoteReference"/>
        </w:rPr>
        <w:endnoteRef/>
      </w:r>
      <w:r>
        <w:t xml:space="preserve"> Green T (2007) </w:t>
      </w:r>
      <w:r w:rsidRPr="00681193">
        <w:rPr>
          <w:i/>
        </w:rPr>
        <w:t>Concepts of Arthur</w:t>
      </w:r>
      <w:r>
        <w:t xml:space="preserve"> p43</w:t>
      </w:r>
    </w:p>
  </w:endnote>
  <w:endnote w:id="4">
    <w:p w14:paraId="5416DCD1" w14:textId="277DA0B2" w:rsidR="00782BDB" w:rsidRDefault="00782BDB">
      <w:pPr>
        <w:pStyle w:val="EndnoteText"/>
      </w:pPr>
      <w:r>
        <w:rPr>
          <w:rStyle w:val="EndnoteReference"/>
        </w:rPr>
        <w:endnoteRef/>
      </w:r>
      <w:r>
        <w:t xml:space="preserve"> Higham (2012</w:t>
      </w:r>
      <w:r w:rsidRPr="00681193">
        <w:rPr>
          <w:i/>
        </w:rPr>
        <w:t>) op cit</w:t>
      </w:r>
      <w:r>
        <w:t>.</w:t>
      </w:r>
    </w:p>
  </w:endnote>
  <w:endnote w:id="5">
    <w:p w14:paraId="421DE15B" w14:textId="0F431F3C" w:rsidR="00782BDB" w:rsidRDefault="00782BDB">
      <w:pPr>
        <w:pStyle w:val="EndnoteText"/>
      </w:pPr>
      <w:r>
        <w:rPr>
          <w:rStyle w:val="EndnoteReference"/>
        </w:rPr>
        <w:endnoteRef/>
      </w:r>
      <w:r>
        <w:t xml:space="preserve"> Carr E.H. (2001) </w:t>
      </w:r>
      <w:r w:rsidRPr="00F347D8">
        <w:rPr>
          <w:i/>
        </w:rPr>
        <w:t>What is History?</w:t>
      </w:r>
      <w:r>
        <w:t xml:space="preserve"> p 24</w:t>
      </w:r>
    </w:p>
  </w:endnote>
  <w:endnote w:id="6">
    <w:p w14:paraId="53E09E18" w14:textId="26DD6317" w:rsidR="00782BDB" w:rsidRDefault="00782BDB">
      <w:pPr>
        <w:pStyle w:val="EndnoteText"/>
      </w:pPr>
      <w:r>
        <w:rPr>
          <w:rStyle w:val="EndnoteReference"/>
        </w:rPr>
        <w:endnoteRef/>
      </w:r>
      <w:r>
        <w:t xml:space="preserve"> Elton G. (1976) </w:t>
      </w:r>
      <w:r w:rsidRPr="00F347D8">
        <w:rPr>
          <w:i/>
        </w:rPr>
        <w:t>The Practice of History</w:t>
      </w:r>
      <w:r>
        <w:t xml:space="preserve"> p 88</w:t>
      </w:r>
    </w:p>
  </w:endnote>
  <w:endnote w:id="7">
    <w:p w14:paraId="2901A296" w14:textId="06DAC9C9" w:rsidR="00782BDB" w:rsidRDefault="00782BDB">
      <w:pPr>
        <w:pStyle w:val="EndnoteText"/>
      </w:pPr>
      <w:r>
        <w:rPr>
          <w:rStyle w:val="EndnoteReference"/>
        </w:rPr>
        <w:endnoteRef/>
      </w:r>
      <w:r>
        <w:t xml:space="preserve"> Barraclough G quoted in Marwick A (1970) </w:t>
      </w:r>
      <w:r w:rsidRPr="009B2AB2">
        <w:rPr>
          <w:i/>
        </w:rPr>
        <w:t>The Nature of History</w:t>
      </w:r>
      <w:r>
        <w:t xml:space="preserve"> p 131</w:t>
      </w:r>
    </w:p>
  </w:endnote>
  <w:endnote w:id="8">
    <w:p w14:paraId="359C4293" w14:textId="7F806CAC" w:rsidR="00782BDB" w:rsidRDefault="00782BDB">
      <w:pPr>
        <w:pStyle w:val="EndnoteText"/>
      </w:pPr>
      <w:r>
        <w:rPr>
          <w:rStyle w:val="EndnoteReference"/>
        </w:rPr>
        <w:endnoteRef/>
      </w:r>
      <w:r>
        <w:t xml:space="preserve"> Wood M. (1981) </w:t>
      </w:r>
      <w:r w:rsidRPr="009B2AB2">
        <w:rPr>
          <w:i/>
        </w:rPr>
        <w:t>In Search of the Dark Ages</w:t>
      </w:r>
      <w:r>
        <w:t xml:space="preserve"> p37</w:t>
      </w:r>
    </w:p>
  </w:endnote>
  <w:endnote w:id="9">
    <w:p w14:paraId="34E10E9E" w14:textId="6708F082" w:rsidR="00782BDB" w:rsidRDefault="00782BDB">
      <w:pPr>
        <w:pStyle w:val="EndnoteText"/>
      </w:pPr>
      <w:r>
        <w:rPr>
          <w:rStyle w:val="EndnoteReference"/>
        </w:rPr>
        <w:endnoteRef/>
      </w:r>
      <w:r>
        <w:t xml:space="preserve"> Sims-Williams P. (1983) ‘The settlement of England in Bede and the Chronicle’ </w:t>
      </w:r>
      <w:r w:rsidRPr="00826956">
        <w:rPr>
          <w:i/>
        </w:rPr>
        <w:t>Anglo-Saxon England</w:t>
      </w:r>
      <w:r>
        <w:t xml:space="preserve"> 12 1983 suggests that Zosimus is ‘an excellent source, since he followed the nearly contemporary account of Olympiodorus’ p10. He gives high value, as does Higham, to the two Gallic Chronicles, accepting the entry of ‘in or near the year 441’ (p 11) in the 452 Chronicle  that ‘Britain, having suffered various disasters up to this time, is brought under the control of the Saxons’ as close to definitive.</w:t>
      </w:r>
    </w:p>
  </w:endnote>
  <w:endnote w:id="10">
    <w:p w14:paraId="12E7429E" w14:textId="7CD5FAF7" w:rsidR="00782BDB" w:rsidRDefault="00782BDB" w:rsidP="008A76F9">
      <w:pPr>
        <w:pStyle w:val="FootnoteText"/>
      </w:pPr>
      <w:r>
        <w:rPr>
          <w:rStyle w:val="EndnoteReference"/>
        </w:rPr>
        <w:endnoteRef/>
      </w:r>
      <w:r>
        <w:t xml:space="preserve"> Dumville’s work in disproving this is taken as authoritative </w:t>
      </w:r>
      <w:bookmarkStart w:id="7" w:name="_Hlk532717005"/>
      <w:r>
        <w:t xml:space="preserve">Dumville D. (1976) ‘”Nennius” and the </w:t>
      </w:r>
      <w:r w:rsidRPr="009B2AB2">
        <w:rPr>
          <w:i/>
        </w:rPr>
        <w:t>Historia Brittonum</w:t>
      </w:r>
      <w:r>
        <w:t xml:space="preserve">’ </w:t>
      </w:r>
      <w:r w:rsidRPr="009B2AB2">
        <w:rPr>
          <w:i/>
        </w:rPr>
        <w:t>Studia Celtica</w:t>
      </w:r>
      <w:r>
        <w:t xml:space="preserve"> Vol X/XI 1975/76</w:t>
      </w:r>
    </w:p>
    <w:bookmarkEnd w:id="7"/>
  </w:endnote>
  <w:endnote w:id="11">
    <w:p w14:paraId="08B2F4DC" w14:textId="69A15BC6" w:rsidR="00782BDB" w:rsidRDefault="00782BDB" w:rsidP="008A76F9">
      <w:pPr>
        <w:pStyle w:val="FootnoteText"/>
      </w:pPr>
      <w:r>
        <w:rPr>
          <w:rStyle w:val="EndnoteReference"/>
        </w:rPr>
        <w:endnoteRef/>
      </w:r>
      <w:r>
        <w:t xml:space="preserve"> Gildas </w:t>
      </w:r>
      <w:r w:rsidRPr="002958E5">
        <w:rPr>
          <w:i/>
        </w:rPr>
        <w:t>The Ruin of Britain and other</w:t>
      </w:r>
      <w:r>
        <w:rPr>
          <w:i/>
        </w:rPr>
        <w:t xml:space="preserve"> </w:t>
      </w:r>
      <w:r w:rsidRPr="002958E5">
        <w:rPr>
          <w:i/>
        </w:rPr>
        <w:t>documents</w:t>
      </w:r>
      <w:r>
        <w:t xml:space="preserve"> p 28 edited and translated Michael Winterbottom (1978)</w:t>
      </w:r>
    </w:p>
  </w:endnote>
  <w:endnote w:id="12">
    <w:p w14:paraId="41CF11FC" w14:textId="6528364F" w:rsidR="00782BDB" w:rsidRDefault="00782BDB">
      <w:pPr>
        <w:pStyle w:val="EndnoteText"/>
      </w:pPr>
      <w:r>
        <w:rPr>
          <w:rStyle w:val="EndnoteReference"/>
        </w:rPr>
        <w:endnoteRef/>
      </w:r>
      <w:r>
        <w:t xml:space="preserve"> Gildas </w:t>
      </w:r>
      <w:r>
        <w:rPr>
          <w:i/>
        </w:rPr>
        <w:t>Ibid</w:t>
      </w:r>
      <w:r w:rsidRPr="002958E5">
        <w:rPr>
          <w:i/>
        </w:rPr>
        <w:t>.</w:t>
      </w:r>
      <w:r>
        <w:t xml:space="preserve"> p 16. Sims-Williams P. (1993)</w:t>
      </w:r>
      <w:r w:rsidRPr="003316CF">
        <w:t xml:space="preserve"> </w:t>
      </w:r>
      <w:r>
        <w:t xml:space="preserve">‘Gildas and the Anglo-Saxons’ </w:t>
      </w:r>
      <w:r w:rsidRPr="00D55F44">
        <w:rPr>
          <w:i/>
        </w:rPr>
        <w:t>Cambridge Medieval Celtic Studies</w:t>
      </w:r>
      <w:r>
        <w:t xml:space="preserve"> Vol 6 Winter 1993 suggests that neither date nor place for Badon were included by Gildas ‘because the battle may have been one of national importance’ (p8), so everyone knew of it anyway. </w:t>
      </w:r>
    </w:p>
  </w:endnote>
  <w:endnote w:id="13">
    <w:p w14:paraId="2A65E9F2" w14:textId="7DC21D64" w:rsidR="00782BDB" w:rsidRDefault="00782BDB">
      <w:pPr>
        <w:pStyle w:val="EndnoteText"/>
      </w:pPr>
      <w:r>
        <w:rPr>
          <w:rStyle w:val="EndnoteReference"/>
        </w:rPr>
        <w:endnoteRef/>
      </w:r>
      <w:r>
        <w:t xml:space="preserve"> Gildas </w:t>
      </w:r>
      <w:r>
        <w:rPr>
          <w:i/>
        </w:rPr>
        <w:t>Ibid</w:t>
      </w:r>
      <w:r w:rsidRPr="002958E5">
        <w:rPr>
          <w:i/>
        </w:rPr>
        <w:t>.</w:t>
      </w:r>
      <w:r>
        <w:t xml:space="preserve"> p28</w:t>
      </w:r>
    </w:p>
  </w:endnote>
  <w:endnote w:id="14">
    <w:p w14:paraId="5E144E5B" w14:textId="0458F15B" w:rsidR="00782BDB" w:rsidRDefault="00782BDB" w:rsidP="008A76F9">
      <w:pPr>
        <w:pStyle w:val="FootnoteText"/>
      </w:pPr>
      <w:r>
        <w:rPr>
          <w:rStyle w:val="EndnoteReference"/>
        </w:rPr>
        <w:endnoteRef/>
      </w:r>
      <w:r>
        <w:t xml:space="preserve"> Some have suggested that this means that Badon was 44 years less a month after Gildas’s birth, some that it is 44 years minus a month </w:t>
      </w:r>
      <w:r w:rsidRPr="002958E5">
        <w:rPr>
          <w:i/>
        </w:rPr>
        <w:t>before</w:t>
      </w:r>
      <w:r>
        <w:t xml:space="preserve"> his birth; some have even suggested it was 44 years less a month after the first appearance of the Saxons in Britain (</w:t>
      </w:r>
      <w:r w:rsidRPr="002958E5">
        <w:rPr>
          <w:i/>
        </w:rPr>
        <w:t>Adventus Saxonum</w:t>
      </w:r>
      <w:r>
        <w:t>). For Dumville’s view, which seems to be the most trustworthy, see later.</w:t>
      </w:r>
    </w:p>
  </w:endnote>
  <w:endnote w:id="15">
    <w:p w14:paraId="7A18774B" w14:textId="38B3CE80" w:rsidR="00782BDB" w:rsidRDefault="00782BDB" w:rsidP="008A76F9">
      <w:pPr>
        <w:pStyle w:val="FootnoteText"/>
      </w:pPr>
      <w:r>
        <w:rPr>
          <w:rStyle w:val="EndnoteReference"/>
        </w:rPr>
        <w:endnoteRef/>
      </w:r>
      <w:r>
        <w:t xml:space="preserve"> The other datable event is more controversial, the Letter to Aetius in chapter 20, p 23. The datable evidence has been taken to be </w:t>
      </w:r>
      <w:r w:rsidRPr="002958E5">
        <w:rPr>
          <w:i/>
        </w:rPr>
        <w:t>ter consul</w:t>
      </w:r>
      <w:r>
        <w:t xml:space="preserve">, </w:t>
      </w:r>
      <w:r w:rsidRPr="002958E5">
        <w:rPr>
          <w:i/>
        </w:rPr>
        <w:t>thrice consul</w:t>
      </w:r>
      <w:r>
        <w:rPr>
          <w:i/>
        </w:rPr>
        <w:t xml:space="preserve">, </w:t>
      </w:r>
      <w:r w:rsidRPr="003E15DA">
        <w:t>which dates the letter to at least 446, when Aetius became consul for the third time. However, since the text is written as</w:t>
      </w:r>
      <w:r>
        <w:rPr>
          <w:i/>
        </w:rPr>
        <w:t xml:space="preserve"> ‘</w:t>
      </w:r>
      <w:r w:rsidRPr="003E15DA">
        <w:t>Agitium</w:t>
      </w:r>
      <w:r>
        <w:t>’</w:t>
      </w:r>
      <w:r w:rsidRPr="003E15DA">
        <w:t xml:space="preserve"> (p95), some have suggested that this is not Aetius at all, though the mention in the introduction that one of the highlights of his account </w:t>
      </w:r>
      <w:r>
        <w:t xml:space="preserve">(p 16) would be the ‘Letter to Aetius’, this seems unlikely. This highlighting also seems to suggest that Higham’s assertion in </w:t>
      </w:r>
      <w:r w:rsidRPr="003E15DA">
        <w:rPr>
          <w:i/>
        </w:rPr>
        <w:t>The English Conquest</w:t>
      </w:r>
      <w:r>
        <w:t xml:space="preserve"> (1994) that there was no such letter and Gildas make it up, has little basis either (though it allows Higham to ignore it for dating purposes). The implications for dating are extensively outlined in Sims-Williams, P. </w:t>
      </w:r>
      <w:bookmarkStart w:id="8" w:name="_Hlk532724337"/>
      <w:r>
        <w:t>(1983</w:t>
      </w:r>
      <w:bookmarkEnd w:id="8"/>
      <w:r>
        <w:t xml:space="preserve">) </w:t>
      </w:r>
      <w:r w:rsidRPr="00D7301B">
        <w:rPr>
          <w:i/>
        </w:rPr>
        <w:t>op cit</w:t>
      </w:r>
      <w:r>
        <w:t xml:space="preserve">. However, if we follow Dumville’s logic in </w:t>
      </w:r>
      <w:r w:rsidRPr="00034340">
        <w:rPr>
          <w:i/>
        </w:rPr>
        <w:t>Sub Roman Britain</w:t>
      </w:r>
      <w:r>
        <w:t xml:space="preserve"> (1977) concerning scribal errors, it seems likely that the thrice should refer to the appeal, rather than the consulship, </w:t>
      </w:r>
      <w:r w:rsidRPr="00034340">
        <w:rPr>
          <w:i/>
        </w:rPr>
        <w:t>i.e.</w:t>
      </w:r>
      <w:r>
        <w:t xml:space="preserve"> </w:t>
      </w:r>
      <w:r w:rsidRPr="00034340">
        <w:rPr>
          <w:i/>
        </w:rPr>
        <w:t>Agito consuli ter gemitus Britannorum</w:t>
      </w:r>
      <w:r>
        <w:rPr>
          <w:i/>
        </w:rPr>
        <w:t xml:space="preserve">. </w:t>
      </w:r>
      <w:r w:rsidRPr="00B62521">
        <w:t>This</w:t>
      </w:r>
      <w:r>
        <w:t xml:space="preserve"> would certainly take away one of the apparently datable elements of  </w:t>
      </w:r>
      <w:r w:rsidRPr="00B62521">
        <w:rPr>
          <w:i/>
        </w:rPr>
        <w:t>De Excidio</w:t>
      </w:r>
      <w:r>
        <w:t>, but it would restore the original meaning and chronology to Gildas’s account and remove any doubt about the reliability of his handling of the issues.</w:t>
      </w:r>
    </w:p>
  </w:endnote>
  <w:endnote w:id="16">
    <w:p w14:paraId="612D05B8" w14:textId="023D504F" w:rsidR="00782BDB" w:rsidRDefault="00782BDB" w:rsidP="008A76F9">
      <w:pPr>
        <w:pStyle w:val="FootnoteText"/>
      </w:pPr>
      <w:r>
        <w:rPr>
          <w:rStyle w:val="EndnoteReference"/>
        </w:rPr>
        <w:endnoteRef/>
      </w:r>
      <w:r>
        <w:t xml:space="preserve"> </w:t>
      </w:r>
      <w:r w:rsidRPr="00B62521">
        <w:rPr>
          <w:i/>
        </w:rPr>
        <w:t>Annales Cambriae</w:t>
      </w:r>
      <w:r>
        <w:t xml:space="preserve"> in Coe J. &amp; Young S. (Eds.</w:t>
      </w:r>
      <w:r w:rsidRPr="00B62521">
        <w:rPr>
          <w:i/>
        </w:rPr>
        <w:t>) The Celtic Sources for the Arthurian Legend</w:t>
      </w:r>
      <w:r>
        <w:t xml:space="preserve"> (1995) p13</w:t>
      </w:r>
    </w:p>
  </w:endnote>
  <w:endnote w:id="17">
    <w:p w14:paraId="231288EC" w14:textId="31ECA0A6" w:rsidR="00782BDB" w:rsidRDefault="00782BDB">
      <w:pPr>
        <w:pStyle w:val="EndnoteText"/>
      </w:pPr>
      <w:r>
        <w:rPr>
          <w:rStyle w:val="EndnoteReference"/>
        </w:rPr>
        <w:endnoteRef/>
      </w:r>
      <w:r>
        <w:t xml:space="preserve"> Alcock L. (1973) </w:t>
      </w:r>
      <w:r w:rsidRPr="00B62521">
        <w:rPr>
          <w:i/>
        </w:rPr>
        <w:t>Arthur’s Britain</w:t>
      </w:r>
      <w:r>
        <w:t xml:space="preserve"> p39</w:t>
      </w:r>
    </w:p>
  </w:endnote>
  <w:endnote w:id="18">
    <w:p w14:paraId="0D27B8B9" w14:textId="7BC077BE" w:rsidR="00782BDB" w:rsidRDefault="00782BDB">
      <w:pPr>
        <w:pStyle w:val="EndnoteText"/>
      </w:pPr>
      <w:r>
        <w:rPr>
          <w:rStyle w:val="EndnoteReference"/>
        </w:rPr>
        <w:endnoteRef/>
      </w:r>
      <w:r>
        <w:t xml:space="preserve"> See Alcock’s explanation in </w:t>
      </w:r>
      <w:r w:rsidRPr="00B54018">
        <w:rPr>
          <w:i/>
        </w:rPr>
        <w:t>Ibid.</w:t>
      </w:r>
      <w:r>
        <w:t xml:space="preserve"> pp 39-40.</w:t>
      </w:r>
    </w:p>
  </w:endnote>
  <w:endnote w:id="19">
    <w:p w14:paraId="4EF9E617" w14:textId="6927F202" w:rsidR="00782BDB" w:rsidRDefault="00782BDB">
      <w:pPr>
        <w:pStyle w:val="EndnoteText"/>
      </w:pPr>
      <w:r>
        <w:rPr>
          <w:rStyle w:val="EndnoteReference"/>
        </w:rPr>
        <w:endnoteRef/>
      </w:r>
      <w:r>
        <w:t xml:space="preserve"> </w:t>
      </w:r>
      <w:r w:rsidRPr="00EA0BB7">
        <w:rPr>
          <w:i/>
        </w:rPr>
        <w:t>Ibid.</w:t>
      </w:r>
    </w:p>
  </w:endnote>
  <w:endnote w:id="20">
    <w:p w14:paraId="22150C71" w14:textId="13123BFC" w:rsidR="00782BDB" w:rsidRDefault="00782BDB">
      <w:pPr>
        <w:pStyle w:val="EndnoteText"/>
      </w:pPr>
      <w:r>
        <w:rPr>
          <w:rStyle w:val="EndnoteReference"/>
        </w:rPr>
        <w:endnoteRef/>
      </w:r>
      <w:r>
        <w:t xml:space="preserve"> Carleton D. (2018) </w:t>
      </w:r>
      <w:r w:rsidRPr="00B54018">
        <w:rPr>
          <w:i/>
        </w:rPr>
        <w:t>Arthur – Warrior and King</w:t>
      </w:r>
    </w:p>
  </w:endnote>
  <w:endnote w:id="21">
    <w:p w14:paraId="7E50460B" w14:textId="3319EE3C" w:rsidR="00782BDB" w:rsidRDefault="00782BDB">
      <w:pPr>
        <w:pStyle w:val="EndnoteText"/>
      </w:pPr>
      <w:r>
        <w:rPr>
          <w:rStyle w:val="EndnoteReference"/>
        </w:rPr>
        <w:endnoteRef/>
      </w:r>
      <w:r>
        <w:t xml:space="preserve"> </w:t>
      </w:r>
      <w:r w:rsidRPr="00B54018">
        <w:rPr>
          <w:i/>
        </w:rPr>
        <w:t>Ibid.</w:t>
      </w:r>
      <w:r>
        <w:t xml:space="preserve"> pp 189-193</w:t>
      </w:r>
    </w:p>
  </w:endnote>
  <w:endnote w:id="22">
    <w:p w14:paraId="3628F03D" w14:textId="6052AC33" w:rsidR="00782BDB" w:rsidRDefault="00782BDB" w:rsidP="003D46A1">
      <w:pPr>
        <w:pStyle w:val="FootnoteText"/>
      </w:pPr>
      <w:r>
        <w:rPr>
          <w:rStyle w:val="EndnoteReference"/>
        </w:rPr>
        <w:endnoteRef/>
      </w:r>
      <w:r>
        <w:t xml:space="preserve"> Fulton H.(2012)  ‘Introduction : Theories and Debates’ p1 in Fulton H. (Ed.) </w:t>
      </w:r>
      <w:r w:rsidRPr="00EA0BB7">
        <w:rPr>
          <w:i/>
        </w:rPr>
        <w:t>A Companion to Arthurian Literature</w:t>
      </w:r>
    </w:p>
  </w:endnote>
  <w:endnote w:id="23">
    <w:p w14:paraId="168CCF5D" w14:textId="36EDEABA" w:rsidR="00782BDB" w:rsidRDefault="00782BDB">
      <w:pPr>
        <w:pStyle w:val="EndnoteText"/>
      </w:pPr>
      <w:r>
        <w:rPr>
          <w:rStyle w:val="EndnoteReference"/>
        </w:rPr>
        <w:endnoteRef/>
      </w:r>
      <w:r>
        <w:t xml:space="preserve"> Gildas </w:t>
      </w:r>
      <w:r w:rsidRPr="00EA0BB7">
        <w:rPr>
          <w:i/>
        </w:rPr>
        <w:t>op cit.</w:t>
      </w:r>
      <w:r>
        <w:t xml:space="preserve"> p28</w:t>
      </w:r>
    </w:p>
  </w:endnote>
  <w:endnote w:id="24">
    <w:p w14:paraId="6301FA66" w14:textId="25BB5839" w:rsidR="00782BDB" w:rsidRDefault="00782BDB" w:rsidP="003D46A1">
      <w:pPr>
        <w:pStyle w:val="FootnoteText"/>
      </w:pPr>
      <w:r>
        <w:rPr>
          <w:rStyle w:val="EndnoteReference"/>
        </w:rPr>
        <w:endnoteRef/>
      </w:r>
      <w:r>
        <w:t xml:space="preserve"> Lane A (2012) ’The End of Roman Britain and the Coming of the Saxons: An Archaeological Context for Arthur?’ p19  in Fulton H. (Ed.) </w:t>
      </w:r>
      <w:r w:rsidRPr="00EA0BB7">
        <w:rPr>
          <w:i/>
        </w:rPr>
        <w:t>A Companion to Arthurian Literature</w:t>
      </w:r>
    </w:p>
  </w:endnote>
  <w:endnote w:id="25">
    <w:p w14:paraId="2C3FE697" w14:textId="03A0CAB0" w:rsidR="00782BDB" w:rsidRDefault="00782BDB" w:rsidP="003D46A1">
      <w:pPr>
        <w:pStyle w:val="FootnoteText"/>
      </w:pPr>
      <w:r>
        <w:rPr>
          <w:rStyle w:val="EndnoteReference"/>
        </w:rPr>
        <w:endnoteRef/>
      </w:r>
      <w:r>
        <w:t xml:space="preserve"> Myers J.N.L (1960) ‘Pelagius and the end of Roman Rule in Britain’p34 in </w:t>
      </w:r>
      <w:r w:rsidRPr="005A33B3">
        <w:rPr>
          <w:i/>
        </w:rPr>
        <w:t>The Journal of Roman Studies</w:t>
      </w:r>
      <w:r>
        <w:t xml:space="preserve"> Volume 50, Issue 1-2, November 1960</w:t>
      </w:r>
    </w:p>
  </w:endnote>
  <w:endnote w:id="26">
    <w:p w14:paraId="1208270C" w14:textId="1EA47FE1" w:rsidR="00782BDB" w:rsidRDefault="00782BDB" w:rsidP="003D46A1">
      <w:pPr>
        <w:pStyle w:val="FootnoteText"/>
      </w:pPr>
      <w:r>
        <w:rPr>
          <w:rStyle w:val="EndnoteReference"/>
        </w:rPr>
        <w:endnoteRef/>
      </w:r>
      <w:r>
        <w:t xml:space="preserve"> </w:t>
      </w:r>
      <w:r w:rsidRPr="00B54018">
        <w:rPr>
          <w:i/>
        </w:rPr>
        <w:t>Ibid</w:t>
      </w:r>
      <w:r>
        <w:t>. p 35</w:t>
      </w:r>
    </w:p>
  </w:endnote>
  <w:endnote w:id="27">
    <w:p w14:paraId="407796A7" w14:textId="477E30EC" w:rsidR="00782BDB" w:rsidRDefault="00782BDB" w:rsidP="003D46A1">
      <w:pPr>
        <w:pStyle w:val="FootnoteText"/>
      </w:pPr>
      <w:r>
        <w:rPr>
          <w:rStyle w:val="EndnoteReference"/>
        </w:rPr>
        <w:endnoteRef/>
      </w:r>
      <w:r>
        <w:t xml:space="preserve"> Morris J. (1980) (Ed. &amp; Trans.)  </w:t>
      </w:r>
      <w:r w:rsidRPr="00FE6654">
        <w:rPr>
          <w:i/>
        </w:rPr>
        <w:t>Arthurian Sources Vol 8: Nennius British History and The Welsh Annals</w:t>
      </w:r>
      <w:r>
        <w:rPr>
          <w:i/>
        </w:rPr>
        <w:t xml:space="preserve"> p35</w:t>
      </w:r>
    </w:p>
  </w:endnote>
  <w:endnote w:id="28">
    <w:p w14:paraId="2A12DA4F" w14:textId="595FB3B6" w:rsidR="00782BDB" w:rsidRDefault="00782BDB">
      <w:pPr>
        <w:pStyle w:val="EndnoteText"/>
      </w:pPr>
      <w:r>
        <w:rPr>
          <w:rStyle w:val="EndnoteReference"/>
        </w:rPr>
        <w:endnoteRef/>
      </w:r>
      <w:r>
        <w:t xml:space="preserve"> </w:t>
      </w:r>
      <w:r w:rsidRPr="00B54018">
        <w:rPr>
          <w:i/>
        </w:rPr>
        <w:t>Ibid</w:t>
      </w:r>
      <w:r>
        <w:t>. p 45</w:t>
      </w:r>
    </w:p>
  </w:endnote>
  <w:endnote w:id="29">
    <w:p w14:paraId="7E68B460" w14:textId="3C55D474" w:rsidR="00782BDB" w:rsidRDefault="00782BDB" w:rsidP="003D46A1">
      <w:pPr>
        <w:pStyle w:val="FootnoteText"/>
      </w:pPr>
      <w:r>
        <w:rPr>
          <w:rStyle w:val="EndnoteReference"/>
        </w:rPr>
        <w:endnoteRef/>
      </w:r>
      <w:r>
        <w:t xml:space="preserve"> Jones T. (1964) ‘The Early Evolution of the Legend of Arthur’ p3 </w:t>
      </w:r>
      <w:r w:rsidRPr="00FE6654">
        <w:rPr>
          <w:i/>
        </w:rPr>
        <w:t>Nottingham Medieval Studies</w:t>
      </w:r>
      <w:r>
        <w:t xml:space="preserve"> Vol 8</w:t>
      </w:r>
    </w:p>
  </w:endnote>
  <w:endnote w:id="30">
    <w:p w14:paraId="0FA8FC59" w14:textId="43D4232A" w:rsidR="00782BDB" w:rsidRDefault="00782BDB">
      <w:pPr>
        <w:pStyle w:val="EndnoteText"/>
      </w:pPr>
      <w:r>
        <w:rPr>
          <w:rStyle w:val="EndnoteReference"/>
        </w:rPr>
        <w:endnoteRef/>
      </w:r>
      <w:r>
        <w:t xml:space="preserve"> </w:t>
      </w:r>
      <w:r w:rsidRPr="00B54018">
        <w:rPr>
          <w:i/>
        </w:rPr>
        <w:t>Ibid.</w:t>
      </w:r>
      <w:r>
        <w:t xml:space="preserve"> p4</w:t>
      </w:r>
    </w:p>
  </w:endnote>
  <w:endnote w:id="31">
    <w:p w14:paraId="5FBA6BB1" w14:textId="286CB8C5" w:rsidR="00782BDB" w:rsidRDefault="00782BDB">
      <w:pPr>
        <w:pStyle w:val="EndnoteText"/>
      </w:pPr>
      <w:r>
        <w:rPr>
          <w:rStyle w:val="EndnoteReference"/>
        </w:rPr>
        <w:endnoteRef/>
      </w:r>
      <w:r>
        <w:t xml:space="preserve"> </w:t>
      </w:r>
      <w:r w:rsidRPr="00B54018">
        <w:rPr>
          <w:i/>
        </w:rPr>
        <w:t>Ibid.</w:t>
      </w:r>
      <w:r>
        <w:t xml:space="preserve"> p5</w:t>
      </w:r>
    </w:p>
  </w:endnote>
  <w:endnote w:id="32">
    <w:p w14:paraId="475A8EBB" w14:textId="53796B0A" w:rsidR="00782BDB" w:rsidRDefault="00782BDB" w:rsidP="003D46A1">
      <w:pPr>
        <w:pStyle w:val="FootnoteText"/>
      </w:pPr>
      <w:r>
        <w:rPr>
          <w:rStyle w:val="EndnoteReference"/>
        </w:rPr>
        <w:endnoteRef/>
      </w:r>
      <w:r>
        <w:t xml:space="preserve"> Jackson K. (1945) ‘Once Again Arthur’s Battles’ p57 </w:t>
      </w:r>
      <w:r w:rsidRPr="00FE6654">
        <w:rPr>
          <w:i/>
        </w:rPr>
        <w:t>Modern Philology</w:t>
      </w:r>
      <w:r>
        <w:t xml:space="preserve"> Vol 43 No. 1 (Aug. 1945)</w:t>
      </w:r>
    </w:p>
  </w:endnote>
  <w:endnote w:id="33">
    <w:p w14:paraId="38898E1C" w14:textId="75DEBDB9" w:rsidR="00782BDB" w:rsidRPr="003D46A1" w:rsidRDefault="00782BDB" w:rsidP="003D46A1">
      <w:pPr>
        <w:pStyle w:val="FootnoteText"/>
        <w:rPr>
          <w:i/>
        </w:rPr>
      </w:pPr>
      <w:r>
        <w:rPr>
          <w:rStyle w:val="EndnoteReference"/>
        </w:rPr>
        <w:endnoteRef/>
      </w:r>
      <w:r>
        <w:t xml:space="preserve"> Jackson K. (1963) ‘On the Northern British Section in Nennius’ p 21 in </w:t>
      </w:r>
      <w:r w:rsidRPr="00796162">
        <w:rPr>
          <w:i/>
        </w:rPr>
        <w:t>Jackson et al Celt and Saxon – Studies in the Early British Border</w:t>
      </w:r>
    </w:p>
  </w:endnote>
  <w:endnote w:id="34">
    <w:p w14:paraId="27E7F994" w14:textId="0B98897A" w:rsidR="00782BDB" w:rsidRDefault="00782BDB">
      <w:pPr>
        <w:pStyle w:val="EndnoteText"/>
      </w:pPr>
      <w:r>
        <w:rPr>
          <w:rStyle w:val="EndnoteReference"/>
        </w:rPr>
        <w:endnoteRef/>
      </w:r>
      <w:r>
        <w:t xml:space="preserve"> Jackson K. (1945) </w:t>
      </w:r>
      <w:r w:rsidRPr="00796162">
        <w:rPr>
          <w:i/>
        </w:rPr>
        <w:t>op cit.</w:t>
      </w:r>
      <w:r>
        <w:t xml:space="preserve"> p 57</w:t>
      </w:r>
    </w:p>
  </w:endnote>
  <w:endnote w:id="35">
    <w:p w14:paraId="4204504C" w14:textId="0297B52C" w:rsidR="00782BDB" w:rsidRDefault="00782BDB">
      <w:pPr>
        <w:pStyle w:val="EndnoteText"/>
      </w:pPr>
      <w:r>
        <w:rPr>
          <w:rStyle w:val="EndnoteReference"/>
        </w:rPr>
        <w:endnoteRef/>
      </w:r>
      <w:r>
        <w:t xml:space="preserve"> Jones T. (1964) </w:t>
      </w:r>
      <w:r w:rsidRPr="00796162">
        <w:rPr>
          <w:i/>
        </w:rPr>
        <w:t>op cit.</w:t>
      </w:r>
      <w:r>
        <w:t xml:space="preserve"> p 3</w:t>
      </w:r>
    </w:p>
  </w:endnote>
  <w:endnote w:id="36">
    <w:p w14:paraId="6C509CA1" w14:textId="743BA6E9" w:rsidR="00782BDB" w:rsidRDefault="00782BDB">
      <w:pPr>
        <w:pStyle w:val="EndnoteText"/>
      </w:pPr>
      <w:r>
        <w:rPr>
          <w:rStyle w:val="EndnoteReference"/>
        </w:rPr>
        <w:endnoteRef/>
      </w:r>
      <w:r>
        <w:t xml:space="preserve"> Bromwich R. (1976) ‘Concepts of Arthur’ p 181 in </w:t>
      </w:r>
      <w:r w:rsidRPr="00796162">
        <w:rPr>
          <w:i/>
        </w:rPr>
        <w:t>Studia Celtica</w:t>
      </w:r>
      <w:r>
        <w:t xml:space="preserve"> 10/11 1975/76</w:t>
      </w:r>
    </w:p>
  </w:endnote>
  <w:endnote w:id="37">
    <w:p w14:paraId="7CB06363" w14:textId="1E3EFC2E" w:rsidR="00782BDB" w:rsidRPr="002F3182" w:rsidRDefault="00782BDB">
      <w:pPr>
        <w:pStyle w:val="EndnoteText"/>
        <w:rPr>
          <w:i/>
        </w:rPr>
      </w:pPr>
      <w:r>
        <w:rPr>
          <w:rStyle w:val="EndnoteReference"/>
        </w:rPr>
        <w:endnoteRef/>
      </w:r>
      <w:r>
        <w:t xml:space="preserve"> See, for example Chadwick N. (1976) </w:t>
      </w:r>
      <w:r w:rsidRPr="002F3182">
        <w:rPr>
          <w:i/>
        </w:rPr>
        <w:t>The British Heroic Age</w:t>
      </w:r>
      <w:r>
        <w:t xml:space="preserve"> and Chadwick et al (1954) </w:t>
      </w:r>
      <w:r w:rsidRPr="002F3182">
        <w:rPr>
          <w:i/>
        </w:rPr>
        <w:t xml:space="preserve">Studies in Early British History </w:t>
      </w:r>
    </w:p>
  </w:endnote>
  <w:endnote w:id="38">
    <w:p w14:paraId="27AAE859" w14:textId="607422CB" w:rsidR="00782BDB" w:rsidRDefault="00782BDB" w:rsidP="002E178B">
      <w:pPr>
        <w:pStyle w:val="FootnoteText"/>
      </w:pPr>
      <w:r>
        <w:rPr>
          <w:rStyle w:val="EndnoteReference"/>
        </w:rPr>
        <w:endnoteRef/>
      </w:r>
      <w:r>
        <w:t xml:space="preserve"> Jones T. (1964) </w:t>
      </w:r>
      <w:r w:rsidRPr="00A207EA">
        <w:rPr>
          <w:i/>
        </w:rPr>
        <w:t>op cit</w:t>
      </w:r>
      <w:r>
        <w:t>. p9</w:t>
      </w:r>
    </w:p>
  </w:endnote>
  <w:endnote w:id="39">
    <w:p w14:paraId="366F5007" w14:textId="14CB9086" w:rsidR="00782BDB" w:rsidRDefault="00782BDB">
      <w:pPr>
        <w:pStyle w:val="EndnoteText"/>
      </w:pPr>
      <w:r>
        <w:rPr>
          <w:rStyle w:val="EndnoteReference"/>
        </w:rPr>
        <w:endnoteRef/>
      </w:r>
      <w:r>
        <w:t xml:space="preserve"> </w:t>
      </w:r>
      <w:bookmarkStart w:id="9" w:name="_Hlk532475410"/>
      <w:r w:rsidRPr="00B54018">
        <w:rPr>
          <w:i/>
        </w:rPr>
        <w:t>Ibid.</w:t>
      </w:r>
      <w:r>
        <w:t xml:space="preserve"> p 10</w:t>
      </w:r>
      <w:bookmarkEnd w:id="9"/>
    </w:p>
  </w:endnote>
  <w:endnote w:id="40">
    <w:p w14:paraId="267CCEC1" w14:textId="4CDF2CDF" w:rsidR="00782BDB" w:rsidRDefault="00782BDB">
      <w:pPr>
        <w:pStyle w:val="EndnoteText"/>
      </w:pPr>
      <w:r>
        <w:rPr>
          <w:rStyle w:val="EndnoteReference"/>
        </w:rPr>
        <w:endnoteRef/>
      </w:r>
      <w:r>
        <w:t xml:space="preserve"> </w:t>
      </w:r>
      <w:r w:rsidRPr="00B54018">
        <w:rPr>
          <w:i/>
        </w:rPr>
        <w:t>Ibid.</w:t>
      </w:r>
      <w:r>
        <w:t xml:space="preserve"> p 11</w:t>
      </w:r>
    </w:p>
  </w:endnote>
  <w:endnote w:id="41">
    <w:p w14:paraId="1F13F32E" w14:textId="5D41400E" w:rsidR="00782BDB" w:rsidRDefault="00782BDB">
      <w:pPr>
        <w:pStyle w:val="EndnoteText"/>
      </w:pPr>
      <w:r>
        <w:rPr>
          <w:rStyle w:val="EndnoteReference"/>
        </w:rPr>
        <w:endnoteRef/>
      </w:r>
      <w:r>
        <w:t xml:space="preserve"> </w:t>
      </w:r>
      <w:bookmarkStart w:id="10" w:name="_Hlk532475970"/>
      <w:r w:rsidRPr="00B54018">
        <w:rPr>
          <w:i/>
        </w:rPr>
        <w:t>Ibid.</w:t>
      </w:r>
      <w:r>
        <w:t xml:space="preserve"> p 19</w:t>
      </w:r>
      <w:bookmarkEnd w:id="10"/>
    </w:p>
  </w:endnote>
  <w:endnote w:id="42">
    <w:p w14:paraId="3715B793" w14:textId="1F329364" w:rsidR="00782BDB" w:rsidRDefault="00782BDB">
      <w:pPr>
        <w:pStyle w:val="EndnoteText"/>
      </w:pPr>
      <w:r>
        <w:rPr>
          <w:rStyle w:val="EndnoteReference"/>
        </w:rPr>
        <w:endnoteRef/>
      </w:r>
      <w:r>
        <w:t xml:space="preserve"> </w:t>
      </w:r>
      <w:r w:rsidRPr="00312106">
        <w:t>Davies S. (2007) (trans.)</w:t>
      </w:r>
      <w:r>
        <w:t xml:space="preserve"> ‘</w:t>
      </w:r>
      <w:r>
        <w:rPr>
          <w:i/>
        </w:rPr>
        <w:t>How Culhwch won Olwen’ pp 184 -189 in  The Mabinogion</w:t>
      </w:r>
    </w:p>
  </w:endnote>
  <w:endnote w:id="43">
    <w:p w14:paraId="72334A67" w14:textId="2B4BDA62" w:rsidR="00782BDB" w:rsidRDefault="00782BDB">
      <w:pPr>
        <w:pStyle w:val="EndnoteText"/>
      </w:pPr>
      <w:r>
        <w:rPr>
          <w:rStyle w:val="EndnoteReference"/>
        </w:rPr>
        <w:endnoteRef/>
      </w:r>
      <w:r>
        <w:t xml:space="preserve"> Jones T. (1964) </w:t>
      </w:r>
      <w:r w:rsidRPr="00A207EA">
        <w:rPr>
          <w:i/>
        </w:rPr>
        <w:t>op cit.</w:t>
      </w:r>
      <w:r>
        <w:t xml:space="preserve"> p 19</w:t>
      </w:r>
    </w:p>
  </w:endnote>
  <w:endnote w:id="44">
    <w:p w14:paraId="3E4661C8" w14:textId="24FE5683" w:rsidR="00782BDB" w:rsidRDefault="00782BDB">
      <w:pPr>
        <w:pStyle w:val="EndnoteText"/>
      </w:pPr>
      <w:r>
        <w:rPr>
          <w:rStyle w:val="EndnoteReference"/>
        </w:rPr>
        <w:endnoteRef/>
      </w:r>
      <w:r>
        <w:t xml:space="preserve"> Alcock L (1973) </w:t>
      </w:r>
      <w:r w:rsidRPr="00312106">
        <w:rPr>
          <w:i/>
        </w:rPr>
        <w:t>op cit</w:t>
      </w:r>
      <w:r>
        <w:t>. p xv</w:t>
      </w:r>
    </w:p>
  </w:endnote>
  <w:endnote w:id="45">
    <w:p w14:paraId="392D795D" w14:textId="5E588447" w:rsidR="00782BDB" w:rsidRDefault="00782BDB" w:rsidP="002E178B">
      <w:pPr>
        <w:pStyle w:val="FootnoteText"/>
      </w:pPr>
      <w:r>
        <w:rPr>
          <w:rStyle w:val="EndnoteReference"/>
        </w:rPr>
        <w:endnoteRef/>
      </w:r>
      <w:r>
        <w:t xml:space="preserve"> Morris J. (1977) </w:t>
      </w:r>
      <w:r w:rsidRPr="00312106">
        <w:rPr>
          <w:i/>
        </w:rPr>
        <w:t>The Age of Arthur Vol 1 Roman Britain and the Empire of Arthur</w:t>
      </w:r>
      <w:r>
        <w:t xml:space="preserve"> p ix</w:t>
      </w:r>
    </w:p>
  </w:endnote>
  <w:endnote w:id="46">
    <w:p w14:paraId="61DCDB36" w14:textId="166FE95E" w:rsidR="00782BDB" w:rsidRDefault="00782BDB">
      <w:pPr>
        <w:pStyle w:val="EndnoteText"/>
      </w:pPr>
      <w:r>
        <w:rPr>
          <w:rStyle w:val="EndnoteReference"/>
        </w:rPr>
        <w:endnoteRef/>
      </w:r>
      <w:r>
        <w:t xml:space="preserve"> Lane A. (2012) </w:t>
      </w:r>
      <w:r w:rsidRPr="00312106">
        <w:rPr>
          <w:i/>
        </w:rPr>
        <w:t>op cit.</w:t>
      </w:r>
      <w:r>
        <w:t xml:space="preserve"> p 15</w:t>
      </w:r>
    </w:p>
  </w:endnote>
  <w:endnote w:id="47">
    <w:p w14:paraId="32A96718" w14:textId="76506445" w:rsidR="00782BDB" w:rsidRDefault="00782BDB" w:rsidP="002E178B">
      <w:pPr>
        <w:pStyle w:val="FootnoteText"/>
      </w:pPr>
      <w:r>
        <w:rPr>
          <w:rStyle w:val="EndnoteReference"/>
        </w:rPr>
        <w:endnoteRef/>
      </w:r>
      <w:r>
        <w:t xml:space="preserve"> </w:t>
      </w:r>
      <w:hyperlink r:id="rId1" w:history="1">
        <w:r w:rsidRPr="0048680B">
          <w:rPr>
            <w:rStyle w:val="Hyperlink"/>
          </w:rPr>
          <w:t>http://blog.english-heritage.org.uk/discoveries-excavations-tintagel-castle/</w:t>
        </w:r>
      </w:hyperlink>
      <w:r>
        <w:t xml:space="preserve">. A recent film based on the excavations by Alice Roberts entitled </w:t>
      </w:r>
      <w:r w:rsidRPr="00376605">
        <w:rPr>
          <w:i/>
        </w:rPr>
        <w:t>King Arthur’s Britain: The Truth Unearthed</w:t>
      </w:r>
      <w:r>
        <w:t xml:space="preserve"> can be found at </w:t>
      </w:r>
      <w:r w:rsidRPr="00376605">
        <w:t>www.hddocumentary.com/bbc-king-arthurs-britain-2018/</w:t>
      </w:r>
    </w:p>
  </w:endnote>
  <w:endnote w:id="48">
    <w:p w14:paraId="0438E375" w14:textId="02DD13E2" w:rsidR="00782BDB" w:rsidRDefault="00782BDB">
      <w:pPr>
        <w:pStyle w:val="EndnoteText"/>
      </w:pPr>
      <w:r>
        <w:rPr>
          <w:rStyle w:val="EndnoteReference"/>
        </w:rPr>
        <w:endnoteRef/>
      </w:r>
      <w:r>
        <w:t xml:space="preserve"> Lane A. (2012) </w:t>
      </w:r>
      <w:r w:rsidRPr="00312106">
        <w:rPr>
          <w:i/>
        </w:rPr>
        <w:t>op cit.</w:t>
      </w:r>
      <w:r>
        <w:t xml:space="preserve"> p 27</w:t>
      </w:r>
    </w:p>
  </w:endnote>
  <w:endnote w:id="49">
    <w:p w14:paraId="5743A09F" w14:textId="6362A5B5" w:rsidR="00782BDB" w:rsidRDefault="00782BDB">
      <w:pPr>
        <w:pStyle w:val="EndnoteText"/>
      </w:pPr>
      <w:r>
        <w:rPr>
          <w:rStyle w:val="EndnoteReference"/>
        </w:rPr>
        <w:endnoteRef/>
      </w:r>
      <w:r>
        <w:t xml:space="preserve"> Higham N. J. (2002) </w:t>
      </w:r>
      <w:r w:rsidRPr="00DB2C31">
        <w:rPr>
          <w:i/>
        </w:rPr>
        <w:t>King Arthur: Myth-Making and History</w:t>
      </w:r>
      <w:r>
        <w:t xml:space="preserve"> p 28</w:t>
      </w:r>
    </w:p>
  </w:endnote>
  <w:endnote w:id="50">
    <w:p w14:paraId="732CB4BD" w14:textId="5CDB29A9" w:rsidR="00782BDB" w:rsidRDefault="00782BDB" w:rsidP="002E178B">
      <w:pPr>
        <w:pStyle w:val="FootnoteText"/>
      </w:pPr>
      <w:r>
        <w:rPr>
          <w:rStyle w:val="EndnoteReference"/>
        </w:rPr>
        <w:endnoteRef/>
      </w:r>
      <w:r>
        <w:t xml:space="preserve"> Halsall G (2013) </w:t>
      </w:r>
      <w:r w:rsidRPr="00DB2C31">
        <w:rPr>
          <w:i/>
        </w:rPr>
        <w:t>Worlds of Arthur – Facts and Fictions of the Dark Ages</w:t>
      </w:r>
      <w:r>
        <w:t xml:space="preserve"> p 7</w:t>
      </w:r>
    </w:p>
  </w:endnote>
  <w:endnote w:id="51">
    <w:p w14:paraId="28DCA621" w14:textId="6BDEC93D" w:rsidR="00782BDB" w:rsidRDefault="00782BDB">
      <w:pPr>
        <w:pStyle w:val="EndnoteText"/>
      </w:pPr>
      <w:r>
        <w:rPr>
          <w:rStyle w:val="EndnoteReference"/>
        </w:rPr>
        <w:endnoteRef/>
      </w:r>
      <w:r>
        <w:t xml:space="preserve"> </w:t>
      </w:r>
      <w:r w:rsidRPr="00B54018">
        <w:rPr>
          <w:i/>
        </w:rPr>
        <w:t>Ibid.</w:t>
      </w:r>
      <w:r>
        <w:t>p8</w:t>
      </w:r>
    </w:p>
  </w:endnote>
  <w:endnote w:id="52">
    <w:p w14:paraId="29144EF8" w14:textId="163F5B66" w:rsidR="00782BDB" w:rsidRDefault="00782BDB">
      <w:pPr>
        <w:pStyle w:val="EndnoteText"/>
      </w:pPr>
      <w:r>
        <w:rPr>
          <w:rStyle w:val="EndnoteReference"/>
        </w:rPr>
        <w:endnoteRef/>
      </w:r>
      <w:r>
        <w:t xml:space="preserve"> Higham N. J. (2002) </w:t>
      </w:r>
      <w:r w:rsidRPr="00DB2C31">
        <w:rPr>
          <w:i/>
        </w:rPr>
        <w:t>op cit.</w:t>
      </w:r>
      <w:r>
        <w:t xml:space="preserve"> p 30</w:t>
      </w:r>
    </w:p>
  </w:endnote>
  <w:endnote w:id="53">
    <w:p w14:paraId="10C7E73B" w14:textId="69D2D6A2" w:rsidR="00782BDB" w:rsidRDefault="00782BDB">
      <w:pPr>
        <w:pStyle w:val="EndnoteText"/>
      </w:pPr>
      <w:r>
        <w:rPr>
          <w:rStyle w:val="EndnoteReference"/>
        </w:rPr>
        <w:endnoteRef/>
      </w:r>
      <w:r>
        <w:t xml:space="preserve"> Halsall G (2013) </w:t>
      </w:r>
      <w:r w:rsidRPr="00DB2C31">
        <w:rPr>
          <w:i/>
        </w:rPr>
        <w:t>op cit</w:t>
      </w:r>
      <w:r>
        <w:rPr>
          <w:i/>
        </w:rPr>
        <w:t>.</w:t>
      </w:r>
      <w:r>
        <w:t xml:space="preserve"> p 8</w:t>
      </w:r>
    </w:p>
  </w:endnote>
  <w:endnote w:id="54">
    <w:p w14:paraId="627ED119" w14:textId="1421F04A" w:rsidR="00782BDB" w:rsidRDefault="00782BDB">
      <w:pPr>
        <w:pStyle w:val="EndnoteText"/>
      </w:pPr>
      <w:r>
        <w:rPr>
          <w:rStyle w:val="EndnoteReference"/>
        </w:rPr>
        <w:endnoteRef/>
      </w:r>
      <w:r>
        <w:t xml:space="preserve"> </w:t>
      </w:r>
      <w:r w:rsidRPr="00B54018">
        <w:rPr>
          <w:i/>
        </w:rPr>
        <w:t>Ibid.</w:t>
      </w:r>
      <w:r>
        <w:t xml:space="preserve"> p 9</w:t>
      </w:r>
    </w:p>
  </w:endnote>
  <w:endnote w:id="55">
    <w:p w14:paraId="6BD8B5BA" w14:textId="32FF89E4" w:rsidR="00782BDB" w:rsidRDefault="00782BDB" w:rsidP="002E178B">
      <w:pPr>
        <w:pStyle w:val="FootnoteText"/>
      </w:pPr>
      <w:r>
        <w:rPr>
          <w:rStyle w:val="EndnoteReference"/>
        </w:rPr>
        <w:endnoteRef/>
      </w:r>
      <w:r>
        <w:t xml:space="preserve"> ‘”Nennius” and the </w:t>
      </w:r>
      <w:r w:rsidRPr="009B2AB2">
        <w:rPr>
          <w:i/>
        </w:rPr>
        <w:t>Historia Brittonum</w:t>
      </w:r>
      <w:r>
        <w:t xml:space="preserve">’ </w:t>
      </w:r>
      <w:r w:rsidRPr="009B2AB2">
        <w:rPr>
          <w:i/>
        </w:rPr>
        <w:t>Studia Celtica</w:t>
      </w:r>
      <w:r>
        <w:t xml:space="preserve"> Vol X/XI 1975/76, ‘Sub Roman Britain: History and Legend’ </w:t>
      </w:r>
      <w:bookmarkStart w:id="11" w:name="_Hlk532716972"/>
      <w:r w:rsidRPr="004C4050">
        <w:rPr>
          <w:i/>
        </w:rPr>
        <w:t>History</w:t>
      </w:r>
      <w:r>
        <w:t xml:space="preserve"> Vol 62, Issue 205 June 1977</w:t>
      </w:r>
      <w:bookmarkEnd w:id="11"/>
      <w:r>
        <w:t xml:space="preserve">, ‘The Welsh Latin Annals’ </w:t>
      </w:r>
      <w:r w:rsidRPr="004C4050">
        <w:rPr>
          <w:i/>
        </w:rPr>
        <w:t>Studia Celtica</w:t>
      </w:r>
      <w:r>
        <w:t xml:space="preserve"> 12/13 1977/78, </w:t>
      </w:r>
      <w:bookmarkStart w:id="12" w:name="_Hlk532720882"/>
      <w:r>
        <w:t xml:space="preserve">‘The Historical Value of the </w:t>
      </w:r>
      <w:r w:rsidRPr="004C4050">
        <w:rPr>
          <w:i/>
        </w:rPr>
        <w:t>Historia Brittonum’</w:t>
      </w:r>
      <w:r>
        <w:rPr>
          <w:i/>
        </w:rPr>
        <w:t xml:space="preserve"> Arthurian Literature </w:t>
      </w:r>
      <w:r w:rsidRPr="004C4050">
        <w:t>VI 1986.</w:t>
      </w:r>
    </w:p>
    <w:bookmarkEnd w:id="12"/>
  </w:endnote>
  <w:endnote w:id="56">
    <w:p w14:paraId="727C2B0B" w14:textId="4B7D1A7B" w:rsidR="00782BDB" w:rsidRDefault="00782BDB" w:rsidP="008B6B38">
      <w:pPr>
        <w:pStyle w:val="FootnoteText"/>
      </w:pPr>
      <w:r>
        <w:rPr>
          <w:rStyle w:val="EndnoteReference"/>
        </w:rPr>
        <w:endnoteRef/>
      </w:r>
      <w:r>
        <w:t xml:space="preserve"> Halsall G.(2013) </w:t>
      </w:r>
      <w:r w:rsidRPr="0023645D">
        <w:rPr>
          <w:i/>
        </w:rPr>
        <w:t>op cit</w:t>
      </w:r>
      <w:r>
        <w:t>. p 51</w:t>
      </w:r>
    </w:p>
  </w:endnote>
  <w:endnote w:id="57">
    <w:p w14:paraId="4EAF5833" w14:textId="2F33EA1D" w:rsidR="00782BDB" w:rsidRDefault="00782BDB" w:rsidP="008B6B38">
      <w:pPr>
        <w:pStyle w:val="FootnoteText"/>
      </w:pPr>
      <w:r>
        <w:rPr>
          <w:rStyle w:val="EndnoteReference"/>
        </w:rPr>
        <w:endnoteRef/>
      </w:r>
      <w:r>
        <w:t xml:space="preserve"> Charles-Edwards T.(1995) </w:t>
      </w:r>
      <w:r w:rsidRPr="00EB2289">
        <w:rPr>
          <w:i/>
        </w:rPr>
        <w:t>op cit</w:t>
      </w:r>
      <w:r>
        <w:t>. p 17</w:t>
      </w:r>
    </w:p>
  </w:endnote>
  <w:endnote w:id="58">
    <w:p w14:paraId="2D503A6B" w14:textId="35EF0F8A" w:rsidR="00782BDB" w:rsidRDefault="00782BDB">
      <w:pPr>
        <w:pStyle w:val="EndnoteText"/>
      </w:pPr>
      <w:r>
        <w:rPr>
          <w:rStyle w:val="EndnoteReference"/>
        </w:rPr>
        <w:endnoteRef/>
      </w:r>
      <w:r>
        <w:t xml:space="preserve"> Dumville D. (1977) </w:t>
      </w:r>
      <w:r w:rsidRPr="00A309ED">
        <w:rPr>
          <w:i/>
        </w:rPr>
        <w:t>op cit.</w:t>
      </w:r>
      <w:r>
        <w:t xml:space="preserve"> p 177</w:t>
      </w:r>
    </w:p>
  </w:endnote>
  <w:endnote w:id="59">
    <w:p w14:paraId="62581AC4" w14:textId="26241CE4" w:rsidR="00734021" w:rsidRDefault="00734021">
      <w:pPr>
        <w:pStyle w:val="EndnoteText"/>
      </w:pPr>
      <w:r>
        <w:rPr>
          <w:rStyle w:val="EndnoteReference"/>
        </w:rPr>
        <w:endnoteRef/>
      </w:r>
      <w:r>
        <w:t xml:space="preserve"> </w:t>
      </w:r>
      <w:r w:rsidRPr="00734021">
        <w:rPr>
          <w:i/>
        </w:rPr>
        <w:t>Ibid.</w:t>
      </w:r>
      <w:r>
        <w:t xml:space="preserve"> p178</w:t>
      </w:r>
    </w:p>
  </w:endnote>
  <w:endnote w:id="60">
    <w:p w14:paraId="143A41A6" w14:textId="7243BF89" w:rsidR="00782BDB" w:rsidRDefault="00782BDB">
      <w:pPr>
        <w:pStyle w:val="EndnoteText"/>
      </w:pPr>
      <w:r>
        <w:rPr>
          <w:rStyle w:val="EndnoteReference"/>
        </w:rPr>
        <w:endnoteRef/>
      </w:r>
      <w:r>
        <w:t xml:space="preserve"> </w:t>
      </w:r>
      <w:r w:rsidRPr="00B54018">
        <w:rPr>
          <w:i/>
        </w:rPr>
        <w:t>Ibid</w:t>
      </w:r>
      <w:r w:rsidR="00734021">
        <w:rPr>
          <w:i/>
        </w:rPr>
        <w:t>.</w:t>
      </w:r>
    </w:p>
  </w:endnote>
  <w:endnote w:id="61">
    <w:p w14:paraId="1CE6E047" w14:textId="32174676" w:rsidR="00782BDB" w:rsidRDefault="00782BDB">
      <w:pPr>
        <w:pStyle w:val="EndnoteText"/>
      </w:pPr>
      <w:r>
        <w:rPr>
          <w:rStyle w:val="EndnoteReference"/>
        </w:rPr>
        <w:endnoteRef/>
      </w:r>
      <w:r>
        <w:t xml:space="preserve"> </w:t>
      </w:r>
      <w:r w:rsidRPr="00B54018">
        <w:rPr>
          <w:i/>
        </w:rPr>
        <w:t>Ibid.</w:t>
      </w:r>
      <w:r>
        <w:t xml:space="preserve"> p 175</w:t>
      </w:r>
    </w:p>
  </w:endnote>
  <w:endnote w:id="62">
    <w:p w14:paraId="103772CC" w14:textId="533C9C05" w:rsidR="00782BDB" w:rsidRDefault="00782BDB">
      <w:pPr>
        <w:pStyle w:val="EndnoteText"/>
      </w:pPr>
      <w:r>
        <w:rPr>
          <w:rStyle w:val="EndnoteReference"/>
        </w:rPr>
        <w:endnoteRef/>
      </w:r>
      <w:r>
        <w:t xml:space="preserve"> </w:t>
      </w:r>
      <w:r w:rsidRPr="00A309ED">
        <w:rPr>
          <w:i/>
        </w:rPr>
        <w:t>Ibid</w:t>
      </w:r>
      <w:r>
        <w:t>.</w:t>
      </w:r>
    </w:p>
  </w:endnote>
  <w:endnote w:id="63">
    <w:p w14:paraId="22979988" w14:textId="771BFEA7" w:rsidR="00782BDB" w:rsidRDefault="00782BDB">
      <w:pPr>
        <w:pStyle w:val="EndnoteText"/>
      </w:pPr>
      <w:r>
        <w:rPr>
          <w:rStyle w:val="EndnoteReference"/>
        </w:rPr>
        <w:endnoteRef/>
      </w:r>
      <w:r>
        <w:t xml:space="preserve"> </w:t>
      </w:r>
      <w:r w:rsidRPr="00B54018">
        <w:rPr>
          <w:i/>
        </w:rPr>
        <w:t>Ibid.</w:t>
      </w:r>
      <w:r>
        <w:t xml:space="preserve"> p 187</w:t>
      </w:r>
    </w:p>
  </w:endnote>
  <w:endnote w:id="64">
    <w:p w14:paraId="623867DF" w14:textId="4318A270" w:rsidR="00782BDB" w:rsidRDefault="00782BDB">
      <w:pPr>
        <w:pStyle w:val="EndnoteText"/>
      </w:pPr>
      <w:r>
        <w:rPr>
          <w:rStyle w:val="EndnoteReference"/>
        </w:rPr>
        <w:endnoteRef/>
      </w:r>
      <w:r>
        <w:t xml:space="preserve"> </w:t>
      </w:r>
      <w:r w:rsidRPr="00B54018">
        <w:rPr>
          <w:i/>
        </w:rPr>
        <w:t>Ibid.</w:t>
      </w:r>
      <w:r>
        <w:t xml:space="preserve"> p 188</w:t>
      </w:r>
    </w:p>
  </w:endnote>
  <w:endnote w:id="65">
    <w:p w14:paraId="64648AB9" w14:textId="2904ED7B" w:rsidR="00782BDB" w:rsidRDefault="00782BDB">
      <w:pPr>
        <w:pStyle w:val="EndnoteText"/>
      </w:pPr>
      <w:r>
        <w:rPr>
          <w:rStyle w:val="EndnoteReference"/>
        </w:rPr>
        <w:endnoteRef/>
      </w:r>
      <w:r>
        <w:t xml:space="preserve"> </w:t>
      </w:r>
      <w:r w:rsidRPr="00B54018">
        <w:rPr>
          <w:i/>
        </w:rPr>
        <w:t>Ibid.</w:t>
      </w:r>
      <w:r>
        <w:t xml:space="preserve"> p 187</w:t>
      </w:r>
    </w:p>
  </w:endnote>
  <w:endnote w:id="66">
    <w:p w14:paraId="06731A6A" w14:textId="2CB0B3CE" w:rsidR="00782BDB" w:rsidRDefault="00782BDB">
      <w:pPr>
        <w:pStyle w:val="EndnoteText"/>
      </w:pPr>
      <w:r>
        <w:rPr>
          <w:rStyle w:val="EndnoteReference"/>
        </w:rPr>
        <w:endnoteRef/>
      </w:r>
      <w:r>
        <w:t xml:space="preserve"> Summary of Dumville’s views by Charles-Edwards T. (1995) </w:t>
      </w:r>
      <w:r w:rsidRPr="00713C53">
        <w:rPr>
          <w:i/>
        </w:rPr>
        <w:t>op cit.</w:t>
      </w:r>
      <w:r>
        <w:t xml:space="preserve"> p18</w:t>
      </w:r>
    </w:p>
  </w:endnote>
  <w:endnote w:id="67">
    <w:p w14:paraId="0BEF608C" w14:textId="196DBE0C" w:rsidR="00782BDB" w:rsidRDefault="00782BDB">
      <w:pPr>
        <w:pStyle w:val="EndnoteText"/>
      </w:pPr>
      <w:r>
        <w:rPr>
          <w:rStyle w:val="EndnoteReference"/>
        </w:rPr>
        <w:endnoteRef/>
      </w:r>
      <w:r>
        <w:t xml:space="preserve"> </w:t>
      </w:r>
      <w:r w:rsidRPr="00713C53">
        <w:rPr>
          <w:i/>
        </w:rPr>
        <w:t>Ibid.</w:t>
      </w:r>
    </w:p>
  </w:endnote>
  <w:endnote w:id="68">
    <w:p w14:paraId="14C653AA" w14:textId="1A4ACA94" w:rsidR="00782BDB" w:rsidRDefault="00782BDB">
      <w:pPr>
        <w:pStyle w:val="EndnoteText"/>
      </w:pPr>
      <w:r>
        <w:rPr>
          <w:rStyle w:val="EndnoteReference"/>
        </w:rPr>
        <w:endnoteRef/>
      </w:r>
      <w:r>
        <w:t xml:space="preserve"> Charles-Edwards T. (1995) </w:t>
      </w:r>
      <w:r w:rsidRPr="00713C53">
        <w:rPr>
          <w:i/>
        </w:rPr>
        <w:t>op cit.</w:t>
      </w:r>
      <w:r>
        <w:t xml:space="preserve"> p 21</w:t>
      </w:r>
    </w:p>
  </w:endnote>
  <w:endnote w:id="69">
    <w:p w14:paraId="34ADC673" w14:textId="77E4AE08" w:rsidR="00782BDB" w:rsidRDefault="00782BDB">
      <w:pPr>
        <w:pStyle w:val="EndnoteText"/>
      </w:pPr>
      <w:r>
        <w:rPr>
          <w:rStyle w:val="EndnoteReference"/>
        </w:rPr>
        <w:endnoteRef/>
      </w:r>
      <w:r>
        <w:t xml:space="preserve"> Higham N.J. (2002) </w:t>
      </w:r>
      <w:r w:rsidRPr="00C24F96">
        <w:rPr>
          <w:i/>
        </w:rPr>
        <w:t>op cit.</w:t>
      </w:r>
      <w:r>
        <w:t xml:space="preserve"> p 37</w:t>
      </w:r>
    </w:p>
  </w:endnote>
  <w:endnote w:id="70">
    <w:p w14:paraId="3FD3687D" w14:textId="77FE3026" w:rsidR="00782BDB" w:rsidRDefault="00782BDB" w:rsidP="008B6B38">
      <w:pPr>
        <w:pStyle w:val="FootnoteText"/>
      </w:pPr>
      <w:r>
        <w:rPr>
          <w:rStyle w:val="EndnoteReference"/>
        </w:rPr>
        <w:endnoteRef/>
      </w:r>
      <w:r>
        <w:t xml:space="preserve"> Padel O. (1994) ‘The Nature of Arthur’ p 14  </w:t>
      </w:r>
      <w:r w:rsidRPr="00C24F96">
        <w:rPr>
          <w:i/>
        </w:rPr>
        <w:t>Cambrian Medieval Celtic Studies</w:t>
      </w:r>
      <w:r>
        <w:t xml:space="preserve"> Vol 27 Summer 1994</w:t>
      </w:r>
    </w:p>
  </w:endnote>
  <w:endnote w:id="71">
    <w:p w14:paraId="33E2863C" w14:textId="2A727622" w:rsidR="00782BDB" w:rsidRDefault="00782BDB">
      <w:pPr>
        <w:pStyle w:val="EndnoteText"/>
      </w:pPr>
      <w:r>
        <w:rPr>
          <w:rStyle w:val="EndnoteReference"/>
        </w:rPr>
        <w:endnoteRef/>
      </w:r>
      <w:r>
        <w:t xml:space="preserve"> </w:t>
      </w:r>
      <w:r w:rsidRPr="00B54018">
        <w:rPr>
          <w:i/>
        </w:rPr>
        <w:t>Ibid.</w:t>
      </w:r>
      <w:r>
        <w:t xml:space="preserve">  p 24</w:t>
      </w:r>
    </w:p>
  </w:endnote>
  <w:endnote w:id="72">
    <w:p w14:paraId="419FB700" w14:textId="66FB34EC" w:rsidR="00782BDB" w:rsidRDefault="00782BDB">
      <w:pPr>
        <w:pStyle w:val="EndnoteText"/>
      </w:pPr>
      <w:r>
        <w:rPr>
          <w:rStyle w:val="EndnoteReference"/>
        </w:rPr>
        <w:endnoteRef/>
      </w:r>
      <w:r>
        <w:t xml:space="preserve"> </w:t>
      </w:r>
      <w:r w:rsidRPr="00B54018">
        <w:rPr>
          <w:i/>
        </w:rPr>
        <w:t>Ibid.</w:t>
      </w:r>
      <w:r>
        <w:t xml:space="preserve"> pp 22-23</w:t>
      </w:r>
    </w:p>
  </w:endnote>
  <w:endnote w:id="73">
    <w:p w14:paraId="63C0E7BD" w14:textId="427C5C51" w:rsidR="00782BDB" w:rsidRDefault="00782BDB">
      <w:pPr>
        <w:pStyle w:val="EndnoteText"/>
      </w:pPr>
      <w:r>
        <w:rPr>
          <w:rStyle w:val="EndnoteReference"/>
        </w:rPr>
        <w:endnoteRef/>
      </w:r>
      <w:r>
        <w:t xml:space="preserve"> </w:t>
      </w:r>
      <w:r w:rsidRPr="00B54018">
        <w:rPr>
          <w:i/>
        </w:rPr>
        <w:t>Ibid.</w:t>
      </w:r>
      <w:r>
        <w:t xml:space="preserve"> p 23</w:t>
      </w:r>
    </w:p>
  </w:endnote>
  <w:endnote w:id="74">
    <w:p w14:paraId="334E4E6F" w14:textId="7EA76C99" w:rsidR="00782BDB" w:rsidRDefault="00782BDB">
      <w:pPr>
        <w:pStyle w:val="EndnoteText"/>
      </w:pPr>
      <w:r>
        <w:rPr>
          <w:rStyle w:val="EndnoteReference"/>
        </w:rPr>
        <w:endnoteRef/>
      </w:r>
      <w:r>
        <w:t xml:space="preserve"> The Arthur-related stories, </w:t>
      </w:r>
      <w:r w:rsidRPr="00F51631">
        <w:rPr>
          <w:i/>
        </w:rPr>
        <w:t>How Culhwch Won Olwen</w:t>
      </w:r>
      <w:r>
        <w:t xml:space="preserve">, </w:t>
      </w:r>
      <w:r w:rsidRPr="00F51631">
        <w:rPr>
          <w:i/>
        </w:rPr>
        <w:t>Rhonabwy’s Dream</w:t>
      </w:r>
      <w:r>
        <w:t xml:space="preserve">, </w:t>
      </w:r>
      <w:r w:rsidRPr="00F51631">
        <w:rPr>
          <w:i/>
        </w:rPr>
        <w:t>Geraint son o</w:t>
      </w:r>
      <w:r>
        <w:rPr>
          <w:i/>
        </w:rPr>
        <w:t>f</w:t>
      </w:r>
      <w:r w:rsidRPr="00F51631">
        <w:rPr>
          <w:i/>
        </w:rPr>
        <w:t xml:space="preserve"> Erbin</w:t>
      </w:r>
      <w:r>
        <w:rPr>
          <w:i/>
        </w:rPr>
        <w:t xml:space="preserve">, The Lady of the Well </w:t>
      </w:r>
      <w:r>
        <w:t xml:space="preserve"> and </w:t>
      </w:r>
      <w:r w:rsidRPr="00F51631">
        <w:rPr>
          <w:i/>
        </w:rPr>
        <w:t>Peredur son of Efrog</w:t>
      </w:r>
      <w:r>
        <w:rPr>
          <w:i/>
        </w:rPr>
        <w:t xml:space="preserve"> </w:t>
      </w:r>
      <w:r w:rsidRPr="00F51631">
        <w:t>are all bound together</w:t>
      </w:r>
      <w:r>
        <w:rPr>
          <w:i/>
        </w:rPr>
        <w:t xml:space="preserve"> </w:t>
      </w:r>
      <w:r w:rsidRPr="00F51631">
        <w:t>in the</w:t>
      </w:r>
      <w:r>
        <w:rPr>
          <w:i/>
        </w:rPr>
        <w:t xml:space="preserve"> White Book of Rhydderch </w:t>
      </w:r>
      <w:r w:rsidRPr="00F51631">
        <w:t>and</w:t>
      </w:r>
      <w:r>
        <w:t>/or</w:t>
      </w:r>
      <w:r w:rsidRPr="00F51631">
        <w:t xml:space="preserve"> the</w:t>
      </w:r>
      <w:r>
        <w:rPr>
          <w:i/>
        </w:rPr>
        <w:t xml:space="preserve"> Red Book of Hergest, </w:t>
      </w:r>
      <w:r w:rsidRPr="00F51631">
        <w:t xml:space="preserve">which is the earliest complete form </w:t>
      </w:r>
      <w:r>
        <w:t xml:space="preserve">of all of the poems and of the </w:t>
      </w:r>
      <w:r w:rsidRPr="00F51631">
        <w:rPr>
          <w:i/>
        </w:rPr>
        <w:t>Four Branches of the Mabinogi</w:t>
      </w:r>
      <w:r>
        <w:t xml:space="preserve"> themselves. The dating of the Arthurian stories, as with that of the Mabinogi, is unclear, and it is likely that all the stories had some oral form before they were written down, however Sioned Davies notes of </w:t>
      </w:r>
      <w:r w:rsidRPr="00734021">
        <w:rPr>
          <w:i/>
        </w:rPr>
        <w:t>How Culhwch Won Olwen</w:t>
      </w:r>
      <w:r>
        <w:t xml:space="preserve"> that ‘whatever its date, it certainly bears no resemblance to the Arthurian history of Geoffrey of Monmouth. Rather, the atmosphere is akin to that seen in early Welsh poems such as ‘What man is the Gatekeeper?’, where Arthur and his band of warriors roam the country fighting witches, chasing monsters, and overpowering supernatural opponents’. Davies S. (2007) </w:t>
      </w:r>
      <w:r w:rsidRPr="00812870">
        <w:rPr>
          <w:i/>
        </w:rPr>
        <w:t>op cit.</w:t>
      </w:r>
      <w:r>
        <w:t xml:space="preserve"> p xxii. Sims-Williams also notes the connections between one of the Arthurian poems in the </w:t>
      </w:r>
      <w:r w:rsidRPr="00DF61C5">
        <w:rPr>
          <w:i/>
        </w:rPr>
        <w:t>Book of Taliesin</w:t>
      </w:r>
      <w:r>
        <w:t xml:space="preserve">, </w:t>
      </w:r>
      <w:r w:rsidRPr="00DF61C5">
        <w:rPr>
          <w:i/>
        </w:rPr>
        <w:t>Preiddeu Annwyn/The Spoils of the Underworld</w:t>
      </w:r>
      <w:r>
        <w:t xml:space="preserve">, which has a parallel in Bran’s expedition to Ireland in the Second Branch of the Mabinogi; Pryderi and Taliesin are mentioned as among the seven survivors (the former is also mentioned in the </w:t>
      </w:r>
      <w:r w:rsidRPr="00DF61C5">
        <w:rPr>
          <w:i/>
        </w:rPr>
        <w:t>Spoils</w:t>
      </w:r>
      <w:r>
        <w:t xml:space="preserve">). Sims-Williams P. (1995) ‘The Early Welsh Arthurian Poems’ Bromwich, Jarman, Roberts (Eds) </w:t>
      </w:r>
      <w:r w:rsidRPr="00681193">
        <w:rPr>
          <w:i/>
        </w:rPr>
        <w:t>The Arthur of the Welsh</w:t>
      </w:r>
      <w:r>
        <w:t xml:space="preserve">. John Koch suggests that </w:t>
      </w:r>
      <w:r w:rsidRPr="006D4F9F">
        <w:rPr>
          <w:i/>
        </w:rPr>
        <w:t>Spoils</w:t>
      </w:r>
      <w:r>
        <w:t xml:space="preserve"> in fact dates back to  ‘the 8</w:t>
      </w:r>
      <w:r w:rsidRPr="006D4F9F">
        <w:rPr>
          <w:vertAlign w:val="superscript"/>
        </w:rPr>
        <w:t>th</w:t>
      </w:r>
      <w:r>
        <w:t xml:space="preserve"> or 9</w:t>
      </w:r>
      <w:r w:rsidRPr="006D4F9F">
        <w:rPr>
          <w:vertAlign w:val="superscript"/>
        </w:rPr>
        <w:t>th</w:t>
      </w:r>
      <w:r>
        <w:t xml:space="preserve"> century, which makes it one of the earliest pieces of Arthurian literature’ Koch J.T. (2003) (ed</w:t>
      </w:r>
      <w:r w:rsidRPr="006D4F9F">
        <w:rPr>
          <w:i/>
        </w:rPr>
        <w:t xml:space="preserve">.) The Celtic Heroic Age – Literary Sources for Ancient Celtic Europe &amp; </w:t>
      </w:r>
      <w:r>
        <w:rPr>
          <w:i/>
        </w:rPr>
        <w:t>E</w:t>
      </w:r>
      <w:r w:rsidRPr="006D4F9F">
        <w:rPr>
          <w:i/>
        </w:rPr>
        <w:t>arly Ireland &amp; Wales</w:t>
      </w:r>
    </w:p>
  </w:endnote>
  <w:endnote w:id="75">
    <w:p w14:paraId="366FF932" w14:textId="3062042E" w:rsidR="00782BDB" w:rsidRDefault="00782BDB">
      <w:pPr>
        <w:pStyle w:val="EndnoteText"/>
      </w:pPr>
      <w:r>
        <w:rPr>
          <w:rStyle w:val="EndnoteReference"/>
        </w:rPr>
        <w:endnoteRef/>
      </w:r>
      <w:r>
        <w:t xml:space="preserve"> Rhys reference  in Green T. (1994) </w:t>
      </w:r>
      <w:r w:rsidRPr="003303DF">
        <w:rPr>
          <w:i/>
        </w:rPr>
        <w:t>The Historicity and Historicisation</w:t>
      </w:r>
      <w:r>
        <w:t xml:space="preserve"> of Arthur p 20; extended quote in Green T. (2007</w:t>
      </w:r>
      <w:r w:rsidRPr="003303DF">
        <w:rPr>
          <w:i/>
        </w:rPr>
        <w:t>) op cit.</w:t>
      </w:r>
      <w:r>
        <w:t xml:space="preserve"> p 178</w:t>
      </w:r>
    </w:p>
  </w:endnote>
  <w:endnote w:id="76">
    <w:p w14:paraId="057D313B" w14:textId="7E9F5D99" w:rsidR="00782BDB" w:rsidRDefault="00782BDB">
      <w:pPr>
        <w:pStyle w:val="EndnoteText"/>
      </w:pPr>
      <w:r>
        <w:rPr>
          <w:rStyle w:val="EndnoteReference"/>
        </w:rPr>
        <w:endnoteRef/>
      </w:r>
      <w:r>
        <w:t xml:space="preserve"> Padel O. (1994) </w:t>
      </w:r>
      <w:r w:rsidRPr="00B54BA6">
        <w:rPr>
          <w:i/>
        </w:rPr>
        <w:t>op cit</w:t>
      </w:r>
      <w:r>
        <w:t>. p 24</w:t>
      </w:r>
    </w:p>
  </w:endnote>
  <w:endnote w:id="77">
    <w:p w14:paraId="44094218" w14:textId="5A800B03" w:rsidR="00782BDB" w:rsidRDefault="00782BDB">
      <w:pPr>
        <w:pStyle w:val="EndnoteText"/>
      </w:pPr>
      <w:r>
        <w:rPr>
          <w:rStyle w:val="EndnoteReference"/>
        </w:rPr>
        <w:endnoteRef/>
      </w:r>
      <w:r>
        <w:t xml:space="preserve"> Quoted in Wood, M. </w:t>
      </w:r>
      <w:r w:rsidRPr="00B50BD1">
        <w:rPr>
          <w:i/>
        </w:rPr>
        <w:t>In Search of the Dark Ages</w:t>
      </w:r>
      <w:r>
        <w:t xml:space="preserve"> (1981) p 60</w:t>
      </w:r>
    </w:p>
  </w:endnote>
  <w:endnote w:id="78">
    <w:p w14:paraId="573A27F6" w14:textId="13B84839" w:rsidR="00782BDB" w:rsidRDefault="00782BDB">
      <w:pPr>
        <w:pStyle w:val="EndnoteText"/>
      </w:pPr>
      <w:r>
        <w:rPr>
          <w:rStyle w:val="EndnoteReference"/>
        </w:rPr>
        <w:endnoteRef/>
      </w:r>
      <w:r>
        <w:t xml:space="preserve"> ‘We cannot know what quantity of Welsh Arthurian material, oral or written, prose or poetry, from the Middle Ages has been lost; all we can do is extrapolate from what survives’ Padel O. (2000) </w:t>
      </w:r>
      <w:r w:rsidRPr="006D4F9F">
        <w:rPr>
          <w:i/>
        </w:rPr>
        <w:t>Arthur in Medieval Welsh Literature</w:t>
      </w:r>
      <w:r>
        <w:rPr>
          <w:i/>
        </w:rPr>
        <w:t xml:space="preserve"> p14. </w:t>
      </w:r>
      <w:r w:rsidRPr="00DE54EF">
        <w:t>He also accepts</w:t>
      </w:r>
      <w:r>
        <w:rPr>
          <w:i/>
        </w:rPr>
        <w:t xml:space="preserve"> </w:t>
      </w:r>
      <w:r w:rsidRPr="00DE54EF">
        <w:t>that although ‘it is widely assumed</w:t>
      </w:r>
      <w:r>
        <w:rPr>
          <w:i/>
        </w:rPr>
        <w:t xml:space="preserve"> </w:t>
      </w:r>
      <w:r w:rsidRPr="00DE54EF">
        <w:t xml:space="preserve">that the legendary figure was derived from a historical one… it is </w:t>
      </w:r>
      <w:r>
        <w:rPr>
          <w:i/>
        </w:rPr>
        <w:t xml:space="preserve">equally </w:t>
      </w:r>
      <w:r w:rsidRPr="00DE54EF">
        <w:rPr>
          <w:i/>
        </w:rPr>
        <w:t>possible</w:t>
      </w:r>
      <w:r w:rsidRPr="00DE54EF">
        <w:t xml:space="preserve"> that the seemingly historical Arthur was created by the historicization of a figure of legend</w:t>
      </w:r>
      <w:r>
        <w:rPr>
          <w:i/>
        </w:rPr>
        <w:t xml:space="preserve">’ Ibid. </w:t>
      </w:r>
      <w:r w:rsidRPr="00DE54EF">
        <w:t>p1 (my emphasis).</w:t>
      </w:r>
      <w:r>
        <w:rPr>
          <w:i/>
        </w:rPr>
        <w:t xml:space="preserve"> </w:t>
      </w:r>
    </w:p>
  </w:endnote>
  <w:endnote w:id="79">
    <w:p w14:paraId="3D1A2A9F" w14:textId="64CE34CB" w:rsidR="00782BDB" w:rsidRDefault="00782BDB" w:rsidP="008B6B38">
      <w:pPr>
        <w:pStyle w:val="FootnoteText"/>
      </w:pPr>
      <w:r>
        <w:rPr>
          <w:rStyle w:val="EndnoteReference"/>
        </w:rPr>
        <w:endnoteRef/>
      </w:r>
      <w:r>
        <w:t xml:space="preserve"> Matthews C.  (2008) Review of </w:t>
      </w:r>
      <w:r w:rsidRPr="00B54BA6">
        <w:rPr>
          <w:i/>
        </w:rPr>
        <w:t>Concepts of Arthur</w:t>
      </w:r>
      <w:r>
        <w:t xml:space="preserve"> by Thomas Green p 91 in </w:t>
      </w:r>
      <w:r w:rsidRPr="00B54BA6">
        <w:rPr>
          <w:i/>
        </w:rPr>
        <w:t xml:space="preserve">Arthuriana </w:t>
      </w:r>
      <w:r>
        <w:t>Vol 18, No 4 Winter 2008</w:t>
      </w:r>
    </w:p>
  </w:endnote>
  <w:endnote w:id="80">
    <w:p w14:paraId="4A69BCD5" w14:textId="56CBF99C" w:rsidR="00782BDB" w:rsidRDefault="00782BDB" w:rsidP="00B54FBE">
      <w:pPr>
        <w:pStyle w:val="FootnoteText"/>
      </w:pPr>
      <w:r>
        <w:rPr>
          <w:rStyle w:val="EndnoteReference"/>
        </w:rPr>
        <w:endnoteRef/>
      </w:r>
      <w:r>
        <w:t xml:space="preserve"> Fimi D. (2009) Review of </w:t>
      </w:r>
      <w:r w:rsidRPr="00B54BA6">
        <w:rPr>
          <w:i/>
        </w:rPr>
        <w:t>Concepts of Arthur</w:t>
      </w:r>
      <w:r>
        <w:t xml:space="preserve"> by Thomas Green p724 in </w:t>
      </w:r>
      <w:r w:rsidRPr="00B54BA6">
        <w:rPr>
          <w:i/>
        </w:rPr>
        <w:t>Speculum</w:t>
      </w:r>
      <w:r>
        <w:t xml:space="preserve"> Vol 84 No. 3 July 2009</w:t>
      </w:r>
    </w:p>
  </w:endnote>
  <w:endnote w:id="81">
    <w:p w14:paraId="3C5CB0B9" w14:textId="43CBA164" w:rsidR="00782BDB" w:rsidRDefault="00782BDB">
      <w:pPr>
        <w:pStyle w:val="EndnoteText"/>
      </w:pPr>
      <w:r>
        <w:rPr>
          <w:rStyle w:val="EndnoteReference"/>
        </w:rPr>
        <w:endnoteRef/>
      </w:r>
      <w:r>
        <w:t xml:space="preserve"> Padel O. (2000) </w:t>
      </w:r>
      <w:r>
        <w:rPr>
          <w:i/>
        </w:rPr>
        <w:t>op cit.</w:t>
      </w:r>
      <w:r>
        <w:t xml:space="preserve"> p 15</w:t>
      </w:r>
    </w:p>
  </w:endnote>
  <w:endnote w:id="82">
    <w:p w14:paraId="15BFB88E" w14:textId="424A51A1" w:rsidR="00782BDB" w:rsidRDefault="00782BDB" w:rsidP="00B54FBE">
      <w:pPr>
        <w:pStyle w:val="FootnoteText"/>
      </w:pPr>
      <w:r>
        <w:rPr>
          <w:rStyle w:val="EndnoteReference"/>
        </w:rPr>
        <w:endnoteRef/>
      </w:r>
      <w:r>
        <w:t xml:space="preserve"> Thorpe L. (ed.) (1966)  Geoffrey of Monmouth </w:t>
      </w:r>
      <w:r w:rsidRPr="00B54BA6">
        <w:rPr>
          <w:i/>
        </w:rPr>
        <w:t>The History of the Kings of Britain</w:t>
      </w:r>
      <w:r>
        <w:t xml:space="preserve"> p 51</w:t>
      </w:r>
    </w:p>
  </w:endnote>
  <w:endnote w:id="83">
    <w:p w14:paraId="5138FC54" w14:textId="096530BD" w:rsidR="00782BDB" w:rsidRDefault="00782BDB">
      <w:pPr>
        <w:pStyle w:val="EndnoteText"/>
      </w:pPr>
      <w:r>
        <w:rPr>
          <w:rStyle w:val="EndnoteReference"/>
        </w:rPr>
        <w:endnoteRef/>
      </w:r>
      <w:r>
        <w:t xml:space="preserve"> Padel O. (1994) </w:t>
      </w:r>
      <w:r w:rsidRPr="004E6CCB">
        <w:rPr>
          <w:i/>
        </w:rPr>
        <w:t>op cit.</w:t>
      </w:r>
      <w:r>
        <w:t xml:space="preserve"> p13</w:t>
      </w:r>
    </w:p>
  </w:endnote>
  <w:endnote w:id="84">
    <w:p w14:paraId="049DDB4A" w14:textId="5F0BB832" w:rsidR="00782BDB" w:rsidRDefault="00782BDB" w:rsidP="00B54FBE">
      <w:pPr>
        <w:pStyle w:val="FootnoteText"/>
      </w:pPr>
      <w:r>
        <w:rPr>
          <w:rStyle w:val="EndnoteReference"/>
        </w:rPr>
        <w:endnoteRef/>
      </w:r>
      <w:r>
        <w:t xml:space="preserve"> Green T. (2007) </w:t>
      </w:r>
      <w:r w:rsidRPr="004E6CCB">
        <w:rPr>
          <w:i/>
        </w:rPr>
        <w:t>op cit.</w:t>
      </w:r>
      <w:r>
        <w:t xml:space="preserve"> The whole of Chapter 1 repeatedly goes back to this phrase.</w:t>
      </w:r>
    </w:p>
  </w:endnote>
  <w:endnote w:id="85">
    <w:p w14:paraId="72211A42" w14:textId="1E2DD331" w:rsidR="00782BDB" w:rsidRDefault="00782BDB">
      <w:pPr>
        <w:pStyle w:val="EndnoteText"/>
      </w:pPr>
      <w:r>
        <w:rPr>
          <w:rStyle w:val="EndnoteReference"/>
        </w:rPr>
        <w:endnoteRef/>
      </w:r>
      <w:r>
        <w:t xml:space="preserve"> Matthews C (2008) </w:t>
      </w:r>
      <w:r w:rsidRPr="004E6CCB">
        <w:rPr>
          <w:i/>
        </w:rPr>
        <w:t>op cit.</w:t>
      </w:r>
      <w:r>
        <w:t xml:space="preserve"> p 90</w:t>
      </w:r>
    </w:p>
  </w:endnote>
  <w:endnote w:id="86">
    <w:p w14:paraId="552B116D" w14:textId="13BF236B" w:rsidR="00782BDB" w:rsidRDefault="00782BDB">
      <w:pPr>
        <w:pStyle w:val="EndnoteText"/>
      </w:pPr>
      <w:r>
        <w:rPr>
          <w:rStyle w:val="EndnoteReference"/>
        </w:rPr>
        <w:endnoteRef/>
      </w:r>
      <w:r>
        <w:t xml:space="preserve"> Fulton (2012) </w:t>
      </w:r>
      <w:r w:rsidRPr="004E6CCB">
        <w:rPr>
          <w:i/>
        </w:rPr>
        <w:t>op cit.</w:t>
      </w:r>
      <w:r>
        <w:t xml:space="preserve"> p1</w:t>
      </w:r>
    </w:p>
  </w:endnote>
  <w:endnote w:id="87">
    <w:p w14:paraId="2E4CC5F1" w14:textId="2357F213" w:rsidR="00782BDB" w:rsidRDefault="00782BDB">
      <w:pPr>
        <w:pStyle w:val="EndnoteText"/>
      </w:pPr>
      <w:r>
        <w:rPr>
          <w:rStyle w:val="EndnoteReference"/>
        </w:rPr>
        <w:endnoteRef/>
      </w:r>
      <w:r>
        <w:t xml:space="preserve"> Gildas’ purpose was to launch a ‘Complaint’ against the’ present situation’. Chapters 27 – 110 are thus an attack on the forces that have led to the ‘ruin of Britain’, the kings and the clergy, the former who are ‘tyrants’ p29, the latter ‘fools… treacherous grabbers…[and] wolves all ready to slaughter souls’ p52. Gildas </w:t>
      </w:r>
      <w:r w:rsidRPr="007C7264">
        <w:rPr>
          <w:i/>
        </w:rPr>
        <w:t>op cit</w:t>
      </w:r>
      <w:r>
        <w:t xml:space="preserve">. </w:t>
      </w:r>
    </w:p>
  </w:endnote>
  <w:endnote w:id="88">
    <w:p w14:paraId="0D5AF210" w14:textId="0B684FC1" w:rsidR="00782BDB" w:rsidRDefault="00782BDB">
      <w:pPr>
        <w:pStyle w:val="EndnoteText"/>
      </w:pPr>
      <w:r>
        <w:rPr>
          <w:rStyle w:val="EndnoteReference"/>
        </w:rPr>
        <w:endnoteRef/>
      </w:r>
      <w:r>
        <w:t xml:space="preserve"> </w:t>
      </w:r>
      <w:r w:rsidRPr="00B54018">
        <w:rPr>
          <w:i/>
        </w:rPr>
        <w:t>Ibid.</w:t>
      </w:r>
      <w:r>
        <w:t xml:space="preserve"> note 13.2 p 149</w:t>
      </w:r>
    </w:p>
  </w:endnote>
  <w:endnote w:id="89">
    <w:p w14:paraId="499CD337" w14:textId="48809607" w:rsidR="00782BDB" w:rsidRDefault="00782BDB">
      <w:pPr>
        <w:pStyle w:val="EndnoteText"/>
      </w:pPr>
      <w:r>
        <w:rPr>
          <w:rStyle w:val="EndnoteReference"/>
        </w:rPr>
        <w:endnoteRef/>
      </w:r>
      <w:r>
        <w:t xml:space="preserve"> Higham N. J. (1994) </w:t>
      </w:r>
      <w:r w:rsidRPr="00C67284">
        <w:rPr>
          <w:i/>
        </w:rPr>
        <w:t>op cit</w:t>
      </w:r>
      <w:r>
        <w:t>. p 120</w:t>
      </w:r>
    </w:p>
  </w:endnote>
  <w:endnote w:id="90">
    <w:p w14:paraId="0115ADB5" w14:textId="0D31F71E" w:rsidR="00782BDB" w:rsidRDefault="00782BDB" w:rsidP="00B54FBE">
      <w:pPr>
        <w:pStyle w:val="FootnoteText"/>
      </w:pPr>
      <w:r>
        <w:rPr>
          <w:rStyle w:val="EndnoteReference"/>
        </w:rPr>
        <w:endnoteRef/>
      </w:r>
      <w:r>
        <w:t xml:space="preserve"> Dumville D. (1977) suggests ‘Gildas is our prime text for the outline history of the period from the end of Roman rule to the mid sixth-century. He alone seems to have had access to contemporary sources for the fifth century and was an eye-witness to the earlier sixth.’ p 191.The oral history point is particularly supported by Sims- Williams P. (1993) </w:t>
      </w:r>
      <w:r w:rsidRPr="003316CF">
        <w:rPr>
          <w:i/>
        </w:rPr>
        <w:t>op cit</w:t>
      </w:r>
      <w:r>
        <w:t xml:space="preserve">. </w:t>
      </w:r>
    </w:p>
  </w:endnote>
  <w:endnote w:id="91">
    <w:p w14:paraId="257A2EE8" w14:textId="1EE931EC" w:rsidR="00782BDB" w:rsidRDefault="00782BDB" w:rsidP="00B54FBE">
      <w:pPr>
        <w:pStyle w:val="FootnoteText"/>
      </w:pPr>
      <w:r>
        <w:rPr>
          <w:rStyle w:val="EndnoteReference"/>
        </w:rPr>
        <w:endnoteRef/>
      </w:r>
      <w:r>
        <w:t xml:space="preserve">  Dumville D. (1984) ‘The Chronology of </w:t>
      </w:r>
      <w:r w:rsidRPr="00B54FBE">
        <w:rPr>
          <w:i/>
        </w:rPr>
        <w:t>De Excidio Brittanniae</w:t>
      </w:r>
      <w:r>
        <w:t xml:space="preserve">, Book I’ p77 in Lapidge M. &amp; Dumville D. (Eds) </w:t>
      </w:r>
      <w:r w:rsidRPr="00AF5BF8">
        <w:rPr>
          <w:i/>
        </w:rPr>
        <w:t>Gildas: New Approaches</w:t>
      </w:r>
    </w:p>
  </w:endnote>
  <w:endnote w:id="92">
    <w:p w14:paraId="7592EEE5" w14:textId="689E6081" w:rsidR="00782BDB" w:rsidRDefault="00782BDB">
      <w:pPr>
        <w:pStyle w:val="EndnoteText"/>
      </w:pPr>
      <w:r>
        <w:rPr>
          <w:rStyle w:val="EndnoteReference"/>
        </w:rPr>
        <w:endnoteRef/>
      </w:r>
      <w:r>
        <w:t xml:space="preserve"> Gildas </w:t>
      </w:r>
      <w:r w:rsidRPr="00AF5BF8">
        <w:rPr>
          <w:i/>
        </w:rPr>
        <w:t>op cit</w:t>
      </w:r>
      <w:r>
        <w:t>. p 28</w:t>
      </w:r>
    </w:p>
  </w:endnote>
  <w:endnote w:id="93">
    <w:p w14:paraId="2E480191" w14:textId="6E8D0B83" w:rsidR="00782BDB" w:rsidRDefault="00782BDB">
      <w:pPr>
        <w:pStyle w:val="EndnoteText"/>
      </w:pPr>
      <w:r>
        <w:rPr>
          <w:rStyle w:val="EndnoteReference"/>
        </w:rPr>
        <w:endnoteRef/>
      </w:r>
      <w:r>
        <w:t xml:space="preserve"> Dumville D (1984) </w:t>
      </w:r>
      <w:r w:rsidRPr="00AF5BF8">
        <w:rPr>
          <w:i/>
        </w:rPr>
        <w:t>op cit.</w:t>
      </w:r>
      <w:r>
        <w:t xml:space="preserve"> p 77</w:t>
      </w:r>
    </w:p>
  </w:endnote>
  <w:endnote w:id="94">
    <w:p w14:paraId="2E10CE90" w14:textId="5A85C212" w:rsidR="00782BDB" w:rsidRDefault="00782BDB">
      <w:pPr>
        <w:pStyle w:val="EndnoteText"/>
      </w:pPr>
      <w:r>
        <w:rPr>
          <w:rStyle w:val="EndnoteReference"/>
        </w:rPr>
        <w:endnoteRef/>
      </w:r>
      <w:r>
        <w:t xml:space="preserve"> Higham N. J. (1994) </w:t>
      </w:r>
      <w:r w:rsidRPr="00AF5BF8">
        <w:rPr>
          <w:i/>
        </w:rPr>
        <w:t>op cit.</w:t>
      </w:r>
      <w:r>
        <w:t xml:space="preserve"> p 205</w:t>
      </w:r>
    </w:p>
  </w:endnote>
  <w:endnote w:id="95">
    <w:p w14:paraId="40252FFC" w14:textId="49B227ED" w:rsidR="00782BDB" w:rsidRDefault="00782BDB">
      <w:pPr>
        <w:pStyle w:val="EndnoteText"/>
      </w:pPr>
      <w:r>
        <w:rPr>
          <w:rStyle w:val="EndnoteReference"/>
        </w:rPr>
        <w:endnoteRef/>
      </w:r>
      <w:r>
        <w:t xml:space="preserve"> Gildas </w:t>
      </w:r>
      <w:r w:rsidRPr="00AF5BF8">
        <w:rPr>
          <w:i/>
        </w:rPr>
        <w:t>op cit.</w:t>
      </w:r>
      <w:r>
        <w:t xml:space="preserve"> p 16. This may also be another explanation, of course, for why Gildas does not name the ‘Victor of Badon’; the victory is </w:t>
      </w:r>
      <w:r w:rsidRPr="00991346">
        <w:rPr>
          <w:b/>
        </w:rPr>
        <w:t>God’s</w:t>
      </w:r>
      <w:r>
        <w:t xml:space="preserve">, rather any mortal’s, especially if the ‘Victor’ was wearing the arms of Christ or Mary on their shield or on their body in some way, as suggested in </w:t>
      </w:r>
      <w:r w:rsidRPr="00AD3192">
        <w:rPr>
          <w:i/>
        </w:rPr>
        <w:t>HB</w:t>
      </w:r>
      <w:r>
        <w:t xml:space="preserve"> and </w:t>
      </w:r>
      <w:r w:rsidRPr="00AD3192">
        <w:rPr>
          <w:i/>
        </w:rPr>
        <w:t>AC</w:t>
      </w:r>
      <w:r>
        <w:t>.</w:t>
      </w:r>
    </w:p>
  </w:endnote>
  <w:endnote w:id="96">
    <w:p w14:paraId="65977152" w14:textId="36C269C4" w:rsidR="00782BDB" w:rsidRDefault="00782BDB">
      <w:pPr>
        <w:pStyle w:val="EndnoteText"/>
      </w:pPr>
      <w:r>
        <w:rPr>
          <w:rStyle w:val="EndnoteReference"/>
        </w:rPr>
        <w:endnoteRef/>
      </w:r>
      <w:r>
        <w:t xml:space="preserve"> </w:t>
      </w:r>
      <w:r w:rsidRPr="00716FE2">
        <w:rPr>
          <w:i/>
        </w:rPr>
        <w:t>Ibid.</w:t>
      </w:r>
      <w:r>
        <w:t xml:space="preserve"> p 28</w:t>
      </w:r>
    </w:p>
  </w:endnote>
  <w:endnote w:id="97">
    <w:p w14:paraId="0E7F1CFB" w14:textId="1CABD6E8" w:rsidR="00782BDB" w:rsidRPr="00991346" w:rsidRDefault="00782BDB" w:rsidP="00991346">
      <w:pPr>
        <w:rPr>
          <w:sz w:val="20"/>
          <w:szCs w:val="20"/>
        </w:rPr>
      </w:pPr>
      <w:r>
        <w:rPr>
          <w:rStyle w:val="EndnoteReference"/>
        </w:rPr>
        <w:endnoteRef/>
      </w:r>
      <w:r>
        <w:t xml:space="preserve"> </w:t>
      </w:r>
      <w:r w:rsidRPr="006735FC">
        <w:rPr>
          <w:sz w:val="20"/>
          <w:szCs w:val="20"/>
        </w:rPr>
        <w:t xml:space="preserve">Jones T. (1963) </w:t>
      </w:r>
      <w:r w:rsidRPr="006735FC">
        <w:rPr>
          <w:i/>
          <w:sz w:val="20"/>
          <w:szCs w:val="20"/>
        </w:rPr>
        <w:t>op c</w:t>
      </w:r>
      <w:r>
        <w:rPr>
          <w:i/>
          <w:sz w:val="20"/>
          <w:szCs w:val="20"/>
        </w:rPr>
        <w:t>it.</w:t>
      </w:r>
      <w:r w:rsidRPr="006735FC">
        <w:rPr>
          <w:i/>
          <w:sz w:val="20"/>
          <w:szCs w:val="20"/>
        </w:rPr>
        <w:t xml:space="preserve"> </w:t>
      </w:r>
      <w:r w:rsidRPr="006735FC">
        <w:rPr>
          <w:sz w:val="20"/>
          <w:szCs w:val="20"/>
        </w:rPr>
        <w:t>Roberts, B</w:t>
      </w:r>
      <w:r>
        <w:rPr>
          <w:sz w:val="20"/>
          <w:szCs w:val="20"/>
        </w:rPr>
        <w:t xml:space="preserve"> </w:t>
      </w:r>
      <w:r w:rsidRPr="006735FC">
        <w:rPr>
          <w:sz w:val="20"/>
          <w:szCs w:val="20"/>
        </w:rPr>
        <w:t xml:space="preserve">(1992) ‘From Traditional Tales to Literary Story’ in Roberts, B.F. </w:t>
      </w:r>
      <w:r w:rsidRPr="006735FC">
        <w:rPr>
          <w:i/>
          <w:sz w:val="20"/>
          <w:szCs w:val="20"/>
        </w:rPr>
        <w:t>Studies on Middle Welsh Literatur</w:t>
      </w:r>
      <w:r>
        <w:rPr>
          <w:i/>
          <w:sz w:val="20"/>
          <w:szCs w:val="20"/>
        </w:rPr>
        <w:t xml:space="preserve">e &amp; </w:t>
      </w:r>
      <w:r w:rsidRPr="006735FC">
        <w:rPr>
          <w:sz w:val="20"/>
          <w:szCs w:val="20"/>
        </w:rPr>
        <w:t xml:space="preserve">Roberts, </w:t>
      </w:r>
      <w:r>
        <w:rPr>
          <w:sz w:val="20"/>
          <w:szCs w:val="20"/>
        </w:rPr>
        <w:t xml:space="preserve">B </w:t>
      </w:r>
      <w:r w:rsidRPr="006735FC">
        <w:rPr>
          <w:sz w:val="20"/>
          <w:szCs w:val="20"/>
        </w:rPr>
        <w:t xml:space="preserve">(1988) ‘Oral Tradition and Welsh Literature: A Description and Survey’ in </w:t>
      </w:r>
      <w:r w:rsidRPr="006735FC">
        <w:rPr>
          <w:i/>
          <w:sz w:val="20"/>
          <w:szCs w:val="20"/>
        </w:rPr>
        <w:t>Oral Tradition</w:t>
      </w:r>
      <w:r w:rsidRPr="006735FC">
        <w:rPr>
          <w:sz w:val="20"/>
          <w:szCs w:val="20"/>
        </w:rPr>
        <w:t>, 3/1-2 (198</w:t>
      </w:r>
      <w:r>
        <w:rPr>
          <w:sz w:val="20"/>
          <w:szCs w:val="20"/>
        </w:rPr>
        <w:t xml:space="preserve">0). This is also covered in the introduction and notes to Davies S. (2007) </w:t>
      </w:r>
      <w:r w:rsidRPr="00AD3192">
        <w:rPr>
          <w:i/>
          <w:sz w:val="20"/>
          <w:szCs w:val="20"/>
        </w:rPr>
        <w:t>op cit</w:t>
      </w:r>
      <w:r>
        <w:rPr>
          <w:sz w:val="20"/>
          <w:szCs w:val="20"/>
        </w:rPr>
        <w:t>.</w:t>
      </w:r>
    </w:p>
  </w:endnote>
  <w:endnote w:id="98">
    <w:p w14:paraId="1A218CB7" w14:textId="3CEDA26E" w:rsidR="00782BDB" w:rsidRDefault="00782BDB" w:rsidP="00991346">
      <w:pPr>
        <w:pStyle w:val="FootnoteText"/>
      </w:pPr>
      <w:r>
        <w:rPr>
          <w:rStyle w:val="EndnoteReference"/>
        </w:rPr>
        <w:endnoteRef/>
      </w:r>
      <w:r>
        <w:t xml:space="preserve"> Sims-Williams P. (1995) </w:t>
      </w:r>
      <w:r w:rsidRPr="00AD3192">
        <w:rPr>
          <w:i/>
        </w:rPr>
        <w:t>op cit</w:t>
      </w:r>
      <w:r>
        <w:t>. p 61</w:t>
      </w:r>
    </w:p>
  </w:endnote>
  <w:endnote w:id="99">
    <w:p w14:paraId="57421B82" w14:textId="07603D41" w:rsidR="00782BDB" w:rsidRDefault="00782BDB">
      <w:pPr>
        <w:pStyle w:val="EndnoteText"/>
      </w:pPr>
      <w:r>
        <w:rPr>
          <w:rStyle w:val="EndnoteReference"/>
        </w:rPr>
        <w:endnoteRef/>
      </w:r>
      <w:r>
        <w:t xml:space="preserve"> There is also a plausible argument that this tradition may have been picked up the </w:t>
      </w:r>
      <w:r w:rsidRPr="00AD3192">
        <w:rPr>
          <w:i/>
        </w:rPr>
        <w:t>HB</w:t>
      </w:r>
      <w:r>
        <w:t xml:space="preserve"> author as a result of transmission from the North, most plausibly after the collapse of the Britons’ kingdoms in the North following the Battle of Chester in 616 and represented by the traditions around Llywarch Hen. Chadwick (1976) </w:t>
      </w:r>
      <w:r w:rsidRPr="00827734">
        <w:rPr>
          <w:i/>
        </w:rPr>
        <w:t>op cit.</w:t>
      </w:r>
      <w:r>
        <w:t xml:space="preserve"> and Bromwich R (1976) </w:t>
      </w:r>
      <w:r w:rsidRPr="00827734">
        <w:rPr>
          <w:i/>
        </w:rPr>
        <w:t>op cit.</w:t>
      </w:r>
      <w:r>
        <w:t xml:space="preserve"> make something of a case for this, as does Andrew Breeze, from a rather different angle (Breeze 2015, Breeze 2016), but that is beyond the scope of this particular essay.</w:t>
      </w:r>
    </w:p>
  </w:endnote>
  <w:endnote w:id="100">
    <w:p w14:paraId="21C7CDB4" w14:textId="1380529A" w:rsidR="00782BDB" w:rsidRDefault="00782BDB">
      <w:pPr>
        <w:pStyle w:val="EndnoteText"/>
      </w:pPr>
      <w:r>
        <w:rPr>
          <w:rStyle w:val="EndnoteReference"/>
        </w:rPr>
        <w:endnoteRef/>
      </w:r>
      <w:r>
        <w:t xml:space="preserve"> Higham N.J. (2002) </w:t>
      </w:r>
      <w:r w:rsidRPr="00CC0B2A">
        <w:rPr>
          <w:i/>
        </w:rPr>
        <w:t>op cit.</w:t>
      </w:r>
      <w:r>
        <w:t xml:space="preserve"> p 218</w:t>
      </w:r>
    </w:p>
  </w:endnote>
  <w:endnote w:id="101">
    <w:p w14:paraId="2BC67EE8" w14:textId="26BEDA89" w:rsidR="00782BDB" w:rsidRDefault="00782BDB" w:rsidP="009645FB">
      <w:r>
        <w:rPr>
          <w:rStyle w:val="EndnoteReference"/>
        </w:rPr>
        <w:endnoteRef/>
      </w:r>
      <w:r>
        <w:t xml:space="preserve"> </w:t>
      </w:r>
      <w:r w:rsidRPr="009645FB">
        <w:rPr>
          <w:sz w:val="20"/>
          <w:szCs w:val="20"/>
        </w:rPr>
        <w:t xml:space="preserve">Garmonsway G. N. (Trans.) </w:t>
      </w:r>
      <w:r w:rsidRPr="009645FB">
        <w:rPr>
          <w:i/>
          <w:sz w:val="20"/>
          <w:szCs w:val="20"/>
        </w:rPr>
        <w:t>The Anglo-Saxon Chronicle</w:t>
      </w:r>
      <w:r w:rsidRPr="009645FB">
        <w:rPr>
          <w:sz w:val="20"/>
          <w:szCs w:val="20"/>
        </w:rPr>
        <w:t xml:space="preserve"> p 63 Laud chronicle entry for 828 [830]. Egberht had also briefly established his control of the other Anglo-Saxon kingdoms, including Mercia.</w:t>
      </w:r>
    </w:p>
  </w:endnote>
  <w:endnote w:id="102">
    <w:p w14:paraId="41330C6A" w14:textId="1DF7B753" w:rsidR="00782BDB" w:rsidRDefault="00782BDB" w:rsidP="00991346">
      <w:pPr>
        <w:pStyle w:val="FootnoteText"/>
      </w:pPr>
      <w:r>
        <w:rPr>
          <w:rStyle w:val="EndnoteReference"/>
        </w:rPr>
        <w:endnoteRef/>
      </w:r>
      <w:r>
        <w:t xml:space="preserve"> Higham N. (2018) ‘The King Arthur Delusion’ p </w:t>
      </w:r>
      <w:r w:rsidRPr="00CC0B2A">
        <w:t xml:space="preserve">37 </w:t>
      </w:r>
      <w:r w:rsidRPr="00CC0B2A">
        <w:rPr>
          <w:i/>
        </w:rPr>
        <w:t>BBC History Magazine</w:t>
      </w:r>
      <w:r>
        <w:t xml:space="preserve"> December 2018</w:t>
      </w:r>
    </w:p>
  </w:endnote>
  <w:endnote w:id="103">
    <w:p w14:paraId="198C787A" w14:textId="0D4EAAB6" w:rsidR="00782BDB" w:rsidRDefault="00782BDB">
      <w:pPr>
        <w:pStyle w:val="EndnoteText"/>
      </w:pPr>
      <w:r>
        <w:rPr>
          <w:rStyle w:val="EndnoteReference"/>
        </w:rPr>
        <w:endnoteRef/>
      </w:r>
      <w:r>
        <w:t xml:space="preserve"> Higham N.J. (2002) </w:t>
      </w:r>
      <w:r w:rsidRPr="0053059D">
        <w:rPr>
          <w:i/>
        </w:rPr>
        <w:t>op cit.</w:t>
      </w:r>
      <w:r>
        <w:t xml:space="preserve"> p 221</w:t>
      </w:r>
    </w:p>
  </w:endnote>
  <w:endnote w:id="104">
    <w:p w14:paraId="04035B36" w14:textId="2EEE38A5" w:rsidR="00782BDB" w:rsidRDefault="00782BDB">
      <w:pPr>
        <w:pStyle w:val="EndnoteText"/>
      </w:pPr>
      <w:r>
        <w:rPr>
          <w:rStyle w:val="EndnoteReference"/>
        </w:rPr>
        <w:endnoteRef/>
      </w:r>
      <w:r>
        <w:t xml:space="preserve"> </w:t>
      </w:r>
      <w:r w:rsidRPr="00716FE2">
        <w:rPr>
          <w:i/>
        </w:rPr>
        <w:t>Ibid.</w:t>
      </w:r>
      <w:r>
        <w:t xml:space="preserve"> p 223</w:t>
      </w:r>
    </w:p>
  </w:endnote>
  <w:endnote w:id="105">
    <w:p w14:paraId="0DC16CE0" w14:textId="76F563DB" w:rsidR="00782BDB" w:rsidRDefault="00782BDB" w:rsidP="00991346">
      <w:pPr>
        <w:pStyle w:val="FootnoteText"/>
      </w:pPr>
      <w:r>
        <w:rPr>
          <w:rStyle w:val="EndnoteReference"/>
        </w:rPr>
        <w:endnoteRef/>
      </w:r>
      <w:r>
        <w:t xml:space="preserve"> Roberts B. F. (1995) ‘Geoffrey of Monmouth, </w:t>
      </w:r>
      <w:r w:rsidRPr="0053059D">
        <w:rPr>
          <w:i/>
        </w:rPr>
        <w:t>Historia Regum Brittaniae</w:t>
      </w:r>
      <w:r>
        <w:t xml:space="preserve"> and </w:t>
      </w:r>
      <w:r w:rsidRPr="0053059D">
        <w:rPr>
          <w:i/>
        </w:rPr>
        <w:t>Brut y Brenhinedd</w:t>
      </w:r>
      <w:r>
        <w:t xml:space="preserve">’ p108 in Bromwich, Jarman &amp; Roberts (Eds) </w:t>
      </w:r>
      <w:r w:rsidRPr="00681193">
        <w:rPr>
          <w:i/>
        </w:rPr>
        <w:t>The Arthur of the Welsh</w:t>
      </w:r>
    </w:p>
  </w:endnote>
  <w:endnote w:id="106">
    <w:p w14:paraId="69164830" w14:textId="11EA6176" w:rsidR="00782BDB" w:rsidRPr="00991346" w:rsidRDefault="00782BDB" w:rsidP="00991346">
      <w:pPr>
        <w:pStyle w:val="FootnoteText"/>
        <w:rPr>
          <w:i/>
        </w:rPr>
      </w:pPr>
      <w:r>
        <w:rPr>
          <w:rStyle w:val="EndnoteReference"/>
        </w:rPr>
        <w:endnoteRef/>
      </w:r>
      <w:r>
        <w:t xml:space="preserve"> Fulton H (2012b) ‘History and Myth: Geoffrey of Monmouth’s </w:t>
      </w:r>
      <w:r w:rsidRPr="0053059D">
        <w:rPr>
          <w:i/>
        </w:rPr>
        <w:t>Historia Regum Brittanniae’</w:t>
      </w:r>
      <w:r>
        <w:t xml:space="preserve"> p 56 in Fulton H. Ed. </w:t>
      </w:r>
      <w:r w:rsidRPr="00681193">
        <w:rPr>
          <w:i/>
        </w:rPr>
        <w:t xml:space="preserve">A Companion to Arthurian Literature </w:t>
      </w:r>
    </w:p>
  </w:endnote>
  <w:endnote w:id="107">
    <w:p w14:paraId="6929E5C9" w14:textId="525E9797" w:rsidR="00782BDB" w:rsidRDefault="00782BDB">
      <w:pPr>
        <w:pStyle w:val="EndnoteText"/>
      </w:pPr>
      <w:r>
        <w:rPr>
          <w:rStyle w:val="EndnoteReference"/>
        </w:rPr>
        <w:endnoteRef/>
      </w:r>
      <w:r>
        <w:t xml:space="preserve"> </w:t>
      </w:r>
      <w:r w:rsidRPr="00716FE2">
        <w:rPr>
          <w:i/>
        </w:rPr>
        <w:t>Ibid.</w:t>
      </w:r>
      <w:r>
        <w:t xml:space="preserve"> p 56</w:t>
      </w:r>
    </w:p>
  </w:endnote>
  <w:endnote w:id="108">
    <w:p w14:paraId="61F1EAF9" w14:textId="3B349F00" w:rsidR="00782BDB" w:rsidRDefault="00782BDB">
      <w:pPr>
        <w:pStyle w:val="EndnoteText"/>
      </w:pPr>
      <w:r>
        <w:rPr>
          <w:rStyle w:val="EndnoteReference"/>
        </w:rPr>
        <w:endnoteRef/>
      </w:r>
      <w:r>
        <w:t xml:space="preserve"> </w:t>
      </w:r>
      <w:r w:rsidRPr="00716FE2">
        <w:rPr>
          <w:i/>
        </w:rPr>
        <w:t>Ibid.</w:t>
      </w:r>
      <w:r>
        <w:t xml:space="preserve"> p 44</w:t>
      </w:r>
    </w:p>
  </w:endnote>
  <w:endnote w:id="109">
    <w:p w14:paraId="4C3A5C4F" w14:textId="414273B2" w:rsidR="00782BDB" w:rsidRDefault="00782BDB">
      <w:pPr>
        <w:pStyle w:val="EndnoteText"/>
      </w:pPr>
      <w:r>
        <w:rPr>
          <w:rStyle w:val="EndnoteReference"/>
        </w:rPr>
        <w:endnoteRef/>
      </w:r>
      <w:r>
        <w:t xml:space="preserve"> Fulton H. (2012) </w:t>
      </w:r>
      <w:r w:rsidRPr="008635DF">
        <w:rPr>
          <w:i/>
        </w:rPr>
        <w:t>op cit.</w:t>
      </w:r>
      <w:r>
        <w:t xml:space="preserve"> p 3</w:t>
      </w:r>
    </w:p>
  </w:endnote>
  <w:endnote w:id="110">
    <w:p w14:paraId="54C2D580" w14:textId="4FB01A53" w:rsidR="00782BDB" w:rsidRDefault="00782BDB" w:rsidP="00991346">
      <w:pPr>
        <w:pStyle w:val="FootnoteText"/>
      </w:pPr>
      <w:r>
        <w:rPr>
          <w:rStyle w:val="EndnoteReference"/>
        </w:rPr>
        <w:endnoteRef/>
      </w:r>
      <w:r>
        <w:t xml:space="preserve"> Padel O. (1995) ‘Recent Work on the Origins of the Arthurian Legend: A Comment’ p 103 in </w:t>
      </w:r>
      <w:r w:rsidRPr="008635DF">
        <w:rPr>
          <w:i/>
        </w:rPr>
        <w:t>Arthuriana</w:t>
      </w:r>
      <w:r>
        <w:t xml:space="preserve"> 5.3 Fall 1995</w:t>
      </w:r>
    </w:p>
  </w:endnote>
  <w:endnote w:id="111">
    <w:p w14:paraId="477C782A" w14:textId="26883395" w:rsidR="00782BDB" w:rsidRDefault="00782BDB" w:rsidP="00BF6711">
      <w:pPr>
        <w:pStyle w:val="FootnoteText"/>
      </w:pPr>
      <w:r>
        <w:rPr>
          <w:rStyle w:val="EndnoteReference"/>
        </w:rPr>
        <w:endnoteRef/>
      </w:r>
      <w:r>
        <w:t xml:space="preserve"> Jonathan Powell quoted in Fulton H. (2012) </w:t>
      </w:r>
      <w:r w:rsidRPr="008635DF">
        <w:rPr>
          <w:i/>
        </w:rPr>
        <w:t>op cit.</w:t>
      </w:r>
      <w:r>
        <w:t xml:space="preserve"> p 2.Though, interestingly, Sims-Williams P. (1995) </w:t>
      </w:r>
      <w:r w:rsidRPr="00EB2289">
        <w:rPr>
          <w:i/>
        </w:rPr>
        <w:t>op cit.</w:t>
      </w:r>
      <w:r>
        <w:t xml:space="preserve"> pp 34-5,  suggests that in the ninth to twelfth centuries this distinction was far from clear, the </w:t>
      </w:r>
      <w:r w:rsidRPr="006B0451">
        <w:rPr>
          <w:i/>
        </w:rPr>
        <w:t>cyfarwyddiad</w:t>
      </w:r>
      <w:r>
        <w:t xml:space="preserve"> covering a range of specialisms, so that ‘such knowledge might… include historical or mythic truth, or an uncertain mixture of both, as was the case with Arthur himself… from a functional point of view it mattered little whether [Britain] had been attacked by Anglo-Saxons or monsters, whether it had been defended by Aurelius Ambrosius or Arthur, or whether it would be restored by contemporary Britons and Dubliners or by heroes returning from the past. The word-picture is the same in either case’. </w:t>
      </w:r>
    </w:p>
  </w:endnote>
  <w:endnote w:id="112">
    <w:p w14:paraId="413ACE68" w14:textId="03AAF236" w:rsidR="00782BDB" w:rsidRDefault="00782BDB">
      <w:pPr>
        <w:pStyle w:val="EndnoteText"/>
      </w:pPr>
      <w:r>
        <w:rPr>
          <w:rStyle w:val="EndnoteReference"/>
        </w:rPr>
        <w:endnoteRef/>
      </w:r>
      <w:r>
        <w:t xml:space="preserve"> Padel O. (1995) </w:t>
      </w:r>
      <w:r w:rsidRPr="008635DF">
        <w:rPr>
          <w:i/>
        </w:rPr>
        <w:t>op cit.</w:t>
      </w:r>
      <w:r>
        <w:t xml:space="preserve"> p 103</w:t>
      </w:r>
    </w:p>
  </w:endnote>
  <w:endnote w:id="113">
    <w:p w14:paraId="1D85E5B1" w14:textId="3D16E51C" w:rsidR="00782BDB" w:rsidRDefault="00782BDB" w:rsidP="00BF6711">
      <w:pPr>
        <w:pStyle w:val="FootnoteText"/>
      </w:pPr>
      <w:r>
        <w:rPr>
          <w:rStyle w:val="EndnoteReference"/>
        </w:rPr>
        <w:endnoteRef/>
      </w:r>
      <w:r>
        <w:t xml:space="preserve"> Fulton H. (2012</w:t>
      </w:r>
      <w:r w:rsidRPr="00352E80">
        <w:rPr>
          <w:i/>
        </w:rPr>
        <w:t>) op cit.</w:t>
      </w:r>
      <w:r>
        <w:t xml:space="preserve"> p 3</w:t>
      </w:r>
    </w:p>
  </w:endnote>
  <w:endnote w:id="114">
    <w:p w14:paraId="677A5C14" w14:textId="279C9543" w:rsidR="00782BDB" w:rsidRDefault="00782BDB">
      <w:pPr>
        <w:pStyle w:val="EndnoteText"/>
      </w:pPr>
      <w:r>
        <w:rPr>
          <w:rStyle w:val="EndnoteReference"/>
        </w:rPr>
        <w:endnoteRef/>
      </w:r>
      <w:r>
        <w:t xml:space="preserve"> </w:t>
      </w:r>
      <w:r w:rsidRPr="00716FE2">
        <w:rPr>
          <w:i/>
        </w:rPr>
        <w:t>Ibid.</w:t>
      </w:r>
      <w:r>
        <w:t xml:space="preserve"> p 1</w:t>
      </w:r>
    </w:p>
  </w:endnote>
  <w:endnote w:id="115">
    <w:p w14:paraId="697F8780" w14:textId="769CFBCF" w:rsidR="00782BDB" w:rsidRDefault="00782BDB">
      <w:pPr>
        <w:pStyle w:val="EndnoteText"/>
      </w:pPr>
      <w:r>
        <w:rPr>
          <w:rStyle w:val="EndnoteReference"/>
        </w:rPr>
        <w:endnoteRef/>
      </w:r>
      <w:r>
        <w:t xml:space="preserve"> </w:t>
      </w:r>
      <w:r w:rsidRPr="00716FE2">
        <w:rPr>
          <w:i/>
        </w:rPr>
        <w:t>Ibid.</w:t>
      </w:r>
      <w:r>
        <w:t xml:space="preserve"> p 2</w:t>
      </w:r>
    </w:p>
  </w:endnote>
  <w:endnote w:id="116">
    <w:p w14:paraId="29175D8D" w14:textId="704669A3" w:rsidR="00782BDB" w:rsidRPr="00F35480" w:rsidRDefault="00782BDB" w:rsidP="00F35480">
      <w:pPr>
        <w:rPr>
          <w:sz w:val="20"/>
          <w:szCs w:val="20"/>
        </w:rPr>
      </w:pPr>
      <w:r>
        <w:rPr>
          <w:rStyle w:val="EndnoteReference"/>
        </w:rPr>
        <w:endnoteRef/>
      </w:r>
      <w:r>
        <w:t xml:space="preserve"> </w:t>
      </w:r>
      <w:r w:rsidRPr="00AD3192">
        <w:rPr>
          <w:sz w:val="20"/>
          <w:szCs w:val="20"/>
        </w:rPr>
        <w:t>Williams, R (2018)</w:t>
      </w:r>
      <w:r>
        <w:t xml:space="preserve"> </w:t>
      </w:r>
      <w:r>
        <w:rPr>
          <w:sz w:val="24"/>
          <w:szCs w:val="24"/>
        </w:rPr>
        <w:t xml:space="preserve"> </w:t>
      </w:r>
      <w:r w:rsidRPr="00F35480">
        <w:rPr>
          <w:sz w:val="20"/>
          <w:szCs w:val="20"/>
        </w:rPr>
        <w:t xml:space="preserve">‘Our once and future king. Review of </w:t>
      </w:r>
      <w:r w:rsidRPr="00F35480">
        <w:rPr>
          <w:i/>
          <w:sz w:val="20"/>
          <w:szCs w:val="20"/>
        </w:rPr>
        <w:t xml:space="preserve">King Arthur: The Making of the Legend </w:t>
      </w:r>
      <w:r w:rsidRPr="00F35480">
        <w:rPr>
          <w:sz w:val="20"/>
          <w:szCs w:val="20"/>
        </w:rPr>
        <w:t xml:space="preserve">by Nicholas Higham’ </w:t>
      </w:r>
      <w:r>
        <w:rPr>
          <w:sz w:val="20"/>
          <w:szCs w:val="20"/>
        </w:rPr>
        <w:t xml:space="preserve">p 90. </w:t>
      </w:r>
      <w:r w:rsidRPr="00F35480">
        <w:rPr>
          <w:i/>
          <w:sz w:val="20"/>
          <w:szCs w:val="20"/>
        </w:rPr>
        <w:t>New Statesman</w:t>
      </w:r>
      <w:r w:rsidRPr="00F35480">
        <w:rPr>
          <w:sz w:val="20"/>
          <w:szCs w:val="20"/>
        </w:rPr>
        <w:t xml:space="preserve"> 7 December2018 -3 January 2019</w:t>
      </w:r>
      <w:r>
        <w:rPr>
          <w:sz w:val="20"/>
          <w:szCs w:val="20"/>
        </w:rPr>
        <w:t xml:space="preserve"> </w:t>
      </w:r>
    </w:p>
  </w:endnote>
  <w:endnote w:id="117">
    <w:p w14:paraId="10420FBE" w14:textId="528A60C5" w:rsidR="00782BDB" w:rsidRDefault="00782BDB" w:rsidP="00BF6711">
      <w:pPr>
        <w:pStyle w:val="FootnoteText"/>
      </w:pPr>
      <w:r>
        <w:rPr>
          <w:rStyle w:val="EndnoteReference"/>
        </w:rPr>
        <w:endnoteRef/>
      </w:r>
      <w:r>
        <w:t xml:space="preserve"> Williams G.A. (1994) </w:t>
      </w:r>
      <w:r w:rsidRPr="00352E80">
        <w:rPr>
          <w:i/>
        </w:rPr>
        <w:t>Excalibur – The Search for Arthur</w:t>
      </w:r>
      <w:r>
        <w:t xml:space="preserve"> p 11</w:t>
      </w:r>
    </w:p>
    <w:p w14:paraId="21AF4F4B" w14:textId="5D81AF09" w:rsidR="00782BDB" w:rsidRDefault="00782BDB" w:rsidP="00BF6711">
      <w:pPr>
        <w:pStyle w:val="FootnoteText"/>
      </w:pPr>
    </w:p>
    <w:p w14:paraId="5324CE5A" w14:textId="460D239E" w:rsidR="00782BDB" w:rsidRDefault="00782BDB" w:rsidP="00BF6711">
      <w:pPr>
        <w:pStyle w:val="FootnoteText"/>
      </w:pPr>
    </w:p>
    <w:p w14:paraId="55189101" w14:textId="77777777" w:rsidR="00782BDB" w:rsidRDefault="00782BDB" w:rsidP="00BF6711">
      <w:pPr>
        <w:pStyle w:val="EndnoteText"/>
        <w:rPr>
          <w:b/>
          <w:sz w:val="28"/>
          <w:szCs w:val="28"/>
        </w:rPr>
      </w:pPr>
    </w:p>
    <w:p w14:paraId="0074C66F" w14:textId="77777777" w:rsidR="00782BDB" w:rsidRDefault="00782BDB" w:rsidP="00BF6711">
      <w:pPr>
        <w:pStyle w:val="EndnoteText"/>
        <w:rPr>
          <w:b/>
          <w:sz w:val="28"/>
          <w:szCs w:val="28"/>
        </w:rPr>
      </w:pPr>
    </w:p>
    <w:p w14:paraId="1DB8E558" w14:textId="77777777" w:rsidR="00782BDB" w:rsidRDefault="00782BDB" w:rsidP="00BF6711">
      <w:pPr>
        <w:pStyle w:val="EndnoteText"/>
        <w:rPr>
          <w:b/>
          <w:sz w:val="28"/>
          <w:szCs w:val="28"/>
        </w:rPr>
      </w:pPr>
    </w:p>
    <w:p w14:paraId="7E8F4E58" w14:textId="77777777" w:rsidR="00782BDB" w:rsidRDefault="00782BDB" w:rsidP="00BF6711">
      <w:pPr>
        <w:pStyle w:val="EndnoteText"/>
        <w:rPr>
          <w:b/>
          <w:sz w:val="28"/>
          <w:szCs w:val="28"/>
        </w:rPr>
      </w:pPr>
    </w:p>
    <w:p w14:paraId="3349FDBC" w14:textId="77777777" w:rsidR="00782BDB" w:rsidRDefault="00782BDB" w:rsidP="00BF6711">
      <w:pPr>
        <w:pStyle w:val="EndnoteText"/>
        <w:rPr>
          <w:b/>
          <w:sz w:val="28"/>
          <w:szCs w:val="28"/>
        </w:rPr>
      </w:pPr>
    </w:p>
    <w:p w14:paraId="37F480EE" w14:textId="77777777" w:rsidR="00782BDB" w:rsidRDefault="00782BDB" w:rsidP="00BF6711">
      <w:pPr>
        <w:pStyle w:val="EndnoteText"/>
        <w:rPr>
          <w:b/>
          <w:sz w:val="28"/>
          <w:szCs w:val="28"/>
        </w:rPr>
      </w:pPr>
    </w:p>
    <w:p w14:paraId="207B3323" w14:textId="77777777" w:rsidR="00782BDB" w:rsidRDefault="00782BDB" w:rsidP="00BF6711">
      <w:pPr>
        <w:pStyle w:val="EndnoteText"/>
        <w:rPr>
          <w:b/>
          <w:sz w:val="28"/>
          <w:szCs w:val="28"/>
        </w:rPr>
      </w:pPr>
    </w:p>
    <w:p w14:paraId="220303A2" w14:textId="77777777" w:rsidR="00782BDB" w:rsidRDefault="00782BDB" w:rsidP="00BF6711">
      <w:pPr>
        <w:pStyle w:val="EndnoteText"/>
        <w:rPr>
          <w:b/>
          <w:sz w:val="28"/>
          <w:szCs w:val="28"/>
        </w:rPr>
      </w:pPr>
    </w:p>
    <w:p w14:paraId="1FDC6DD1" w14:textId="77777777" w:rsidR="00782BDB" w:rsidRDefault="00782BDB" w:rsidP="00BF6711">
      <w:pPr>
        <w:pStyle w:val="EndnoteText"/>
        <w:rPr>
          <w:b/>
          <w:sz w:val="28"/>
          <w:szCs w:val="28"/>
        </w:rPr>
      </w:pPr>
    </w:p>
    <w:p w14:paraId="1B5C0DCD" w14:textId="77777777" w:rsidR="00782BDB" w:rsidRDefault="00782BDB" w:rsidP="00BF6711">
      <w:pPr>
        <w:pStyle w:val="EndnoteText"/>
        <w:rPr>
          <w:b/>
          <w:sz w:val="28"/>
          <w:szCs w:val="28"/>
        </w:rPr>
      </w:pPr>
    </w:p>
    <w:p w14:paraId="12059571" w14:textId="77777777" w:rsidR="00782BDB" w:rsidRDefault="00782BDB" w:rsidP="00BF6711">
      <w:pPr>
        <w:pStyle w:val="EndnoteText"/>
        <w:rPr>
          <w:b/>
          <w:sz w:val="28"/>
          <w:szCs w:val="28"/>
        </w:rPr>
      </w:pPr>
    </w:p>
    <w:p w14:paraId="4B2305EA" w14:textId="77777777" w:rsidR="00782BDB" w:rsidRDefault="00782BDB" w:rsidP="00BF6711">
      <w:pPr>
        <w:pStyle w:val="EndnoteText"/>
        <w:rPr>
          <w:b/>
          <w:sz w:val="28"/>
          <w:szCs w:val="28"/>
        </w:rPr>
      </w:pPr>
    </w:p>
    <w:p w14:paraId="2B7311A9" w14:textId="77777777" w:rsidR="00782BDB" w:rsidRDefault="00782BDB" w:rsidP="00BF6711">
      <w:pPr>
        <w:pStyle w:val="EndnoteText"/>
        <w:rPr>
          <w:b/>
          <w:sz w:val="28"/>
          <w:szCs w:val="28"/>
        </w:rPr>
      </w:pPr>
    </w:p>
    <w:p w14:paraId="6305FBC7" w14:textId="77777777" w:rsidR="00782BDB" w:rsidRDefault="00782BDB" w:rsidP="00BF6711">
      <w:pPr>
        <w:pStyle w:val="EndnoteText"/>
        <w:rPr>
          <w:b/>
          <w:sz w:val="28"/>
          <w:szCs w:val="28"/>
        </w:rPr>
      </w:pPr>
    </w:p>
    <w:p w14:paraId="3FA2676F" w14:textId="77777777" w:rsidR="00782BDB" w:rsidRDefault="00782BDB" w:rsidP="00BF6711">
      <w:pPr>
        <w:pStyle w:val="EndnoteText"/>
        <w:rPr>
          <w:b/>
          <w:sz w:val="28"/>
          <w:szCs w:val="28"/>
        </w:rPr>
      </w:pPr>
    </w:p>
    <w:p w14:paraId="0CF26E96" w14:textId="77777777" w:rsidR="00782BDB" w:rsidRDefault="00782BDB" w:rsidP="00BF6711">
      <w:pPr>
        <w:pStyle w:val="EndnoteText"/>
        <w:rPr>
          <w:b/>
          <w:sz w:val="28"/>
          <w:szCs w:val="28"/>
        </w:rPr>
      </w:pPr>
    </w:p>
    <w:p w14:paraId="66D3F729" w14:textId="77777777" w:rsidR="00782BDB" w:rsidRDefault="00782BDB" w:rsidP="00BF6711">
      <w:pPr>
        <w:pStyle w:val="EndnoteText"/>
        <w:rPr>
          <w:b/>
          <w:sz w:val="28"/>
          <w:szCs w:val="28"/>
        </w:rPr>
      </w:pPr>
    </w:p>
    <w:p w14:paraId="7C94A883" w14:textId="77777777" w:rsidR="00782BDB" w:rsidRDefault="00782BDB" w:rsidP="00BF6711">
      <w:pPr>
        <w:pStyle w:val="EndnoteText"/>
        <w:rPr>
          <w:b/>
          <w:sz w:val="28"/>
          <w:szCs w:val="28"/>
        </w:rPr>
      </w:pPr>
    </w:p>
    <w:p w14:paraId="1171A1D7" w14:textId="584F7DA9" w:rsidR="00782BDB" w:rsidRDefault="00782BDB" w:rsidP="00BF6711">
      <w:pPr>
        <w:pStyle w:val="EndnoteText"/>
        <w:rPr>
          <w:b/>
          <w:sz w:val="28"/>
          <w:szCs w:val="28"/>
        </w:rPr>
      </w:pPr>
      <w:r>
        <w:rPr>
          <w:b/>
          <w:sz w:val="28"/>
          <w:szCs w:val="28"/>
        </w:rPr>
        <w:t>BIBLIOGRAPHY</w:t>
      </w:r>
    </w:p>
    <w:p w14:paraId="6846EB3C" w14:textId="03BB3C42" w:rsidR="00782BDB" w:rsidRDefault="00782BDB" w:rsidP="00BF6711">
      <w:pPr>
        <w:pStyle w:val="EndnoteText"/>
        <w:rPr>
          <w:b/>
          <w:sz w:val="28"/>
          <w:szCs w:val="28"/>
        </w:rPr>
      </w:pPr>
    </w:p>
    <w:p w14:paraId="41037330" w14:textId="6CBDD24F" w:rsidR="00782BDB" w:rsidRDefault="00782BDB" w:rsidP="00BF6711">
      <w:pPr>
        <w:pStyle w:val="EndnoteText"/>
        <w:rPr>
          <w:sz w:val="24"/>
          <w:szCs w:val="24"/>
        </w:rPr>
      </w:pPr>
      <w:r w:rsidRPr="00A00D28">
        <w:rPr>
          <w:sz w:val="24"/>
          <w:szCs w:val="24"/>
        </w:rPr>
        <w:t>Alcock, Leslie</w:t>
      </w:r>
      <w:r>
        <w:rPr>
          <w:sz w:val="24"/>
          <w:szCs w:val="24"/>
        </w:rPr>
        <w:t xml:space="preserve"> (1973) </w:t>
      </w:r>
      <w:r w:rsidRPr="00677DFA">
        <w:rPr>
          <w:i/>
          <w:sz w:val="24"/>
          <w:szCs w:val="24"/>
        </w:rPr>
        <w:t>Arthur’s Britain</w:t>
      </w:r>
      <w:r>
        <w:rPr>
          <w:sz w:val="24"/>
          <w:szCs w:val="24"/>
        </w:rPr>
        <w:t xml:space="preserve"> Penguin Books, Harmonsworth</w:t>
      </w:r>
    </w:p>
    <w:p w14:paraId="7E9356DB" w14:textId="77777777" w:rsidR="00782BDB" w:rsidRDefault="00782BDB" w:rsidP="00BF6711">
      <w:pPr>
        <w:pStyle w:val="EndnoteText"/>
        <w:rPr>
          <w:sz w:val="24"/>
          <w:szCs w:val="24"/>
        </w:rPr>
      </w:pPr>
    </w:p>
    <w:p w14:paraId="493A088D" w14:textId="2C7B61FD" w:rsidR="00782BDB" w:rsidRDefault="00782BDB" w:rsidP="00BF6711">
      <w:pPr>
        <w:pStyle w:val="EndnoteText"/>
        <w:rPr>
          <w:sz w:val="24"/>
          <w:szCs w:val="24"/>
        </w:rPr>
      </w:pPr>
      <w:r>
        <w:rPr>
          <w:sz w:val="24"/>
          <w:szCs w:val="24"/>
        </w:rPr>
        <w:t xml:space="preserve">Breeze, Andrew (2015) ‘The Historical Arthur and Sixth-Century Scotland’ </w:t>
      </w:r>
      <w:r w:rsidRPr="00CE5705">
        <w:rPr>
          <w:i/>
          <w:sz w:val="24"/>
          <w:szCs w:val="24"/>
        </w:rPr>
        <w:t>Northern History</w:t>
      </w:r>
      <w:r>
        <w:rPr>
          <w:sz w:val="24"/>
          <w:szCs w:val="24"/>
        </w:rPr>
        <w:t xml:space="preserve"> LII: 2 September 2015</w:t>
      </w:r>
    </w:p>
    <w:p w14:paraId="146AE328" w14:textId="63992A81" w:rsidR="00782BDB" w:rsidRDefault="00782BDB" w:rsidP="00BF6711">
      <w:pPr>
        <w:pStyle w:val="EndnoteText"/>
        <w:rPr>
          <w:sz w:val="24"/>
          <w:szCs w:val="24"/>
        </w:rPr>
      </w:pPr>
    </w:p>
    <w:p w14:paraId="060080D1" w14:textId="6B66E29D" w:rsidR="00782BDB" w:rsidRPr="00A00D28" w:rsidRDefault="00782BDB" w:rsidP="00BF6711">
      <w:pPr>
        <w:pStyle w:val="EndnoteText"/>
        <w:rPr>
          <w:sz w:val="24"/>
          <w:szCs w:val="24"/>
        </w:rPr>
      </w:pPr>
      <w:r>
        <w:rPr>
          <w:sz w:val="24"/>
          <w:szCs w:val="24"/>
        </w:rPr>
        <w:t xml:space="preserve">Breeze, Andrew (2016) ‘The Early Welsh Cult of Arthur: Some Points at Issue’ </w:t>
      </w:r>
      <w:r w:rsidRPr="00CE5705">
        <w:rPr>
          <w:i/>
          <w:sz w:val="24"/>
          <w:szCs w:val="24"/>
        </w:rPr>
        <w:t xml:space="preserve">Studia Celtica Posnaniensa </w:t>
      </w:r>
      <w:r>
        <w:rPr>
          <w:sz w:val="24"/>
          <w:szCs w:val="24"/>
        </w:rPr>
        <w:t>Vol 1 (1) 2016</w:t>
      </w:r>
    </w:p>
    <w:p w14:paraId="4F5A759E" w14:textId="77777777" w:rsidR="00782BDB" w:rsidRDefault="00782BDB" w:rsidP="00BF6711">
      <w:pPr>
        <w:pStyle w:val="EndnoteText"/>
        <w:rPr>
          <w:b/>
          <w:sz w:val="28"/>
          <w:szCs w:val="28"/>
        </w:rPr>
      </w:pPr>
    </w:p>
    <w:p w14:paraId="500A475D" w14:textId="4A8A2B94" w:rsidR="00782BDB" w:rsidRDefault="00782BDB" w:rsidP="00BF6711">
      <w:pPr>
        <w:rPr>
          <w:sz w:val="24"/>
          <w:szCs w:val="24"/>
        </w:rPr>
      </w:pPr>
      <w:r>
        <w:rPr>
          <w:sz w:val="24"/>
          <w:szCs w:val="24"/>
        </w:rPr>
        <w:t xml:space="preserve">Bromwich, Rachel (1976) ‘Concepts of Arthur’ </w:t>
      </w:r>
      <w:r w:rsidRPr="00CC0E02">
        <w:rPr>
          <w:i/>
          <w:sz w:val="24"/>
          <w:szCs w:val="24"/>
        </w:rPr>
        <w:t>Studia Celtica</w:t>
      </w:r>
      <w:r>
        <w:rPr>
          <w:sz w:val="24"/>
          <w:szCs w:val="24"/>
        </w:rPr>
        <w:t xml:space="preserve"> 10/11 1975/76</w:t>
      </w:r>
    </w:p>
    <w:p w14:paraId="31B69F6A" w14:textId="51C8AC05" w:rsidR="00782BDB" w:rsidRDefault="00782BDB" w:rsidP="00BF6711">
      <w:pPr>
        <w:rPr>
          <w:sz w:val="24"/>
          <w:szCs w:val="24"/>
        </w:rPr>
      </w:pPr>
      <w:r>
        <w:rPr>
          <w:sz w:val="24"/>
          <w:szCs w:val="24"/>
        </w:rPr>
        <w:t xml:space="preserve">Carleton, Don (2018) </w:t>
      </w:r>
      <w:r w:rsidRPr="00677DFA">
        <w:rPr>
          <w:i/>
          <w:sz w:val="24"/>
          <w:szCs w:val="24"/>
        </w:rPr>
        <w:t>Arthur – Warrior and King</w:t>
      </w:r>
      <w:r>
        <w:rPr>
          <w:sz w:val="24"/>
          <w:szCs w:val="24"/>
        </w:rPr>
        <w:t xml:space="preserve"> Amberley Publishing, Stroud</w:t>
      </w:r>
    </w:p>
    <w:p w14:paraId="54EB6E31" w14:textId="715D3112" w:rsidR="00782BDB" w:rsidRDefault="00782BDB" w:rsidP="00BF6711">
      <w:pPr>
        <w:rPr>
          <w:sz w:val="24"/>
          <w:szCs w:val="24"/>
        </w:rPr>
      </w:pPr>
      <w:r>
        <w:rPr>
          <w:sz w:val="24"/>
          <w:szCs w:val="24"/>
        </w:rPr>
        <w:t xml:space="preserve">Carr, E.H. (2001) </w:t>
      </w:r>
      <w:r w:rsidRPr="00240E30">
        <w:rPr>
          <w:i/>
          <w:sz w:val="24"/>
          <w:szCs w:val="24"/>
        </w:rPr>
        <w:t>What is History?</w:t>
      </w:r>
      <w:r>
        <w:rPr>
          <w:sz w:val="24"/>
          <w:szCs w:val="24"/>
        </w:rPr>
        <w:t xml:space="preserve"> Palgrave Macmillan, Basingstoke.</w:t>
      </w:r>
    </w:p>
    <w:p w14:paraId="1F3080DE" w14:textId="56874BBD" w:rsidR="00782BDB" w:rsidRDefault="00782BDB" w:rsidP="00BF6711">
      <w:pPr>
        <w:rPr>
          <w:sz w:val="24"/>
          <w:szCs w:val="24"/>
        </w:rPr>
      </w:pPr>
      <w:r>
        <w:rPr>
          <w:sz w:val="24"/>
          <w:szCs w:val="24"/>
        </w:rPr>
        <w:t xml:space="preserve">Chadwick Nora K. </w:t>
      </w:r>
      <w:r w:rsidRPr="002F3182">
        <w:rPr>
          <w:i/>
          <w:sz w:val="24"/>
          <w:szCs w:val="24"/>
        </w:rPr>
        <w:t>et al</w:t>
      </w:r>
      <w:r>
        <w:rPr>
          <w:sz w:val="24"/>
          <w:szCs w:val="24"/>
        </w:rPr>
        <w:t xml:space="preserve"> (1954) </w:t>
      </w:r>
      <w:r w:rsidRPr="002F3182">
        <w:rPr>
          <w:i/>
          <w:sz w:val="24"/>
          <w:szCs w:val="24"/>
        </w:rPr>
        <w:t>Studies in Early British History</w:t>
      </w:r>
      <w:r>
        <w:rPr>
          <w:sz w:val="24"/>
          <w:szCs w:val="24"/>
        </w:rPr>
        <w:t xml:space="preserve"> Cambridge University Press, London </w:t>
      </w:r>
    </w:p>
    <w:p w14:paraId="1697CB7B" w14:textId="50C534A4" w:rsidR="00782BDB" w:rsidRDefault="00782BDB" w:rsidP="00BF6711">
      <w:pPr>
        <w:rPr>
          <w:sz w:val="24"/>
          <w:szCs w:val="24"/>
        </w:rPr>
      </w:pPr>
      <w:r>
        <w:rPr>
          <w:sz w:val="24"/>
          <w:szCs w:val="24"/>
        </w:rPr>
        <w:t xml:space="preserve">Chadwick, Nora (1976) </w:t>
      </w:r>
      <w:r w:rsidRPr="002F3182">
        <w:rPr>
          <w:i/>
          <w:sz w:val="24"/>
          <w:szCs w:val="24"/>
        </w:rPr>
        <w:t xml:space="preserve">The British Heroic Age – The </w:t>
      </w:r>
      <w:r>
        <w:rPr>
          <w:i/>
          <w:sz w:val="24"/>
          <w:szCs w:val="24"/>
        </w:rPr>
        <w:t>W</w:t>
      </w:r>
      <w:r w:rsidRPr="002F3182">
        <w:rPr>
          <w:i/>
          <w:sz w:val="24"/>
          <w:szCs w:val="24"/>
        </w:rPr>
        <w:t>elsh and the Men of the North</w:t>
      </w:r>
      <w:r>
        <w:rPr>
          <w:sz w:val="24"/>
          <w:szCs w:val="24"/>
        </w:rPr>
        <w:t xml:space="preserve"> University of wales Press, Cardiff</w:t>
      </w:r>
    </w:p>
    <w:p w14:paraId="715331CA" w14:textId="55DEFAB2" w:rsidR="00782BDB" w:rsidRDefault="00782BDB" w:rsidP="00BF6711">
      <w:pPr>
        <w:rPr>
          <w:sz w:val="24"/>
          <w:szCs w:val="24"/>
        </w:rPr>
      </w:pPr>
      <w:r>
        <w:rPr>
          <w:sz w:val="24"/>
          <w:szCs w:val="24"/>
        </w:rPr>
        <w:t xml:space="preserve">Charles-Edwards, Thomas (1995) ‘The Arthur of </w:t>
      </w:r>
      <w:bookmarkStart w:id="13" w:name="_Hlk532670388"/>
      <w:r>
        <w:rPr>
          <w:sz w:val="24"/>
          <w:szCs w:val="24"/>
        </w:rPr>
        <w:t xml:space="preserve">History’ in Bromwich, Rachel, Jarman A.O.H. &amp; Roberts, Brynley (Eds.) </w:t>
      </w:r>
      <w:r w:rsidRPr="00BF6711">
        <w:rPr>
          <w:i/>
          <w:sz w:val="24"/>
          <w:szCs w:val="24"/>
        </w:rPr>
        <w:t xml:space="preserve">The Arthur of the Welsh </w:t>
      </w:r>
      <w:r>
        <w:rPr>
          <w:sz w:val="24"/>
          <w:szCs w:val="24"/>
        </w:rPr>
        <w:t>University of Wales Press, Cardiff.</w:t>
      </w:r>
    </w:p>
    <w:p w14:paraId="66445474" w14:textId="19479482" w:rsidR="00782BDB" w:rsidRDefault="00782BDB" w:rsidP="00BF6711">
      <w:pPr>
        <w:rPr>
          <w:sz w:val="24"/>
          <w:szCs w:val="24"/>
        </w:rPr>
      </w:pPr>
      <w:r>
        <w:rPr>
          <w:sz w:val="24"/>
          <w:szCs w:val="24"/>
        </w:rPr>
        <w:t xml:space="preserve">Coe, Jon B &amp; Young, Simon (1995) </w:t>
      </w:r>
      <w:r w:rsidRPr="00A00D28">
        <w:rPr>
          <w:i/>
          <w:sz w:val="24"/>
          <w:szCs w:val="24"/>
        </w:rPr>
        <w:t>The Celtic Sources for the Arthurian Legend</w:t>
      </w:r>
      <w:r>
        <w:rPr>
          <w:sz w:val="24"/>
          <w:szCs w:val="24"/>
        </w:rPr>
        <w:t xml:space="preserve"> Llanerch Publishers, Felinfach</w:t>
      </w:r>
    </w:p>
    <w:bookmarkEnd w:id="13"/>
    <w:p w14:paraId="1761C329" w14:textId="3A980181" w:rsidR="00782BDB" w:rsidRDefault="00782BDB" w:rsidP="00BF6711">
      <w:pPr>
        <w:rPr>
          <w:sz w:val="24"/>
          <w:szCs w:val="24"/>
        </w:rPr>
      </w:pPr>
      <w:r>
        <w:rPr>
          <w:sz w:val="24"/>
          <w:szCs w:val="24"/>
        </w:rPr>
        <w:t xml:space="preserve">Davies, Sioned (2007) (Trans. &amp; intro.) </w:t>
      </w:r>
      <w:r>
        <w:rPr>
          <w:i/>
          <w:sz w:val="24"/>
          <w:szCs w:val="24"/>
        </w:rPr>
        <w:t>The Mabinogion</w:t>
      </w:r>
      <w:r>
        <w:rPr>
          <w:sz w:val="24"/>
          <w:szCs w:val="24"/>
        </w:rPr>
        <w:t xml:space="preserve"> Oxford University Press, Oxford</w:t>
      </w:r>
    </w:p>
    <w:p w14:paraId="112BA10A" w14:textId="619EE8DA" w:rsidR="00782BDB" w:rsidRPr="00D16DE8" w:rsidRDefault="00782BDB" w:rsidP="00D16DE8">
      <w:pPr>
        <w:pStyle w:val="FootnoteText"/>
        <w:rPr>
          <w:sz w:val="24"/>
          <w:szCs w:val="24"/>
        </w:rPr>
      </w:pPr>
      <w:r w:rsidRPr="00D16DE8">
        <w:rPr>
          <w:sz w:val="24"/>
          <w:szCs w:val="24"/>
        </w:rPr>
        <w:t>Dumville D.</w:t>
      </w:r>
      <w:r>
        <w:rPr>
          <w:sz w:val="24"/>
          <w:szCs w:val="24"/>
        </w:rPr>
        <w:t xml:space="preserve">N. </w:t>
      </w:r>
      <w:r w:rsidRPr="00D16DE8">
        <w:rPr>
          <w:sz w:val="24"/>
          <w:szCs w:val="24"/>
        </w:rPr>
        <w:t xml:space="preserve"> (1976) ‘”Nennius” and the </w:t>
      </w:r>
      <w:r w:rsidRPr="00D16DE8">
        <w:rPr>
          <w:i/>
          <w:sz w:val="24"/>
          <w:szCs w:val="24"/>
        </w:rPr>
        <w:t>Historia Brittonum</w:t>
      </w:r>
      <w:r w:rsidRPr="00D16DE8">
        <w:rPr>
          <w:sz w:val="24"/>
          <w:szCs w:val="24"/>
        </w:rPr>
        <w:t xml:space="preserve">’ </w:t>
      </w:r>
      <w:r w:rsidRPr="00D16DE8">
        <w:rPr>
          <w:i/>
          <w:sz w:val="24"/>
          <w:szCs w:val="24"/>
        </w:rPr>
        <w:t>Studia Celtica</w:t>
      </w:r>
      <w:r w:rsidRPr="00D16DE8">
        <w:rPr>
          <w:sz w:val="24"/>
          <w:szCs w:val="24"/>
        </w:rPr>
        <w:t xml:space="preserve"> Vol X/XI 1975/76</w:t>
      </w:r>
    </w:p>
    <w:p w14:paraId="4E867FBB" w14:textId="77777777" w:rsidR="00782BDB" w:rsidRDefault="00782BDB" w:rsidP="00BF6711">
      <w:pPr>
        <w:rPr>
          <w:sz w:val="24"/>
          <w:szCs w:val="24"/>
        </w:rPr>
      </w:pPr>
    </w:p>
    <w:p w14:paraId="1E885F53" w14:textId="55CDF0F4" w:rsidR="00782BDB" w:rsidRDefault="00782BDB" w:rsidP="00BF6711">
      <w:pPr>
        <w:rPr>
          <w:sz w:val="24"/>
          <w:szCs w:val="24"/>
        </w:rPr>
      </w:pPr>
      <w:r>
        <w:rPr>
          <w:sz w:val="24"/>
          <w:szCs w:val="24"/>
        </w:rPr>
        <w:t xml:space="preserve">Dumville, D.N. (1977) ‘Sub-Roman Britain: History and Legend’ </w:t>
      </w:r>
      <w:r w:rsidRPr="00D16DE8">
        <w:rPr>
          <w:i/>
          <w:sz w:val="24"/>
          <w:szCs w:val="24"/>
        </w:rPr>
        <w:t>History</w:t>
      </w:r>
      <w:r w:rsidRPr="00D16DE8">
        <w:rPr>
          <w:sz w:val="24"/>
          <w:szCs w:val="24"/>
        </w:rPr>
        <w:t xml:space="preserve"> Vol 62, Issue 205 June 1977</w:t>
      </w:r>
    </w:p>
    <w:p w14:paraId="58A1B5FA" w14:textId="68CD7AEE" w:rsidR="00782BDB" w:rsidRPr="00D55F44" w:rsidRDefault="00782BDB" w:rsidP="00BF6711">
      <w:pPr>
        <w:rPr>
          <w:sz w:val="24"/>
          <w:szCs w:val="24"/>
        </w:rPr>
      </w:pPr>
      <w:r>
        <w:rPr>
          <w:sz w:val="24"/>
          <w:szCs w:val="24"/>
        </w:rPr>
        <w:t xml:space="preserve">Dumville, D. N. (1978) </w:t>
      </w:r>
      <w:r w:rsidRPr="00D55F44">
        <w:rPr>
          <w:sz w:val="24"/>
          <w:szCs w:val="24"/>
        </w:rPr>
        <w:t xml:space="preserve">‘The Welsh Latin Annals’ </w:t>
      </w:r>
      <w:r w:rsidRPr="00D55F44">
        <w:rPr>
          <w:i/>
          <w:sz w:val="24"/>
          <w:szCs w:val="24"/>
        </w:rPr>
        <w:t>Studia Celtica</w:t>
      </w:r>
      <w:r w:rsidRPr="00D55F44">
        <w:rPr>
          <w:sz w:val="24"/>
          <w:szCs w:val="24"/>
        </w:rPr>
        <w:t xml:space="preserve"> 12/13 1977/78</w:t>
      </w:r>
    </w:p>
    <w:p w14:paraId="2D8F9EC3" w14:textId="77777777" w:rsidR="00782BDB" w:rsidRDefault="00782BDB" w:rsidP="00D16DE8">
      <w:pPr>
        <w:pStyle w:val="FootnoteText"/>
        <w:rPr>
          <w:sz w:val="24"/>
          <w:szCs w:val="24"/>
        </w:rPr>
      </w:pPr>
      <w:r w:rsidRPr="00D16DE8">
        <w:rPr>
          <w:sz w:val="24"/>
          <w:szCs w:val="24"/>
        </w:rPr>
        <w:t xml:space="preserve">Dumville D. (1984) ‘The Chronology of </w:t>
      </w:r>
      <w:r w:rsidRPr="00D16DE8">
        <w:rPr>
          <w:i/>
          <w:sz w:val="24"/>
          <w:szCs w:val="24"/>
        </w:rPr>
        <w:t>De Excidio Brittanniae</w:t>
      </w:r>
      <w:r w:rsidRPr="00D16DE8">
        <w:rPr>
          <w:sz w:val="24"/>
          <w:szCs w:val="24"/>
        </w:rPr>
        <w:t>, Book I’ p77 in Lapidge</w:t>
      </w:r>
      <w:r>
        <w:rPr>
          <w:sz w:val="24"/>
          <w:szCs w:val="24"/>
        </w:rPr>
        <w:t>,</w:t>
      </w:r>
      <w:r w:rsidRPr="00D16DE8">
        <w:rPr>
          <w:sz w:val="24"/>
          <w:szCs w:val="24"/>
        </w:rPr>
        <w:t xml:space="preserve"> M</w:t>
      </w:r>
      <w:r>
        <w:rPr>
          <w:sz w:val="24"/>
          <w:szCs w:val="24"/>
        </w:rPr>
        <w:t>ichael</w:t>
      </w:r>
      <w:r w:rsidRPr="00D16DE8">
        <w:rPr>
          <w:sz w:val="24"/>
          <w:szCs w:val="24"/>
        </w:rPr>
        <w:t xml:space="preserve"> &amp; Dumville</w:t>
      </w:r>
      <w:r>
        <w:rPr>
          <w:sz w:val="24"/>
          <w:szCs w:val="24"/>
        </w:rPr>
        <w:t>,</w:t>
      </w:r>
      <w:r w:rsidRPr="00D16DE8">
        <w:rPr>
          <w:sz w:val="24"/>
          <w:szCs w:val="24"/>
        </w:rPr>
        <w:t xml:space="preserve"> D</w:t>
      </w:r>
      <w:r>
        <w:rPr>
          <w:sz w:val="24"/>
          <w:szCs w:val="24"/>
        </w:rPr>
        <w:t>avid</w:t>
      </w:r>
      <w:r w:rsidRPr="00D16DE8">
        <w:rPr>
          <w:sz w:val="24"/>
          <w:szCs w:val="24"/>
        </w:rPr>
        <w:t xml:space="preserve"> (Eds) </w:t>
      </w:r>
      <w:r w:rsidRPr="00D16DE8">
        <w:rPr>
          <w:i/>
          <w:sz w:val="24"/>
          <w:szCs w:val="24"/>
        </w:rPr>
        <w:t>Gildas: New Approaches</w:t>
      </w:r>
      <w:r>
        <w:rPr>
          <w:i/>
          <w:sz w:val="24"/>
          <w:szCs w:val="24"/>
        </w:rPr>
        <w:t xml:space="preserve">  </w:t>
      </w:r>
      <w:r w:rsidRPr="00D16DE8">
        <w:rPr>
          <w:sz w:val="24"/>
          <w:szCs w:val="24"/>
        </w:rPr>
        <w:t>The Boydell Press, Woodbridge</w:t>
      </w:r>
    </w:p>
    <w:p w14:paraId="642343CF" w14:textId="77777777" w:rsidR="00782BDB" w:rsidRDefault="00782BDB" w:rsidP="00D16DE8">
      <w:pPr>
        <w:pStyle w:val="FootnoteText"/>
        <w:rPr>
          <w:sz w:val="24"/>
          <w:szCs w:val="24"/>
        </w:rPr>
      </w:pPr>
    </w:p>
    <w:p w14:paraId="65180693" w14:textId="77777777" w:rsidR="00782BDB" w:rsidRDefault="00782BDB" w:rsidP="00D55F44">
      <w:pPr>
        <w:pStyle w:val="FootnoteText"/>
      </w:pPr>
      <w:r>
        <w:rPr>
          <w:sz w:val="24"/>
          <w:szCs w:val="24"/>
        </w:rPr>
        <w:t>Dumville, D. N. (1986</w:t>
      </w:r>
      <w:r w:rsidRPr="00D55F44">
        <w:rPr>
          <w:sz w:val="24"/>
          <w:szCs w:val="24"/>
        </w:rPr>
        <w:t xml:space="preserve">) ‘The Historical Value of the </w:t>
      </w:r>
      <w:r w:rsidRPr="00D55F44">
        <w:rPr>
          <w:i/>
          <w:sz w:val="24"/>
          <w:szCs w:val="24"/>
        </w:rPr>
        <w:t xml:space="preserve">Historia Brittonum’ Arthurian Literature </w:t>
      </w:r>
      <w:r w:rsidRPr="00D55F44">
        <w:rPr>
          <w:sz w:val="24"/>
          <w:szCs w:val="24"/>
        </w:rPr>
        <w:t>VI 1986.</w:t>
      </w:r>
    </w:p>
    <w:p w14:paraId="6A986E94" w14:textId="79CA621F" w:rsidR="00782BDB" w:rsidRDefault="00782BDB" w:rsidP="00D16DE8">
      <w:pPr>
        <w:pStyle w:val="FootnoteText"/>
        <w:rPr>
          <w:sz w:val="24"/>
          <w:szCs w:val="24"/>
        </w:rPr>
      </w:pPr>
    </w:p>
    <w:p w14:paraId="79EFB071" w14:textId="77777777" w:rsidR="00782BDB" w:rsidRDefault="00782BDB" w:rsidP="00D16DE8">
      <w:pPr>
        <w:pStyle w:val="FootnoteText"/>
        <w:rPr>
          <w:sz w:val="24"/>
          <w:szCs w:val="24"/>
        </w:rPr>
      </w:pPr>
      <w:r>
        <w:rPr>
          <w:sz w:val="24"/>
          <w:szCs w:val="24"/>
        </w:rPr>
        <w:t xml:space="preserve">Elton, G. R. (1969) </w:t>
      </w:r>
      <w:r w:rsidRPr="00240E30">
        <w:rPr>
          <w:i/>
          <w:sz w:val="24"/>
          <w:szCs w:val="24"/>
        </w:rPr>
        <w:t>The Practice of History</w:t>
      </w:r>
      <w:r>
        <w:rPr>
          <w:sz w:val="24"/>
          <w:szCs w:val="24"/>
        </w:rPr>
        <w:t xml:space="preserve">  Collins- Fontana, Glasgow</w:t>
      </w:r>
    </w:p>
    <w:p w14:paraId="6A1880C5" w14:textId="77777777" w:rsidR="00782BDB" w:rsidRDefault="00782BDB" w:rsidP="00D16DE8">
      <w:pPr>
        <w:pStyle w:val="FootnoteText"/>
        <w:rPr>
          <w:sz w:val="24"/>
          <w:szCs w:val="24"/>
        </w:rPr>
      </w:pPr>
    </w:p>
    <w:p w14:paraId="2485C925" w14:textId="6A1376EC" w:rsidR="00782BDB" w:rsidRDefault="00782BDB" w:rsidP="00D16DE8">
      <w:pPr>
        <w:pStyle w:val="FootnoteText"/>
        <w:rPr>
          <w:sz w:val="24"/>
          <w:szCs w:val="24"/>
        </w:rPr>
      </w:pPr>
      <w:r>
        <w:rPr>
          <w:sz w:val="24"/>
          <w:szCs w:val="24"/>
        </w:rPr>
        <w:t xml:space="preserve">Field, P.J.C. (2006) ‘Arthur’s Battles’ </w:t>
      </w:r>
      <w:r w:rsidRPr="00677DFA">
        <w:rPr>
          <w:i/>
          <w:sz w:val="24"/>
          <w:szCs w:val="24"/>
        </w:rPr>
        <w:t>Arthuriana</w:t>
      </w:r>
      <w:r>
        <w:rPr>
          <w:sz w:val="24"/>
          <w:szCs w:val="24"/>
        </w:rPr>
        <w:t>, Vol 18, No. 4 Winter 2008</w:t>
      </w:r>
    </w:p>
    <w:p w14:paraId="3EA76496" w14:textId="77777777" w:rsidR="00782BDB" w:rsidRDefault="00782BDB" w:rsidP="00D16DE8">
      <w:pPr>
        <w:pStyle w:val="FootnoteText"/>
        <w:rPr>
          <w:sz w:val="24"/>
          <w:szCs w:val="24"/>
        </w:rPr>
      </w:pPr>
    </w:p>
    <w:p w14:paraId="52161112" w14:textId="4003F64C" w:rsidR="00782BDB" w:rsidRDefault="00782BDB" w:rsidP="00EF104A">
      <w:pPr>
        <w:pStyle w:val="FootnoteText"/>
        <w:rPr>
          <w:sz w:val="24"/>
          <w:szCs w:val="24"/>
        </w:rPr>
      </w:pPr>
      <w:r>
        <w:rPr>
          <w:sz w:val="24"/>
          <w:szCs w:val="24"/>
        </w:rPr>
        <w:t xml:space="preserve">Fimi, Dimitra (2009) ‘Review of </w:t>
      </w:r>
      <w:r w:rsidRPr="00D16DE8">
        <w:rPr>
          <w:i/>
          <w:sz w:val="24"/>
          <w:szCs w:val="24"/>
        </w:rPr>
        <w:t>Concepts of Arthur</w:t>
      </w:r>
      <w:r>
        <w:rPr>
          <w:sz w:val="24"/>
          <w:szCs w:val="24"/>
        </w:rPr>
        <w:t xml:space="preserve"> by Thomas Green’ </w:t>
      </w:r>
      <w:r w:rsidRPr="00D16DE8">
        <w:rPr>
          <w:i/>
          <w:sz w:val="24"/>
          <w:szCs w:val="24"/>
        </w:rPr>
        <w:t>Speculum</w:t>
      </w:r>
      <w:r>
        <w:rPr>
          <w:sz w:val="24"/>
          <w:szCs w:val="24"/>
        </w:rPr>
        <w:t xml:space="preserve"> Vol 84, No. 3 July 2009</w:t>
      </w:r>
    </w:p>
    <w:p w14:paraId="730C9347" w14:textId="447B0A8C" w:rsidR="00782BDB" w:rsidRDefault="00782BDB" w:rsidP="00EF104A">
      <w:pPr>
        <w:pStyle w:val="FootnoteText"/>
        <w:rPr>
          <w:sz w:val="24"/>
          <w:szCs w:val="24"/>
        </w:rPr>
      </w:pPr>
    </w:p>
    <w:p w14:paraId="53200A0E" w14:textId="77777777" w:rsidR="00782BDB" w:rsidRDefault="00782BDB" w:rsidP="00EF104A">
      <w:pPr>
        <w:pStyle w:val="FootnoteText"/>
        <w:rPr>
          <w:sz w:val="24"/>
          <w:szCs w:val="24"/>
        </w:rPr>
      </w:pPr>
      <w:r>
        <w:rPr>
          <w:sz w:val="24"/>
          <w:szCs w:val="24"/>
        </w:rPr>
        <w:t xml:space="preserve">Fulton, Helen (2012) ‘Introduction: Theories and Debates’ in Fulton, Helen (Ed.) </w:t>
      </w:r>
      <w:r w:rsidRPr="00EF104A">
        <w:rPr>
          <w:i/>
          <w:sz w:val="24"/>
          <w:szCs w:val="24"/>
        </w:rPr>
        <w:t>A Companion to Arthurian Literature</w:t>
      </w:r>
      <w:r>
        <w:rPr>
          <w:sz w:val="24"/>
          <w:szCs w:val="24"/>
        </w:rPr>
        <w:t xml:space="preserve"> Wiley-Blackwell, Chichester</w:t>
      </w:r>
    </w:p>
    <w:p w14:paraId="0AD1A5BA" w14:textId="77777777" w:rsidR="00782BDB" w:rsidRDefault="00782BDB" w:rsidP="00EF104A">
      <w:pPr>
        <w:pStyle w:val="FootnoteText"/>
        <w:rPr>
          <w:sz w:val="24"/>
          <w:szCs w:val="24"/>
        </w:rPr>
      </w:pPr>
    </w:p>
    <w:p w14:paraId="44AC3428" w14:textId="77777777" w:rsidR="00782BDB" w:rsidRDefault="00782BDB" w:rsidP="00EF104A">
      <w:pPr>
        <w:pStyle w:val="FootnoteText"/>
        <w:rPr>
          <w:sz w:val="24"/>
          <w:szCs w:val="24"/>
        </w:rPr>
      </w:pPr>
      <w:r>
        <w:rPr>
          <w:sz w:val="24"/>
          <w:szCs w:val="24"/>
        </w:rPr>
        <w:t xml:space="preserve">Fulton, Helen (2012b) ‘History and Myth: Geoffrey of Monmouth’s </w:t>
      </w:r>
      <w:r w:rsidRPr="00EF104A">
        <w:rPr>
          <w:i/>
          <w:sz w:val="24"/>
          <w:szCs w:val="24"/>
        </w:rPr>
        <w:t>Historia Regum Britanniae</w:t>
      </w:r>
      <w:r>
        <w:rPr>
          <w:sz w:val="24"/>
          <w:szCs w:val="24"/>
        </w:rPr>
        <w:t xml:space="preserve">’ in Fulton, Helen (Ed.) </w:t>
      </w:r>
      <w:r w:rsidRPr="00EF104A">
        <w:rPr>
          <w:i/>
          <w:sz w:val="24"/>
          <w:szCs w:val="24"/>
        </w:rPr>
        <w:t>A Companion to Arthurian Literature</w:t>
      </w:r>
      <w:r>
        <w:rPr>
          <w:sz w:val="24"/>
          <w:szCs w:val="24"/>
        </w:rPr>
        <w:t xml:space="preserve"> Wiley-Blackwell, Chichester</w:t>
      </w:r>
    </w:p>
    <w:p w14:paraId="6DEEBE7A" w14:textId="4D73E82A" w:rsidR="00782BDB" w:rsidRDefault="00782BDB" w:rsidP="00EF104A">
      <w:pPr>
        <w:pStyle w:val="FootnoteText"/>
        <w:rPr>
          <w:sz w:val="24"/>
          <w:szCs w:val="24"/>
        </w:rPr>
      </w:pPr>
    </w:p>
    <w:p w14:paraId="2D78C5F3" w14:textId="6ED81E56" w:rsidR="00782BDB" w:rsidRDefault="00782BDB" w:rsidP="00BF6711">
      <w:pPr>
        <w:rPr>
          <w:sz w:val="24"/>
          <w:szCs w:val="24"/>
        </w:rPr>
      </w:pPr>
      <w:r>
        <w:rPr>
          <w:sz w:val="24"/>
          <w:szCs w:val="24"/>
        </w:rPr>
        <w:t xml:space="preserve">Garmonsway, G.N. (1972) (Trans.) </w:t>
      </w:r>
      <w:r w:rsidRPr="00CC0E02">
        <w:rPr>
          <w:i/>
          <w:sz w:val="24"/>
          <w:szCs w:val="24"/>
        </w:rPr>
        <w:t>The Anglo-Saxon Chronicle</w:t>
      </w:r>
      <w:r>
        <w:rPr>
          <w:sz w:val="24"/>
          <w:szCs w:val="24"/>
        </w:rPr>
        <w:t xml:space="preserve"> Dent, London and Melbourne</w:t>
      </w:r>
    </w:p>
    <w:p w14:paraId="7642138B" w14:textId="7A5F27B8" w:rsidR="00782BDB" w:rsidRDefault="00782BDB" w:rsidP="00BF6711">
      <w:pPr>
        <w:rPr>
          <w:sz w:val="24"/>
          <w:szCs w:val="24"/>
        </w:rPr>
      </w:pPr>
      <w:r>
        <w:rPr>
          <w:sz w:val="24"/>
          <w:szCs w:val="24"/>
        </w:rPr>
        <w:t xml:space="preserve">Green, Thomas (1998) </w:t>
      </w:r>
      <w:r w:rsidRPr="001B45ED">
        <w:rPr>
          <w:i/>
          <w:sz w:val="24"/>
          <w:szCs w:val="24"/>
        </w:rPr>
        <w:t>The Historicity and Historicisation of Arthur</w:t>
      </w:r>
      <w:r>
        <w:rPr>
          <w:sz w:val="24"/>
          <w:szCs w:val="24"/>
        </w:rPr>
        <w:t xml:space="preserve"> http://www.arthuriana.co.uk/historicity/arthur.htm</w:t>
      </w:r>
    </w:p>
    <w:p w14:paraId="33AC6FB5" w14:textId="3D8FD572" w:rsidR="00782BDB" w:rsidRDefault="00782BDB" w:rsidP="00BF6711">
      <w:pPr>
        <w:rPr>
          <w:sz w:val="24"/>
          <w:szCs w:val="24"/>
        </w:rPr>
      </w:pPr>
      <w:r>
        <w:rPr>
          <w:sz w:val="24"/>
          <w:szCs w:val="24"/>
        </w:rPr>
        <w:t xml:space="preserve">Green, Thomas (2007) </w:t>
      </w:r>
      <w:r w:rsidRPr="00240E30">
        <w:rPr>
          <w:i/>
          <w:sz w:val="24"/>
          <w:szCs w:val="24"/>
        </w:rPr>
        <w:t>Concepts of Arthur</w:t>
      </w:r>
      <w:r>
        <w:rPr>
          <w:sz w:val="24"/>
          <w:szCs w:val="24"/>
        </w:rPr>
        <w:t xml:space="preserve"> Tempus, Stroud</w:t>
      </w:r>
    </w:p>
    <w:p w14:paraId="51FC4EC1" w14:textId="64513CA6" w:rsidR="00782BDB" w:rsidRDefault="00782BDB" w:rsidP="00BF6711">
      <w:pPr>
        <w:rPr>
          <w:sz w:val="24"/>
          <w:szCs w:val="24"/>
        </w:rPr>
      </w:pPr>
      <w:r>
        <w:rPr>
          <w:sz w:val="24"/>
          <w:szCs w:val="24"/>
        </w:rPr>
        <w:t xml:space="preserve">Halsall, Guy (2013) </w:t>
      </w:r>
      <w:r w:rsidRPr="00677DFA">
        <w:rPr>
          <w:i/>
          <w:sz w:val="24"/>
          <w:szCs w:val="24"/>
        </w:rPr>
        <w:t xml:space="preserve">Worlds of Arthur – Facts and </w:t>
      </w:r>
      <w:r>
        <w:rPr>
          <w:i/>
          <w:sz w:val="24"/>
          <w:szCs w:val="24"/>
        </w:rPr>
        <w:t>F</w:t>
      </w:r>
      <w:r w:rsidRPr="00677DFA">
        <w:rPr>
          <w:i/>
          <w:sz w:val="24"/>
          <w:szCs w:val="24"/>
        </w:rPr>
        <w:t>ictions of the Dark Ages</w:t>
      </w:r>
      <w:r>
        <w:rPr>
          <w:sz w:val="24"/>
          <w:szCs w:val="24"/>
        </w:rPr>
        <w:t xml:space="preserve"> Oxford University Press, Oxford</w:t>
      </w:r>
    </w:p>
    <w:p w14:paraId="041EAA4A" w14:textId="603A9BE7" w:rsidR="00782BDB" w:rsidRDefault="00782BDB" w:rsidP="00BF6711">
      <w:pPr>
        <w:rPr>
          <w:sz w:val="24"/>
          <w:szCs w:val="24"/>
        </w:rPr>
      </w:pPr>
      <w:r>
        <w:rPr>
          <w:sz w:val="24"/>
          <w:szCs w:val="24"/>
        </w:rPr>
        <w:t xml:space="preserve">Higham, N.J. (1994) </w:t>
      </w:r>
      <w:r w:rsidRPr="00240E30">
        <w:rPr>
          <w:i/>
          <w:sz w:val="24"/>
          <w:szCs w:val="24"/>
        </w:rPr>
        <w:t>The English Conquest – Gildas and Britain in the fifth century</w:t>
      </w:r>
      <w:r>
        <w:rPr>
          <w:sz w:val="24"/>
          <w:szCs w:val="24"/>
        </w:rPr>
        <w:t xml:space="preserve"> Manchester University Press, Manchester and New York</w:t>
      </w:r>
    </w:p>
    <w:p w14:paraId="5DB13144" w14:textId="130AAA0D" w:rsidR="00782BDB" w:rsidRDefault="00782BDB" w:rsidP="00BF6711">
      <w:pPr>
        <w:rPr>
          <w:sz w:val="24"/>
          <w:szCs w:val="24"/>
        </w:rPr>
      </w:pPr>
      <w:r>
        <w:rPr>
          <w:sz w:val="24"/>
          <w:szCs w:val="24"/>
        </w:rPr>
        <w:t xml:space="preserve">Higham, N. J. (2002) </w:t>
      </w:r>
      <w:r w:rsidRPr="002A6429">
        <w:rPr>
          <w:i/>
          <w:sz w:val="24"/>
          <w:szCs w:val="24"/>
        </w:rPr>
        <w:t>King Arthur: Myth-Making and History</w:t>
      </w:r>
      <w:r>
        <w:rPr>
          <w:sz w:val="24"/>
          <w:szCs w:val="24"/>
        </w:rPr>
        <w:t xml:space="preserve"> Routledge, London and New York</w:t>
      </w:r>
    </w:p>
    <w:p w14:paraId="5778AD50" w14:textId="77777777" w:rsidR="00782BDB" w:rsidRDefault="00782BDB" w:rsidP="00EF104A">
      <w:pPr>
        <w:pStyle w:val="FootnoteText"/>
        <w:rPr>
          <w:sz w:val="24"/>
          <w:szCs w:val="24"/>
        </w:rPr>
      </w:pPr>
      <w:r>
        <w:rPr>
          <w:sz w:val="24"/>
          <w:szCs w:val="24"/>
        </w:rPr>
        <w:t xml:space="preserve">Higham, N.J. ‘Early Latin Sources: Fragments of a Pseudo-Historical Arthur’ in Fulton, Helen (Ed.) </w:t>
      </w:r>
      <w:r w:rsidRPr="00EF104A">
        <w:rPr>
          <w:i/>
          <w:sz w:val="24"/>
          <w:szCs w:val="24"/>
        </w:rPr>
        <w:t>A Companion to Arthurian Literature</w:t>
      </w:r>
      <w:r>
        <w:rPr>
          <w:sz w:val="24"/>
          <w:szCs w:val="24"/>
        </w:rPr>
        <w:t xml:space="preserve"> Wiley-Blackwell, Chichester</w:t>
      </w:r>
    </w:p>
    <w:p w14:paraId="42EA6DB7" w14:textId="77777777" w:rsidR="00782BDB" w:rsidRDefault="00782BDB" w:rsidP="00BF6711">
      <w:pPr>
        <w:rPr>
          <w:sz w:val="24"/>
          <w:szCs w:val="24"/>
        </w:rPr>
      </w:pPr>
    </w:p>
    <w:p w14:paraId="4966896F" w14:textId="7410C88B" w:rsidR="00782BDB" w:rsidRDefault="00782BDB" w:rsidP="00BF6711">
      <w:pPr>
        <w:rPr>
          <w:sz w:val="24"/>
          <w:szCs w:val="24"/>
        </w:rPr>
      </w:pPr>
      <w:r>
        <w:rPr>
          <w:sz w:val="24"/>
          <w:szCs w:val="24"/>
        </w:rPr>
        <w:t xml:space="preserve">Higham, Nick (2018) ‘The King Arthur Delusion’ </w:t>
      </w:r>
      <w:r w:rsidRPr="00CC0E02">
        <w:rPr>
          <w:i/>
          <w:sz w:val="24"/>
          <w:szCs w:val="24"/>
        </w:rPr>
        <w:t>BBC History Magazine</w:t>
      </w:r>
      <w:r>
        <w:rPr>
          <w:sz w:val="24"/>
          <w:szCs w:val="24"/>
        </w:rPr>
        <w:t xml:space="preserve"> December 2018</w:t>
      </w:r>
    </w:p>
    <w:p w14:paraId="6D28A550" w14:textId="2F2F2990" w:rsidR="00782BDB" w:rsidRDefault="00782BDB" w:rsidP="00BF6711">
      <w:pPr>
        <w:rPr>
          <w:sz w:val="24"/>
          <w:szCs w:val="24"/>
        </w:rPr>
      </w:pPr>
      <w:r>
        <w:rPr>
          <w:sz w:val="24"/>
          <w:szCs w:val="24"/>
        </w:rPr>
        <w:t xml:space="preserve">Jackson, Kenneth (1945)  ‘Once Again Arthur’s Battles’ </w:t>
      </w:r>
      <w:r w:rsidRPr="00CC0E02">
        <w:rPr>
          <w:i/>
          <w:sz w:val="24"/>
          <w:szCs w:val="24"/>
        </w:rPr>
        <w:t>Modern Philology</w:t>
      </w:r>
      <w:r>
        <w:rPr>
          <w:sz w:val="24"/>
          <w:szCs w:val="24"/>
        </w:rPr>
        <w:t xml:space="preserve"> Vol 43 No. 1 (August 1945)</w:t>
      </w:r>
    </w:p>
    <w:p w14:paraId="3F5A34F5" w14:textId="4B9DACC1" w:rsidR="00782BDB" w:rsidRDefault="00782BDB" w:rsidP="00BF6711">
      <w:pPr>
        <w:rPr>
          <w:sz w:val="24"/>
          <w:szCs w:val="24"/>
        </w:rPr>
      </w:pPr>
      <w:r>
        <w:rPr>
          <w:sz w:val="24"/>
          <w:szCs w:val="24"/>
        </w:rPr>
        <w:t xml:space="preserve">Jackson, Kenneth (1963) ‘On the Northern British Section in Nennius’ in Jackson, Kenneth </w:t>
      </w:r>
      <w:r w:rsidRPr="00EF104A">
        <w:rPr>
          <w:i/>
          <w:sz w:val="24"/>
          <w:szCs w:val="24"/>
        </w:rPr>
        <w:t>et al</w:t>
      </w:r>
      <w:r>
        <w:rPr>
          <w:i/>
          <w:sz w:val="24"/>
          <w:szCs w:val="24"/>
        </w:rPr>
        <w:t>.</w:t>
      </w:r>
      <w:r w:rsidRPr="00EF104A">
        <w:rPr>
          <w:i/>
          <w:sz w:val="24"/>
          <w:szCs w:val="24"/>
        </w:rPr>
        <w:t xml:space="preserve"> Celt and Saxon – Studies in the Early British Border</w:t>
      </w:r>
      <w:r>
        <w:rPr>
          <w:sz w:val="24"/>
          <w:szCs w:val="24"/>
        </w:rPr>
        <w:t xml:space="preserve"> Cambridge University Press, London</w:t>
      </w:r>
    </w:p>
    <w:p w14:paraId="3F747249" w14:textId="1B909967" w:rsidR="00782BDB" w:rsidRDefault="00782BDB" w:rsidP="00BF6711">
      <w:pPr>
        <w:rPr>
          <w:sz w:val="24"/>
          <w:szCs w:val="24"/>
        </w:rPr>
      </w:pPr>
      <w:r>
        <w:rPr>
          <w:sz w:val="24"/>
          <w:szCs w:val="24"/>
        </w:rPr>
        <w:t xml:space="preserve">Jones, Thomas (1964) ‘The Early Evolution of the Legend of Arthur’ </w:t>
      </w:r>
      <w:r w:rsidRPr="00CC0E02">
        <w:rPr>
          <w:i/>
          <w:sz w:val="24"/>
          <w:szCs w:val="24"/>
        </w:rPr>
        <w:t>Nottingham Medieval Studies</w:t>
      </w:r>
      <w:r>
        <w:rPr>
          <w:sz w:val="24"/>
          <w:szCs w:val="24"/>
        </w:rPr>
        <w:t xml:space="preserve"> Vol 8 1964</w:t>
      </w:r>
    </w:p>
    <w:p w14:paraId="1559C9E1" w14:textId="09BD9F05" w:rsidR="00782BDB" w:rsidRDefault="00782BDB" w:rsidP="00BF6711">
      <w:pPr>
        <w:rPr>
          <w:sz w:val="24"/>
          <w:szCs w:val="24"/>
        </w:rPr>
      </w:pPr>
      <w:r>
        <w:rPr>
          <w:sz w:val="24"/>
          <w:szCs w:val="24"/>
        </w:rPr>
        <w:t xml:space="preserve">Koch, John (2003) (Ed.) </w:t>
      </w:r>
      <w:r w:rsidRPr="00677DFA">
        <w:rPr>
          <w:i/>
          <w:sz w:val="24"/>
          <w:szCs w:val="24"/>
        </w:rPr>
        <w:t>The Celtic Heroic Age – Literary Sources for Ancient Celtic Europe &amp; Early Ireland &amp; Wales</w:t>
      </w:r>
      <w:r>
        <w:rPr>
          <w:sz w:val="24"/>
          <w:szCs w:val="24"/>
        </w:rPr>
        <w:t xml:space="preserve"> Celtic Studies Publications, Aberystwyth</w:t>
      </w:r>
    </w:p>
    <w:p w14:paraId="11240D7F" w14:textId="77777777" w:rsidR="00782BDB" w:rsidRDefault="00782BDB" w:rsidP="00EF104A">
      <w:pPr>
        <w:pStyle w:val="FootnoteText"/>
        <w:rPr>
          <w:sz w:val="24"/>
          <w:szCs w:val="24"/>
        </w:rPr>
      </w:pPr>
      <w:r>
        <w:rPr>
          <w:sz w:val="24"/>
          <w:szCs w:val="24"/>
        </w:rPr>
        <w:t xml:space="preserve">Lane, Alan (2012) ‘The End of Roman Britain and the Coming of the Saxons: An Archaeological Context for Arthur ?’ in Fulton, Helen (Ed.) </w:t>
      </w:r>
      <w:r w:rsidRPr="00EF104A">
        <w:rPr>
          <w:i/>
          <w:sz w:val="24"/>
          <w:szCs w:val="24"/>
        </w:rPr>
        <w:t>A Companion to Arthurian Literature</w:t>
      </w:r>
      <w:r>
        <w:rPr>
          <w:sz w:val="24"/>
          <w:szCs w:val="24"/>
        </w:rPr>
        <w:t xml:space="preserve"> Wiley-Blackwell, Chichester</w:t>
      </w:r>
    </w:p>
    <w:p w14:paraId="71B35870" w14:textId="77777777" w:rsidR="00782BDB" w:rsidRDefault="00782BDB" w:rsidP="00BF6711">
      <w:pPr>
        <w:rPr>
          <w:sz w:val="24"/>
          <w:szCs w:val="24"/>
        </w:rPr>
      </w:pPr>
    </w:p>
    <w:p w14:paraId="52DC5FE6" w14:textId="2F267716" w:rsidR="00782BDB" w:rsidRDefault="00782BDB" w:rsidP="00BF6711">
      <w:pPr>
        <w:rPr>
          <w:sz w:val="24"/>
          <w:szCs w:val="24"/>
        </w:rPr>
      </w:pPr>
      <w:r>
        <w:rPr>
          <w:sz w:val="24"/>
          <w:szCs w:val="24"/>
        </w:rPr>
        <w:t xml:space="preserve">Marwick, Arthur (1970) </w:t>
      </w:r>
      <w:r w:rsidRPr="00240E30">
        <w:rPr>
          <w:i/>
          <w:sz w:val="24"/>
          <w:szCs w:val="24"/>
        </w:rPr>
        <w:t>The Nature of History</w:t>
      </w:r>
      <w:r>
        <w:rPr>
          <w:sz w:val="24"/>
          <w:szCs w:val="24"/>
        </w:rPr>
        <w:t xml:space="preserve"> Macmillan Press, London and Basingstoke.</w:t>
      </w:r>
    </w:p>
    <w:p w14:paraId="320BB606" w14:textId="6A18F399" w:rsidR="00782BDB" w:rsidRDefault="00782BDB" w:rsidP="00BF6711">
      <w:pPr>
        <w:rPr>
          <w:sz w:val="24"/>
          <w:szCs w:val="24"/>
        </w:rPr>
      </w:pPr>
      <w:r>
        <w:rPr>
          <w:sz w:val="24"/>
          <w:szCs w:val="24"/>
        </w:rPr>
        <w:t xml:space="preserve">Matthews, Caitlin (2008) ‘Review of </w:t>
      </w:r>
      <w:r w:rsidRPr="00D16DE8">
        <w:rPr>
          <w:i/>
          <w:sz w:val="24"/>
          <w:szCs w:val="24"/>
        </w:rPr>
        <w:t>Concepts of Arthur</w:t>
      </w:r>
      <w:r>
        <w:rPr>
          <w:sz w:val="24"/>
          <w:szCs w:val="24"/>
        </w:rPr>
        <w:t xml:space="preserve"> by Thomas Green’ </w:t>
      </w:r>
      <w:r w:rsidRPr="00D16DE8">
        <w:rPr>
          <w:i/>
          <w:sz w:val="24"/>
          <w:szCs w:val="24"/>
        </w:rPr>
        <w:t>Arthuriana</w:t>
      </w:r>
      <w:r>
        <w:rPr>
          <w:sz w:val="24"/>
          <w:szCs w:val="24"/>
        </w:rPr>
        <w:t xml:space="preserve"> Vol 18, No. 4 Winter 2008</w:t>
      </w:r>
    </w:p>
    <w:p w14:paraId="5A463382" w14:textId="1EA6B596" w:rsidR="00782BDB" w:rsidRDefault="00782BDB" w:rsidP="00BF6711">
      <w:pPr>
        <w:rPr>
          <w:sz w:val="24"/>
          <w:szCs w:val="24"/>
        </w:rPr>
      </w:pPr>
      <w:r>
        <w:rPr>
          <w:sz w:val="24"/>
          <w:szCs w:val="24"/>
        </w:rPr>
        <w:t xml:space="preserve">Morris, John (1977) </w:t>
      </w:r>
      <w:r w:rsidRPr="00A00D28">
        <w:rPr>
          <w:i/>
          <w:sz w:val="24"/>
          <w:szCs w:val="24"/>
        </w:rPr>
        <w:t>The Age of Arthur – A History of the British Isles from 350 to 650 Vol. 1 Roman Empire and the Empire of Arthur</w:t>
      </w:r>
      <w:r>
        <w:rPr>
          <w:sz w:val="24"/>
          <w:szCs w:val="24"/>
        </w:rPr>
        <w:t xml:space="preserve"> Phillimore, London and Chichester</w:t>
      </w:r>
    </w:p>
    <w:p w14:paraId="5A64CE45" w14:textId="2862F815" w:rsidR="00782BDB" w:rsidRDefault="00782BDB" w:rsidP="00BF6711">
      <w:pPr>
        <w:rPr>
          <w:sz w:val="24"/>
          <w:szCs w:val="24"/>
        </w:rPr>
      </w:pPr>
      <w:r>
        <w:rPr>
          <w:sz w:val="24"/>
          <w:szCs w:val="24"/>
        </w:rPr>
        <w:t xml:space="preserve">Morris, John (1980) </w:t>
      </w:r>
      <w:r w:rsidRPr="002A6429">
        <w:rPr>
          <w:i/>
          <w:sz w:val="24"/>
          <w:szCs w:val="24"/>
        </w:rPr>
        <w:t xml:space="preserve">Arthurian Sources, Vol. 8 Nennius – British History and The </w:t>
      </w:r>
      <w:r>
        <w:rPr>
          <w:i/>
          <w:sz w:val="24"/>
          <w:szCs w:val="24"/>
        </w:rPr>
        <w:t>W</w:t>
      </w:r>
      <w:r w:rsidRPr="002A6429">
        <w:rPr>
          <w:i/>
          <w:sz w:val="24"/>
          <w:szCs w:val="24"/>
        </w:rPr>
        <w:t>elsh Annals</w:t>
      </w:r>
      <w:r>
        <w:rPr>
          <w:sz w:val="24"/>
          <w:szCs w:val="24"/>
        </w:rPr>
        <w:t xml:space="preserve"> Phillimore, London and Chichester</w:t>
      </w:r>
    </w:p>
    <w:p w14:paraId="7BEA02EC" w14:textId="27D4C471" w:rsidR="00782BDB" w:rsidRDefault="00782BDB" w:rsidP="00CC0E02">
      <w:pPr>
        <w:pStyle w:val="FootnoteText"/>
        <w:rPr>
          <w:sz w:val="24"/>
          <w:szCs w:val="24"/>
        </w:rPr>
      </w:pPr>
      <w:r>
        <w:rPr>
          <w:sz w:val="24"/>
          <w:szCs w:val="24"/>
        </w:rPr>
        <w:t xml:space="preserve">Myers, J.N.L. (1960)  ‘Pelagius and the End of Roan Rule in Britain’ </w:t>
      </w:r>
      <w:r w:rsidRPr="00CC0E02">
        <w:rPr>
          <w:i/>
          <w:sz w:val="24"/>
          <w:szCs w:val="24"/>
        </w:rPr>
        <w:t>The Journal of Roman Studies</w:t>
      </w:r>
      <w:r w:rsidRPr="00CC0E02">
        <w:rPr>
          <w:sz w:val="24"/>
          <w:szCs w:val="24"/>
        </w:rPr>
        <w:t xml:space="preserve"> Volume 50, Issue 1-2, November 1960</w:t>
      </w:r>
    </w:p>
    <w:p w14:paraId="2880E810" w14:textId="77777777" w:rsidR="00782BDB" w:rsidRDefault="00782BDB" w:rsidP="00CC0E02">
      <w:pPr>
        <w:pStyle w:val="FootnoteText"/>
        <w:rPr>
          <w:sz w:val="24"/>
          <w:szCs w:val="24"/>
        </w:rPr>
      </w:pPr>
    </w:p>
    <w:p w14:paraId="05FF0532" w14:textId="3399BA34" w:rsidR="00782BDB" w:rsidRDefault="00782BDB" w:rsidP="00BF6711">
      <w:pPr>
        <w:rPr>
          <w:sz w:val="24"/>
          <w:szCs w:val="24"/>
        </w:rPr>
      </w:pPr>
      <w:r>
        <w:rPr>
          <w:sz w:val="24"/>
          <w:szCs w:val="24"/>
        </w:rPr>
        <w:t xml:space="preserve">Padel, O.J. (1994) ‘The Nature of Arthur’ </w:t>
      </w:r>
      <w:r w:rsidRPr="00CC0E02">
        <w:rPr>
          <w:i/>
          <w:sz w:val="24"/>
          <w:szCs w:val="24"/>
        </w:rPr>
        <w:t>Cambrian Medieval Celtic Studies</w:t>
      </w:r>
      <w:r>
        <w:rPr>
          <w:sz w:val="24"/>
          <w:szCs w:val="24"/>
        </w:rPr>
        <w:t xml:space="preserve"> Vol 27 Summer 1994</w:t>
      </w:r>
    </w:p>
    <w:p w14:paraId="2B892E7D" w14:textId="3231EDF9" w:rsidR="00782BDB" w:rsidRDefault="00782BDB" w:rsidP="00BF6711">
      <w:pPr>
        <w:rPr>
          <w:sz w:val="24"/>
          <w:szCs w:val="24"/>
        </w:rPr>
      </w:pPr>
      <w:r>
        <w:rPr>
          <w:sz w:val="24"/>
          <w:szCs w:val="24"/>
        </w:rPr>
        <w:t xml:space="preserve">Padel, O.J. (1995) ‘Recent Work on the Origins of the Arthurian Legend’ </w:t>
      </w:r>
      <w:r w:rsidRPr="00240E30">
        <w:rPr>
          <w:i/>
          <w:sz w:val="24"/>
          <w:szCs w:val="24"/>
        </w:rPr>
        <w:t>Arthuriana</w:t>
      </w:r>
      <w:r>
        <w:rPr>
          <w:sz w:val="24"/>
          <w:szCs w:val="24"/>
        </w:rPr>
        <w:t xml:space="preserve"> Vol 5, No. 3 Fall 1995</w:t>
      </w:r>
    </w:p>
    <w:p w14:paraId="2275D1E2" w14:textId="2B387EAC" w:rsidR="00782BDB" w:rsidRDefault="00782BDB" w:rsidP="00BF6711">
      <w:pPr>
        <w:rPr>
          <w:sz w:val="24"/>
          <w:szCs w:val="24"/>
        </w:rPr>
      </w:pPr>
      <w:r>
        <w:rPr>
          <w:sz w:val="24"/>
          <w:szCs w:val="24"/>
        </w:rPr>
        <w:t xml:space="preserve">Padel, O.J. (2000) </w:t>
      </w:r>
      <w:r w:rsidRPr="002A6429">
        <w:rPr>
          <w:i/>
          <w:sz w:val="24"/>
          <w:szCs w:val="24"/>
        </w:rPr>
        <w:t>Arthur in Welsh Medieval Literature</w:t>
      </w:r>
      <w:r>
        <w:rPr>
          <w:sz w:val="24"/>
          <w:szCs w:val="24"/>
        </w:rPr>
        <w:t xml:space="preserve"> University of Wales Press, Cardiff</w:t>
      </w:r>
    </w:p>
    <w:p w14:paraId="5BFF7211" w14:textId="2823E100" w:rsidR="00782BDB" w:rsidRDefault="00782BDB" w:rsidP="00BF6711">
      <w:pPr>
        <w:rPr>
          <w:sz w:val="24"/>
          <w:szCs w:val="24"/>
        </w:rPr>
      </w:pPr>
      <w:r>
        <w:rPr>
          <w:sz w:val="24"/>
          <w:szCs w:val="24"/>
        </w:rPr>
        <w:t>Pennar, Meirion (1989) (Trans.) The Black Book of Carmarthen Llanerch Enterprises, Lampeter</w:t>
      </w:r>
    </w:p>
    <w:p w14:paraId="2F7563E3" w14:textId="77777777" w:rsidR="00782BDB" w:rsidRDefault="00782BDB" w:rsidP="002A6429">
      <w:pPr>
        <w:rPr>
          <w:sz w:val="24"/>
          <w:szCs w:val="24"/>
        </w:rPr>
      </w:pPr>
      <w:r>
        <w:rPr>
          <w:sz w:val="24"/>
          <w:szCs w:val="24"/>
        </w:rPr>
        <w:t xml:space="preserve">Roberts, Brynley F. (1995) ‘Geoffrey of Monmouth, Historia Regum Brittaniae and Brut y Brenhinedd’ History’ in Bromwich, Rachel, Jarman A.O.H. &amp; Roberts, Brynley (eds.) </w:t>
      </w:r>
      <w:r w:rsidRPr="00BF6711">
        <w:rPr>
          <w:i/>
          <w:sz w:val="24"/>
          <w:szCs w:val="24"/>
        </w:rPr>
        <w:t xml:space="preserve">The Arthur of the Welsh </w:t>
      </w:r>
      <w:r>
        <w:rPr>
          <w:sz w:val="24"/>
          <w:szCs w:val="24"/>
        </w:rPr>
        <w:t>University of Wales Press, Cardiff.</w:t>
      </w:r>
    </w:p>
    <w:p w14:paraId="1879A268" w14:textId="02D12ACC" w:rsidR="00782BDB" w:rsidRDefault="00782BDB" w:rsidP="00BF6711">
      <w:pPr>
        <w:rPr>
          <w:sz w:val="24"/>
          <w:szCs w:val="24"/>
        </w:rPr>
      </w:pPr>
      <w:r>
        <w:rPr>
          <w:sz w:val="24"/>
          <w:szCs w:val="24"/>
        </w:rPr>
        <w:t xml:space="preserve">Roberts, Brynley F. (1995) ‘Culhwch ac Olwen, The Triads, Saints’ Lives’ History’ in Bromwich, Rachel, Jarman A.O.H. &amp; Roberts, Brynley (eds.) </w:t>
      </w:r>
      <w:r w:rsidRPr="00BF6711">
        <w:rPr>
          <w:i/>
          <w:sz w:val="24"/>
          <w:szCs w:val="24"/>
        </w:rPr>
        <w:t xml:space="preserve">The Arthur of the Welsh </w:t>
      </w:r>
      <w:r>
        <w:rPr>
          <w:sz w:val="24"/>
          <w:szCs w:val="24"/>
        </w:rPr>
        <w:t>University of Wales Press, Cardiff.</w:t>
      </w:r>
    </w:p>
    <w:p w14:paraId="4408F703" w14:textId="65EB8C7E" w:rsidR="00782BDB" w:rsidRDefault="00782BDB" w:rsidP="00BF6711">
      <w:pPr>
        <w:rPr>
          <w:sz w:val="24"/>
          <w:szCs w:val="24"/>
        </w:rPr>
      </w:pPr>
      <w:r>
        <w:rPr>
          <w:sz w:val="24"/>
          <w:szCs w:val="24"/>
        </w:rPr>
        <w:t xml:space="preserve">Roberts, Brynley F. (1992) ‘From Traditional Tales to Literary Story’ in Roberts, B.F. </w:t>
      </w:r>
      <w:r>
        <w:rPr>
          <w:i/>
          <w:sz w:val="24"/>
          <w:szCs w:val="24"/>
        </w:rPr>
        <w:t xml:space="preserve">Studies on Middle Welsh Literature, </w:t>
      </w:r>
      <w:r>
        <w:rPr>
          <w:sz w:val="24"/>
          <w:szCs w:val="24"/>
        </w:rPr>
        <w:t>The Edwin Mellen Press, Lampeter</w:t>
      </w:r>
    </w:p>
    <w:p w14:paraId="26F917D1" w14:textId="09FAF7FD" w:rsidR="00782BDB" w:rsidRDefault="00782BDB" w:rsidP="00BF6711">
      <w:pPr>
        <w:rPr>
          <w:sz w:val="24"/>
          <w:szCs w:val="24"/>
        </w:rPr>
      </w:pPr>
      <w:r>
        <w:rPr>
          <w:sz w:val="24"/>
          <w:szCs w:val="24"/>
        </w:rPr>
        <w:t xml:space="preserve">Roberts, Brynley F. (1988) ‘Oral Tradition and Welsh Literature: A Description and Survey’ in </w:t>
      </w:r>
      <w:r>
        <w:rPr>
          <w:i/>
          <w:sz w:val="24"/>
          <w:szCs w:val="24"/>
        </w:rPr>
        <w:t>Oral Tradition</w:t>
      </w:r>
      <w:r>
        <w:rPr>
          <w:sz w:val="24"/>
          <w:szCs w:val="24"/>
        </w:rPr>
        <w:t>, 3/1-2 (1988)</w:t>
      </w:r>
    </w:p>
    <w:p w14:paraId="7C08663F" w14:textId="037B7A4C" w:rsidR="00782BDB" w:rsidRDefault="00782BDB" w:rsidP="00BF6711">
      <w:pPr>
        <w:rPr>
          <w:sz w:val="24"/>
          <w:szCs w:val="24"/>
        </w:rPr>
      </w:pPr>
      <w:r>
        <w:rPr>
          <w:sz w:val="24"/>
          <w:szCs w:val="24"/>
        </w:rPr>
        <w:t xml:space="preserve">Roberts, Brynley F. (Ed.) (1988) </w:t>
      </w:r>
      <w:r w:rsidRPr="00A00D28">
        <w:rPr>
          <w:i/>
          <w:sz w:val="24"/>
          <w:szCs w:val="24"/>
        </w:rPr>
        <w:t>Early Welsh Poetry – Studies in the Book of Aneirin</w:t>
      </w:r>
      <w:r>
        <w:rPr>
          <w:sz w:val="24"/>
          <w:szCs w:val="24"/>
        </w:rPr>
        <w:t xml:space="preserve"> National Library of wales, Aberystwyth</w:t>
      </w:r>
    </w:p>
    <w:p w14:paraId="63E0DB94" w14:textId="6A0983E2" w:rsidR="00782BDB" w:rsidRDefault="00782BDB" w:rsidP="00BF6711">
      <w:pPr>
        <w:rPr>
          <w:sz w:val="24"/>
          <w:szCs w:val="24"/>
        </w:rPr>
      </w:pPr>
      <w:r>
        <w:rPr>
          <w:sz w:val="24"/>
          <w:szCs w:val="24"/>
        </w:rPr>
        <w:t xml:space="preserve">Short, Steve ( 1994) (Trans.) </w:t>
      </w:r>
      <w:r w:rsidRPr="00A00D28">
        <w:rPr>
          <w:i/>
          <w:sz w:val="24"/>
          <w:szCs w:val="24"/>
        </w:rPr>
        <w:t>Aneirin- The Gododdin</w:t>
      </w:r>
      <w:r>
        <w:rPr>
          <w:sz w:val="24"/>
          <w:szCs w:val="24"/>
        </w:rPr>
        <w:t xml:space="preserve"> Llanerch Publishers, Felinfach</w:t>
      </w:r>
    </w:p>
    <w:p w14:paraId="0A1572FC" w14:textId="1AB8B121" w:rsidR="00782BDB" w:rsidRDefault="00782BDB" w:rsidP="00BF6711">
      <w:pPr>
        <w:rPr>
          <w:sz w:val="24"/>
          <w:szCs w:val="24"/>
        </w:rPr>
      </w:pPr>
      <w:r>
        <w:rPr>
          <w:sz w:val="24"/>
          <w:szCs w:val="24"/>
        </w:rPr>
        <w:t xml:space="preserve">Sims-Williams, Patrick (1983) ‘The settlement of England in Bede and the </w:t>
      </w:r>
      <w:r w:rsidRPr="001B45ED">
        <w:rPr>
          <w:i/>
          <w:sz w:val="24"/>
          <w:szCs w:val="24"/>
        </w:rPr>
        <w:t>Chronicle</w:t>
      </w:r>
      <w:r>
        <w:rPr>
          <w:sz w:val="24"/>
          <w:szCs w:val="24"/>
        </w:rPr>
        <w:t xml:space="preserve">’ </w:t>
      </w:r>
      <w:r w:rsidRPr="001B45ED">
        <w:rPr>
          <w:i/>
          <w:sz w:val="24"/>
          <w:szCs w:val="24"/>
        </w:rPr>
        <w:t>Anglo-Saxon England</w:t>
      </w:r>
      <w:r>
        <w:rPr>
          <w:sz w:val="24"/>
          <w:szCs w:val="24"/>
        </w:rPr>
        <w:t xml:space="preserve"> 12 1983</w:t>
      </w:r>
    </w:p>
    <w:p w14:paraId="566A0C3C" w14:textId="03F1C987" w:rsidR="00782BDB" w:rsidRDefault="00782BDB" w:rsidP="00BF6711">
      <w:pPr>
        <w:rPr>
          <w:sz w:val="24"/>
          <w:szCs w:val="24"/>
        </w:rPr>
      </w:pPr>
      <w:r>
        <w:rPr>
          <w:sz w:val="24"/>
          <w:szCs w:val="24"/>
        </w:rPr>
        <w:t xml:space="preserve">Sims-Williams, Patrick (1993) ‘Gildas and the Anglo-Saxons’ </w:t>
      </w:r>
      <w:r w:rsidRPr="00677DFA">
        <w:rPr>
          <w:i/>
          <w:sz w:val="24"/>
          <w:szCs w:val="24"/>
        </w:rPr>
        <w:t xml:space="preserve">Cambridge Medieval Celtic </w:t>
      </w:r>
      <w:r>
        <w:rPr>
          <w:i/>
          <w:sz w:val="24"/>
          <w:szCs w:val="24"/>
        </w:rPr>
        <w:t>S</w:t>
      </w:r>
      <w:r w:rsidRPr="00677DFA">
        <w:rPr>
          <w:i/>
          <w:sz w:val="24"/>
          <w:szCs w:val="24"/>
        </w:rPr>
        <w:t>tudies</w:t>
      </w:r>
      <w:r>
        <w:rPr>
          <w:sz w:val="24"/>
          <w:szCs w:val="24"/>
        </w:rPr>
        <w:t xml:space="preserve"> Vol 6 Winter 1993</w:t>
      </w:r>
    </w:p>
    <w:p w14:paraId="51954100" w14:textId="7C8F4B4B" w:rsidR="00782BDB" w:rsidRDefault="00782BDB" w:rsidP="00BF6711">
      <w:pPr>
        <w:rPr>
          <w:sz w:val="24"/>
          <w:szCs w:val="24"/>
        </w:rPr>
      </w:pPr>
      <w:r>
        <w:rPr>
          <w:sz w:val="24"/>
          <w:szCs w:val="24"/>
        </w:rPr>
        <w:t xml:space="preserve">Sims-Williams, Patrick (1995) ‘The Early Welsh Arthurian Poems’ History’ in Bromwich, Rachel, Jarman A.O.H. &amp; Roberts, Brynley (eds.) </w:t>
      </w:r>
      <w:r w:rsidRPr="00BF6711">
        <w:rPr>
          <w:i/>
          <w:sz w:val="24"/>
          <w:szCs w:val="24"/>
        </w:rPr>
        <w:t xml:space="preserve">The Arthur of the Welsh </w:t>
      </w:r>
      <w:r>
        <w:rPr>
          <w:sz w:val="24"/>
          <w:szCs w:val="24"/>
        </w:rPr>
        <w:t>University of Wales Press, Cardiff.</w:t>
      </w:r>
    </w:p>
    <w:p w14:paraId="20487D20" w14:textId="3FAEAAA6" w:rsidR="00782BDB" w:rsidRDefault="00782BDB" w:rsidP="00BF6711">
      <w:pPr>
        <w:rPr>
          <w:sz w:val="24"/>
          <w:szCs w:val="24"/>
        </w:rPr>
      </w:pPr>
      <w:r>
        <w:rPr>
          <w:sz w:val="24"/>
          <w:szCs w:val="24"/>
        </w:rPr>
        <w:t xml:space="preserve">Thorpe, Lewis (1966) (Trans. &amp; intro.) </w:t>
      </w:r>
      <w:r w:rsidRPr="00A00D28">
        <w:rPr>
          <w:i/>
          <w:sz w:val="24"/>
          <w:szCs w:val="24"/>
        </w:rPr>
        <w:t>Geoffrey of Monmouth : The History of the Kings of Britain</w:t>
      </w:r>
      <w:r>
        <w:rPr>
          <w:sz w:val="24"/>
          <w:szCs w:val="24"/>
        </w:rPr>
        <w:t xml:space="preserve"> Penguin, Harmondsworth</w:t>
      </w:r>
    </w:p>
    <w:p w14:paraId="2AD569CA" w14:textId="367FCAA4" w:rsidR="00782BDB" w:rsidRDefault="00782BDB" w:rsidP="00BF6711">
      <w:pPr>
        <w:rPr>
          <w:sz w:val="24"/>
          <w:szCs w:val="24"/>
        </w:rPr>
      </w:pPr>
      <w:r>
        <w:rPr>
          <w:sz w:val="24"/>
          <w:szCs w:val="24"/>
        </w:rPr>
        <w:t xml:space="preserve">Williams, Gwyn A. (1994) </w:t>
      </w:r>
      <w:r w:rsidRPr="00677DFA">
        <w:rPr>
          <w:i/>
          <w:sz w:val="24"/>
          <w:szCs w:val="24"/>
        </w:rPr>
        <w:t>Excalibur – The Search for King Arthur</w:t>
      </w:r>
      <w:r>
        <w:rPr>
          <w:sz w:val="24"/>
          <w:szCs w:val="24"/>
        </w:rPr>
        <w:t xml:space="preserve"> BBC Books, London </w:t>
      </w:r>
    </w:p>
    <w:p w14:paraId="5F8DC227" w14:textId="65583DBF" w:rsidR="00782BDB" w:rsidRDefault="00782BDB" w:rsidP="00BF6711">
      <w:pPr>
        <w:rPr>
          <w:sz w:val="24"/>
          <w:szCs w:val="24"/>
        </w:rPr>
      </w:pPr>
      <w:r>
        <w:rPr>
          <w:sz w:val="24"/>
          <w:szCs w:val="24"/>
        </w:rPr>
        <w:t>Williams, Rowan (2018</w:t>
      </w:r>
      <w:bookmarkStart w:id="14" w:name="_Hlk532722792"/>
      <w:r>
        <w:rPr>
          <w:sz w:val="24"/>
          <w:szCs w:val="24"/>
        </w:rPr>
        <w:t xml:space="preserve">) ‘Our once and future king. Review of </w:t>
      </w:r>
      <w:r w:rsidRPr="001B45ED">
        <w:rPr>
          <w:i/>
          <w:sz w:val="24"/>
          <w:szCs w:val="24"/>
        </w:rPr>
        <w:t xml:space="preserve">King Arthur: The Making of the Legend </w:t>
      </w:r>
      <w:r>
        <w:rPr>
          <w:sz w:val="24"/>
          <w:szCs w:val="24"/>
        </w:rPr>
        <w:t xml:space="preserve">by Nicholas Higham’ </w:t>
      </w:r>
      <w:r w:rsidRPr="001B45ED">
        <w:rPr>
          <w:i/>
          <w:sz w:val="24"/>
          <w:szCs w:val="24"/>
        </w:rPr>
        <w:t>New Statesman</w:t>
      </w:r>
      <w:r>
        <w:rPr>
          <w:sz w:val="24"/>
          <w:szCs w:val="24"/>
        </w:rPr>
        <w:t xml:space="preserve"> 7 December2018 -3 January 2019</w:t>
      </w:r>
    </w:p>
    <w:bookmarkEnd w:id="14"/>
    <w:p w14:paraId="7F81C6C4" w14:textId="0C450E7B" w:rsidR="00782BDB" w:rsidRDefault="00782BDB" w:rsidP="00BF6711">
      <w:pPr>
        <w:rPr>
          <w:sz w:val="24"/>
          <w:szCs w:val="24"/>
        </w:rPr>
      </w:pPr>
      <w:r>
        <w:rPr>
          <w:sz w:val="24"/>
          <w:szCs w:val="24"/>
        </w:rPr>
        <w:t>Winterbottom, Michael (1978) (Ed. &amp; Trans</w:t>
      </w:r>
      <w:r w:rsidRPr="00240E30">
        <w:rPr>
          <w:i/>
          <w:sz w:val="24"/>
          <w:szCs w:val="24"/>
        </w:rPr>
        <w:t>.</w:t>
      </w:r>
      <w:r w:rsidRPr="00240E30">
        <w:rPr>
          <w:sz w:val="24"/>
          <w:szCs w:val="24"/>
        </w:rPr>
        <w:t>)</w:t>
      </w:r>
      <w:r w:rsidRPr="00240E30">
        <w:rPr>
          <w:i/>
          <w:sz w:val="24"/>
          <w:szCs w:val="24"/>
        </w:rPr>
        <w:t xml:space="preserve"> Gildas – The Ruin of Britain and other works</w:t>
      </w:r>
      <w:r>
        <w:rPr>
          <w:sz w:val="24"/>
          <w:szCs w:val="24"/>
        </w:rPr>
        <w:t xml:space="preserve"> Phillimore, London and Chichester</w:t>
      </w:r>
    </w:p>
    <w:p w14:paraId="50494798" w14:textId="7DCA52FF" w:rsidR="00782BDB" w:rsidRDefault="00782BDB" w:rsidP="00BF6711">
      <w:pPr>
        <w:rPr>
          <w:sz w:val="24"/>
          <w:szCs w:val="24"/>
        </w:rPr>
      </w:pPr>
      <w:r>
        <w:rPr>
          <w:sz w:val="24"/>
          <w:szCs w:val="24"/>
        </w:rPr>
        <w:t xml:space="preserve">Wood, Michael ( 1981) </w:t>
      </w:r>
      <w:r w:rsidRPr="00A00D28">
        <w:rPr>
          <w:i/>
          <w:sz w:val="24"/>
          <w:szCs w:val="24"/>
        </w:rPr>
        <w:t>In Search of the Dark Ages</w:t>
      </w:r>
      <w:r>
        <w:rPr>
          <w:sz w:val="24"/>
          <w:szCs w:val="24"/>
        </w:rPr>
        <w:t xml:space="preserve"> British Broadcasting Corporation, London</w:t>
      </w:r>
    </w:p>
    <w:p w14:paraId="23CB79A1" w14:textId="2207B087" w:rsidR="00782BDB" w:rsidRDefault="00782BDB" w:rsidP="00BF6711">
      <w:pPr>
        <w:pStyle w:val="EndnoteText"/>
        <w:rPr>
          <w:i/>
          <w:color w:val="000000"/>
          <w:sz w:val="24"/>
          <w:szCs w:val="24"/>
        </w:rPr>
      </w:pPr>
    </w:p>
    <w:p w14:paraId="2D019BD2" w14:textId="77777777" w:rsidR="00782BDB" w:rsidRDefault="00782BDB" w:rsidP="00BF6711">
      <w:pPr>
        <w:pStyle w:val="FootnoteText"/>
      </w:pPr>
    </w:p>
    <w:p w14:paraId="73F61BAA" w14:textId="0F0A1130" w:rsidR="00782BDB" w:rsidRDefault="00782BDB">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6C4089" w14:textId="77777777" w:rsidR="00DD3979" w:rsidRDefault="00DD3979" w:rsidP="00342005">
      <w:pPr>
        <w:spacing w:after="0" w:line="240" w:lineRule="auto"/>
      </w:pPr>
      <w:r>
        <w:separator/>
      </w:r>
    </w:p>
  </w:footnote>
  <w:footnote w:type="continuationSeparator" w:id="0">
    <w:p w14:paraId="1B1CEF8C" w14:textId="77777777" w:rsidR="00DD3979" w:rsidRDefault="00DD3979" w:rsidP="0034200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numFmt w:val="decimal"/>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7D3"/>
    <w:rsid w:val="00003A96"/>
    <w:rsid w:val="00005D54"/>
    <w:rsid w:val="00006BA5"/>
    <w:rsid w:val="00034340"/>
    <w:rsid w:val="00050036"/>
    <w:rsid w:val="00064628"/>
    <w:rsid w:val="00076295"/>
    <w:rsid w:val="00083947"/>
    <w:rsid w:val="00084FDE"/>
    <w:rsid w:val="000927F9"/>
    <w:rsid w:val="00092AAC"/>
    <w:rsid w:val="000952AB"/>
    <w:rsid w:val="000A57D9"/>
    <w:rsid w:val="000D0D0C"/>
    <w:rsid w:val="000D647D"/>
    <w:rsid w:val="000E35F2"/>
    <w:rsid w:val="000E75E2"/>
    <w:rsid w:val="000F6F20"/>
    <w:rsid w:val="00105652"/>
    <w:rsid w:val="00126DC2"/>
    <w:rsid w:val="0014151B"/>
    <w:rsid w:val="001905B0"/>
    <w:rsid w:val="001932F1"/>
    <w:rsid w:val="001B45ED"/>
    <w:rsid w:val="001B7EBE"/>
    <w:rsid w:val="001D3ACD"/>
    <w:rsid w:val="001D3DC1"/>
    <w:rsid w:val="0020574C"/>
    <w:rsid w:val="00211831"/>
    <w:rsid w:val="002158F9"/>
    <w:rsid w:val="00223E40"/>
    <w:rsid w:val="00235E3D"/>
    <w:rsid w:val="0023645D"/>
    <w:rsid w:val="00240E30"/>
    <w:rsid w:val="002445C0"/>
    <w:rsid w:val="002513FD"/>
    <w:rsid w:val="00261983"/>
    <w:rsid w:val="00280779"/>
    <w:rsid w:val="002958E5"/>
    <w:rsid w:val="002A6429"/>
    <w:rsid w:val="002B2151"/>
    <w:rsid w:val="002E178B"/>
    <w:rsid w:val="002F1429"/>
    <w:rsid w:val="002F3182"/>
    <w:rsid w:val="002F36A1"/>
    <w:rsid w:val="00312106"/>
    <w:rsid w:val="003135EB"/>
    <w:rsid w:val="003303DF"/>
    <w:rsid w:val="003313C2"/>
    <w:rsid w:val="003316CF"/>
    <w:rsid w:val="00342005"/>
    <w:rsid w:val="00342AA6"/>
    <w:rsid w:val="00343432"/>
    <w:rsid w:val="00347859"/>
    <w:rsid w:val="003517A3"/>
    <w:rsid w:val="0035289A"/>
    <w:rsid w:val="00352E80"/>
    <w:rsid w:val="00355A96"/>
    <w:rsid w:val="00361403"/>
    <w:rsid w:val="00376605"/>
    <w:rsid w:val="00376B9B"/>
    <w:rsid w:val="00380A2A"/>
    <w:rsid w:val="0038457E"/>
    <w:rsid w:val="00384A32"/>
    <w:rsid w:val="00392739"/>
    <w:rsid w:val="0039517A"/>
    <w:rsid w:val="00397834"/>
    <w:rsid w:val="003A5708"/>
    <w:rsid w:val="003B4F21"/>
    <w:rsid w:val="003D46A1"/>
    <w:rsid w:val="003E15DA"/>
    <w:rsid w:val="003F2943"/>
    <w:rsid w:val="003F77BD"/>
    <w:rsid w:val="004003B8"/>
    <w:rsid w:val="00484CAF"/>
    <w:rsid w:val="00491686"/>
    <w:rsid w:val="004B7697"/>
    <w:rsid w:val="004C042F"/>
    <w:rsid w:val="004C18E1"/>
    <w:rsid w:val="004C4050"/>
    <w:rsid w:val="004C7878"/>
    <w:rsid w:val="004E1753"/>
    <w:rsid w:val="004E6CCB"/>
    <w:rsid w:val="004F3C5E"/>
    <w:rsid w:val="004F79F3"/>
    <w:rsid w:val="00507B48"/>
    <w:rsid w:val="0052439B"/>
    <w:rsid w:val="0053059D"/>
    <w:rsid w:val="00531DC5"/>
    <w:rsid w:val="0054182B"/>
    <w:rsid w:val="005A33B3"/>
    <w:rsid w:val="005C3854"/>
    <w:rsid w:val="005D3FE6"/>
    <w:rsid w:val="005D4DE6"/>
    <w:rsid w:val="005D5213"/>
    <w:rsid w:val="005F6F39"/>
    <w:rsid w:val="00615391"/>
    <w:rsid w:val="00652CA4"/>
    <w:rsid w:val="00664E72"/>
    <w:rsid w:val="006735FC"/>
    <w:rsid w:val="006746C6"/>
    <w:rsid w:val="0067716B"/>
    <w:rsid w:val="00677DFA"/>
    <w:rsid w:val="00681193"/>
    <w:rsid w:val="0069406B"/>
    <w:rsid w:val="006A617A"/>
    <w:rsid w:val="006B0451"/>
    <w:rsid w:val="006C1053"/>
    <w:rsid w:val="006C1424"/>
    <w:rsid w:val="006D4F9F"/>
    <w:rsid w:val="00713C53"/>
    <w:rsid w:val="00716FE2"/>
    <w:rsid w:val="00723CBA"/>
    <w:rsid w:val="00734021"/>
    <w:rsid w:val="007420F6"/>
    <w:rsid w:val="007557D3"/>
    <w:rsid w:val="0077691D"/>
    <w:rsid w:val="00782BDB"/>
    <w:rsid w:val="00796162"/>
    <w:rsid w:val="007975A6"/>
    <w:rsid w:val="007C7264"/>
    <w:rsid w:val="00804BB3"/>
    <w:rsid w:val="00812870"/>
    <w:rsid w:val="00826956"/>
    <w:rsid w:val="00827734"/>
    <w:rsid w:val="00855868"/>
    <w:rsid w:val="008635DF"/>
    <w:rsid w:val="008860FC"/>
    <w:rsid w:val="008A76F9"/>
    <w:rsid w:val="008B6B38"/>
    <w:rsid w:val="008D4F83"/>
    <w:rsid w:val="008D7841"/>
    <w:rsid w:val="008F6CDB"/>
    <w:rsid w:val="009109AF"/>
    <w:rsid w:val="00926830"/>
    <w:rsid w:val="00931D3F"/>
    <w:rsid w:val="0094727C"/>
    <w:rsid w:val="00947E54"/>
    <w:rsid w:val="009520DF"/>
    <w:rsid w:val="009645FB"/>
    <w:rsid w:val="00991346"/>
    <w:rsid w:val="009B2AB2"/>
    <w:rsid w:val="009B5678"/>
    <w:rsid w:val="009B754C"/>
    <w:rsid w:val="009F42B0"/>
    <w:rsid w:val="00A00D28"/>
    <w:rsid w:val="00A06309"/>
    <w:rsid w:val="00A207EA"/>
    <w:rsid w:val="00A23857"/>
    <w:rsid w:val="00A26DF7"/>
    <w:rsid w:val="00A309ED"/>
    <w:rsid w:val="00A34F87"/>
    <w:rsid w:val="00A55628"/>
    <w:rsid w:val="00A574B4"/>
    <w:rsid w:val="00A6639F"/>
    <w:rsid w:val="00A86FDE"/>
    <w:rsid w:val="00AA6C14"/>
    <w:rsid w:val="00AA7160"/>
    <w:rsid w:val="00AB192C"/>
    <w:rsid w:val="00AD3192"/>
    <w:rsid w:val="00AD5D5D"/>
    <w:rsid w:val="00AD630F"/>
    <w:rsid w:val="00AE53C3"/>
    <w:rsid w:val="00AF5BF8"/>
    <w:rsid w:val="00B47DB9"/>
    <w:rsid w:val="00B50BD1"/>
    <w:rsid w:val="00B54018"/>
    <w:rsid w:val="00B54BA6"/>
    <w:rsid w:val="00B54FBE"/>
    <w:rsid w:val="00B62521"/>
    <w:rsid w:val="00B70346"/>
    <w:rsid w:val="00B9638E"/>
    <w:rsid w:val="00BA36AC"/>
    <w:rsid w:val="00BB61C1"/>
    <w:rsid w:val="00BF12FC"/>
    <w:rsid w:val="00BF6711"/>
    <w:rsid w:val="00C048E8"/>
    <w:rsid w:val="00C2233E"/>
    <w:rsid w:val="00C24F96"/>
    <w:rsid w:val="00C25404"/>
    <w:rsid w:val="00C36713"/>
    <w:rsid w:val="00C37633"/>
    <w:rsid w:val="00C4720D"/>
    <w:rsid w:val="00C524B1"/>
    <w:rsid w:val="00C67284"/>
    <w:rsid w:val="00C72D16"/>
    <w:rsid w:val="00CA13E9"/>
    <w:rsid w:val="00CC0B2A"/>
    <w:rsid w:val="00CC0E02"/>
    <w:rsid w:val="00CC4F52"/>
    <w:rsid w:val="00CD054C"/>
    <w:rsid w:val="00CE1745"/>
    <w:rsid w:val="00CE5705"/>
    <w:rsid w:val="00D16DE8"/>
    <w:rsid w:val="00D35B1C"/>
    <w:rsid w:val="00D40997"/>
    <w:rsid w:val="00D55F44"/>
    <w:rsid w:val="00D65DEA"/>
    <w:rsid w:val="00D7301B"/>
    <w:rsid w:val="00D755AF"/>
    <w:rsid w:val="00D9098F"/>
    <w:rsid w:val="00DB2C31"/>
    <w:rsid w:val="00DB4DDF"/>
    <w:rsid w:val="00DD3979"/>
    <w:rsid w:val="00DE2088"/>
    <w:rsid w:val="00DE54EF"/>
    <w:rsid w:val="00DE5FAF"/>
    <w:rsid w:val="00DF5235"/>
    <w:rsid w:val="00DF61C5"/>
    <w:rsid w:val="00DF61D0"/>
    <w:rsid w:val="00E064EF"/>
    <w:rsid w:val="00E16CFE"/>
    <w:rsid w:val="00E4757B"/>
    <w:rsid w:val="00E533B0"/>
    <w:rsid w:val="00EA0BB7"/>
    <w:rsid w:val="00EB2289"/>
    <w:rsid w:val="00EE30F9"/>
    <w:rsid w:val="00EF104A"/>
    <w:rsid w:val="00F01A18"/>
    <w:rsid w:val="00F116E1"/>
    <w:rsid w:val="00F16FAB"/>
    <w:rsid w:val="00F347D8"/>
    <w:rsid w:val="00F35480"/>
    <w:rsid w:val="00F51631"/>
    <w:rsid w:val="00F53E27"/>
    <w:rsid w:val="00F62B58"/>
    <w:rsid w:val="00F97FF2"/>
    <w:rsid w:val="00FB1640"/>
    <w:rsid w:val="00FC43EC"/>
    <w:rsid w:val="00FE6654"/>
    <w:rsid w:val="00FF33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BC7CA1"/>
  <w15:chartTrackingRefBased/>
  <w15:docId w15:val="{F8EB12E7-1F34-41BE-B5F8-03161A5B2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342005"/>
    <w:pPr>
      <w:spacing w:after="0" w:line="240" w:lineRule="auto"/>
    </w:pPr>
    <w:rPr>
      <w:sz w:val="20"/>
      <w:szCs w:val="20"/>
    </w:rPr>
  </w:style>
  <w:style w:type="character" w:customStyle="1" w:styleId="FootnoteTextChar">
    <w:name w:val="Footnote Text Char"/>
    <w:basedOn w:val="DefaultParagraphFont"/>
    <w:link w:val="FootnoteText"/>
    <w:uiPriority w:val="99"/>
    <w:rsid w:val="00342005"/>
    <w:rPr>
      <w:sz w:val="20"/>
      <w:szCs w:val="20"/>
    </w:rPr>
  </w:style>
  <w:style w:type="character" w:styleId="FootnoteReference">
    <w:name w:val="footnote reference"/>
    <w:basedOn w:val="DefaultParagraphFont"/>
    <w:uiPriority w:val="99"/>
    <w:semiHidden/>
    <w:unhideWhenUsed/>
    <w:rsid w:val="00342005"/>
    <w:rPr>
      <w:vertAlign w:val="superscript"/>
    </w:rPr>
  </w:style>
  <w:style w:type="paragraph" w:styleId="BalloonText">
    <w:name w:val="Balloon Text"/>
    <w:basedOn w:val="Normal"/>
    <w:link w:val="BalloonTextChar"/>
    <w:uiPriority w:val="99"/>
    <w:semiHidden/>
    <w:unhideWhenUsed/>
    <w:rsid w:val="002619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61983"/>
    <w:rPr>
      <w:rFonts w:ascii="Segoe UI" w:hAnsi="Segoe UI" w:cs="Segoe UI"/>
      <w:sz w:val="18"/>
      <w:szCs w:val="18"/>
    </w:rPr>
  </w:style>
  <w:style w:type="character" w:styleId="Hyperlink">
    <w:name w:val="Hyperlink"/>
    <w:basedOn w:val="DefaultParagraphFont"/>
    <w:uiPriority w:val="99"/>
    <w:unhideWhenUsed/>
    <w:rsid w:val="00376605"/>
    <w:rPr>
      <w:color w:val="0563C1" w:themeColor="hyperlink"/>
      <w:u w:val="single"/>
    </w:rPr>
  </w:style>
  <w:style w:type="character" w:styleId="UnresolvedMention">
    <w:name w:val="Unresolved Mention"/>
    <w:basedOn w:val="DefaultParagraphFont"/>
    <w:uiPriority w:val="99"/>
    <w:semiHidden/>
    <w:unhideWhenUsed/>
    <w:rsid w:val="00376605"/>
    <w:rPr>
      <w:color w:val="605E5C"/>
      <w:shd w:val="clear" w:color="auto" w:fill="E1DFDD"/>
    </w:rPr>
  </w:style>
  <w:style w:type="paragraph" w:styleId="EndnoteText">
    <w:name w:val="endnote text"/>
    <w:basedOn w:val="Normal"/>
    <w:link w:val="EndnoteTextChar"/>
    <w:uiPriority w:val="99"/>
    <w:unhideWhenUsed/>
    <w:rsid w:val="0035289A"/>
    <w:pPr>
      <w:spacing w:after="0" w:line="240" w:lineRule="auto"/>
    </w:pPr>
    <w:rPr>
      <w:sz w:val="20"/>
      <w:szCs w:val="20"/>
    </w:rPr>
  </w:style>
  <w:style w:type="character" w:customStyle="1" w:styleId="EndnoteTextChar">
    <w:name w:val="Endnote Text Char"/>
    <w:basedOn w:val="DefaultParagraphFont"/>
    <w:link w:val="EndnoteText"/>
    <w:uiPriority w:val="99"/>
    <w:rsid w:val="0035289A"/>
    <w:rPr>
      <w:sz w:val="20"/>
      <w:szCs w:val="20"/>
    </w:rPr>
  </w:style>
  <w:style w:type="character" w:styleId="EndnoteReference">
    <w:name w:val="endnote reference"/>
    <w:basedOn w:val="DefaultParagraphFont"/>
    <w:uiPriority w:val="99"/>
    <w:semiHidden/>
    <w:unhideWhenUsed/>
    <w:rsid w:val="0035289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9019844">
      <w:bodyDiv w:val="1"/>
      <w:marLeft w:val="0"/>
      <w:marRight w:val="0"/>
      <w:marTop w:val="0"/>
      <w:marBottom w:val="0"/>
      <w:divBdr>
        <w:top w:val="none" w:sz="0" w:space="0" w:color="auto"/>
        <w:left w:val="none" w:sz="0" w:space="0" w:color="auto"/>
        <w:bottom w:val="none" w:sz="0" w:space="0" w:color="auto"/>
        <w:right w:val="none" w:sz="0" w:space="0" w:color="auto"/>
      </w:divBdr>
    </w:div>
    <w:div w:id="737172112">
      <w:bodyDiv w:val="1"/>
      <w:marLeft w:val="0"/>
      <w:marRight w:val="0"/>
      <w:marTop w:val="0"/>
      <w:marBottom w:val="0"/>
      <w:divBdr>
        <w:top w:val="none" w:sz="0" w:space="0" w:color="auto"/>
        <w:left w:val="none" w:sz="0" w:space="0" w:color="auto"/>
        <w:bottom w:val="none" w:sz="0" w:space="0" w:color="auto"/>
        <w:right w:val="none" w:sz="0" w:space="0" w:color="auto"/>
      </w:divBdr>
    </w:div>
    <w:div w:id="1725332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endnotes.xml.rels><?xml version="1.0" encoding="UTF-8" standalone="yes"?>
<Relationships xmlns="http://schemas.openxmlformats.org/package/2006/relationships"><Relationship Id="rId1" Type="http://schemas.openxmlformats.org/officeDocument/2006/relationships/hyperlink" Target="http://blog.english-heritage.org.uk/discoveries-excavations-tintagel-cast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8B5630-94FF-4FA0-9ADD-A679175791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2296</TotalTime>
  <Pages>23</Pages>
  <Words>5186</Words>
  <Characters>29564</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Colin Laker</dc:creator>
  <cp:keywords/>
  <dc:description/>
  <cp:lastModifiedBy>Colin Laker</cp:lastModifiedBy>
  <cp:revision>64</cp:revision>
  <cp:lastPrinted>2018-12-16T13:16:00Z</cp:lastPrinted>
  <dcterms:created xsi:type="dcterms:W3CDTF">2018-11-11T13:47:00Z</dcterms:created>
  <dcterms:modified xsi:type="dcterms:W3CDTF">2019-01-04T11:03:00Z</dcterms:modified>
</cp:coreProperties>
</file>