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4DFA96" w14:textId="77777777" w:rsidR="009361C2" w:rsidRPr="004F6549" w:rsidRDefault="009361C2" w:rsidP="00E95AFC">
      <w:pPr>
        <w:spacing w:line="360" w:lineRule="auto"/>
        <w:jc w:val="center"/>
        <w:rPr>
          <w:rFonts w:ascii="Times New Roman" w:hAnsi="Times New Roman" w:cs="Times New Roman"/>
          <w:b/>
          <w:sz w:val="32"/>
          <w:szCs w:val="32"/>
        </w:rPr>
      </w:pPr>
    </w:p>
    <w:p w14:paraId="3192FBFF" w14:textId="77777777" w:rsidR="009361C2" w:rsidRPr="004F6549" w:rsidRDefault="009361C2" w:rsidP="00E95AFC">
      <w:pPr>
        <w:spacing w:line="360" w:lineRule="auto"/>
        <w:jc w:val="center"/>
        <w:rPr>
          <w:rFonts w:ascii="Times New Roman" w:hAnsi="Times New Roman" w:cs="Times New Roman"/>
          <w:b/>
          <w:sz w:val="32"/>
          <w:szCs w:val="32"/>
        </w:rPr>
      </w:pPr>
    </w:p>
    <w:p w14:paraId="6EDA459E" w14:textId="77777777" w:rsidR="009361C2" w:rsidRPr="004F6549" w:rsidRDefault="009361C2" w:rsidP="00E95AFC">
      <w:pPr>
        <w:spacing w:line="360" w:lineRule="auto"/>
        <w:jc w:val="center"/>
        <w:rPr>
          <w:rFonts w:ascii="Times New Roman" w:hAnsi="Times New Roman" w:cs="Times New Roman"/>
          <w:b/>
          <w:sz w:val="32"/>
          <w:szCs w:val="32"/>
        </w:rPr>
      </w:pPr>
    </w:p>
    <w:p w14:paraId="46ADB263" w14:textId="77777777" w:rsidR="009361C2" w:rsidRPr="004F6549" w:rsidRDefault="009361C2" w:rsidP="00E95AFC">
      <w:pPr>
        <w:spacing w:line="360" w:lineRule="auto"/>
        <w:jc w:val="center"/>
        <w:rPr>
          <w:rFonts w:ascii="Times New Roman" w:hAnsi="Times New Roman" w:cs="Times New Roman"/>
          <w:b/>
          <w:sz w:val="32"/>
          <w:szCs w:val="32"/>
        </w:rPr>
      </w:pPr>
    </w:p>
    <w:p w14:paraId="10A160B3" w14:textId="77777777" w:rsidR="009361C2" w:rsidRPr="004F6549" w:rsidRDefault="009361C2" w:rsidP="00E95AFC">
      <w:pPr>
        <w:spacing w:line="360" w:lineRule="auto"/>
        <w:jc w:val="center"/>
        <w:rPr>
          <w:rFonts w:ascii="Times New Roman" w:hAnsi="Times New Roman" w:cs="Times New Roman"/>
          <w:b/>
          <w:sz w:val="32"/>
          <w:szCs w:val="32"/>
        </w:rPr>
      </w:pPr>
    </w:p>
    <w:p w14:paraId="1A07799D" w14:textId="77777777" w:rsidR="009361C2" w:rsidRPr="004F6549" w:rsidRDefault="009361C2" w:rsidP="00E95AFC">
      <w:pPr>
        <w:spacing w:line="360" w:lineRule="auto"/>
        <w:jc w:val="center"/>
        <w:rPr>
          <w:rFonts w:ascii="Times New Roman" w:hAnsi="Times New Roman" w:cs="Times New Roman"/>
          <w:b/>
          <w:sz w:val="32"/>
          <w:szCs w:val="32"/>
        </w:rPr>
      </w:pPr>
    </w:p>
    <w:p w14:paraId="2BD1338F" w14:textId="77777777" w:rsidR="009361C2" w:rsidRPr="004F6549" w:rsidRDefault="009361C2" w:rsidP="00E95AFC">
      <w:pPr>
        <w:spacing w:line="360" w:lineRule="auto"/>
        <w:jc w:val="center"/>
        <w:rPr>
          <w:rFonts w:ascii="Times New Roman" w:hAnsi="Times New Roman" w:cs="Times New Roman"/>
          <w:b/>
          <w:sz w:val="32"/>
          <w:szCs w:val="32"/>
        </w:rPr>
      </w:pPr>
    </w:p>
    <w:p w14:paraId="13B3BF48" w14:textId="77777777" w:rsidR="009361C2" w:rsidRPr="004F6549" w:rsidRDefault="009361C2" w:rsidP="00E95AFC">
      <w:pPr>
        <w:spacing w:line="360" w:lineRule="auto"/>
        <w:jc w:val="center"/>
        <w:rPr>
          <w:rFonts w:ascii="Times New Roman" w:hAnsi="Times New Roman" w:cs="Times New Roman"/>
          <w:b/>
          <w:sz w:val="32"/>
          <w:szCs w:val="32"/>
        </w:rPr>
      </w:pPr>
    </w:p>
    <w:p w14:paraId="71BDE7D3" w14:textId="77777777" w:rsidR="009361C2" w:rsidRPr="004F6549" w:rsidRDefault="009361C2" w:rsidP="00E95AFC">
      <w:pPr>
        <w:spacing w:line="360" w:lineRule="auto"/>
        <w:jc w:val="center"/>
        <w:rPr>
          <w:rFonts w:ascii="Times New Roman" w:hAnsi="Times New Roman" w:cs="Times New Roman"/>
          <w:b/>
          <w:sz w:val="32"/>
          <w:szCs w:val="32"/>
        </w:rPr>
      </w:pPr>
    </w:p>
    <w:p w14:paraId="1D736C1C" w14:textId="77777777" w:rsidR="009361C2" w:rsidRPr="004F6549" w:rsidRDefault="009361C2" w:rsidP="00E95AFC">
      <w:pPr>
        <w:spacing w:line="360" w:lineRule="auto"/>
        <w:jc w:val="center"/>
        <w:rPr>
          <w:rFonts w:ascii="Times New Roman" w:hAnsi="Times New Roman" w:cs="Times New Roman"/>
          <w:b/>
          <w:sz w:val="32"/>
          <w:szCs w:val="32"/>
        </w:rPr>
      </w:pPr>
    </w:p>
    <w:p w14:paraId="00000001" w14:textId="4D17AB06" w:rsidR="00C65B51" w:rsidRDefault="006C0F24" w:rsidP="00E95AFC">
      <w:pPr>
        <w:spacing w:line="360" w:lineRule="auto"/>
        <w:jc w:val="center"/>
        <w:rPr>
          <w:rFonts w:ascii="Times New Roman" w:hAnsi="Times New Roman" w:cs="Times New Roman"/>
          <w:b/>
          <w:sz w:val="32"/>
          <w:szCs w:val="32"/>
        </w:rPr>
      </w:pPr>
      <w:r w:rsidRPr="004F6549">
        <w:rPr>
          <w:rFonts w:ascii="Times New Roman" w:hAnsi="Times New Roman" w:cs="Times New Roman"/>
          <w:b/>
          <w:sz w:val="32"/>
          <w:szCs w:val="32"/>
        </w:rPr>
        <w:t>BANKING FINANCIAL MANAGEMENT AND FINANCIAL MARKETS</w:t>
      </w:r>
    </w:p>
    <w:p w14:paraId="2008DE59" w14:textId="0F46B5A8" w:rsidR="00566D07" w:rsidRDefault="00566D07" w:rsidP="00E95AFC">
      <w:pPr>
        <w:spacing w:line="360" w:lineRule="auto"/>
        <w:jc w:val="center"/>
        <w:rPr>
          <w:rFonts w:ascii="Times New Roman" w:hAnsi="Times New Roman" w:cs="Times New Roman"/>
          <w:b/>
          <w:sz w:val="32"/>
          <w:szCs w:val="32"/>
        </w:rPr>
      </w:pPr>
    </w:p>
    <w:p w14:paraId="26B39FC9" w14:textId="5405ACDF" w:rsidR="00566D07" w:rsidRDefault="00566D07" w:rsidP="00E95AFC">
      <w:pPr>
        <w:spacing w:line="360" w:lineRule="auto"/>
        <w:jc w:val="center"/>
        <w:rPr>
          <w:rFonts w:ascii="Times New Roman" w:hAnsi="Times New Roman" w:cs="Times New Roman"/>
          <w:b/>
          <w:sz w:val="32"/>
          <w:szCs w:val="32"/>
        </w:rPr>
      </w:pPr>
    </w:p>
    <w:p w14:paraId="78C5D275" w14:textId="5827BE79" w:rsidR="00566D07" w:rsidRDefault="00566D07" w:rsidP="00E95AFC">
      <w:pPr>
        <w:spacing w:line="360" w:lineRule="auto"/>
        <w:jc w:val="center"/>
        <w:rPr>
          <w:rFonts w:ascii="Times New Roman" w:hAnsi="Times New Roman" w:cs="Times New Roman"/>
          <w:b/>
          <w:sz w:val="32"/>
          <w:szCs w:val="32"/>
        </w:rPr>
      </w:pPr>
    </w:p>
    <w:p w14:paraId="07C31E6C" w14:textId="6372CF60" w:rsidR="00566D07" w:rsidRDefault="00566D07" w:rsidP="00E95AFC">
      <w:pPr>
        <w:spacing w:line="360" w:lineRule="auto"/>
        <w:jc w:val="center"/>
        <w:rPr>
          <w:rFonts w:ascii="Times New Roman" w:hAnsi="Times New Roman" w:cs="Times New Roman"/>
          <w:b/>
          <w:sz w:val="32"/>
          <w:szCs w:val="32"/>
        </w:rPr>
      </w:pPr>
    </w:p>
    <w:p w14:paraId="468A9447" w14:textId="0A0B1760" w:rsidR="00566D07" w:rsidRPr="004F6549" w:rsidRDefault="00566D07" w:rsidP="00E95AFC">
      <w:pPr>
        <w:spacing w:line="360" w:lineRule="auto"/>
        <w:jc w:val="center"/>
        <w:rPr>
          <w:rFonts w:ascii="Times New Roman" w:hAnsi="Times New Roman" w:cs="Times New Roman"/>
          <w:b/>
          <w:sz w:val="32"/>
          <w:szCs w:val="32"/>
        </w:rPr>
      </w:pPr>
    </w:p>
    <w:p w14:paraId="30603ED6" w14:textId="668C6BE1" w:rsidR="00945C07" w:rsidRPr="00B85E03" w:rsidRDefault="00566D07" w:rsidP="00E95AFC">
      <w:pPr>
        <w:spacing w:line="360" w:lineRule="auto"/>
        <w:jc w:val="center"/>
        <w:rPr>
          <w:rFonts w:ascii="Times New Roman" w:hAnsi="Times New Roman" w:cs="Times New Roman"/>
          <w:b/>
          <w:sz w:val="28"/>
          <w:szCs w:val="28"/>
        </w:rPr>
      </w:pPr>
      <w:r>
        <w:rPr>
          <w:bCs/>
          <w:noProof/>
        </w:rPr>
        <mc:AlternateContent>
          <mc:Choice Requires="wps">
            <w:drawing>
              <wp:anchor distT="0" distB="0" distL="114300" distR="114300" simplePos="0" relativeHeight="251658752" behindDoc="0" locked="0" layoutInCell="1" allowOverlap="1" wp14:anchorId="26DEB49A" wp14:editId="13C3EE21">
                <wp:simplePos x="0" y="0"/>
                <wp:positionH relativeFrom="margin">
                  <wp:posOffset>104775</wp:posOffset>
                </wp:positionH>
                <wp:positionV relativeFrom="page">
                  <wp:posOffset>7248525</wp:posOffset>
                </wp:positionV>
                <wp:extent cx="5591175" cy="1887855"/>
                <wp:effectExtent l="0" t="0" r="9525"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91175" cy="1887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092D8" w14:textId="4BA066DF" w:rsidR="00566D07" w:rsidRPr="001C4ADC" w:rsidRDefault="00E43E56" w:rsidP="00566D07">
                            <w:pPr>
                              <w:pStyle w:val="NoSpacing"/>
                              <w:rPr>
                                <w:rStyle w:val="IntenseReference"/>
                              </w:rPr>
                            </w:pPr>
                            <w:sdt>
                              <w:sdtPr>
                                <w:rPr>
                                  <w:rStyle w:val="IntenseReference"/>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rPr>
                                  <w:rStyle w:val="IntenseReference"/>
                                </w:rPr>
                              </w:sdtEndPr>
                              <w:sdtContent>
                                <w:r w:rsidR="00861019">
                                  <w:rPr>
                                    <w:rStyle w:val="IntenseReference"/>
                                    <w:sz w:val="32"/>
                                    <w:szCs w:val="32"/>
                                  </w:rPr>
                                  <w:t xml:space="preserve">      SAGAR CHAANDWANI</w:t>
                                </w:r>
                              </w:sdtContent>
                            </w:sdt>
                          </w:p>
                          <w:p w14:paraId="3D4E5A5C" w14:textId="4F0FEFDD" w:rsidR="00566D07" w:rsidRPr="00470518" w:rsidRDefault="00E43E56" w:rsidP="00566D07">
                            <w:pPr>
                              <w:pStyle w:val="NoSpacing"/>
                              <w:rPr>
                                <w:caps/>
                                <w:color w:val="000000" w:themeColor="text1"/>
                                <w:sz w:val="32"/>
                                <w:szCs w:val="32"/>
                              </w:rPr>
                            </w:pPr>
                            <w:sdt>
                              <w:sdtPr>
                                <w:rPr>
                                  <w:caps/>
                                  <w:color w:val="000000" w:themeColor="text1"/>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66D07">
                                  <w:rPr>
                                    <w:caps/>
                                    <w:color w:val="000000" w:themeColor="text1"/>
                                    <w:sz w:val="32"/>
                                    <w:szCs w:val="32"/>
                                  </w:rPr>
                                  <w:t xml:space="preserve">     </w:t>
                                </w:r>
                              </w:sdtContent>
                            </w:sdt>
                            <w:r w:rsidR="00566D07">
                              <w:rPr>
                                <w:caps/>
                                <w:color w:val="000000" w:themeColor="text1"/>
                                <w:sz w:val="32"/>
                                <w:szCs w:val="32"/>
                              </w:rPr>
                              <w:t>STUDENT NUMBER</w:t>
                            </w:r>
                            <w:r w:rsidR="00566D07" w:rsidRPr="00470518">
                              <w:rPr>
                                <w:caps/>
                                <w:color w:val="000000" w:themeColor="text1"/>
                                <w:sz w:val="32"/>
                                <w:szCs w:val="32"/>
                              </w:rPr>
                              <w:t xml:space="preserve">: </w:t>
                            </w:r>
                            <w:r w:rsidR="00566D07">
                              <w:rPr>
                                <w:caps/>
                                <w:color w:val="000000" w:themeColor="text1"/>
                                <w:sz w:val="32"/>
                                <w:szCs w:val="32"/>
                              </w:rPr>
                              <w:t>1906141</w:t>
                            </w:r>
                          </w:p>
                          <w:p w14:paraId="01ED58DD" w14:textId="3033F8FC" w:rsidR="00566D07" w:rsidRPr="00470518" w:rsidRDefault="00566D07" w:rsidP="00566D07">
                            <w:pPr>
                              <w:pStyle w:val="NoSpacing"/>
                              <w:rPr>
                                <w:caps/>
                                <w:color w:val="000000" w:themeColor="text1"/>
                                <w:sz w:val="32"/>
                                <w:szCs w:val="32"/>
                              </w:rPr>
                            </w:pPr>
                            <w:bookmarkStart w:id="0" w:name="_Hlk41215219"/>
                            <w:r>
                              <w:rPr>
                                <w:caps/>
                                <w:color w:val="000000" w:themeColor="text1"/>
                                <w:sz w:val="32"/>
                                <w:szCs w:val="32"/>
                              </w:rPr>
                              <w:t xml:space="preserve">     </w:t>
                            </w:r>
                            <w:r w:rsidRPr="00470518">
                              <w:rPr>
                                <w:caps/>
                                <w:color w:val="000000" w:themeColor="text1"/>
                                <w:sz w:val="32"/>
                                <w:szCs w:val="32"/>
                              </w:rPr>
                              <w:t>Module Tilte: lcmb70</w:t>
                            </w:r>
                            <w:r>
                              <w:rPr>
                                <w:caps/>
                                <w:color w:val="000000" w:themeColor="text1"/>
                                <w:sz w:val="32"/>
                                <w:szCs w:val="32"/>
                              </w:rPr>
                              <w:t>12</w:t>
                            </w:r>
                          </w:p>
                          <w:bookmarkEnd w:id="0"/>
                          <w:p w14:paraId="7FC22770" w14:textId="74AB7997" w:rsidR="00566D07" w:rsidRDefault="00566D07" w:rsidP="00566D07">
                            <w:pPr>
                              <w:pStyle w:val="NoSpacing"/>
                              <w:rPr>
                                <w:caps/>
                                <w:color w:val="000000" w:themeColor="text1"/>
                                <w:sz w:val="32"/>
                                <w:szCs w:val="32"/>
                              </w:rPr>
                            </w:pPr>
                            <w:r>
                              <w:rPr>
                                <w:caps/>
                                <w:color w:val="000000" w:themeColor="text1"/>
                                <w:sz w:val="32"/>
                                <w:szCs w:val="32"/>
                              </w:rPr>
                              <w:t xml:space="preserve">     </w:t>
                            </w:r>
                            <w:r w:rsidRPr="00470518">
                              <w:rPr>
                                <w:caps/>
                                <w:color w:val="000000" w:themeColor="text1"/>
                                <w:sz w:val="32"/>
                                <w:szCs w:val="32"/>
                              </w:rPr>
                              <w:t xml:space="preserve">Assignment title: </w:t>
                            </w:r>
                            <w:r>
                              <w:rPr>
                                <w:caps/>
                                <w:color w:val="000000" w:themeColor="text1"/>
                                <w:sz w:val="32"/>
                                <w:szCs w:val="32"/>
                              </w:rPr>
                              <w:t xml:space="preserve">BANKING FINANCIAL management </w:t>
                            </w:r>
                          </w:p>
                          <w:p w14:paraId="0976B6CF" w14:textId="726A9845" w:rsidR="00566D07" w:rsidRPr="00470518" w:rsidRDefault="00566D07" w:rsidP="00566D07">
                            <w:pPr>
                              <w:pStyle w:val="NoSpacing"/>
                              <w:rPr>
                                <w:caps/>
                                <w:color w:val="000000" w:themeColor="text1"/>
                                <w:sz w:val="32"/>
                                <w:szCs w:val="32"/>
                              </w:rPr>
                            </w:pPr>
                            <w:r>
                              <w:rPr>
                                <w:caps/>
                                <w:color w:val="000000" w:themeColor="text1"/>
                                <w:sz w:val="32"/>
                                <w:szCs w:val="32"/>
                              </w:rPr>
                              <w:t xml:space="preserve">     AND FINANCIAL MARKETS</w:t>
                            </w:r>
                            <w:r w:rsidRPr="00470518">
                              <w:rPr>
                                <w:caps/>
                                <w:color w:val="000000" w:themeColor="text1"/>
                                <w:sz w:val="32"/>
                                <w:szCs w:val="32"/>
                              </w:rPr>
                              <w:t xml:space="preserve"> </w:t>
                            </w:r>
                          </w:p>
                          <w:p w14:paraId="2A4FD03C" w14:textId="3A1FE6E1" w:rsidR="00566D07" w:rsidRDefault="00566D07" w:rsidP="00566D07">
                            <w:pPr>
                              <w:pStyle w:val="NoSpacing"/>
                              <w:rPr>
                                <w:caps/>
                                <w:color w:val="000000" w:themeColor="text1"/>
                                <w:sz w:val="32"/>
                                <w:szCs w:val="32"/>
                              </w:rPr>
                            </w:pPr>
                            <w:r>
                              <w:rPr>
                                <w:caps/>
                                <w:color w:val="000000" w:themeColor="text1"/>
                                <w:sz w:val="32"/>
                                <w:szCs w:val="32"/>
                              </w:rPr>
                              <w:t xml:space="preserve">     L</w:t>
                            </w:r>
                            <w:r w:rsidRPr="00470518">
                              <w:rPr>
                                <w:caps/>
                                <w:color w:val="000000" w:themeColor="text1"/>
                                <w:sz w:val="32"/>
                                <w:szCs w:val="32"/>
                              </w:rPr>
                              <w:t xml:space="preserve">ecturer’s name: </w:t>
                            </w:r>
                            <w:r>
                              <w:rPr>
                                <w:caps/>
                                <w:color w:val="000000" w:themeColor="text1"/>
                                <w:sz w:val="32"/>
                                <w:szCs w:val="32"/>
                              </w:rPr>
                              <w:t>ISAIAH OINO</w:t>
                            </w:r>
                          </w:p>
                          <w:p w14:paraId="52F45EA2" w14:textId="77777777" w:rsidR="00566D07" w:rsidRPr="00470518" w:rsidRDefault="00566D07" w:rsidP="00566D07">
                            <w:pPr>
                              <w:pStyle w:val="NoSpacing"/>
                              <w:rPr>
                                <w:caps/>
                                <w:color w:val="000000" w:themeColor="text1"/>
                                <w:sz w:val="32"/>
                                <w:szCs w:val="32"/>
                              </w:rPr>
                            </w:pPr>
                            <w:r>
                              <w:rPr>
                                <w:caps/>
                                <w:color w:val="000000" w:themeColor="text1"/>
                                <w:sz w:val="32"/>
                                <w:szCs w:val="32"/>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6DEB49A" id="_x0000_t202" coordsize="21600,21600" o:spt="202" path="m,l,21600r21600,l21600,xe">
                <v:stroke joinstyle="miter"/>
                <v:path gradientshapeok="t" o:connecttype="rect"/>
              </v:shapetype>
              <v:shape id="Text Box 32" o:spid="_x0000_s1026" type="#_x0000_t202" style="position:absolute;left:0;text-align:left;margin-left:8.25pt;margin-top:570.75pt;width:440.25pt;height:148.6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" filled="f" stroked="f" strokeweight=".5pt">
                <v:textbox inset="0,0,0,0">
                  <w:txbxContent>
                    <w:p w14:paraId="794092D8" w14:textId="4BA066DF" w:rsidR="00566D07" w:rsidRPr="001C4ADC" w:rsidRDefault="00E43E56" w:rsidP="00566D07">
                      <w:pPr>
                        <w:pStyle w:val="NoSpacing"/>
                        <w:rPr>
                          <w:rStyle w:val="IntenseReference"/>
                        </w:rPr>
                      </w:pPr>
                      <w:sdt>
                        <w:sdtPr>
                          <w:rPr>
                            <w:rStyle w:val="IntenseReference"/>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rPr>
                            <w:rStyle w:val="IntenseReference"/>
                          </w:rPr>
                        </w:sdtEndPr>
                        <w:sdtContent>
                          <w:r w:rsidR="00861019">
                            <w:rPr>
                              <w:rStyle w:val="IntenseReference"/>
                              <w:sz w:val="32"/>
                              <w:szCs w:val="32"/>
                            </w:rPr>
                            <w:t xml:space="preserve">      SAGAR CHAANDWANI</w:t>
                          </w:r>
                        </w:sdtContent>
                      </w:sdt>
                    </w:p>
                    <w:p w14:paraId="3D4E5A5C" w14:textId="4F0FEFDD" w:rsidR="00566D07" w:rsidRPr="00470518" w:rsidRDefault="00E43E56" w:rsidP="00566D07">
                      <w:pPr>
                        <w:pStyle w:val="NoSpacing"/>
                        <w:rPr>
                          <w:caps/>
                          <w:color w:val="000000" w:themeColor="text1"/>
                          <w:sz w:val="32"/>
                          <w:szCs w:val="32"/>
                        </w:rPr>
                      </w:pPr>
                      <w:sdt>
                        <w:sdtPr>
                          <w:rPr>
                            <w:caps/>
                            <w:color w:val="000000" w:themeColor="text1"/>
                            <w:sz w:val="32"/>
                            <w:szCs w:val="32"/>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66D07">
                            <w:rPr>
                              <w:caps/>
                              <w:color w:val="000000" w:themeColor="text1"/>
                              <w:sz w:val="32"/>
                              <w:szCs w:val="32"/>
                            </w:rPr>
                            <w:t xml:space="preserve">     </w:t>
                          </w:r>
                        </w:sdtContent>
                      </w:sdt>
                      <w:r w:rsidR="00566D07">
                        <w:rPr>
                          <w:caps/>
                          <w:color w:val="000000" w:themeColor="text1"/>
                          <w:sz w:val="32"/>
                          <w:szCs w:val="32"/>
                        </w:rPr>
                        <w:t>STUDENT NUMBER</w:t>
                      </w:r>
                      <w:r w:rsidR="00566D07" w:rsidRPr="00470518">
                        <w:rPr>
                          <w:caps/>
                          <w:color w:val="000000" w:themeColor="text1"/>
                          <w:sz w:val="32"/>
                          <w:szCs w:val="32"/>
                        </w:rPr>
                        <w:t xml:space="preserve">: </w:t>
                      </w:r>
                      <w:r w:rsidR="00566D07">
                        <w:rPr>
                          <w:caps/>
                          <w:color w:val="000000" w:themeColor="text1"/>
                          <w:sz w:val="32"/>
                          <w:szCs w:val="32"/>
                        </w:rPr>
                        <w:t>1906141</w:t>
                      </w:r>
                    </w:p>
                    <w:p w14:paraId="01ED58DD" w14:textId="3033F8FC" w:rsidR="00566D07" w:rsidRPr="00470518" w:rsidRDefault="00566D07" w:rsidP="00566D07">
                      <w:pPr>
                        <w:pStyle w:val="NoSpacing"/>
                        <w:rPr>
                          <w:caps/>
                          <w:color w:val="000000" w:themeColor="text1"/>
                          <w:sz w:val="32"/>
                          <w:szCs w:val="32"/>
                        </w:rPr>
                      </w:pPr>
                      <w:bookmarkStart w:id="1" w:name="_Hlk41215219"/>
                      <w:r>
                        <w:rPr>
                          <w:caps/>
                          <w:color w:val="000000" w:themeColor="text1"/>
                          <w:sz w:val="32"/>
                          <w:szCs w:val="32"/>
                        </w:rPr>
                        <w:t xml:space="preserve">     </w:t>
                      </w:r>
                      <w:r w:rsidRPr="00470518">
                        <w:rPr>
                          <w:caps/>
                          <w:color w:val="000000" w:themeColor="text1"/>
                          <w:sz w:val="32"/>
                          <w:szCs w:val="32"/>
                        </w:rPr>
                        <w:t>Module Tilte: lcmb70</w:t>
                      </w:r>
                      <w:r>
                        <w:rPr>
                          <w:caps/>
                          <w:color w:val="000000" w:themeColor="text1"/>
                          <w:sz w:val="32"/>
                          <w:szCs w:val="32"/>
                        </w:rPr>
                        <w:t>12</w:t>
                      </w:r>
                    </w:p>
                    <w:bookmarkEnd w:id="1"/>
                    <w:p w14:paraId="7FC22770" w14:textId="74AB7997" w:rsidR="00566D07" w:rsidRDefault="00566D07" w:rsidP="00566D07">
                      <w:pPr>
                        <w:pStyle w:val="NoSpacing"/>
                        <w:rPr>
                          <w:caps/>
                          <w:color w:val="000000" w:themeColor="text1"/>
                          <w:sz w:val="32"/>
                          <w:szCs w:val="32"/>
                        </w:rPr>
                      </w:pPr>
                      <w:r>
                        <w:rPr>
                          <w:caps/>
                          <w:color w:val="000000" w:themeColor="text1"/>
                          <w:sz w:val="32"/>
                          <w:szCs w:val="32"/>
                        </w:rPr>
                        <w:t xml:space="preserve">     </w:t>
                      </w:r>
                      <w:r w:rsidRPr="00470518">
                        <w:rPr>
                          <w:caps/>
                          <w:color w:val="000000" w:themeColor="text1"/>
                          <w:sz w:val="32"/>
                          <w:szCs w:val="32"/>
                        </w:rPr>
                        <w:t xml:space="preserve">Assignment title: </w:t>
                      </w:r>
                      <w:r>
                        <w:rPr>
                          <w:caps/>
                          <w:color w:val="000000" w:themeColor="text1"/>
                          <w:sz w:val="32"/>
                          <w:szCs w:val="32"/>
                        </w:rPr>
                        <w:t xml:space="preserve">BANKING FINANCIAL management </w:t>
                      </w:r>
                    </w:p>
                    <w:p w14:paraId="0976B6CF" w14:textId="726A9845" w:rsidR="00566D07" w:rsidRPr="00470518" w:rsidRDefault="00566D07" w:rsidP="00566D07">
                      <w:pPr>
                        <w:pStyle w:val="NoSpacing"/>
                        <w:rPr>
                          <w:caps/>
                          <w:color w:val="000000" w:themeColor="text1"/>
                          <w:sz w:val="32"/>
                          <w:szCs w:val="32"/>
                        </w:rPr>
                      </w:pPr>
                      <w:r>
                        <w:rPr>
                          <w:caps/>
                          <w:color w:val="000000" w:themeColor="text1"/>
                          <w:sz w:val="32"/>
                          <w:szCs w:val="32"/>
                        </w:rPr>
                        <w:t xml:space="preserve">     AND FINANCIAL MARKETS</w:t>
                      </w:r>
                      <w:r w:rsidRPr="00470518">
                        <w:rPr>
                          <w:caps/>
                          <w:color w:val="000000" w:themeColor="text1"/>
                          <w:sz w:val="32"/>
                          <w:szCs w:val="32"/>
                        </w:rPr>
                        <w:t xml:space="preserve"> </w:t>
                      </w:r>
                    </w:p>
                    <w:p w14:paraId="2A4FD03C" w14:textId="3A1FE6E1" w:rsidR="00566D07" w:rsidRDefault="00566D07" w:rsidP="00566D07">
                      <w:pPr>
                        <w:pStyle w:val="NoSpacing"/>
                        <w:rPr>
                          <w:caps/>
                          <w:color w:val="000000" w:themeColor="text1"/>
                          <w:sz w:val="32"/>
                          <w:szCs w:val="32"/>
                        </w:rPr>
                      </w:pPr>
                      <w:r>
                        <w:rPr>
                          <w:caps/>
                          <w:color w:val="000000" w:themeColor="text1"/>
                          <w:sz w:val="32"/>
                          <w:szCs w:val="32"/>
                        </w:rPr>
                        <w:t xml:space="preserve">     L</w:t>
                      </w:r>
                      <w:r w:rsidRPr="00470518">
                        <w:rPr>
                          <w:caps/>
                          <w:color w:val="000000" w:themeColor="text1"/>
                          <w:sz w:val="32"/>
                          <w:szCs w:val="32"/>
                        </w:rPr>
                        <w:t xml:space="preserve">ecturer’s name: </w:t>
                      </w:r>
                      <w:r>
                        <w:rPr>
                          <w:caps/>
                          <w:color w:val="000000" w:themeColor="text1"/>
                          <w:sz w:val="32"/>
                          <w:szCs w:val="32"/>
                        </w:rPr>
                        <w:t>ISAIAH OINO</w:t>
                      </w:r>
                    </w:p>
                    <w:p w14:paraId="52F45EA2" w14:textId="77777777" w:rsidR="00566D07" w:rsidRPr="00470518" w:rsidRDefault="00566D07" w:rsidP="00566D07">
                      <w:pPr>
                        <w:pStyle w:val="NoSpacing"/>
                        <w:rPr>
                          <w:caps/>
                          <w:color w:val="000000" w:themeColor="text1"/>
                          <w:sz w:val="32"/>
                          <w:szCs w:val="32"/>
                        </w:rPr>
                      </w:pPr>
                      <w:r>
                        <w:rPr>
                          <w:caps/>
                          <w:color w:val="000000" w:themeColor="text1"/>
                          <w:sz w:val="32"/>
                          <w:szCs w:val="32"/>
                        </w:rPr>
                        <w:t xml:space="preserve">                                 </w:t>
                      </w:r>
                    </w:p>
                  </w:txbxContent>
                </v:textbox>
                <w10:wrap anchorx="margin" anchory="page"/>
              </v:shape>
            </w:pict>
          </mc:Fallback>
        </mc:AlternateContent>
      </w:r>
      <w:r w:rsidR="009361C2" w:rsidRPr="004F6549">
        <w:br w:type="page"/>
      </w:r>
      <w:r w:rsidR="00945C07" w:rsidRPr="00B85E03">
        <w:rPr>
          <w:rFonts w:ascii="Times New Roman" w:hAnsi="Times New Roman" w:cs="Times New Roman"/>
          <w:b/>
          <w:sz w:val="28"/>
          <w:szCs w:val="28"/>
        </w:rPr>
        <w:lastRenderedPageBreak/>
        <w:t>Executive summary</w:t>
      </w:r>
    </w:p>
    <w:p w14:paraId="733C02B9" w14:textId="77777777" w:rsidR="0085051E" w:rsidRDefault="00945C07" w:rsidP="00E95AFC">
      <w:pPr>
        <w:spacing w:line="360" w:lineRule="auto"/>
        <w:jc w:val="both"/>
        <w:rPr>
          <w:rFonts w:ascii="Times New Roman" w:hAnsi="Times New Roman" w:cs="Times New Roman"/>
          <w:sz w:val="24"/>
          <w:szCs w:val="24"/>
        </w:rPr>
      </w:pPr>
      <w:r w:rsidRPr="00B85E03">
        <w:rPr>
          <w:rFonts w:ascii="Times New Roman" w:hAnsi="Times New Roman" w:cs="Times New Roman"/>
          <w:sz w:val="24"/>
          <w:szCs w:val="24"/>
        </w:rPr>
        <w:t xml:space="preserve">This entire report has been prepared for evaluating the market position of United Kingdom. Regulation and sustainability of UK banking industry has been evaluated over the report. Evaluation taken place in the UK financial market can be considered as a significant part of this study. There are several types of environmental and social issues were explained in respect to the credit facilities. The social issues have found to be increased the liability level of banking companies. Apart from that, different types of accounting ratios have been calculated in terms of determining the capital management and efficiency. </w:t>
      </w:r>
    </w:p>
    <w:p w14:paraId="32C69044" w14:textId="791A37F7" w:rsidR="00104F9C" w:rsidRDefault="00945C07" w:rsidP="00E95AFC">
      <w:pPr>
        <w:spacing w:line="360" w:lineRule="auto"/>
        <w:jc w:val="both"/>
        <w:rPr>
          <w:rFonts w:ascii="Times New Roman" w:hAnsi="Times New Roman" w:cs="Times New Roman"/>
          <w:sz w:val="24"/>
          <w:szCs w:val="24"/>
        </w:rPr>
      </w:pPr>
      <w:r w:rsidRPr="00B85E03">
        <w:rPr>
          <w:rFonts w:ascii="Times New Roman" w:hAnsi="Times New Roman" w:cs="Times New Roman"/>
          <w:sz w:val="24"/>
          <w:szCs w:val="24"/>
        </w:rPr>
        <w:t>In respect to both elements, the Santander bank has achieved better position than Lloyds and Barclays. However, in respect to the liquidity and profitability ratio all the chosen banking sectors were achieved similar position.</w:t>
      </w:r>
      <w:r w:rsidR="0085051E">
        <w:rPr>
          <w:rFonts w:ascii="Times New Roman" w:hAnsi="Times New Roman" w:cs="Times New Roman"/>
          <w:sz w:val="24"/>
          <w:szCs w:val="24"/>
        </w:rPr>
        <w:t xml:space="preserve"> As an impact of financial sectors of United Kingdom was evaluated as in high risk. The market position of big banking companies </w:t>
      </w:r>
      <w:proofErr w:type="gramStart"/>
      <w:r w:rsidR="0085051E">
        <w:rPr>
          <w:rFonts w:ascii="Times New Roman" w:hAnsi="Times New Roman" w:cs="Times New Roman"/>
          <w:sz w:val="24"/>
          <w:szCs w:val="24"/>
        </w:rPr>
        <w:t>are</w:t>
      </w:r>
      <w:proofErr w:type="gramEnd"/>
      <w:r w:rsidR="0085051E">
        <w:rPr>
          <w:rFonts w:ascii="Times New Roman" w:hAnsi="Times New Roman" w:cs="Times New Roman"/>
          <w:sz w:val="24"/>
          <w:szCs w:val="24"/>
        </w:rPr>
        <w:t xml:space="preserve"> expected to be incapable of maintaining their market position. </w:t>
      </w:r>
    </w:p>
    <w:p w14:paraId="501834E6" w14:textId="77777777" w:rsidR="0026086F" w:rsidRDefault="0026086F" w:rsidP="00E95AFC">
      <w:pPr>
        <w:spacing w:line="360" w:lineRule="auto"/>
        <w:rPr>
          <w:rFonts w:ascii="Times New Roman" w:hAnsi="Times New Roman" w:cs="Times New Roman"/>
          <w:sz w:val="24"/>
          <w:szCs w:val="24"/>
        </w:rPr>
      </w:pPr>
    </w:p>
    <w:p w14:paraId="1C8C0413" w14:textId="7C801C9E" w:rsidR="00945C07" w:rsidRPr="00B85E03" w:rsidRDefault="0026086F" w:rsidP="00E95AFC">
      <w:pPr>
        <w:spacing w:line="36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b w:val="0"/>
          <w:bCs w:val="0"/>
          <w:color w:val="auto"/>
          <w:sz w:val="22"/>
          <w:szCs w:val="22"/>
          <w:lang w:val="en" w:eastAsia="en-US"/>
        </w:rPr>
        <w:id w:val="2024356586"/>
        <w:docPartObj>
          <w:docPartGallery w:val="Table of Contents"/>
          <w:docPartUnique/>
        </w:docPartObj>
      </w:sdtPr>
      <w:sdtEndPr>
        <w:rPr>
          <w:noProof/>
        </w:rPr>
      </w:sdtEndPr>
      <w:sdtContent>
        <w:p w14:paraId="49C35200" w14:textId="4272773A" w:rsidR="005A6CFF" w:rsidRPr="004F6549" w:rsidRDefault="005A6CFF" w:rsidP="00E95AFC">
          <w:pPr>
            <w:pStyle w:val="TOCHeading"/>
            <w:spacing w:line="360" w:lineRule="auto"/>
            <w:jc w:val="center"/>
            <w:rPr>
              <w:rFonts w:ascii="Times New Roman" w:hAnsi="Times New Roman" w:cs="Times New Roman"/>
              <w:color w:val="auto"/>
            </w:rPr>
          </w:pPr>
          <w:r w:rsidRPr="004F6549">
            <w:rPr>
              <w:rFonts w:ascii="Times New Roman" w:hAnsi="Times New Roman" w:cs="Times New Roman"/>
              <w:color w:val="auto"/>
            </w:rPr>
            <w:t>Table of Contents</w:t>
          </w:r>
        </w:p>
        <w:p w14:paraId="1224FFDD" w14:textId="77777777" w:rsidR="005A6CFF" w:rsidRPr="004F6549" w:rsidRDefault="005A6CFF" w:rsidP="00E95AFC">
          <w:pPr>
            <w:pStyle w:val="TOC1"/>
            <w:tabs>
              <w:tab w:val="right" w:leader="dot" w:pos="9350"/>
            </w:tabs>
            <w:spacing w:line="360" w:lineRule="auto"/>
            <w:jc w:val="both"/>
            <w:rPr>
              <w:rFonts w:ascii="Times New Roman" w:hAnsi="Times New Roman" w:cs="Times New Roman"/>
              <w:noProof/>
              <w:sz w:val="24"/>
              <w:szCs w:val="24"/>
            </w:rPr>
          </w:pPr>
          <w:r w:rsidRPr="004F6549">
            <w:fldChar w:fldCharType="begin"/>
          </w:r>
          <w:r w:rsidRPr="004F6549">
            <w:instrText xml:space="preserve"> TOC \o "1-3" \h \z \u </w:instrText>
          </w:r>
          <w:r w:rsidRPr="004F6549">
            <w:fldChar w:fldCharType="separate"/>
          </w:r>
          <w:hyperlink w:anchor="_Toc39166237" w:history="1">
            <w:r w:rsidRPr="004F6549">
              <w:rPr>
                <w:rStyle w:val="Hyperlink"/>
                <w:rFonts w:ascii="Times New Roman" w:hAnsi="Times New Roman" w:cs="Times New Roman"/>
                <w:noProof/>
                <w:color w:val="auto"/>
                <w:sz w:val="24"/>
                <w:szCs w:val="24"/>
              </w:rPr>
              <w:t>Introduction</w:t>
            </w:r>
            <w:r w:rsidRPr="004F6549">
              <w:rPr>
                <w:rFonts w:ascii="Times New Roman" w:hAnsi="Times New Roman" w:cs="Times New Roman"/>
                <w:noProof/>
                <w:webHidden/>
                <w:sz w:val="24"/>
                <w:szCs w:val="24"/>
              </w:rPr>
              <w:tab/>
            </w:r>
            <w:r w:rsidRPr="004F6549">
              <w:rPr>
                <w:rFonts w:ascii="Times New Roman" w:hAnsi="Times New Roman" w:cs="Times New Roman"/>
                <w:noProof/>
                <w:webHidden/>
                <w:sz w:val="24"/>
                <w:szCs w:val="24"/>
              </w:rPr>
              <w:fldChar w:fldCharType="begin"/>
            </w:r>
            <w:r w:rsidRPr="004F6549">
              <w:rPr>
                <w:rFonts w:ascii="Times New Roman" w:hAnsi="Times New Roman" w:cs="Times New Roman"/>
                <w:noProof/>
                <w:webHidden/>
                <w:sz w:val="24"/>
                <w:szCs w:val="24"/>
              </w:rPr>
              <w:instrText xml:space="preserve"> PAGEREF _Toc39166237 \h </w:instrText>
            </w:r>
            <w:r w:rsidRPr="004F6549">
              <w:rPr>
                <w:rFonts w:ascii="Times New Roman" w:hAnsi="Times New Roman" w:cs="Times New Roman"/>
                <w:noProof/>
                <w:webHidden/>
                <w:sz w:val="24"/>
                <w:szCs w:val="24"/>
              </w:rPr>
            </w:r>
            <w:r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4</w:t>
            </w:r>
            <w:r w:rsidRPr="004F6549">
              <w:rPr>
                <w:rFonts w:ascii="Times New Roman" w:hAnsi="Times New Roman" w:cs="Times New Roman"/>
                <w:noProof/>
                <w:webHidden/>
                <w:sz w:val="24"/>
                <w:szCs w:val="24"/>
              </w:rPr>
              <w:fldChar w:fldCharType="end"/>
            </w:r>
          </w:hyperlink>
        </w:p>
        <w:p w14:paraId="30786960" w14:textId="77777777" w:rsidR="005A6CFF" w:rsidRPr="004F6549" w:rsidRDefault="00E43E56" w:rsidP="00E95AFC">
          <w:pPr>
            <w:pStyle w:val="TOC1"/>
            <w:tabs>
              <w:tab w:val="right" w:leader="dot" w:pos="9350"/>
            </w:tabs>
            <w:spacing w:line="360" w:lineRule="auto"/>
            <w:jc w:val="both"/>
            <w:rPr>
              <w:rFonts w:ascii="Times New Roman" w:hAnsi="Times New Roman" w:cs="Times New Roman"/>
              <w:noProof/>
              <w:sz w:val="24"/>
              <w:szCs w:val="24"/>
            </w:rPr>
          </w:pPr>
          <w:hyperlink w:anchor="_Toc39166238" w:history="1">
            <w:r w:rsidR="005A6CFF" w:rsidRPr="004F6549">
              <w:rPr>
                <w:rStyle w:val="Hyperlink"/>
                <w:rFonts w:ascii="Times New Roman" w:hAnsi="Times New Roman" w:cs="Times New Roman"/>
                <w:noProof/>
                <w:color w:val="auto"/>
                <w:sz w:val="24"/>
                <w:szCs w:val="24"/>
              </w:rPr>
              <w:t>1. Regulation and sustainability</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_Toc39166238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4</w:t>
            </w:r>
            <w:r w:rsidR="005A6CFF" w:rsidRPr="004F6549">
              <w:rPr>
                <w:rFonts w:ascii="Times New Roman" w:hAnsi="Times New Roman" w:cs="Times New Roman"/>
                <w:noProof/>
                <w:webHidden/>
                <w:sz w:val="24"/>
                <w:szCs w:val="24"/>
              </w:rPr>
              <w:fldChar w:fldCharType="end"/>
            </w:r>
          </w:hyperlink>
        </w:p>
        <w:p w14:paraId="166F422C" w14:textId="77777777" w:rsidR="005A6CFF" w:rsidRPr="004F6549" w:rsidRDefault="00E43E56" w:rsidP="00E95AFC">
          <w:pPr>
            <w:pStyle w:val="TOC2"/>
            <w:tabs>
              <w:tab w:val="right" w:leader="dot" w:pos="9350"/>
            </w:tabs>
            <w:spacing w:line="360" w:lineRule="auto"/>
            <w:jc w:val="both"/>
            <w:rPr>
              <w:rFonts w:ascii="Times New Roman" w:hAnsi="Times New Roman" w:cs="Times New Roman"/>
              <w:noProof/>
              <w:sz w:val="24"/>
              <w:szCs w:val="24"/>
            </w:rPr>
          </w:pPr>
          <w:hyperlink w:anchor="_Toc39166239" w:history="1">
            <w:r w:rsidR="005A6CFF" w:rsidRPr="004F6549">
              <w:rPr>
                <w:rStyle w:val="Hyperlink"/>
                <w:rFonts w:ascii="Times New Roman" w:hAnsi="Times New Roman" w:cs="Times New Roman"/>
                <w:noProof/>
                <w:color w:val="auto"/>
                <w:sz w:val="24"/>
                <w:szCs w:val="24"/>
              </w:rPr>
              <w:t>1.1 Banking regulations</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_Toc39166239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4</w:t>
            </w:r>
            <w:r w:rsidR="005A6CFF" w:rsidRPr="004F6549">
              <w:rPr>
                <w:rFonts w:ascii="Times New Roman" w:hAnsi="Times New Roman" w:cs="Times New Roman"/>
                <w:noProof/>
                <w:webHidden/>
                <w:sz w:val="24"/>
                <w:szCs w:val="24"/>
              </w:rPr>
              <w:fldChar w:fldCharType="end"/>
            </w:r>
          </w:hyperlink>
        </w:p>
        <w:p w14:paraId="454A5199"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0" w:history="1">
            <w:r w:rsidR="005A6CFF" w:rsidRPr="004F6549">
              <w:rPr>
                <w:rStyle w:val="Hyperlink"/>
                <w:rFonts w:ascii="Times New Roman" w:hAnsi="Times New Roman" w:cs="Times New Roman"/>
                <w:noProof/>
                <w:color w:val="auto"/>
                <w:sz w:val="24"/>
                <w:szCs w:val="24"/>
              </w:rPr>
              <w:t>1.1.1 Evolution in banking sector of the United Kingdom</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_Toc39166240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4</w:t>
            </w:r>
            <w:r w:rsidR="005A6CFF" w:rsidRPr="004F6549">
              <w:rPr>
                <w:rFonts w:ascii="Times New Roman" w:hAnsi="Times New Roman" w:cs="Times New Roman"/>
                <w:noProof/>
                <w:webHidden/>
                <w:sz w:val="24"/>
                <w:szCs w:val="24"/>
              </w:rPr>
              <w:fldChar w:fldCharType="end"/>
            </w:r>
          </w:hyperlink>
        </w:p>
        <w:p w14:paraId="4F293C96"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1" w:history="1">
            <w:r w:rsidR="005A6CFF" w:rsidRPr="004F6549">
              <w:rPr>
                <w:rStyle w:val="Hyperlink"/>
                <w:rFonts w:ascii="Times New Roman" w:hAnsi="Times New Roman" w:cs="Times New Roman"/>
                <w:noProof/>
                <w:color w:val="auto"/>
                <w:sz w:val="24"/>
                <w:szCs w:val="24"/>
              </w:rPr>
              <w:t>1.1.2 Evolution in financial regulation in UK</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_Toc39166241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5</w:t>
            </w:r>
            <w:r w:rsidR="005A6CFF" w:rsidRPr="004F6549">
              <w:rPr>
                <w:rFonts w:ascii="Times New Roman" w:hAnsi="Times New Roman" w:cs="Times New Roman"/>
                <w:noProof/>
                <w:webHidden/>
                <w:sz w:val="24"/>
                <w:szCs w:val="24"/>
              </w:rPr>
              <w:fldChar w:fldCharType="end"/>
            </w:r>
          </w:hyperlink>
        </w:p>
        <w:p w14:paraId="7C0636CE" w14:textId="77777777" w:rsidR="005A6CFF" w:rsidRPr="004F6549" w:rsidRDefault="00E43E56" w:rsidP="00E95AFC">
          <w:pPr>
            <w:pStyle w:val="TOC2"/>
            <w:tabs>
              <w:tab w:val="right" w:leader="dot" w:pos="9350"/>
            </w:tabs>
            <w:spacing w:line="360" w:lineRule="auto"/>
            <w:jc w:val="both"/>
            <w:rPr>
              <w:rFonts w:ascii="Times New Roman" w:hAnsi="Times New Roman" w:cs="Times New Roman"/>
              <w:noProof/>
              <w:sz w:val="24"/>
              <w:szCs w:val="24"/>
            </w:rPr>
          </w:pPr>
          <w:hyperlink w:anchor="_Toc39166242" w:history="1">
            <w:r w:rsidR="005A6CFF" w:rsidRPr="004F6549">
              <w:rPr>
                <w:rStyle w:val="Hyperlink"/>
                <w:rFonts w:ascii="Times New Roman" w:hAnsi="Times New Roman" w:cs="Times New Roman"/>
                <w:noProof/>
                <w:color w:val="auto"/>
                <w:sz w:val="24"/>
                <w:szCs w:val="24"/>
              </w:rPr>
              <w:t>1.2 Issues in sustainability</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_Toc39166242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5</w:t>
            </w:r>
            <w:r w:rsidR="005A6CFF" w:rsidRPr="004F6549">
              <w:rPr>
                <w:rFonts w:ascii="Times New Roman" w:hAnsi="Times New Roman" w:cs="Times New Roman"/>
                <w:noProof/>
                <w:webHidden/>
                <w:sz w:val="24"/>
                <w:szCs w:val="24"/>
              </w:rPr>
              <w:fldChar w:fldCharType="end"/>
            </w:r>
          </w:hyperlink>
        </w:p>
        <w:p w14:paraId="157187C2"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3" w:history="1">
            <w:r w:rsidR="005A6CFF" w:rsidRPr="004F6549">
              <w:rPr>
                <w:rStyle w:val="Hyperlink"/>
                <w:rFonts w:ascii="Times New Roman" w:hAnsi="Times New Roman" w:cs="Times New Roman"/>
                <w:noProof/>
                <w:color w:val="auto"/>
                <w:sz w:val="24"/>
                <w:szCs w:val="24"/>
              </w:rPr>
              <w:t>1.2.1 Environmental issues</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_Toc39166243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6</w:t>
            </w:r>
            <w:r w:rsidR="005A6CFF" w:rsidRPr="004F6549">
              <w:rPr>
                <w:rFonts w:ascii="Times New Roman" w:hAnsi="Times New Roman" w:cs="Times New Roman"/>
                <w:noProof/>
                <w:webHidden/>
                <w:sz w:val="24"/>
                <w:szCs w:val="24"/>
              </w:rPr>
              <w:fldChar w:fldCharType="end"/>
            </w:r>
          </w:hyperlink>
        </w:p>
        <w:p w14:paraId="3F71C7D0"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4" w:history="1">
            <w:r w:rsidR="005A6CFF" w:rsidRPr="004F6549">
              <w:rPr>
                <w:rStyle w:val="Hyperlink"/>
                <w:rFonts w:ascii="Times New Roman" w:hAnsi="Times New Roman" w:cs="Times New Roman"/>
                <w:noProof/>
                <w:color w:val="auto"/>
                <w:sz w:val="24"/>
                <w:szCs w:val="24"/>
              </w:rPr>
              <w:t>1.2.2 Social considerations</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_Toc39166244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7</w:t>
            </w:r>
            <w:r w:rsidR="005A6CFF" w:rsidRPr="004F6549">
              <w:rPr>
                <w:rFonts w:ascii="Times New Roman" w:hAnsi="Times New Roman" w:cs="Times New Roman"/>
                <w:noProof/>
                <w:webHidden/>
                <w:sz w:val="24"/>
                <w:szCs w:val="24"/>
              </w:rPr>
              <w:fldChar w:fldCharType="end"/>
            </w:r>
          </w:hyperlink>
        </w:p>
        <w:p w14:paraId="0B0B4218" w14:textId="77777777" w:rsidR="005A6CFF" w:rsidRPr="004F6549" w:rsidRDefault="00E43E56" w:rsidP="00E95AFC">
          <w:pPr>
            <w:pStyle w:val="TOC1"/>
            <w:tabs>
              <w:tab w:val="right" w:leader="dot" w:pos="9350"/>
            </w:tabs>
            <w:spacing w:line="360" w:lineRule="auto"/>
            <w:jc w:val="both"/>
            <w:rPr>
              <w:rFonts w:ascii="Times New Roman" w:hAnsi="Times New Roman" w:cs="Times New Roman"/>
              <w:noProof/>
              <w:sz w:val="24"/>
              <w:szCs w:val="24"/>
            </w:rPr>
          </w:pPr>
          <w:hyperlink w:anchor="_Toc39166245" w:history="1">
            <w:r w:rsidR="005A6CFF" w:rsidRPr="004F6549">
              <w:rPr>
                <w:rStyle w:val="Hyperlink"/>
                <w:rFonts w:ascii="Times New Roman" w:hAnsi="Times New Roman" w:cs="Times New Roman"/>
                <w:noProof/>
                <w:color w:val="auto"/>
                <w:sz w:val="24"/>
                <w:szCs w:val="24"/>
              </w:rPr>
              <w:t>2. Regulatory capital, liquidity and efficiency</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_Toc39166245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8</w:t>
            </w:r>
            <w:r w:rsidR="005A6CFF" w:rsidRPr="004F6549">
              <w:rPr>
                <w:rFonts w:ascii="Times New Roman" w:hAnsi="Times New Roman" w:cs="Times New Roman"/>
                <w:noProof/>
                <w:webHidden/>
                <w:sz w:val="24"/>
                <w:szCs w:val="24"/>
              </w:rPr>
              <w:fldChar w:fldCharType="end"/>
            </w:r>
          </w:hyperlink>
        </w:p>
        <w:p w14:paraId="49F349CA" w14:textId="77777777" w:rsidR="005A6CFF" w:rsidRPr="004F6549" w:rsidRDefault="00E43E56" w:rsidP="00E95AFC">
          <w:pPr>
            <w:pStyle w:val="TOC2"/>
            <w:tabs>
              <w:tab w:val="right" w:leader="dot" w:pos="9350"/>
            </w:tabs>
            <w:spacing w:line="360" w:lineRule="auto"/>
            <w:jc w:val="both"/>
            <w:rPr>
              <w:rFonts w:ascii="Times New Roman" w:hAnsi="Times New Roman" w:cs="Times New Roman"/>
              <w:noProof/>
              <w:sz w:val="24"/>
              <w:szCs w:val="24"/>
            </w:rPr>
          </w:pPr>
          <w:hyperlink w:anchor="_Toc39166246" w:history="1">
            <w:r w:rsidR="005A6CFF" w:rsidRPr="004F6549">
              <w:rPr>
                <w:rStyle w:val="Hyperlink"/>
                <w:rFonts w:ascii="Times New Roman" w:hAnsi="Times New Roman" w:cs="Times New Roman"/>
                <w:noProof/>
                <w:color w:val="auto"/>
                <w:sz w:val="24"/>
                <w:szCs w:val="24"/>
              </w:rPr>
              <w:t>2.1 Capital level</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_Toc39166246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8</w:t>
            </w:r>
            <w:r w:rsidR="005A6CFF" w:rsidRPr="004F6549">
              <w:rPr>
                <w:rFonts w:ascii="Times New Roman" w:hAnsi="Times New Roman" w:cs="Times New Roman"/>
                <w:noProof/>
                <w:webHidden/>
                <w:sz w:val="24"/>
                <w:szCs w:val="24"/>
              </w:rPr>
              <w:fldChar w:fldCharType="end"/>
            </w:r>
          </w:hyperlink>
        </w:p>
        <w:p w14:paraId="1562B7A2"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7" w:history="1">
            <w:r w:rsidR="005A6CFF" w:rsidRPr="004F6549">
              <w:rPr>
                <w:rStyle w:val="Hyperlink"/>
                <w:rFonts w:ascii="Times New Roman" w:hAnsi="Times New Roman" w:cs="Times New Roman"/>
                <w:noProof/>
                <w:color w:val="auto"/>
                <w:sz w:val="24"/>
                <w:szCs w:val="24"/>
              </w:rPr>
              <w:t>2.1.1 Equity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_Toc39166247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8</w:t>
            </w:r>
            <w:r w:rsidR="005A6CFF" w:rsidRPr="004F6549">
              <w:rPr>
                <w:rFonts w:ascii="Times New Roman" w:hAnsi="Times New Roman" w:cs="Times New Roman"/>
                <w:noProof/>
                <w:webHidden/>
                <w:sz w:val="24"/>
                <w:szCs w:val="24"/>
              </w:rPr>
              <w:fldChar w:fldCharType="end"/>
            </w:r>
          </w:hyperlink>
        </w:p>
        <w:p w14:paraId="072B6EE3"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48" w:history="1">
            <w:r w:rsidR="005A6CFF" w:rsidRPr="004F6549">
              <w:rPr>
                <w:rStyle w:val="Hyperlink"/>
                <w:rFonts w:ascii="Times New Roman" w:hAnsi="Times New Roman" w:cs="Times New Roman"/>
                <w:noProof/>
                <w:color w:val="auto"/>
                <w:sz w:val="24"/>
                <w:szCs w:val="24"/>
              </w:rPr>
              <w:t>2.1.2 Debt-equity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_Toc39166248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9</w:t>
            </w:r>
            <w:r w:rsidR="005A6CFF" w:rsidRPr="004F6549">
              <w:rPr>
                <w:rFonts w:ascii="Times New Roman" w:hAnsi="Times New Roman" w:cs="Times New Roman"/>
                <w:noProof/>
                <w:webHidden/>
                <w:sz w:val="24"/>
                <w:szCs w:val="24"/>
              </w:rPr>
              <w:fldChar w:fldCharType="end"/>
            </w:r>
          </w:hyperlink>
        </w:p>
        <w:p w14:paraId="2849B450" w14:textId="77777777" w:rsidR="005A6CFF" w:rsidRPr="004F6549" w:rsidRDefault="00E43E56" w:rsidP="00E95AFC">
          <w:pPr>
            <w:pStyle w:val="TOC2"/>
            <w:tabs>
              <w:tab w:val="right" w:leader="dot" w:pos="9350"/>
            </w:tabs>
            <w:spacing w:line="360" w:lineRule="auto"/>
            <w:jc w:val="both"/>
            <w:rPr>
              <w:rFonts w:ascii="Times New Roman" w:hAnsi="Times New Roman" w:cs="Times New Roman"/>
              <w:noProof/>
              <w:sz w:val="24"/>
              <w:szCs w:val="24"/>
            </w:rPr>
          </w:pPr>
          <w:hyperlink w:anchor="_Toc39166249" w:history="1">
            <w:r w:rsidR="005A6CFF" w:rsidRPr="004F6549">
              <w:rPr>
                <w:rStyle w:val="Hyperlink"/>
                <w:rFonts w:ascii="Times New Roman" w:hAnsi="Times New Roman" w:cs="Times New Roman"/>
                <w:noProof/>
                <w:color w:val="auto"/>
                <w:sz w:val="24"/>
                <w:szCs w:val="24"/>
              </w:rPr>
              <w:t>2.2 Liquidity level</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_Toc39166249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9</w:t>
            </w:r>
            <w:r w:rsidR="005A6CFF" w:rsidRPr="004F6549">
              <w:rPr>
                <w:rFonts w:ascii="Times New Roman" w:hAnsi="Times New Roman" w:cs="Times New Roman"/>
                <w:noProof/>
                <w:webHidden/>
                <w:sz w:val="24"/>
                <w:szCs w:val="24"/>
              </w:rPr>
              <w:fldChar w:fldCharType="end"/>
            </w:r>
          </w:hyperlink>
        </w:p>
        <w:p w14:paraId="2E971D3B"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50" w:history="1">
            <w:r w:rsidR="005A6CFF" w:rsidRPr="004F6549">
              <w:rPr>
                <w:rStyle w:val="Hyperlink"/>
                <w:rFonts w:ascii="Times New Roman" w:hAnsi="Times New Roman" w:cs="Times New Roman"/>
                <w:noProof/>
                <w:color w:val="auto"/>
                <w:sz w:val="24"/>
                <w:szCs w:val="24"/>
              </w:rPr>
              <w:t>2.2.1 Current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_Toc39166250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9</w:t>
            </w:r>
            <w:r w:rsidR="005A6CFF" w:rsidRPr="004F6549">
              <w:rPr>
                <w:rFonts w:ascii="Times New Roman" w:hAnsi="Times New Roman" w:cs="Times New Roman"/>
                <w:noProof/>
                <w:webHidden/>
                <w:sz w:val="24"/>
                <w:szCs w:val="24"/>
              </w:rPr>
              <w:fldChar w:fldCharType="end"/>
            </w:r>
          </w:hyperlink>
        </w:p>
        <w:p w14:paraId="764934CD"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51" w:history="1">
            <w:r w:rsidR="005A6CFF" w:rsidRPr="004F6549">
              <w:rPr>
                <w:rStyle w:val="Hyperlink"/>
                <w:rFonts w:ascii="Times New Roman" w:hAnsi="Times New Roman" w:cs="Times New Roman"/>
                <w:noProof/>
                <w:color w:val="auto"/>
                <w:sz w:val="24"/>
                <w:szCs w:val="24"/>
              </w:rPr>
              <w:t>2.2.2 Quick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_Toc39166251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10</w:t>
            </w:r>
            <w:r w:rsidR="005A6CFF" w:rsidRPr="004F6549">
              <w:rPr>
                <w:rFonts w:ascii="Times New Roman" w:hAnsi="Times New Roman" w:cs="Times New Roman"/>
                <w:noProof/>
                <w:webHidden/>
                <w:sz w:val="24"/>
                <w:szCs w:val="24"/>
              </w:rPr>
              <w:fldChar w:fldCharType="end"/>
            </w:r>
          </w:hyperlink>
        </w:p>
        <w:p w14:paraId="717B8A8A" w14:textId="77777777" w:rsidR="005A6CFF" w:rsidRPr="004F6549" w:rsidRDefault="00E43E56" w:rsidP="00E95AFC">
          <w:pPr>
            <w:pStyle w:val="TOC2"/>
            <w:tabs>
              <w:tab w:val="right" w:leader="dot" w:pos="9350"/>
            </w:tabs>
            <w:spacing w:line="360" w:lineRule="auto"/>
            <w:jc w:val="both"/>
            <w:rPr>
              <w:rFonts w:ascii="Times New Roman" w:hAnsi="Times New Roman" w:cs="Times New Roman"/>
              <w:noProof/>
              <w:sz w:val="24"/>
              <w:szCs w:val="24"/>
            </w:rPr>
          </w:pPr>
          <w:hyperlink w:anchor="_Toc39166252" w:history="1">
            <w:r w:rsidR="005A6CFF" w:rsidRPr="004F6549">
              <w:rPr>
                <w:rStyle w:val="Hyperlink"/>
                <w:rFonts w:ascii="Times New Roman" w:hAnsi="Times New Roman" w:cs="Times New Roman"/>
                <w:noProof/>
                <w:color w:val="auto"/>
                <w:sz w:val="24"/>
                <w:szCs w:val="24"/>
              </w:rPr>
              <w:t>2.3 Efficiency level</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_Toc39166252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11</w:t>
            </w:r>
            <w:r w:rsidR="005A6CFF" w:rsidRPr="004F6549">
              <w:rPr>
                <w:rFonts w:ascii="Times New Roman" w:hAnsi="Times New Roman" w:cs="Times New Roman"/>
                <w:noProof/>
                <w:webHidden/>
                <w:sz w:val="24"/>
                <w:szCs w:val="24"/>
              </w:rPr>
              <w:fldChar w:fldCharType="end"/>
            </w:r>
          </w:hyperlink>
        </w:p>
        <w:p w14:paraId="2B7EC9E5"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53" w:history="1">
            <w:r w:rsidR="005A6CFF" w:rsidRPr="004F6549">
              <w:rPr>
                <w:rStyle w:val="Hyperlink"/>
                <w:rFonts w:ascii="Times New Roman" w:hAnsi="Times New Roman" w:cs="Times New Roman"/>
                <w:noProof/>
                <w:color w:val="auto"/>
                <w:sz w:val="24"/>
                <w:szCs w:val="24"/>
              </w:rPr>
              <w:t>2.3.1 Inventory turnover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_Toc39166253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11</w:t>
            </w:r>
            <w:r w:rsidR="005A6CFF" w:rsidRPr="004F6549">
              <w:rPr>
                <w:rFonts w:ascii="Times New Roman" w:hAnsi="Times New Roman" w:cs="Times New Roman"/>
                <w:noProof/>
                <w:webHidden/>
                <w:sz w:val="24"/>
                <w:szCs w:val="24"/>
              </w:rPr>
              <w:fldChar w:fldCharType="end"/>
            </w:r>
          </w:hyperlink>
        </w:p>
        <w:p w14:paraId="3A14101D" w14:textId="77777777" w:rsidR="005A6CFF" w:rsidRPr="004F6549" w:rsidRDefault="00E43E56" w:rsidP="00E95AFC">
          <w:pPr>
            <w:pStyle w:val="TOC3"/>
            <w:tabs>
              <w:tab w:val="right" w:leader="dot" w:pos="9350"/>
            </w:tabs>
            <w:spacing w:line="360" w:lineRule="auto"/>
            <w:jc w:val="both"/>
            <w:rPr>
              <w:rFonts w:ascii="Times New Roman" w:hAnsi="Times New Roman" w:cs="Times New Roman"/>
              <w:noProof/>
              <w:sz w:val="24"/>
              <w:szCs w:val="24"/>
            </w:rPr>
          </w:pPr>
          <w:hyperlink w:anchor="_Toc39166254" w:history="1">
            <w:r w:rsidR="005A6CFF" w:rsidRPr="004F6549">
              <w:rPr>
                <w:rStyle w:val="Hyperlink"/>
                <w:rFonts w:ascii="Times New Roman" w:hAnsi="Times New Roman" w:cs="Times New Roman"/>
                <w:noProof/>
                <w:color w:val="auto"/>
                <w:sz w:val="24"/>
                <w:szCs w:val="24"/>
              </w:rPr>
              <w:t>2.3.2 Fixed asset turnover ratio</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_Toc39166254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12</w:t>
            </w:r>
            <w:r w:rsidR="005A6CFF" w:rsidRPr="004F6549">
              <w:rPr>
                <w:rFonts w:ascii="Times New Roman" w:hAnsi="Times New Roman" w:cs="Times New Roman"/>
                <w:noProof/>
                <w:webHidden/>
                <w:sz w:val="24"/>
                <w:szCs w:val="24"/>
              </w:rPr>
              <w:fldChar w:fldCharType="end"/>
            </w:r>
          </w:hyperlink>
        </w:p>
        <w:p w14:paraId="2EBAEBAC" w14:textId="77777777" w:rsidR="005A6CFF" w:rsidRPr="004F6549" w:rsidRDefault="00E43E56" w:rsidP="00E95AFC">
          <w:pPr>
            <w:pStyle w:val="TOC1"/>
            <w:tabs>
              <w:tab w:val="right" w:leader="dot" w:pos="9350"/>
            </w:tabs>
            <w:spacing w:line="360" w:lineRule="auto"/>
            <w:jc w:val="both"/>
            <w:rPr>
              <w:rFonts w:ascii="Times New Roman" w:hAnsi="Times New Roman" w:cs="Times New Roman"/>
              <w:noProof/>
              <w:sz w:val="24"/>
              <w:szCs w:val="24"/>
            </w:rPr>
          </w:pPr>
          <w:hyperlink w:anchor="_Toc39166255" w:history="1">
            <w:r w:rsidR="005A6CFF" w:rsidRPr="004F6549">
              <w:rPr>
                <w:rStyle w:val="Hyperlink"/>
                <w:rFonts w:ascii="Times New Roman" w:hAnsi="Times New Roman" w:cs="Times New Roman"/>
                <w:noProof/>
                <w:color w:val="auto"/>
                <w:sz w:val="24"/>
                <w:szCs w:val="24"/>
              </w:rPr>
              <w:t>3. Impact on profitability</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_Toc39166255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12</w:t>
            </w:r>
            <w:r w:rsidR="005A6CFF" w:rsidRPr="004F6549">
              <w:rPr>
                <w:rFonts w:ascii="Times New Roman" w:hAnsi="Times New Roman" w:cs="Times New Roman"/>
                <w:noProof/>
                <w:webHidden/>
                <w:sz w:val="24"/>
                <w:szCs w:val="24"/>
              </w:rPr>
              <w:fldChar w:fldCharType="end"/>
            </w:r>
          </w:hyperlink>
        </w:p>
        <w:p w14:paraId="53EFF5BB" w14:textId="77777777" w:rsidR="005A6CFF" w:rsidRPr="004F6549" w:rsidRDefault="00E43E56" w:rsidP="00E95AFC">
          <w:pPr>
            <w:pStyle w:val="TOC1"/>
            <w:tabs>
              <w:tab w:val="right" w:leader="dot" w:pos="9350"/>
            </w:tabs>
            <w:spacing w:line="360" w:lineRule="auto"/>
            <w:jc w:val="both"/>
            <w:rPr>
              <w:rFonts w:ascii="Times New Roman" w:hAnsi="Times New Roman" w:cs="Times New Roman"/>
              <w:noProof/>
              <w:sz w:val="24"/>
              <w:szCs w:val="24"/>
            </w:rPr>
          </w:pPr>
          <w:hyperlink w:anchor="_Toc39166256" w:history="1">
            <w:r w:rsidR="005A6CFF" w:rsidRPr="004F6549">
              <w:rPr>
                <w:rStyle w:val="Hyperlink"/>
                <w:rFonts w:ascii="Times New Roman" w:hAnsi="Times New Roman" w:cs="Times New Roman"/>
                <w:noProof/>
                <w:color w:val="auto"/>
                <w:sz w:val="24"/>
                <w:szCs w:val="24"/>
              </w:rPr>
              <w:t>4. Risks</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_Toc39166256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13</w:t>
            </w:r>
            <w:r w:rsidR="005A6CFF" w:rsidRPr="004F6549">
              <w:rPr>
                <w:rFonts w:ascii="Times New Roman" w:hAnsi="Times New Roman" w:cs="Times New Roman"/>
                <w:noProof/>
                <w:webHidden/>
                <w:sz w:val="24"/>
                <w:szCs w:val="24"/>
              </w:rPr>
              <w:fldChar w:fldCharType="end"/>
            </w:r>
          </w:hyperlink>
        </w:p>
        <w:p w14:paraId="37B2F561" w14:textId="77777777" w:rsidR="005A6CFF" w:rsidRPr="004F6549" w:rsidRDefault="00E43E56" w:rsidP="00E95AFC">
          <w:pPr>
            <w:pStyle w:val="TOC1"/>
            <w:tabs>
              <w:tab w:val="right" w:leader="dot" w:pos="9350"/>
            </w:tabs>
            <w:spacing w:line="360" w:lineRule="auto"/>
            <w:jc w:val="both"/>
            <w:rPr>
              <w:rFonts w:ascii="Times New Roman" w:hAnsi="Times New Roman" w:cs="Times New Roman"/>
              <w:noProof/>
              <w:sz w:val="24"/>
              <w:szCs w:val="24"/>
            </w:rPr>
          </w:pPr>
          <w:hyperlink w:anchor="_Toc39166257" w:history="1">
            <w:r w:rsidR="005A6CFF" w:rsidRPr="004F6549">
              <w:rPr>
                <w:rStyle w:val="Hyperlink"/>
                <w:rFonts w:ascii="Times New Roman" w:hAnsi="Times New Roman" w:cs="Times New Roman"/>
                <w:noProof/>
                <w:color w:val="auto"/>
                <w:sz w:val="24"/>
                <w:szCs w:val="24"/>
              </w:rPr>
              <w:t>Conclusion</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_Toc39166257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14</w:t>
            </w:r>
            <w:r w:rsidR="005A6CFF" w:rsidRPr="004F6549">
              <w:rPr>
                <w:rFonts w:ascii="Times New Roman" w:hAnsi="Times New Roman" w:cs="Times New Roman"/>
                <w:noProof/>
                <w:webHidden/>
                <w:sz w:val="24"/>
                <w:szCs w:val="24"/>
              </w:rPr>
              <w:fldChar w:fldCharType="end"/>
            </w:r>
          </w:hyperlink>
        </w:p>
        <w:p w14:paraId="677C5A09" w14:textId="77777777" w:rsidR="005A6CFF" w:rsidRPr="004F6549" w:rsidRDefault="00E43E56" w:rsidP="00E95AFC">
          <w:pPr>
            <w:pStyle w:val="TOC1"/>
            <w:tabs>
              <w:tab w:val="right" w:leader="dot" w:pos="9350"/>
            </w:tabs>
            <w:spacing w:line="360" w:lineRule="auto"/>
            <w:jc w:val="both"/>
            <w:rPr>
              <w:noProof/>
            </w:rPr>
          </w:pPr>
          <w:hyperlink w:anchor="_Toc39166258" w:history="1">
            <w:r w:rsidR="005A6CFF" w:rsidRPr="004F6549">
              <w:rPr>
                <w:rStyle w:val="Hyperlink"/>
                <w:rFonts w:ascii="Times New Roman" w:hAnsi="Times New Roman" w:cs="Times New Roman"/>
                <w:noProof/>
                <w:color w:val="auto"/>
                <w:sz w:val="24"/>
                <w:szCs w:val="24"/>
              </w:rPr>
              <w:t>References</w:t>
            </w:r>
            <w:r w:rsidR="005A6CFF" w:rsidRPr="004F6549">
              <w:rPr>
                <w:rFonts w:ascii="Times New Roman" w:hAnsi="Times New Roman" w:cs="Times New Roman"/>
                <w:noProof/>
                <w:webHidden/>
                <w:sz w:val="24"/>
                <w:szCs w:val="24"/>
              </w:rPr>
              <w:tab/>
            </w:r>
            <w:r w:rsidR="005A6CFF" w:rsidRPr="004F6549">
              <w:rPr>
                <w:rFonts w:ascii="Times New Roman" w:hAnsi="Times New Roman" w:cs="Times New Roman"/>
                <w:noProof/>
                <w:webHidden/>
                <w:sz w:val="24"/>
                <w:szCs w:val="24"/>
              </w:rPr>
              <w:fldChar w:fldCharType="begin"/>
            </w:r>
            <w:r w:rsidR="005A6CFF" w:rsidRPr="004F6549">
              <w:rPr>
                <w:rFonts w:ascii="Times New Roman" w:hAnsi="Times New Roman" w:cs="Times New Roman"/>
                <w:noProof/>
                <w:webHidden/>
                <w:sz w:val="24"/>
                <w:szCs w:val="24"/>
              </w:rPr>
              <w:instrText xml:space="preserve"> PAGEREF _Toc39166258 \h </w:instrText>
            </w:r>
            <w:r w:rsidR="005A6CFF" w:rsidRPr="004F6549">
              <w:rPr>
                <w:rFonts w:ascii="Times New Roman" w:hAnsi="Times New Roman" w:cs="Times New Roman"/>
                <w:noProof/>
                <w:webHidden/>
                <w:sz w:val="24"/>
                <w:szCs w:val="24"/>
              </w:rPr>
            </w:r>
            <w:r w:rsidR="005A6CFF" w:rsidRPr="004F6549">
              <w:rPr>
                <w:rFonts w:ascii="Times New Roman" w:hAnsi="Times New Roman" w:cs="Times New Roman"/>
                <w:noProof/>
                <w:webHidden/>
                <w:sz w:val="24"/>
                <w:szCs w:val="24"/>
              </w:rPr>
              <w:fldChar w:fldCharType="separate"/>
            </w:r>
            <w:r w:rsidR="00EF219F">
              <w:rPr>
                <w:rFonts w:ascii="Times New Roman" w:hAnsi="Times New Roman" w:cs="Times New Roman"/>
                <w:noProof/>
                <w:webHidden/>
                <w:sz w:val="24"/>
                <w:szCs w:val="24"/>
              </w:rPr>
              <w:t>16</w:t>
            </w:r>
            <w:r w:rsidR="005A6CFF" w:rsidRPr="004F6549">
              <w:rPr>
                <w:rFonts w:ascii="Times New Roman" w:hAnsi="Times New Roman" w:cs="Times New Roman"/>
                <w:noProof/>
                <w:webHidden/>
                <w:sz w:val="24"/>
                <w:szCs w:val="24"/>
              </w:rPr>
              <w:fldChar w:fldCharType="end"/>
            </w:r>
          </w:hyperlink>
        </w:p>
        <w:p w14:paraId="652DB0CD" w14:textId="2896F645" w:rsidR="005A6CFF" w:rsidRPr="004F6549" w:rsidRDefault="005A6CFF" w:rsidP="00E95AFC">
          <w:pPr>
            <w:spacing w:line="360" w:lineRule="auto"/>
          </w:pPr>
          <w:r w:rsidRPr="004F6549">
            <w:rPr>
              <w:b/>
              <w:bCs/>
              <w:noProof/>
            </w:rPr>
            <w:fldChar w:fldCharType="end"/>
          </w:r>
        </w:p>
      </w:sdtContent>
    </w:sdt>
    <w:p w14:paraId="19D488A7" w14:textId="77777777" w:rsidR="008F2865" w:rsidRPr="004F6549" w:rsidRDefault="008F2865" w:rsidP="00E95AFC">
      <w:pPr>
        <w:spacing w:line="360" w:lineRule="auto"/>
        <w:rPr>
          <w:rFonts w:ascii="Times New Roman" w:hAnsi="Times New Roman"/>
          <w:b/>
          <w:sz w:val="28"/>
          <w:szCs w:val="40"/>
        </w:rPr>
      </w:pPr>
      <w:bookmarkStart w:id="2" w:name="_Toc39166237"/>
    </w:p>
    <w:p w14:paraId="00000002" w14:textId="44989907" w:rsidR="00C65B51" w:rsidRPr="004F6549" w:rsidRDefault="0075703F" w:rsidP="00E95AFC">
      <w:pPr>
        <w:pStyle w:val="Heading1"/>
        <w:spacing w:line="360" w:lineRule="auto"/>
      </w:pPr>
      <w:r w:rsidRPr="004F6549">
        <w:lastRenderedPageBreak/>
        <w:t>Introduction</w:t>
      </w:r>
      <w:bookmarkEnd w:id="2"/>
    </w:p>
    <w:p w14:paraId="00000003" w14:textId="5E9505E0"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Banking financial activities are similar to the other organizational accounting management. </w:t>
      </w:r>
      <w:r w:rsidR="00F52492" w:rsidRPr="004F6549">
        <w:rPr>
          <w:rFonts w:ascii="Times New Roman" w:hAnsi="Times New Roman" w:cs="Times New Roman"/>
          <w:sz w:val="24"/>
          <w:szCs w:val="24"/>
        </w:rPr>
        <w:t>However,</w:t>
      </w:r>
      <w:r w:rsidRPr="004F6549">
        <w:rPr>
          <w:rFonts w:ascii="Times New Roman" w:hAnsi="Times New Roman" w:cs="Times New Roman"/>
          <w:sz w:val="24"/>
          <w:szCs w:val="24"/>
        </w:rPr>
        <w:t xml:space="preserve"> the transaction of the banking industry is entirely different from all other organizations. The reason is that, in the banking industry, all accounting transactions are related to monetary transmission. In this analysis, regulations and sustainability of UK banks will be evaluated. Apart from that, ranging from profitability to capital management of selected organizations will be critically determined in this project. The possible risks of the financial industry of the UK will be analyzed in respect to the calculated figures. All the finance performances will be calculated by performing accounting ratios. </w:t>
      </w:r>
    </w:p>
    <w:p w14:paraId="00000004" w14:textId="528DE31E" w:rsidR="00C65B51" w:rsidRPr="004F6549" w:rsidRDefault="006C0F24" w:rsidP="00E95AFC">
      <w:pPr>
        <w:pStyle w:val="Heading1"/>
        <w:spacing w:line="360" w:lineRule="auto"/>
      </w:pPr>
      <w:bookmarkStart w:id="3" w:name="_Toc39166238"/>
      <w:r w:rsidRPr="004F6549">
        <w:t>1. R</w:t>
      </w:r>
      <w:r w:rsidR="0075703F" w:rsidRPr="004F6549">
        <w:t>egulation and sustainability</w:t>
      </w:r>
      <w:bookmarkEnd w:id="3"/>
    </w:p>
    <w:p w14:paraId="00000005" w14:textId="77777777" w:rsidR="00C65B51" w:rsidRPr="004F6549" w:rsidRDefault="006C0F24" w:rsidP="00E95AFC">
      <w:pPr>
        <w:pStyle w:val="Heading2"/>
        <w:spacing w:line="360" w:lineRule="auto"/>
      </w:pPr>
      <w:bookmarkStart w:id="4" w:name="_Toc39166239"/>
      <w:r w:rsidRPr="004F6549">
        <w:t>1.1 Banking regulations</w:t>
      </w:r>
      <w:bookmarkEnd w:id="4"/>
    </w:p>
    <w:p w14:paraId="00000006" w14:textId="77777777" w:rsidR="00C65B51" w:rsidRPr="004F6549" w:rsidRDefault="006C0F24" w:rsidP="00E95AFC">
      <w:pPr>
        <w:pStyle w:val="Heading3"/>
        <w:spacing w:line="360" w:lineRule="auto"/>
      </w:pPr>
      <w:bookmarkStart w:id="5" w:name="_Toc39166240"/>
      <w:r w:rsidRPr="004F6549">
        <w:t>1.1.1 Evolution in banking sector of the United Kingdom</w:t>
      </w:r>
      <w:bookmarkEnd w:id="5"/>
    </w:p>
    <w:p w14:paraId="00000007" w14:textId="3A87BC85"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the financial year </w:t>
      </w:r>
      <w:r w:rsidR="005F211D">
        <w:rPr>
          <w:rFonts w:ascii="Times New Roman" w:hAnsi="Times New Roman" w:cs="Times New Roman"/>
          <w:sz w:val="24"/>
          <w:szCs w:val="24"/>
        </w:rPr>
        <w:t>1964</w:t>
      </w:r>
      <w:r w:rsidR="0075703F" w:rsidRPr="004F6549">
        <w:rPr>
          <w:rFonts w:ascii="Times New Roman" w:hAnsi="Times New Roman" w:cs="Times New Roman"/>
          <w:sz w:val="24"/>
          <w:szCs w:val="24"/>
        </w:rPr>
        <w:t xml:space="preserve"> the first banking sector was established in the UK </w:t>
      </w:r>
      <w:r w:rsidR="005F211D">
        <w:rPr>
          <w:rFonts w:ascii="Times New Roman" w:hAnsi="Times New Roman" w:cs="Times New Roman"/>
          <w:sz w:val="24"/>
          <w:szCs w:val="24"/>
        </w:rPr>
        <w:t xml:space="preserve">called </w:t>
      </w:r>
      <w:r w:rsidR="005F211D" w:rsidRPr="004F6549">
        <w:rPr>
          <w:rFonts w:ascii="Times New Roman" w:hAnsi="Times New Roman" w:cs="Times New Roman"/>
          <w:sz w:val="24"/>
          <w:szCs w:val="24"/>
        </w:rPr>
        <w:t>Bank of England</w:t>
      </w:r>
      <w:r w:rsidRPr="004F6549">
        <w:rPr>
          <w:rFonts w:ascii="Times New Roman" w:hAnsi="Times New Roman" w:cs="Times New Roman"/>
          <w:sz w:val="24"/>
          <w:szCs w:val="24"/>
        </w:rPr>
        <w:t>. This can be contemplated as the first central bank of the United Kingdom. In the financial year 1946, the ownership of this bank was observed to be changed, from private to nationalize</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Cranston and Van </w:t>
      </w:r>
      <w:proofErr w:type="spellStart"/>
      <w:r w:rsidR="00F52492" w:rsidRPr="004F6549">
        <w:rPr>
          <w:rFonts w:ascii="Times New Roman" w:hAnsi="Times New Roman" w:cs="Times New Roman"/>
          <w:sz w:val="24"/>
          <w:szCs w:val="24"/>
          <w:shd w:val="clear" w:color="auto" w:fill="FFFFFF"/>
        </w:rPr>
        <w:t>Sante</w:t>
      </w:r>
      <w:proofErr w:type="spellEnd"/>
      <w:r w:rsidR="00F52492" w:rsidRPr="004F6549">
        <w:rPr>
          <w:rFonts w:ascii="Times New Roman" w:hAnsi="Times New Roman" w:cs="Times New Roman"/>
          <w:sz w:val="24"/>
          <w:szCs w:val="24"/>
          <w:shd w:val="clear" w:color="auto" w:fill="FFFFFF"/>
        </w:rPr>
        <w:t>,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Thus, it can be stated that, from 1946 BOE was considered as a national an</w:t>
      </w:r>
      <w:r w:rsidR="0075703F" w:rsidRPr="004F6549">
        <w:rPr>
          <w:rFonts w:ascii="Times New Roman" w:hAnsi="Times New Roman" w:cs="Times New Roman"/>
          <w:sz w:val="24"/>
          <w:szCs w:val="24"/>
        </w:rPr>
        <w:t xml:space="preserve">d public financial institution </w:t>
      </w:r>
      <w:r w:rsidRPr="004F6549">
        <w:rPr>
          <w:rFonts w:ascii="Times New Roman" w:hAnsi="Times New Roman" w:cs="Times New Roman"/>
          <w:sz w:val="24"/>
          <w:szCs w:val="24"/>
        </w:rPr>
        <w:t xml:space="preserve">of UK. This bank was established to manage each monetary activity of the UK and the headquarter was situated in London. After the </w:t>
      </w:r>
      <w:r w:rsidR="0075703F" w:rsidRPr="004F6549">
        <w:rPr>
          <w:rFonts w:ascii="Times New Roman" w:hAnsi="Times New Roman" w:cs="Times New Roman"/>
          <w:sz w:val="24"/>
          <w:szCs w:val="24"/>
        </w:rPr>
        <w:t>First World War,</w:t>
      </w:r>
      <w:r w:rsidRPr="004F6549">
        <w:rPr>
          <w:rFonts w:ascii="Times New Roman" w:hAnsi="Times New Roman" w:cs="Times New Roman"/>
          <w:sz w:val="24"/>
          <w:szCs w:val="24"/>
        </w:rPr>
        <w:t xml:space="preserve"> the entire banking system of respective nations was found to be taken over by some private financial institutions and those are indicated as </w:t>
      </w:r>
      <w:r w:rsidRPr="004F6549">
        <w:rPr>
          <w:rFonts w:ascii="Times New Roman" w:hAnsi="Times New Roman" w:cs="Times New Roman"/>
          <w:b/>
          <w:i/>
          <w:sz w:val="24"/>
          <w:szCs w:val="24"/>
        </w:rPr>
        <w:t>Big Fives</w:t>
      </w:r>
      <w:r w:rsidRPr="004F6549">
        <w:rPr>
          <w:rFonts w:ascii="Times New Roman" w:hAnsi="Times New Roman" w:cs="Times New Roman"/>
          <w:sz w:val="24"/>
          <w:szCs w:val="24"/>
        </w:rPr>
        <w:t>. The list of leading banking sectors are:</w:t>
      </w:r>
    </w:p>
    <w:p w14:paraId="00000008" w14:textId="77777777" w:rsidR="00C65B51" w:rsidRPr="004F6549" w:rsidRDefault="006C0F24" w:rsidP="00E95AFC">
      <w:pPr>
        <w:numPr>
          <w:ilvl w:val="0"/>
          <w:numId w:val="1"/>
        </w:num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Barclays bank</w:t>
      </w:r>
    </w:p>
    <w:p w14:paraId="00000009" w14:textId="77777777" w:rsidR="00C65B51" w:rsidRPr="004F6549" w:rsidRDefault="006C0F24" w:rsidP="00E95AFC">
      <w:pPr>
        <w:numPr>
          <w:ilvl w:val="0"/>
          <w:numId w:val="1"/>
        </w:num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Lloyds Bank</w:t>
      </w:r>
    </w:p>
    <w:p w14:paraId="0000000A" w14:textId="77777777" w:rsidR="00C65B51" w:rsidRPr="004F6549" w:rsidRDefault="006C0F24" w:rsidP="00E95AFC">
      <w:pPr>
        <w:numPr>
          <w:ilvl w:val="0"/>
          <w:numId w:val="1"/>
        </w:num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National and Provincial Bank</w:t>
      </w:r>
    </w:p>
    <w:p w14:paraId="0000000B" w14:textId="77777777" w:rsidR="00C65B51" w:rsidRPr="004F6549" w:rsidRDefault="006C0F24" w:rsidP="00E95AFC">
      <w:pPr>
        <w:numPr>
          <w:ilvl w:val="0"/>
          <w:numId w:val="1"/>
        </w:num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The Westminster Bank</w:t>
      </w:r>
    </w:p>
    <w:p w14:paraId="0000000C" w14:textId="77777777" w:rsidR="00C65B51" w:rsidRDefault="006C0F24" w:rsidP="00E95AFC">
      <w:pPr>
        <w:numPr>
          <w:ilvl w:val="0"/>
          <w:numId w:val="1"/>
        </w:num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Midland Bank (now it is known as HSBC)</w:t>
      </w:r>
    </w:p>
    <w:p w14:paraId="3827BCCE" w14:textId="4CC42C53" w:rsidR="001D6DF2" w:rsidRDefault="006510FB" w:rsidP="006510FB">
      <w:pPr>
        <w:spacing w:line="360" w:lineRule="auto"/>
        <w:ind w:left="360"/>
        <w:jc w:val="center"/>
        <w:rPr>
          <w:rFonts w:ascii="Times New Roman" w:hAnsi="Times New Roman" w:cs="Times New Roman"/>
          <w:sz w:val="24"/>
          <w:szCs w:val="24"/>
        </w:rPr>
      </w:pPr>
      <w:r>
        <w:rPr>
          <w:noProof/>
          <w:lang w:val="en-US"/>
        </w:rPr>
        <w:lastRenderedPageBreak/>
        <w:drawing>
          <wp:inline distT="0" distB="0" distL="0" distR="0" wp14:anchorId="1CE543F9" wp14:editId="226D5670">
            <wp:extent cx="3276600" cy="1238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76600" cy="1238250"/>
                    </a:xfrm>
                    <a:prstGeom prst="rect">
                      <a:avLst/>
                    </a:prstGeom>
                  </pic:spPr>
                </pic:pic>
              </a:graphicData>
            </a:graphic>
          </wp:inline>
        </w:drawing>
      </w:r>
    </w:p>
    <w:p w14:paraId="49C9DFB6" w14:textId="122987A5" w:rsidR="00082002" w:rsidRPr="00082002" w:rsidRDefault="00082002" w:rsidP="006510FB">
      <w:pPr>
        <w:spacing w:line="360" w:lineRule="auto"/>
        <w:ind w:left="360"/>
        <w:jc w:val="center"/>
        <w:rPr>
          <w:rFonts w:ascii="Times New Roman" w:hAnsi="Times New Roman" w:cs="Times New Roman"/>
          <w:b/>
          <w:sz w:val="24"/>
          <w:szCs w:val="24"/>
        </w:rPr>
      </w:pPr>
      <w:r w:rsidRPr="00082002">
        <w:rPr>
          <w:rFonts w:ascii="Times New Roman" w:hAnsi="Times New Roman" w:cs="Times New Roman"/>
          <w:b/>
          <w:sz w:val="24"/>
          <w:szCs w:val="24"/>
        </w:rPr>
        <w:t>Figure 1: UK banking evolution</w:t>
      </w:r>
    </w:p>
    <w:p w14:paraId="0000000D" w14:textId="7D56BA79"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After the financial </w:t>
      </w:r>
      <w:r w:rsidR="0075703F" w:rsidRPr="004F6549">
        <w:rPr>
          <w:rFonts w:ascii="Times New Roman" w:hAnsi="Times New Roman" w:cs="Times New Roman"/>
          <w:sz w:val="24"/>
          <w:szCs w:val="24"/>
        </w:rPr>
        <w:t>term,</w:t>
      </w:r>
      <w:r w:rsidRPr="004F6549">
        <w:rPr>
          <w:rFonts w:ascii="Times New Roman" w:hAnsi="Times New Roman" w:cs="Times New Roman"/>
          <w:sz w:val="24"/>
          <w:szCs w:val="24"/>
        </w:rPr>
        <w:t xml:space="preserve"> 1960 this Big Five became Big Four and this was credited for the merger and acquisition of several banking sectors of the United Kingdom. After the financial year </w:t>
      </w:r>
      <w:r w:rsidR="0075703F" w:rsidRPr="004F6549">
        <w:rPr>
          <w:rFonts w:ascii="Times New Roman" w:hAnsi="Times New Roman" w:cs="Times New Roman"/>
          <w:sz w:val="24"/>
          <w:szCs w:val="24"/>
        </w:rPr>
        <w:t>1973,</w:t>
      </w:r>
      <w:r w:rsidRPr="004F6549">
        <w:rPr>
          <w:rFonts w:ascii="Times New Roman" w:hAnsi="Times New Roman" w:cs="Times New Roman"/>
          <w:sz w:val="24"/>
          <w:szCs w:val="24"/>
        </w:rPr>
        <w:t xml:space="preserve"> the current technology has been implemented by the UK banking institutions and this can be regarded as the most recent evolutionary changes in the Financial industry</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Ugolini</w:t>
      </w:r>
      <w:proofErr w:type="spellEnd"/>
      <w:r w:rsidR="00F52492" w:rsidRPr="004F6549">
        <w:rPr>
          <w:rFonts w:ascii="Times New Roman" w:hAnsi="Times New Roman" w:cs="Times New Roman"/>
          <w:sz w:val="24"/>
          <w:szCs w:val="24"/>
          <w:shd w:val="clear" w:color="auto" w:fill="FFFFFF"/>
        </w:rPr>
        <w:t>,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The SWIFT (Society for Worldwide Interbank Financial Telecommunication) payment statement was found to be introduced by 1973.</w:t>
      </w:r>
    </w:p>
    <w:p w14:paraId="0000000E" w14:textId="77777777" w:rsidR="00C65B51" w:rsidRPr="004F6549" w:rsidRDefault="006C0F24" w:rsidP="00E95AFC">
      <w:pPr>
        <w:pStyle w:val="Heading3"/>
        <w:spacing w:line="360" w:lineRule="auto"/>
      </w:pPr>
      <w:bookmarkStart w:id="6" w:name="_Toc39166241"/>
      <w:r w:rsidRPr="004F6549">
        <w:t>1.1.2 Evolution in financial regulation in UK</w:t>
      </w:r>
      <w:bookmarkEnd w:id="6"/>
    </w:p>
    <w:p w14:paraId="0000000F" w14:textId="60285262" w:rsidR="00C65B51" w:rsidRPr="004F6549" w:rsidRDefault="006C0F24" w:rsidP="00E95AFC">
      <w:pPr>
        <w:spacing w:line="360" w:lineRule="auto"/>
        <w:jc w:val="both"/>
        <w:rPr>
          <w:rFonts w:ascii="Times New Roman" w:eastAsia="Roboto" w:hAnsi="Times New Roman" w:cs="Times New Roman"/>
          <w:sz w:val="24"/>
          <w:szCs w:val="24"/>
        </w:rPr>
      </w:pPr>
      <w:r w:rsidRPr="004F6549">
        <w:rPr>
          <w:rFonts w:ascii="Times New Roman" w:hAnsi="Times New Roman" w:cs="Times New Roman"/>
          <w:sz w:val="24"/>
          <w:szCs w:val="24"/>
        </w:rPr>
        <w:t xml:space="preserve">During the initial </w:t>
      </w:r>
      <w:r w:rsidR="0075703F" w:rsidRPr="004F6549">
        <w:rPr>
          <w:rFonts w:ascii="Times New Roman" w:hAnsi="Times New Roman" w:cs="Times New Roman"/>
          <w:sz w:val="24"/>
          <w:szCs w:val="24"/>
        </w:rPr>
        <w:t>stage,</w:t>
      </w:r>
      <w:r w:rsidRPr="004F6549">
        <w:rPr>
          <w:rFonts w:ascii="Times New Roman" w:hAnsi="Times New Roman" w:cs="Times New Roman"/>
          <w:sz w:val="24"/>
          <w:szCs w:val="24"/>
        </w:rPr>
        <w:t xml:space="preserve"> the overall financial institutions are regulated by PRA (Prudential Regulation Authority) and this was considered as a part of BOE. The functions of banking organizations used to be regulated and governed by another committee called </w:t>
      </w:r>
      <w:r w:rsidRPr="004F6549">
        <w:rPr>
          <w:rFonts w:ascii="Times New Roman" w:eastAsia="Roboto" w:hAnsi="Times New Roman" w:cs="Times New Roman"/>
          <w:sz w:val="24"/>
          <w:szCs w:val="24"/>
          <w:highlight w:val="white"/>
        </w:rPr>
        <w:t>Prudential Regulation Committee (PRC). Based on the financial regulations provided by PRC, all the banking companies were used to perform their activities.  At that time, no specific regulatory body or any legislation was found in the United Kingdom regarding the financial institutions</w:t>
      </w:r>
      <w:r w:rsidR="00F52492" w:rsidRPr="004F6549">
        <w:rPr>
          <w:rFonts w:ascii="Times New Roman" w:eastAsia="Roboto" w:hAnsi="Times New Roman" w:cs="Times New Roman"/>
          <w:sz w:val="24"/>
          <w:szCs w:val="24"/>
          <w:highlight w:val="white"/>
        </w:rPr>
        <w:t xml:space="preserve"> (</w:t>
      </w:r>
      <w:r w:rsidR="00F52492" w:rsidRPr="004F6549">
        <w:rPr>
          <w:rFonts w:ascii="Times New Roman" w:hAnsi="Times New Roman" w:cs="Times New Roman"/>
          <w:sz w:val="24"/>
          <w:szCs w:val="24"/>
          <w:shd w:val="clear" w:color="auto" w:fill="FFFFFF"/>
        </w:rPr>
        <w:t>Rogers, 2016</w:t>
      </w:r>
      <w:r w:rsidR="00F52492" w:rsidRPr="004F6549">
        <w:rPr>
          <w:rFonts w:ascii="Times New Roman" w:eastAsia="Roboto" w:hAnsi="Times New Roman" w:cs="Times New Roman"/>
          <w:sz w:val="24"/>
          <w:szCs w:val="24"/>
          <w:highlight w:val="white"/>
        </w:rPr>
        <w:t>)</w:t>
      </w:r>
      <w:r w:rsidRPr="004F6549">
        <w:rPr>
          <w:rFonts w:ascii="Times New Roman" w:eastAsia="Roboto" w:hAnsi="Times New Roman" w:cs="Times New Roman"/>
          <w:sz w:val="24"/>
          <w:szCs w:val="24"/>
          <w:highlight w:val="white"/>
        </w:rPr>
        <w:t xml:space="preserve">. This situation was observed to be continued up to the financial year 1999. However, in the year 2000, the UK financial department introduced a specific finance act called </w:t>
      </w:r>
      <w:r w:rsidRPr="004F6549">
        <w:rPr>
          <w:rFonts w:ascii="Times New Roman" w:eastAsia="Roboto" w:hAnsi="Times New Roman" w:cs="Times New Roman"/>
          <w:b/>
          <w:i/>
          <w:sz w:val="24"/>
          <w:szCs w:val="24"/>
          <w:highlight w:val="white"/>
        </w:rPr>
        <w:t>“Financial Service and Markets Act 2000”</w:t>
      </w:r>
      <w:r w:rsidRPr="004F6549">
        <w:rPr>
          <w:rFonts w:ascii="Times New Roman" w:eastAsia="Roboto" w:hAnsi="Times New Roman" w:cs="Times New Roman"/>
          <w:sz w:val="24"/>
          <w:szCs w:val="24"/>
          <w:highlight w:val="white"/>
        </w:rPr>
        <w:t xml:space="preserve">. During the financial year 2013, this FSM Act was determined to be revised with some advance factors by a new act called </w:t>
      </w:r>
      <w:r w:rsidRPr="004F6549">
        <w:rPr>
          <w:rFonts w:ascii="Times New Roman" w:eastAsia="Roboto" w:hAnsi="Times New Roman" w:cs="Times New Roman"/>
          <w:b/>
          <w:i/>
          <w:sz w:val="24"/>
          <w:szCs w:val="24"/>
          <w:highlight w:val="white"/>
        </w:rPr>
        <w:t>“Financial Services Act 2013”</w:t>
      </w:r>
      <w:r w:rsidRPr="004F6549">
        <w:rPr>
          <w:rFonts w:ascii="Times New Roman" w:eastAsia="Roboto" w:hAnsi="Times New Roman" w:cs="Times New Roman"/>
          <w:sz w:val="24"/>
          <w:szCs w:val="24"/>
          <w:highlight w:val="white"/>
        </w:rPr>
        <w:t xml:space="preserve">. In order to restrict the criminal offence of financial transactions like establishing fraud financial institutions and cheating the UK citizens, the UK government introduced a separate act called </w:t>
      </w:r>
      <w:r w:rsidRPr="004F6549">
        <w:rPr>
          <w:rFonts w:ascii="Times New Roman" w:eastAsia="Roboto" w:hAnsi="Times New Roman" w:cs="Times New Roman"/>
          <w:b/>
          <w:i/>
          <w:sz w:val="24"/>
          <w:szCs w:val="24"/>
          <w:highlight w:val="white"/>
        </w:rPr>
        <w:t>“Criminal Finances Act 2017”</w:t>
      </w:r>
      <w:r w:rsidR="00F52492" w:rsidRPr="004F6549">
        <w:rPr>
          <w:rFonts w:ascii="Times New Roman" w:eastAsia="Roboto" w:hAnsi="Times New Roman" w:cs="Times New Roman"/>
          <w:b/>
          <w:i/>
          <w:sz w:val="24"/>
          <w:szCs w:val="24"/>
          <w:highlight w:val="white"/>
        </w:rPr>
        <w:t xml:space="preserve"> </w:t>
      </w:r>
      <w:r w:rsidR="00F52492" w:rsidRPr="004F6549">
        <w:rPr>
          <w:rFonts w:ascii="Times New Roman" w:eastAsia="Roboto" w:hAnsi="Times New Roman" w:cs="Times New Roman"/>
          <w:sz w:val="24"/>
          <w:szCs w:val="24"/>
          <w:highlight w:val="white"/>
        </w:rPr>
        <w:t>(</w:t>
      </w:r>
      <w:r w:rsidR="00F52492" w:rsidRPr="004F6549">
        <w:rPr>
          <w:rFonts w:ascii="Times New Roman" w:hAnsi="Times New Roman" w:cs="Times New Roman"/>
          <w:sz w:val="24"/>
          <w:szCs w:val="24"/>
          <w:shd w:val="clear" w:color="auto" w:fill="FFFFFF"/>
        </w:rPr>
        <w:t>Schroeder, Clark and Cathey, 2019</w:t>
      </w:r>
      <w:r w:rsidR="00F52492" w:rsidRPr="004F6549">
        <w:rPr>
          <w:rFonts w:ascii="Times New Roman" w:eastAsia="Roboto" w:hAnsi="Times New Roman" w:cs="Times New Roman"/>
          <w:sz w:val="24"/>
          <w:szCs w:val="24"/>
          <w:highlight w:val="white"/>
        </w:rPr>
        <w:t>)</w:t>
      </w:r>
      <w:r w:rsidRPr="004F6549">
        <w:rPr>
          <w:rFonts w:ascii="Times New Roman" w:eastAsia="Roboto" w:hAnsi="Times New Roman" w:cs="Times New Roman"/>
          <w:sz w:val="24"/>
          <w:szCs w:val="24"/>
          <w:highlight w:val="white"/>
        </w:rPr>
        <w:t>. This act provides all possible punishments for each fraudulent activity.</w:t>
      </w:r>
    </w:p>
    <w:p w14:paraId="00000010" w14:textId="77777777" w:rsidR="00C65B51" w:rsidRPr="004F6549" w:rsidRDefault="006C0F24" w:rsidP="00E95AFC">
      <w:pPr>
        <w:pStyle w:val="Heading2"/>
        <w:spacing w:line="360" w:lineRule="auto"/>
      </w:pPr>
      <w:bookmarkStart w:id="7" w:name="_Toc39166242"/>
      <w:r w:rsidRPr="004F6549">
        <w:lastRenderedPageBreak/>
        <w:t>1.2 Issues in sustainability</w:t>
      </w:r>
      <w:bookmarkEnd w:id="7"/>
    </w:p>
    <w:p w14:paraId="00000011" w14:textId="71A72B7D" w:rsidR="00C65B51"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Sustainability is such a factor that needs to be considered by every organizational management for maintaining their market position. The financial position and capital fund management of any organization has been considered as the major indicator of sustainability. The reason is that an effective capital structure and profitability movement of a company reflects the future strength and helps the organization in sustaining within the existing market</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Ramon, Francis and </w:t>
      </w:r>
      <w:proofErr w:type="spellStart"/>
      <w:r w:rsidR="00F52492" w:rsidRPr="004F6549">
        <w:rPr>
          <w:rFonts w:ascii="Times New Roman" w:hAnsi="Times New Roman" w:cs="Times New Roman"/>
          <w:sz w:val="24"/>
          <w:szCs w:val="24"/>
          <w:shd w:val="clear" w:color="auto" w:fill="FFFFFF"/>
        </w:rPr>
        <w:t>Milonas</w:t>
      </w:r>
      <w:proofErr w:type="spellEnd"/>
      <w:r w:rsidR="00F52492" w:rsidRPr="004F6549">
        <w:rPr>
          <w:rFonts w:ascii="Times New Roman" w:hAnsi="Times New Roman" w:cs="Times New Roman"/>
          <w:sz w:val="24"/>
          <w:szCs w:val="24"/>
          <w:shd w:val="clear" w:color="auto" w:fill="FFFFFF"/>
        </w:rPr>
        <w:t>,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Thus, the respective factor was considered as sustainability. In order to achieve sustainability, the financial institutions of the United Kingdom were challenged by some specific factors. Those are explained in the following statement in respect to the environmental and social aspect. </w:t>
      </w:r>
    </w:p>
    <w:p w14:paraId="607E8A7C" w14:textId="39588718" w:rsidR="0089259E" w:rsidRDefault="0089259E" w:rsidP="0089259E">
      <w:pPr>
        <w:spacing w:line="360" w:lineRule="auto"/>
        <w:jc w:val="center"/>
        <w:rPr>
          <w:rFonts w:ascii="Times New Roman" w:hAnsi="Times New Roman" w:cs="Times New Roman"/>
          <w:sz w:val="24"/>
          <w:szCs w:val="24"/>
        </w:rPr>
      </w:pPr>
      <w:r>
        <w:rPr>
          <w:noProof/>
          <w:lang w:val="en-US"/>
        </w:rPr>
        <w:drawing>
          <wp:inline distT="0" distB="0" distL="0" distR="0" wp14:anchorId="144368A8" wp14:editId="7912ACB3">
            <wp:extent cx="5867400" cy="3743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867400" cy="3743325"/>
                    </a:xfrm>
                    <a:prstGeom prst="rect">
                      <a:avLst/>
                    </a:prstGeom>
                  </pic:spPr>
                </pic:pic>
              </a:graphicData>
            </a:graphic>
          </wp:inline>
        </w:drawing>
      </w:r>
    </w:p>
    <w:p w14:paraId="35211565" w14:textId="7A22B243" w:rsidR="00082002" w:rsidRPr="00082002" w:rsidRDefault="00082002" w:rsidP="00082002">
      <w:pPr>
        <w:spacing w:line="360" w:lineRule="auto"/>
        <w:ind w:left="360"/>
        <w:jc w:val="center"/>
        <w:rPr>
          <w:rFonts w:ascii="Times New Roman" w:hAnsi="Times New Roman" w:cs="Times New Roman"/>
          <w:b/>
          <w:sz w:val="24"/>
          <w:szCs w:val="24"/>
        </w:rPr>
      </w:pPr>
      <w:r w:rsidRPr="00082002">
        <w:rPr>
          <w:rFonts w:ascii="Times New Roman" w:hAnsi="Times New Roman" w:cs="Times New Roman"/>
          <w:b/>
          <w:sz w:val="24"/>
          <w:szCs w:val="24"/>
        </w:rPr>
        <w:t xml:space="preserve">Figure </w:t>
      </w:r>
      <w:r>
        <w:rPr>
          <w:rFonts w:ascii="Times New Roman" w:hAnsi="Times New Roman" w:cs="Times New Roman"/>
          <w:b/>
          <w:sz w:val="24"/>
          <w:szCs w:val="24"/>
        </w:rPr>
        <w:t>2</w:t>
      </w:r>
      <w:r w:rsidRPr="00082002">
        <w:rPr>
          <w:rFonts w:ascii="Times New Roman" w:hAnsi="Times New Roman" w:cs="Times New Roman"/>
          <w:b/>
          <w:sz w:val="24"/>
          <w:szCs w:val="24"/>
        </w:rPr>
        <w:t xml:space="preserve">: </w:t>
      </w:r>
      <w:r>
        <w:rPr>
          <w:rFonts w:ascii="Times New Roman" w:hAnsi="Times New Roman" w:cs="Times New Roman"/>
          <w:b/>
          <w:sz w:val="24"/>
          <w:szCs w:val="24"/>
        </w:rPr>
        <w:t>Market positions of UK banks</w:t>
      </w:r>
    </w:p>
    <w:p w14:paraId="00000012" w14:textId="77777777" w:rsidR="00C65B51" w:rsidRPr="004F6549" w:rsidRDefault="006C0F24" w:rsidP="00E95AFC">
      <w:pPr>
        <w:pStyle w:val="Heading3"/>
        <w:spacing w:line="360" w:lineRule="auto"/>
      </w:pPr>
      <w:bookmarkStart w:id="8" w:name="_Toc39166243"/>
      <w:r w:rsidRPr="004F6549">
        <w:t>1.2.1 Environmental issues</w:t>
      </w:r>
      <w:bookmarkEnd w:id="8"/>
    </w:p>
    <w:p w14:paraId="00000013" w14:textId="046B9096"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 xml:space="preserve">Product design: </w:t>
      </w:r>
      <w:r w:rsidRPr="004F6549">
        <w:rPr>
          <w:rFonts w:ascii="Times New Roman" w:hAnsi="Times New Roman" w:cs="Times New Roman"/>
          <w:sz w:val="24"/>
          <w:szCs w:val="24"/>
        </w:rPr>
        <w:t xml:space="preserve">In order to maintain sustainability Banking organizations are responsible for introducing new products in terms of new financial schemes. In other words, new lending opportunities with a lower rate of interest introduced by any banking sector can be regarded as a </w:t>
      </w:r>
      <w:r w:rsidRPr="004F6549">
        <w:rPr>
          <w:rFonts w:ascii="Times New Roman" w:hAnsi="Times New Roman" w:cs="Times New Roman"/>
          <w:sz w:val="24"/>
          <w:szCs w:val="24"/>
        </w:rPr>
        <w:lastRenderedPageBreak/>
        <w:t xml:space="preserve">product for this specific company. In terms of designing a </w:t>
      </w:r>
      <w:r w:rsidR="0075703F" w:rsidRPr="004F6549">
        <w:rPr>
          <w:rFonts w:ascii="Times New Roman" w:hAnsi="Times New Roman" w:cs="Times New Roman"/>
          <w:sz w:val="24"/>
          <w:szCs w:val="24"/>
        </w:rPr>
        <w:t>product,</w:t>
      </w:r>
      <w:r w:rsidRPr="004F6549">
        <w:rPr>
          <w:rFonts w:ascii="Times New Roman" w:hAnsi="Times New Roman" w:cs="Times New Roman"/>
          <w:sz w:val="24"/>
          <w:szCs w:val="24"/>
        </w:rPr>
        <w:t xml:space="preserve"> different types of environmental issues were identified in terms of </w:t>
      </w:r>
      <w:r w:rsidR="0075703F" w:rsidRPr="004F6549">
        <w:rPr>
          <w:rFonts w:ascii="Times New Roman" w:hAnsi="Times New Roman" w:cs="Times New Roman"/>
          <w:sz w:val="24"/>
          <w:szCs w:val="24"/>
        </w:rPr>
        <w:t>replay ability</w:t>
      </w:r>
      <w:r w:rsidRPr="004F6549">
        <w:rPr>
          <w:rFonts w:ascii="Times New Roman" w:hAnsi="Times New Roman" w:cs="Times New Roman"/>
          <w:sz w:val="24"/>
          <w:szCs w:val="24"/>
        </w:rPr>
        <w:t xml:space="preserve">. As the reaper </w:t>
      </w:r>
      <w:r w:rsidR="0075703F" w:rsidRPr="004F6549">
        <w:rPr>
          <w:rFonts w:ascii="Times New Roman" w:hAnsi="Times New Roman" w:cs="Times New Roman"/>
          <w:sz w:val="24"/>
          <w:szCs w:val="24"/>
        </w:rPr>
        <w:t>capacities of most of the loan receivers are</w:t>
      </w:r>
      <w:r w:rsidRPr="004F6549">
        <w:rPr>
          <w:rFonts w:ascii="Times New Roman" w:hAnsi="Times New Roman" w:cs="Times New Roman"/>
          <w:sz w:val="24"/>
          <w:szCs w:val="24"/>
        </w:rPr>
        <w:t xml:space="preserve"> low, thus, in maximum cases, the introduced products would not be capable of making sustainability for overall management</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Seyfang</w:t>
      </w:r>
      <w:proofErr w:type="spellEnd"/>
      <w:r w:rsidR="00F52492" w:rsidRPr="004F6549">
        <w:rPr>
          <w:rFonts w:ascii="Times New Roman" w:hAnsi="Times New Roman" w:cs="Times New Roman"/>
          <w:sz w:val="24"/>
          <w:szCs w:val="24"/>
          <w:shd w:val="clear" w:color="auto" w:fill="FFFFFF"/>
        </w:rPr>
        <w:t xml:space="preserve"> and Gilbert-Squires, 2019</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The major reason is that, general people are trying to avoid the loan system and this would fail the entire product designing. Thus, it can be considered as an environmental issue that restricts the productivity of financial institutions. </w:t>
      </w:r>
    </w:p>
    <w:p w14:paraId="00000014" w14:textId="5A297722" w:rsidR="00C65B51"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 xml:space="preserve">Mission policy: </w:t>
      </w:r>
      <w:r w:rsidRPr="004F6549">
        <w:rPr>
          <w:rFonts w:ascii="Times New Roman" w:hAnsi="Times New Roman" w:cs="Times New Roman"/>
          <w:sz w:val="24"/>
          <w:szCs w:val="24"/>
        </w:rPr>
        <w:t>Generating a higher level of profit has been considered as the mission for every business firm. As the financial institution is also a business firm, thus, generating profit was also a major mission for this organization. However, there were some environmental issues also found that restrict the institutions in achieving their missions. As in the winter season, various companies are insisting to close their outlets for the reason of snowfall</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Benbouzid</w:t>
      </w:r>
      <w:proofErr w:type="spellEnd"/>
      <w:r w:rsidR="00F52492" w:rsidRPr="004F6549">
        <w:rPr>
          <w:rFonts w:ascii="Times New Roman" w:hAnsi="Times New Roman" w:cs="Times New Roman"/>
          <w:sz w:val="24"/>
          <w:szCs w:val="24"/>
          <w:shd w:val="clear" w:color="auto" w:fill="FFFFFF"/>
        </w:rPr>
        <w:t xml:space="preserve">, Mallick and </w:t>
      </w:r>
      <w:proofErr w:type="spellStart"/>
      <w:r w:rsidR="00F52492" w:rsidRPr="004F6549">
        <w:rPr>
          <w:rFonts w:ascii="Times New Roman" w:hAnsi="Times New Roman" w:cs="Times New Roman"/>
          <w:sz w:val="24"/>
          <w:szCs w:val="24"/>
          <w:shd w:val="clear" w:color="auto" w:fill="FFFFFF"/>
        </w:rPr>
        <w:t>Pilbeam</w:t>
      </w:r>
      <w:proofErr w:type="spellEnd"/>
      <w:r w:rsidR="00F52492" w:rsidRPr="004F6549">
        <w:rPr>
          <w:rFonts w:ascii="Times New Roman" w:hAnsi="Times New Roman" w:cs="Times New Roman"/>
          <w:sz w:val="24"/>
          <w:szCs w:val="24"/>
          <w:shd w:val="clear" w:color="auto" w:fill="FFFFFF"/>
        </w:rPr>
        <w:t>,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Thus, no </w:t>
      </w:r>
      <w:r w:rsidR="0075703F" w:rsidRPr="004F6549">
        <w:rPr>
          <w:rFonts w:ascii="Times New Roman" w:hAnsi="Times New Roman" w:cs="Times New Roman"/>
          <w:sz w:val="24"/>
          <w:szCs w:val="24"/>
        </w:rPr>
        <w:t>revenue</w:t>
      </w:r>
      <w:r w:rsidRPr="004F6549">
        <w:rPr>
          <w:rFonts w:ascii="Times New Roman" w:hAnsi="Times New Roman" w:cs="Times New Roman"/>
          <w:sz w:val="24"/>
          <w:szCs w:val="24"/>
        </w:rPr>
        <w:t xml:space="preserve"> was generated during the particular season. As an impact of this, the organizational managements are avoiding to take business loans, thus interest income of banking institutions was found to be reduced. Apart from that, the amount of savings deposited was also noticed to be reduced during that season, due to all the general businesses being closed in the revenue generation was totally stopped in all businesses</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Lu and Boateng,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Consequently, the organizational missions remained unsuccessful during those months. </w:t>
      </w:r>
      <w:r w:rsidR="0075703F" w:rsidRPr="004F6549">
        <w:rPr>
          <w:rFonts w:ascii="Times New Roman" w:hAnsi="Times New Roman" w:cs="Times New Roman"/>
          <w:sz w:val="24"/>
          <w:szCs w:val="24"/>
        </w:rPr>
        <w:t>Hence,</w:t>
      </w:r>
      <w:r w:rsidRPr="004F6549">
        <w:rPr>
          <w:rFonts w:ascii="Times New Roman" w:hAnsi="Times New Roman" w:cs="Times New Roman"/>
          <w:sz w:val="24"/>
          <w:szCs w:val="24"/>
        </w:rPr>
        <w:t xml:space="preserve"> it has been considered as the environmental impact on the financial industry of the United Kingdom. </w:t>
      </w:r>
    </w:p>
    <w:p w14:paraId="2BBD0B22" w14:textId="1ABC87FD" w:rsidR="00605D54" w:rsidRDefault="00605D54" w:rsidP="00605D54">
      <w:pPr>
        <w:spacing w:line="360" w:lineRule="auto"/>
        <w:jc w:val="center"/>
        <w:rPr>
          <w:rFonts w:ascii="Times New Roman" w:hAnsi="Times New Roman" w:cs="Times New Roman"/>
          <w:sz w:val="24"/>
          <w:szCs w:val="24"/>
        </w:rPr>
      </w:pPr>
      <w:r>
        <w:rPr>
          <w:noProof/>
          <w:lang w:val="en-US"/>
        </w:rPr>
        <w:lastRenderedPageBreak/>
        <w:drawing>
          <wp:inline distT="0" distB="0" distL="0" distR="0" wp14:anchorId="4DB9ACE2" wp14:editId="672A27E0">
            <wp:extent cx="5200650" cy="4191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00650" cy="4191000"/>
                    </a:xfrm>
                    <a:prstGeom prst="rect">
                      <a:avLst/>
                    </a:prstGeom>
                  </pic:spPr>
                </pic:pic>
              </a:graphicData>
            </a:graphic>
          </wp:inline>
        </w:drawing>
      </w:r>
    </w:p>
    <w:p w14:paraId="64FA2D57" w14:textId="70F2AFE3" w:rsidR="00BD05FA" w:rsidRPr="00BD05FA" w:rsidRDefault="00BD05FA" w:rsidP="00BD05FA">
      <w:pPr>
        <w:spacing w:line="360" w:lineRule="auto"/>
        <w:ind w:left="360"/>
        <w:jc w:val="center"/>
        <w:rPr>
          <w:rFonts w:ascii="Times New Roman" w:hAnsi="Times New Roman" w:cs="Times New Roman"/>
          <w:b/>
          <w:sz w:val="24"/>
          <w:szCs w:val="24"/>
        </w:rPr>
      </w:pPr>
      <w:r w:rsidRPr="00082002">
        <w:rPr>
          <w:rFonts w:ascii="Times New Roman" w:hAnsi="Times New Roman" w:cs="Times New Roman"/>
          <w:b/>
          <w:sz w:val="24"/>
          <w:szCs w:val="24"/>
        </w:rPr>
        <w:t xml:space="preserve">Figure </w:t>
      </w:r>
      <w:r>
        <w:rPr>
          <w:rFonts w:ascii="Times New Roman" w:hAnsi="Times New Roman" w:cs="Times New Roman"/>
          <w:b/>
          <w:sz w:val="24"/>
          <w:szCs w:val="24"/>
        </w:rPr>
        <w:t>3</w:t>
      </w:r>
      <w:r w:rsidRPr="00082002">
        <w:rPr>
          <w:rFonts w:ascii="Times New Roman" w:hAnsi="Times New Roman" w:cs="Times New Roman"/>
          <w:b/>
          <w:sz w:val="24"/>
          <w:szCs w:val="24"/>
        </w:rPr>
        <w:t xml:space="preserve">: </w:t>
      </w:r>
      <w:r>
        <w:rPr>
          <w:rFonts w:ascii="Times New Roman" w:hAnsi="Times New Roman" w:cs="Times New Roman"/>
          <w:b/>
          <w:sz w:val="24"/>
          <w:szCs w:val="24"/>
        </w:rPr>
        <w:t>Financial position of UK banks</w:t>
      </w:r>
    </w:p>
    <w:p w14:paraId="00000015" w14:textId="6ECB100D"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 xml:space="preserve">Business strategies: </w:t>
      </w:r>
      <w:r w:rsidRPr="004F6549">
        <w:rPr>
          <w:rFonts w:ascii="Times New Roman" w:hAnsi="Times New Roman" w:cs="Times New Roman"/>
          <w:sz w:val="24"/>
          <w:szCs w:val="24"/>
        </w:rPr>
        <w:t xml:space="preserve">Different types of business strategies are required to be implemented by banking sectors in order to attract more customers for opening accounts on their respective branches. Providing lending opportunities with a low rate of interest, instant suctioning various loans are contemplated as some important business strategies taken over by UK financial institutions. Environmental factors would restrict customers in making savings during the winter and along with </w:t>
      </w:r>
      <w:r w:rsidR="0075703F" w:rsidRPr="004F6549">
        <w:rPr>
          <w:rFonts w:ascii="Times New Roman" w:hAnsi="Times New Roman" w:cs="Times New Roman"/>
          <w:sz w:val="24"/>
          <w:szCs w:val="24"/>
        </w:rPr>
        <w:t>this,</w:t>
      </w:r>
      <w:r w:rsidRPr="004F6549">
        <w:rPr>
          <w:rFonts w:ascii="Times New Roman" w:hAnsi="Times New Roman" w:cs="Times New Roman"/>
          <w:sz w:val="24"/>
          <w:szCs w:val="24"/>
        </w:rPr>
        <w:t xml:space="preserve"> they used to withdraw the saved amount. In that particular time, no such business strategy was capable of attracting customers. The </w:t>
      </w:r>
      <w:r w:rsidR="0075703F" w:rsidRPr="004F6549">
        <w:rPr>
          <w:rFonts w:ascii="Times New Roman" w:hAnsi="Times New Roman" w:cs="Times New Roman"/>
          <w:sz w:val="24"/>
          <w:szCs w:val="24"/>
        </w:rPr>
        <w:t>downward</w:t>
      </w:r>
      <w:r w:rsidRPr="004F6549">
        <w:rPr>
          <w:rFonts w:ascii="Times New Roman" w:hAnsi="Times New Roman" w:cs="Times New Roman"/>
          <w:sz w:val="24"/>
          <w:szCs w:val="24"/>
        </w:rPr>
        <w:t xml:space="preserve"> financial trend in business organizations also negatively affects financial activities of the banking system</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Kitchen,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The main reason is that, banking system is related to the entire economic system of any nation. </w:t>
      </w:r>
    </w:p>
    <w:p w14:paraId="00000016" w14:textId="77777777" w:rsidR="00C65B51" w:rsidRPr="004F6549" w:rsidRDefault="006C0F24" w:rsidP="00E95AFC">
      <w:pPr>
        <w:pStyle w:val="Heading3"/>
        <w:spacing w:line="360" w:lineRule="auto"/>
      </w:pPr>
      <w:bookmarkStart w:id="9" w:name="_Toc39166244"/>
      <w:r w:rsidRPr="004F6549">
        <w:t>1.2.2 Social considerations</w:t>
      </w:r>
      <w:bookmarkEnd w:id="9"/>
    </w:p>
    <w:p w14:paraId="00000017" w14:textId="41EFE7AC" w:rsidR="00C65B51"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Product design:</w:t>
      </w:r>
      <w:r w:rsidRPr="004F6549">
        <w:rPr>
          <w:rFonts w:ascii="Times New Roman" w:hAnsi="Times New Roman" w:cs="Times New Roman"/>
          <w:sz w:val="24"/>
          <w:szCs w:val="24"/>
        </w:rPr>
        <w:t xml:space="preserve"> In respect to designing new financial products, different types of social risks were found in the financial industry. </w:t>
      </w:r>
      <w:r w:rsidRPr="004F6549">
        <w:rPr>
          <w:rFonts w:ascii="Times New Roman" w:hAnsi="Times New Roman" w:cs="Times New Roman"/>
          <w:b/>
          <w:i/>
          <w:sz w:val="24"/>
          <w:szCs w:val="24"/>
        </w:rPr>
        <w:t xml:space="preserve">Liability risk </w:t>
      </w:r>
      <w:r w:rsidRPr="004F6549">
        <w:rPr>
          <w:rFonts w:ascii="Times New Roman" w:hAnsi="Times New Roman" w:cs="Times New Roman"/>
          <w:sz w:val="24"/>
          <w:szCs w:val="24"/>
        </w:rPr>
        <w:t xml:space="preserve">can be contemplated as another social risk of banking sectors in terms of sustainability. In mortgage loans, the financial institutions are </w:t>
      </w:r>
      <w:r w:rsidRPr="004F6549">
        <w:rPr>
          <w:rFonts w:ascii="Times New Roman" w:hAnsi="Times New Roman" w:cs="Times New Roman"/>
          <w:sz w:val="24"/>
          <w:szCs w:val="24"/>
        </w:rPr>
        <w:lastRenderedPageBreak/>
        <w:t xml:space="preserve">responsible to take over the possession of mortgaged assets in cases of non-payment of loans. In other words, after the loan receiver became incapable of payment and installments, the bank authority would be proficient in taking </w:t>
      </w:r>
      <w:r w:rsidR="0075703F" w:rsidRPr="004F6549">
        <w:rPr>
          <w:rFonts w:ascii="Times New Roman" w:hAnsi="Times New Roman" w:cs="Times New Roman"/>
          <w:sz w:val="24"/>
          <w:szCs w:val="24"/>
        </w:rPr>
        <w:t>over the mortgage assets</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Calderon and </w:t>
      </w:r>
      <w:proofErr w:type="spellStart"/>
      <w:r w:rsidR="00F52492" w:rsidRPr="004F6549">
        <w:rPr>
          <w:rFonts w:ascii="Times New Roman" w:hAnsi="Times New Roman" w:cs="Times New Roman"/>
          <w:sz w:val="24"/>
          <w:szCs w:val="24"/>
          <w:shd w:val="clear" w:color="auto" w:fill="FFFFFF"/>
        </w:rPr>
        <w:t>Schaeck</w:t>
      </w:r>
      <w:proofErr w:type="spellEnd"/>
      <w:r w:rsidR="00F52492" w:rsidRPr="004F6549">
        <w:rPr>
          <w:rFonts w:ascii="Times New Roman" w:hAnsi="Times New Roman" w:cs="Times New Roman"/>
          <w:sz w:val="24"/>
          <w:szCs w:val="24"/>
          <w:shd w:val="clear" w:color="auto" w:fill="FFFFFF"/>
        </w:rPr>
        <w:t>, 2016</w:t>
      </w:r>
      <w:r w:rsidR="00F52492" w:rsidRPr="004F6549">
        <w:rPr>
          <w:rFonts w:ascii="Times New Roman" w:hAnsi="Times New Roman" w:cs="Times New Roman"/>
          <w:sz w:val="24"/>
          <w:szCs w:val="24"/>
        </w:rPr>
        <w:t>)</w:t>
      </w:r>
      <w:r w:rsidR="0075703F" w:rsidRPr="004F6549">
        <w:rPr>
          <w:rFonts w:ascii="Times New Roman" w:hAnsi="Times New Roman" w:cs="Times New Roman"/>
          <w:sz w:val="24"/>
          <w:szCs w:val="24"/>
        </w:rPr>
        <w:t>. However</w:t>
      </w:r>
      <w:r w:rsidRPr="004F6549">
        <w:rPr>
          <w:rFonts w:ascii="Times New Roman" w:hAnsi="Times New Roman" w:cs="Times New Roman"/>
          <w:sz w:val="24"/>
          <w:szCs w:val="24"/>
        </w:rPr>
        <w:t xml:space="preserve">, in these situations, different types of legal obligations take place. This would increase the amount of liability of the banking sector. Hence, </w:t>
      </w:r>
      <w:r w:rsidR="0075703F" w:rsidRPr="004F6549">
        <w:rPr>
          <w:rFonts w:ascii="Times New Roman" w:hAnsi="Times New Roman" w:cs="Times New Roman"/>
          <w:sz w:val="24"/>
          <w:szCs w:val="24"/>
        </w:rPr>
        <w:t>it</w:t>
      </w:r>
      <w:r w:rsidRPr="004F6549">
        <w:rPr>
          <w:rFonts w:ascii="Times New Roman" w:hAnsi="Times New Roman" w:cs="Times New Roman"/>
          <w:sz w:val="24"/>
          <w:szCs w:val="24"/>
        </w:rPr>
        <w:t xml:space="preserve"> can be regarded as a social issue regarding the achievement of sustainable market position. </w:t>
      </w:r>
      <w:r w:rsidR="0075703F" w:rsidRPr="004F6549">
        <w:rPr>
          <w:rFonts w:ascii="Times New Roman" w:hAnsi="Times New Roman" w:cs="Times New Roman"/>
          <w:sz w:val="24"/>
          <w:szCs w:val="24"/>
        </w:rPr>
        <w:t>Another party has claimed various types of obligations like the similar property</w:t>
      </w:r>
      <w:r w:rsidRPr="004F6549">
        <w:rPr>
          <w:rFonts w:ascii="Times New Roman" w:hAnsi="Times New Roman" w:cs="Times New Roman"/>
          <w:sz w:val="24"/>
          <w:szCs w:val="24"/>
        </w:rPr>
        <w:t xml:space="preserve"> and this would create the conflicts about the ownership and right on this property.</w:t>
      </w:r>
    </w:p>
    <w:p w14:paraId="1535D744" w14:textId="477DE193" w:rsidR="00B846AD" w:rsidRDefault="00587450" w:rsidP="00B846AD">
      <w:pPr>
        <w:spacing w:line="360" w:lineRule="auto"/>
        <w:jc w:val="center"/>
        <w:rPr>
          <w:rFonts w:ascii="Times New Roman" w:hAnsi="Times New Roman" w:cs="Times New Roman"/>
          <w:sz w:val="24"/>
          <w:szCs w:val="24"/>
        </w:rPr>
      </w:pPr>
      <w:r>
        <w:rPr>
          <w:noProof/>
          <w:lang w:val="en-US"/>
        </w:rPr>
        <w:drawing>
          <wp:inline distT="0" distB="0" distL="0" distR="0" wp14:anchorId="43439E17" wp14:editId="1414C275">
            <wp:extent cx="5886450" cy="3552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886450" cy="3552825"/>
                    </a:xfrm>
                    <a:prstGeom prst="rect">
                      <a:avLst/>
                    </a:prstGeom>
                  </pic:spPr>
                </pic:pic>
              </a:graphicData>
            </a:graphic>
          </wp:inline>
        </w:drawing>
      </w:r>
    </w:p>
    <w:p w14:paraId="396F949B" w14:textId="2D496684" w:rsidR="008E3E46" w:rsidRPr="008E3E46" w:rsidRDefault="008E3E46" w:rsidP="008E3E46">
      <w:pPr>
        <w:spacing w:line="360" w:lineRule="auto"/>
        <w:ind w:left="360"/>
        <w:jc w:val="center"/>
        <w:rPr>
          <w:rFonts w:ascii="Times New Roman" w:hAnsi="Times New Roman" w:cs="Times New Roman"/>
          <w:b/>
          <w:sz w:val="24"/>
          <w:szCs w:val="24"/>
        </w:rPr>
      </w:pPr>
      <w:r w:rsidRPr="00082002">
        <w:rPr>
          <w:rFonts w:ascii="Times New Roman" w:hAnsi="Times New Roman" w:cs="Times New Roman"/>
          <w:b/>
          <w:sz w:val="24"/>
          <w:szCs w:val="24"/>
        </w:rPr>
        <w:t xml:space="preserve">Figure </w:t>
      </w:r>
      <w:r>
        <w:rPr>
          <w:rFonts w:ascii="Times New Roman" w:hAnsi="Times New Roman" w:cs="Times New Roman"/>
          <w:b/>
          <w:sz w:val="24"/>
          <w:szCs w:val="24"/>
        </w:rPr>
        <w:t>4</w:t>
      </w:r>
      <w:r w:rsidRPr="00082002">
        <w:rPr>
          <w:rFonts w:ascii="Times New Roman" w:hAnsi="Times New Roman" w:cs="Times New Roman"/>
          <w:b/>
          <w:sz w:val="24"/>
          <w:szCs w:val="24"/>
        </w:rPr>
        <w:t xml:space="preserve">: </w:t>
      </w:r>
      <w:r>
        <w:rPr>
          <w:rFonts w:ascii="Times New Roman" w:hAnsi="Times New Roman" w:cs="Times New Roman"/>
          <w:b/>
          <w:sz w:val="24"/>
          <w:szCs w:val="24"/>
        </w:rPr>
        <w:t>Interest rate and trends in savings</w:t>
      </w:r>
    </w:p>
    <w:p w14:paraId="3D7F4862" w14:textId="77777777" w:rsidR="00F52492"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Mission policy:</w:t>
      </w:r>
      <w:r w:rsidRPr="004F6549">
        <w:rPr>
          <w:rFonts w:ascii="Times New Roman" w:hAnsi="Times New Roman" w:cs="Times New Roman"/>
          <w:sz w:val="24"/>
          <w:szCs w:val="24"/>
        </w:rPr>
        <w:t xml:space="preserve"> The banking sectors also face some social issues regarding the execution of business missions. Profit maximization was considered as another major </w:t>
      </w:r>
      <w:r w:rsidR="0075703F" w:rsidRPr="004F6549">
        <w:rPr>
          <w:rFonts w:ascii="Times New Roman" w:hAnsi="Times New Roman" w:cs="Times New Roman"/>
          <w:sz w:val="24"/>
          <w:szCs w:val="24"/>
        </w:rPr>
        <w:t>goal</w:t>
      </w:r>
      <w:r w:rsidRPr="004F6549">
        <w:rPr>
          <w:rFonts w:ascii="Times New Roman" w:hAnsi="Times New Roman" w:cs="Times New Roman"/>
          <w:sz w:val="24"/>
          <w:szCs w:val="24"/>
        </w:rPr>
        <w:t xml:space="preserve"> of any financial institution. Only the reduction in cash inflow cannot negatively affect the financial institutions in achieving their desired goals. However, the increment in cost structure or cash outflows with a similar volume of cash inflows would also be capable of creating a negative financial environment for financial sectors. In many cases, it was determined that, after becoming an insolvent, the general public could take help of relevant legislation and they were allowed to </w:t>
      </w:r>
      <w:r w:rsidRPr="004F6549">
        <w:rPr>
          <w:rFonts w:ascii="Times New Roman" w:hAnsi="Times New Roman" w:cs="Times New Roman"/>
          <w:sz w:val="24"/>
          <w:szCs w:val="24"/>
        </w:rPr>
        <w:lastRenderedPageBreak/>
        <w:t>resolve the loan amount with a lower payment than other usual installments</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ALENAZI and MOHMMAD,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w:t>
      </w:r>
    </w:p>
    <w:p w14:paraId="00000018" w14:textId="5708B21D"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This would bind the banking companies in accepting that little amount against a big amount of loan. In these situations, the entire amount would be considered as doubtful debt and reduce the value of organizational assets. Consequently, the amount of liability was found to be increased which decreased the profitability of financial institutions. Hence, these are contemplated as a social issue regarding the organizational missions. </w:t>
      </w:r>
    </w:p>
    <w:p w14:paraId="00000019" w14:textId="3AC6C8AC"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b/>
          <w:sz w:val="24"/>
          <w:szCs w:val="24"/>
        </w:rPr>
        <w:t xml:space="preserve">Business strategies: </w:t>
      </w:r>
      <w:r w:rsidRPr="004F6549">
        <w:rPr>
          <w:rFonts w:ascii="Times New Roman" w:hAnsi="Times New Roman" w:cs="Times New Roman"/>
          <w:sz w:val="24"/>
          <w:szCs w:val="24"/>
        </w:rPr>
        <w:t xml:space="preserve">Various monetary and non-monetary facilities were observed to be provided by the financial institutions in terms of attracting customers and expanding the client base. In many situations, it was evaluated that the banking sector was required to face the losses for introducing those schemes. At the initial stage this was considered as the promotional costs for the institutions, however after a certain level of </w:t>
      </w:r>
      <w:r w:rsidR="0075703F" w:rsidRPr="004F6549">
        <w:rPr>
          <w:rFonts w:ascii="Times New Roman" w:hAnsi="Times New Roman" w:cs="Times New Roman"/>
          <w:sz w:val="24"/>
          <w:szCs w:val="24"/>
        </w:rPr>
        <w:t>expenses, it</w:t>
      </w:r>
      <w:r w:rsidRPr="004F6549">
        <w:rPr>
          <w:rFonts w:ascii="Times New Roman" w:hAnsi="Times New Roman" w:cs="Times New Roman"/>
          <w:sz w:val="24"/>
          <w:szCs w:val="24"/>
        </w:rPr>
        <w:t xml:space="preserve"> was contemplated as a financial loss</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Bravo </w:t>
      </w:r>
      <w:r w:rsidR="00F52492" w:rsidRPr="004F6549">
        <w:rPr>
          <w:rFonts w:ascii="Times New Roman" w:hAnsi="Times New Roman" w:cs="Times New Roman"/>
          <w:i/>
          <w:sz w:val="24"/>
          <w:szCs w:val="24"/>
          <w:shd w:val="clear" w:color="auto" w:fill="FFFFFF"/>
        </w:rPr>
        <w:t>et al.</w:t>
      </w:r>
      <w:r w:rsidR="00F52492" w:rsidRPr="004F6549">
        <w:rPr>
          <w:rFonts w:ascii="Times New Roman" w:hAnsi="Times New Roman" w:cs="Times New Roman"/>
          <w:sz w:val="24"/>
          <w:szCs w:val="24"/>
          <w:shd w:val="clear" w:color="auto" w:fill="FFFFFF"/>
        </w:rPr>
        <w:t xml:space="preserve">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The cases of insolvencies and non-payment of loans result in such </w:t>
      </w:r>
      <w:proofErr w:type="gramStart"/>
      <w:r w:rsidRPr="004F6549">
        <w:rPr>
          <w:rFonts w:ascii="Times New Roman" w:hAnsi="Times New Roman" w:cs="Times New Roman"/>
          <w:sz w:val="24"/>
          <w:szCs w:val="24"/>
        </w:rPr>
        <w:t>outcomes,</w:t>
      </w:r>
      <w:proofErr w:type="gramEnd"/>
      <w:r w:rsidRPr="004F6549">
        <w:rPr>
          <w:rFonts w:ascii="Times New Roman" w:hAnsi="Times New Roman" w:cs="Times New Roman"/>
          <w:sz w:val="24"/>
          <w:szCs w:val="24"/>
        </w:rPr>
        <w:t xml:space="preserve"> hence, these are considered as the negative impacts of social factors in the business strategies of UK financial institutions. </w:t>
      </w:r>
    </w:p>
    <w:p w14:paraId="0000001A" w14:textId="77777777" w:rsidR="00C65B51" w:rsidRPr="004F6549" w:rsidRDefault="006C0F24" w:rsidP="00E95AFC">
      <w:pPr>
        <w:pStyle w:val="Heading1"/>
        <w:spacing w:line="360" w:lineRule="auto"/>
      </w:pPr>
      <w:bookmarkStart w:id="10" w:name="_Toc39166245"/>
      <w:r w:rsidRPr="004F6549">
        <w:t>2. Regulatory capital, liquidity and efficiency</w:t>
      </w:r>
      <w:bookmarkEnd w:id="10"/>
    </w:p>
    <w:p w14:paraId="0000001B" w14:textId="103CD75A"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 In order to evaluate the capital, efficiency and structure of UK banking sectors, three banking companies have been selected in this regard. Lloyds, </w:t>
      </w:r>
      <w:r w:rsidR="0075703F" w:rsidRPr="004F6549">
        <w:rPr>
          <w:rFonts w:ascii="Times New Roman" w:hAnsi="Times New Roman" w:cs="Times New Roman"/>
          <w:sz w:val="24"/>
          <w:szCs w:val="24"/>
        </w:rPr>
        <w:t>Barclays</w:t>
      </w:r>
      <w:r w:rsidRPr="004F6549">
        <w:rPr>
          <w:rFonts w:ascii="Times New Roman" w:hAnsi="Times New Roman" w:cs="Times New Roman"/>
          <w:sz w:val="24"/>
          <w:szCs w:val="24"/>
        </w:rPr>
        <w:t xml:space="preserve"> and Santander Bank have been selected to evaluate the financial strength of the overall banking industry. Among the selected brands, Lloyds and Barclays has been contemplated as two of the big four banking sectors of the United Kingdom</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Banerjee and Mio,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On the other hand, </w:t>
      </w:r>
      <w:r w:rsidR="0075703F" w:rsidRPr="004F6549">
        <w:rPr>
          <w:rFonts w:ascii="Times New Roman" w:hAnsi="Times New Roman" w:cs="Times New Roman"/>
          <w:sz w:val="24"/>
          <w:szCs w:val="24"/>
        </w:rPr>
        <w:t>Santander</w:t>
      </w:r>
      <w:r w:rsidRPr="004F6549">
        <w:rPr>
          <w:rFonts w:ascii="Times New Roman" w:hAnsi="Times New Roman" w:cs="Times New Roman"/>
          <w:sz w:val="24"/>
          <w:szCs w:val="24"/>
        </w:rPr>
        <w:t xml:space="preserve"> bank was the general banking institutions. Two types of accounting ratios have been selected for describing each financial aspect.</w:t>
      </w:r>
    </w:p>
    <w:p w14:paraId="79A6FDC8" w14:textId="77777777" w:rsidR="008B6FFF" w:rsidRDefault="008B6FFF">
      <w:pPr>
        <w:rPr>
          <w:rFonts w:ascii="Times New Roman" w:hAnsi="Times New Roman"/>
          <w:b/>
          <w:sz w:val="24"/>
          <w:szCs w:val="32"/>
        </w:rPr>
      </w:pPr>
      <w:bookmarkStart w:id="11" w:name="_Toc39166246"/>
      <w:r>
        <w:br w:type="page"/>
      </w:r>
    </w:p>
    <w:p w14:paraId="161EF586" w14:textId="77777777" w:rsidR="005B0C9D" w:rsidRDefault="005B0C9D" w:rsidP="00E95AFC">
      <w:pPr>
        <w:pStyle w:val="Heading2"/>
        <w:spacing w:line="360" w:lineRule="auto"/>
        <w:sectPr w:rsidR="005B0C9D" w:rsidSect="005240A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000001C" w14:textId="19DEDF08" w:rsidR="00C65B51" w:rsidRDefault="006C0F24" w:rsidP="00E95AFC">
      <w:pPr>
        <w:pStyle w:val="Heading2"/>
        <w:spacing w:line="360" w:lineRule="auto"/>
      </w:pPr>
      <w:r w:rsidRPr="004F6549">
        <w:lastRenderedPageBreak/>
        <w:t>2.1 Capital level</w:t>
      </w:r>
      <w:bookmarkEnd w:id="11"/>
    </w:p>
    <w:tbl>
      <w:tblPr>
        <w:tblW w:w="5000" w:type="pct"/>
        <w:tblLook w:val="04A0" w:firstRow="1" w:lastRow="0" w:firstColumn="1" w:lastColumn="0" w:noHBand="0" w:noVBand="1"/>
      </w:tblPr>
      <w:tblGrid>
        <w:gridCol w:w="681"/>
        <w:gridCol w:w="324"/>
        <w:gridCol w:w="324"/>
        <w:gridCol w:w="325"/>
        <w:gridCol w:w="324"/>
        <w:gridCol w:w="1288"/>
        <w:gridCol w:w="915"/>
        <w:gridCol w:w="221"/>
        <w:gridCol w:w="682"/>
        <w:gridCol w:w="329"/>
        <w:gridCol w:w="323"/>
        <w:gridCol w:w="323"/>
        <w:gridCol w:w="323"/>
        <w:gridCol w:w="1474"/>
        <w:gridCol w:w="915"/>
        <w:gridCol w:w="221"/>
        <w:gridCol w:w="682"/>
        <w:gridCol w:w="325"/>
        <w:gridCol w:w="325"/>
        <w:gridCol w:w="325"/>
        <w:gridCol w:w="324"/>
        <w:gridCol w:w="1288"/>
        <w:gridCol w:w="915"/>
      </w:tblGrid>
      <w:tr w:rsidR="008B6FFF" w:rsidRPr="00FF6AFF" w14:paraId="44905AED" w14:textId="77777777" w:rsidTr="008B6FFF">
        <w:trPr>
          <w:trHeight w:val="300"/>
        </w:trPr>
        <w:tc>
          <w:tcPr>
            <w:tcW w:w="1600"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104C6A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Lloyds Bank</w:t>
            </w:r>
          </w:p>
        </w:tc>
        <w:tc>
          <w:tcPr>
            <w:tcW w:w="93" w:type="pct"/>
            <w:tcBorders>
              <w:top w:val="nil"/>
              <w:left w:val="nil"/>
              <w:bottom w:val="nil"/>
              <w:right w:val="nil"/>
            </w:tcBorders>
            <w:shd w:val="clear" w:color="auto" w:fill="auto"/>
            <w:noWrap/>
            <w:vAlign w:val="bottom"/>
            <w:hideMark/>
          </w:tcPr>
          <w:p w14:paraId="0F45403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39"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EBD787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Barclay Bank</w:t>
            </w:r>
          </w:p>
        </w:tc>
        <w:tc>
          <w:tcPr>
            <w:tcW w:w="69" w:type="pct"/>
            <w:tcBorders>
              <w:top w:val="nil"/>
              <w:left w:val="nil"/>
              <w:bottom w:val="nil"/>
              <w:right w:val="nil"/>
            </w:tcBorders>
            <w:shd w:val="clear" w:color="auto" w:fill="auto"/>
            <w:noWrap/>
            <w:vAlign w:val="bottom"/>
            <w:hideMark/>
          </w:tcPr>
          <w:p w14:paraId="75C42C9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0"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1EEE33D"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Santander Bank</w:t>
            </w:r>
          </w:p>
        </w:tc>
      </w:tr>
      <w:tr w:rsidR="008B6FFF" w:rsidRPr="00FF6AFF" w14:paraId="09DC598F" w14:textId="77777777" w:rsidTr="008B6FFF">
        <w:trPr>
          <w:trHeight w:val="165"/>
        </w:trPr>
        <w:tc>
          <w:tcPr>
            <w:tcW w:w="268" w:type="pct"/>
            <w:tcBorders>
              <w:top w:val="nil"/>
              <w:left w:val="single" w:sz="8" w:space="0" w:color="auto"/>
              <w:bottom w:val="nil"/>
              <w:right w:val="nil"/>
            </w:tcBorders>
            <w:shd w:val="clear" w:color="auto" w:fill="auto"/>
            <w:noWrap/>
            <w:vAlign w:val="bottom"/>
            <w:hideMark/>
          </w:tcPr>
          <w:p w14:paraId="70FCFFA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0" w:type="pct"/>
            <w:tcBorders>
              <w:top w:val="nil"/>
              <w:left w:val="nil"/>
              <w:bottom w:val="nil"/>
              <w:right w:val="nil"/>
            </w:tcBorders>
            <w:shd w:val="clear" w:color="auto" w:fill="auto"/>
            <w:noWrap/>
            <w:vAlign w:val="bottom"/>
            <w:hideMark/>
          </w:tcPr>
          <w:p w14:paraId="34E98EE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7F1CF6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15230BB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7C8580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54" w:type="pct"/>
            <w:tcBorders>
              <w:top w:val="nil"/>
              <w:left w:val="nil"/>
              <w:bottom w:val="nil"/>
              <w:right w:val="nil"/>
            </w:tcBorders>
            <w:shd w:val="clear" w:color="auto" w:fill="auto"/>
            <w:noWrap/>
            <w:vAlign w:val="bottom"/>
            <w:hideMark/>
          </w:tcPr>
          <w:p w14:paraId="28B1458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38" w:type="pct"/>
            <w:tcBorders>
              <w:top w:val="nil"/>
              <w:left w:val="nil"/>
              <w:bottom w:val="nil"/>
              <w:right w:val="single" w:sz="8" w:space="0" w:color="auto"/>
            </w:tcBorders>
            <w:shd w:val="clear" w:color="auto" w:fill="auto"/>
            <w:noWrap/>
            <w:vAlign w:val="bottom"/>
            <w:hideMark/>
          </w:tcPr>
          <w:p w14:paraId="33C4C56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93" w:type="pct"/>
            <w:tcBorders>
              <w:top w:val="nil"/>
              <w:left w:val="nil"/>
              <w:bottom w:val="nil"/>
              <w:right w:val="nil"/>
            </w:tcBorders>
            <w:shd w:val="clear" w:color="auto" w:fill="auto"/>
            <w:noWrap/>
            <w:vAlign w:val="bottom"/>
            <w:hideMark/>
          </w:tcPr>
          <w:p w14:paraId="1ED4C75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tcBorders>
              <w:top w:val="nil"/>
              <w:left w:val="single" w:sz="8" w:space="0" w:color="auto"/>
              <w:bottom w:val="nil"/>
              <w:right w:val="nil"/>
            </w:tcBorders>
            <w:shd w:val="clear" w:color="auto" w:fill="auto"/>
            <w:noWrap/>
            <w:vAlign w:val="bottom"/>
            <w:hideMark/>
          </w:tcPr>
          <w:p w14:paraId="63F0622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1" w:type="pct"/>
            <w:tcBorders>
              <w:top w:val="nil"/>
              <w:left w:val="nil"/>
              <w:bottom w:val="nil"/>
              <w:right w:val="nil"/>
            </w:tcBorders>
            <w:shd w:val="clear" w:color="auto" w:fill="auto"/>
            <w:noWrap/>
            <w:vAlign w:val="bottom"/>
            <w:hideMark/>
          </w:tcPr>
          <w:p w14:paraId="17F203D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3A8A96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71CD5FB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6EDE945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20" w:type="pct"/>
            <w:tcBorders>
              <w:top w:val="nil"/>
              <w:left w:val="nil"/>
              <w:bottom w:val="nil"/>
              <w:right w:val="nil"/>
            </w:tcBorders>
            <w:shd w:val="clear" w:color="auto" w:fill="auto"/>
            <w:noWrap/>
            <w:vAlign w:val="bottom"/>
            <w:hideMark/>
          </w:tcPr>
          <w:p w14:paraId="6BEF02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21" w:type="pct"/>
            <w:tcBorders>
              <w:top w:val="nil"/>
              <w:left w:val="nil"/>
              <w:bottom w:val="nil"/>
              <w:right w:val="single" w:sz="8" w:space="0" w:color="auto"/>
            </w:tcBorders>
            <w:shd w:val="clear" w:color="auto" w:fill="auto"/>
            <w:noWrap/>
            <w:vAlign w:val="bottom"/>
            <w:hideMark/>
          </w:tcPr>
          <w:p w14:paraId="4B2EFBE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9" w:type="pct"/>
            <w:tcBorders>
              <w:top w:val="nil"/>
              <w:left w:val="nil"/>
              <w:bottom w:val="nil"/>
              <w:right w:val="nil"/>
            </w:tcBorders>
            <w:shd w:val="clear" w:color="auto" w:fill="auto"/>
            <w:noWrap/>
            <w:vAlign w:val="bottom"/>
            <w:hideMark/>
          </w:tcPr>
          <w:p w14:paraId="648289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tcBorders>
              <w:top w:val="nil"/>
              <w:left w:val="single" w:sz="8" w:space="0" w:color="auto"/>
              <w:bottom w:val="nil"/>
              <w:right w:val="nil"/>
            </w:tcBorders>
            <w:shd w:val="clear" w:color="auto" w:fill="auto"/>
            <w:noWrap/>
            <w:vAlign w:val="bottom"/>
            <w:hideMark/>
          </w:tcPr>
          <w:p w14:paraId="7EE3249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0" w:type="pct"/>
            <w:tcBorders>
              <w:top w:val="nil"/>
              <w:left w:val="nil"/>
              <w:bottom w:val="nil"/>
              <w:right w:val="nil"/>
            </w:tcBorders>
            <w:shd w:val="clear" w:color="auto" w:fill="auto"/>
            <w:noWrap/>
            <w:vAlign w:val="bottom"/>
            <w:hideMark/>
          </w:tcPr>
          <w:p w14:paraId="6AFF63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62A5DE6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1051471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19222AD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54" w:type="pct"/>
            <w:tcBorders>
              <w:top w:val="nil"/>
              <w:left w:val="nil"/>
              <w:bottom w:val="nil"/>
              <w:right w:val="nil"/>
            </w:tcBorders>
            <w:shd w:val="clear" w:color="auto" w:fill="auto"/>
            <w:noWrap/>
            <w:vAlign w:val="bottom"/>
            <w:hideMark/>
          </w:tcPr>
          <w:p w14:paraId="4ED2EF0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38" w:type="pct"/>
            <w:tcBorders>
              <w:top w:val="nil"/>
              <w:left w:val="nil"/>
              <w:bottom w:val="nil"/>
              <w:right w:val="single" w:sz="8" w:space="0" w:color="auto"/>
            </w:tcBorders>
            <w:shd w:val="clear" w:color="auto" w:fill="auto"/>
            <w:noWrap/>
            <w:vAlign w:val="bottom"/>
            <w:hideMark/>
          </w:tcPr>
          <w:p w14:paraId="0D2970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7371E146" w14:textId="77777777" w:rsidTr="008B6FFF">
        <w:trPr>
          <w:trHeight w:val="300"/>
        </w:trPr>
        <w:tc>
          <w:tcPr>
            <w:tcW w:w="16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564730D"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Equity ratio</w:t>
            </w:r>
          </w:p>
        </w:tc>
        <w:tc>
          <w:tcPr>
            <w:tcW w:w="93" w:type="pct"/>
            <w:tcBorders>
              <w:top w:val="nil"/>
              <w:left w:val="nil"/>
              <w:bottom w:val="nil"/>
              <w:right w:val="nil"/>
            </w:tcBorders>
            <w:shd w:val="clear" w:color="auto" w:fill="auto"/>
            <w:noWrap/>
            <w:vAlign w:val="bottom"/>
            <w:hideMark/>
          </w:tcPr>
          <w:p w14:paraId="599EAB1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39"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3716646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Equity ratio</w:t>
            </w:r>
          </w:p>
        </w:tc>
        <w:tc>
          <w:tcPr>
            <w:tcW w:w="69" w:type="pct"/>
            <w:tcBorders>
              <w:top w:val="nil"/>
              <w:left w:val="nil"/>
              <w:bottom w:val="nil"/>
              <w:right w:val="nil"/>
            </w:tcBorders>
            <w:shd w:val="clear" w:color="auto" w:fill="auto"/>
            <w:noWrap/>
            <w:vAlign w:val="bottom"/>
            <w:hideMark/>
          </w:tcPr>
          <w:p w14:paraId="71159A9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4D8FD1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Equity ratio</w:t>
            </w:r>
          </w:p>
        </w:tc>
      </w:tr>
      <w:tr w:rsidR="008B6FFF" w:rsidRPr="00FF6AFF" w14:paraId="0488005D" w14:textId="77777777" w:rsidTr="008B6FFF">
        <w:trPr>
          <w:trHeight w:val="300"/>
        </w:trPr>
        <w:tc>
          <w:tcPr>
            <w:tcW w:w="268" w:type="pct"/>
            <w:tcBorders>
              <w:top w:val="nil"/>
              <w:left w:val="single" w:sz="8" w:space="0" w:color="auto"/>
              <w:bottom w:val="single" w:sz="4" w:space="0" w:color="auto"/>
              <w:right w:val="single" w:sz="4" w:space="0" w:color="auto"/>
            </w:tcBorders>
            <w:shd w:val="clear" w:color="auto" w:fill="auto"/>
            <w:noWrap/>
            <w:vAlign w:val="center"/>
            <w:hideMark/>
          </w:tcPr>
          <w:p w14:paraId="72DC21A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0204F5B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54" w:type="pct"/>
            <w:tcBorders>
              <w:top w:val="nil"/>
              <w:left w:val="nil"/>
              <w:bottom w:val="single" w:sz="4" w:space="0" w:color="auto"/>
              <w:right w:val="single" w:sz="4" w:space="0" w:color="auto"/>
            </w:tcBorders>
            <w:shd w:val="clear" w:color="auto" w:fill="auto"/>
            <w:noWrap/>
            <w:vAlign w:val="center"/>
            <w:hideMark/>
          </w:tcPr>
          <w:p w14:paraId="1354324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38" w:type="pct"/>
            <w:tcBorders>
              <w:top w:val="nil"/>
              <w:left w:val="nil"/>
              <w:bottom w:val="single" w:sz="4" w:space="0" w:color="auto"/>
              <w:right w:val="single" w:sz="8" w:space="0" w:color="auto"/>
            </w:tcBorders>
            <w:shd w:val="clear" w:color="auto" w:fill="auto"/>
            <w:noWrap/>
            <w:vAlign w:val="center"/>
            <w:hideMark/>
          </w:tcPr>
          <w:p w14:paraId="201A50E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93" w:type="pct"/>
            <w:tcBorders>
              <w:top w:val="nil"/>
              <w:left w:val="nil"/>
              <w:bottom w:val="nil"/>
              <w:right w:val="nil"/>
            </w:tcBorders>
            <w:shd w:val="clear" w:color="auto" w:fill="auto"/>
            <w:noWrap/>
            <w:vAlign w:val="bottom"/>
            <w:hideMark/>
          </w:tcPr>
          <w:p w14:paraId="2C9E566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tcBorders>
              <w:top w:val="nil"/>
              <w:left w:val="single" w:sz="8" w:space="0" w:color="auto"/>
              <w:bottom w:val="single" w:sz="4" w:space="0" w:color="auto"/>
              <w:right w:val="single" w:sz="4" w:space="0" w:color="auto"/>
            </w:tcBorders>
            <w:shd w:val="clear" w:color="auto" w:fill="auto"/>
            <w:noWrap/>
            <w:vAlign w:val="center"/>
            <w:hideMark/>
          </w:tcPr>
          <w:p w14:paraId="5164A46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1D02C84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720" w:type="pct"/>
            <w:tcBorders>
              <w:top w:val="nil"/>
              <w:left w:val="nil"/>
              <w:bottom w:val="single" w:sz="4" w:space="0" w:color="auto"/>
              <w:right w:val="single" w:sz="4" w:space="0" w:color="auto"/>
            </w:tcBorders>
            <w:shd w:val="clear" w:color="auto" w:fill="auto"/>
            <w:noWrap/>
            <w:vAlign w:val="center"/>
            <w:hideMark/>
          </w:tcPr>
          <w:p w14:paraId="0EC8FCC5"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21" w:type="pct"/>
            <w:tcBorders>
              <w:top w:val="nil"/>
              <w:left w:val="nil"/>
              <w:bottom w:val="single" w:sz="4" w:space="0" w:color="auto"/>
              <w:right w:val="single" w:sz="8" w:space="0" w:color="auto"/>
            </w:tcBorders>
            <w:shd w:val="clear" w:color="auto" w:fill="auto"/>
            <w:noWrap/>
            <w:vAlign w:val="center"/>
            <w:hideMark/>
          </w:tcPr>
          <w:p w14:paraId="4F95C9E9"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69" w:type="pct"/>
            <w:tcBorders>
              <w:top w:val="nil"/>
              <w:left w:val="nil"/>
              <w:bottom w:val="nil"/>
              <w:right w:val="nil"/>
            </w:tcBorders>
            <w:shd w:val="clear" w:color="auto" w:fill="auto"/>
            <w:noWrap/>
            <w:vAlign w:val="bottom"/>
            <w:hideMark/>
          </w:tcPr>
          <w:p w14:paraId="406FE04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tcBorders>
              <w:top w:val="nil"/>
              <w:left w:val="single" w:sz="8" w:space="0" w:color="auto"/>
              <w:bottom w:val="single" w:sz="4" w:space="0" w:color="auto"/>
              <w:right w:val="single" w:sz="4" w:space="0" w:color="auto"/>
            </w:tcBorders>
            <w:shd w:val="clear" w:color="auto" w:fill="auto"/>
            <w:noWrap/>
            <w:vAlign w:val="center"/>
            <w:hideMark/>
          </w:tcPr>
          <w:p w14:paraId="1EFB446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287C09F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54" w:type="pct"/>
            <w:tcBorders>
              <w:top w:val="nil"/>
              <w:left w:val="nil"/>
              <w:bottom w:val="single" w:sz="4" w:space="0" w:color="auto"/>
              <w:right w:val="single" w:sz="4" w:space="0" w:color="auto"/>
            </w:tcBorders>
            <w:shd w:val="clear" w:color="auto" w:fill="auto"/>
            <w:noWrap/>
            <w:vAlign w:val="center"/>
            <w:hideMark/>
          </w:tcPr>
          <w:p w14:paraId="399848A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38" w:type="pct"/>
            <w:tcBorders>
              <w:top w:val="nil"/>
              <w:left w:val="nil"/>
              <w:bottom w:val="single" w:sz="4" w:space="0" w:color="auto"/>
              <w:right w:val="single" w:sz="8" w:space="0" w:color="auto"/>
            </w:tcBorders>
            <w:shd w:val="clear" w:color="auto" w:fill="auto"/>
            <w:noWrap/>
            <w:vAlign w:val="center"/>
            <w:hideMark/>
          </w:tcPr>
          <w:p w14:paraId="2228711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600B3F31"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082A44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5EE6513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44C5FDF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47,603.00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AAC26B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0.057085</w:t>
            </w:r>
          </w:p>
        </w:tc>
        <w:tc>
          <w:tcPr>
            <w:tcW w:w="93" w:type="pct"/>
            <w:tcBorders>
              <w:top w:val="nil"/>
              <w:left w:val="nil"/>
              <w:bottom w:val="nil"/>
              <w:right w:val="nil"/>
            </w:tcBorders>
            <w:shd w:val="clear" w:color="auto" w:fill="auto"/>
            <w:noWrap/>
            <w:vAlign w:val="bottom"/>
            <w:hideMark/>
          </w:tcPr>
          <w:p w14:paraId="3957549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653F6C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E2FCBD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4AAB1DB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64,429.00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19FDAF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0.056505</w:t>
            </w:r>
          </w:p>
        </w:tc>
        <w:tc>
          <w:tcPr>
            <w:tcW w:w="69" w:type="pct"/>
            <w:tcBorders>
              <w:top w:val="nil"/>
              <w:left w:val="nil"/>
              <w:bottom w:val="nil"/>
              <w:right w:val="nil"/>
            </w:tcBorders>
            <w:shd w:val="clear" w:color="auto" w:fill="auto"/>
            <w:noWrap/>
            <w:vAlign w:val="bottom"/>
            <w:hideMark/>
          </w:tcPr>
          <w:p w14:paraId="0C9EDA6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52DFB4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00EE7A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26D8F4D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25,492.00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C359E6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0.121694</w:t>
            </w:r>
          </w:p>
        </w:tc>
      </w:tr>
      <w:tr w:rsidR="008B6FFF" w:rsidRPr="00FF6AFF" w14:paraId="42F4A1F8"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2A84303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C3A79A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5A5A0D6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833,893.00 </w:t>
            </w:r>
          </w:p>
        </w:tc>
        <w:tc>
          <w:tcPr>
            <w:tcW w:w="438" w:type="pct"/>
            <w:vMerge/>
            <w:tcBorders>
              <w:top w:val="nil"/>
              <w:left w:val="single" w:sz="4" w:space="0" w:color="auto"/>
              <w:bottom w:val="single" w:sz="4" w:space="0" w:color="auto"/>
              <w:right w:val="single" w:sz="8" w:space="0" w:color="auto"/>
            </w:tcBorders>
            <w:vAlign w:val="center"/>
            <w:hideMark/>
          </w:tcPr>
          <w:p w14:paraId="4BC10D6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482CBC6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7743AE6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A86851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720" w:type="pct"/>
            <w:tcBorders>
              <w:top w:val="nil"/>
              <w:left w:val="nil"/>
              <w:bottom w:val="single" w:sz="4" w:space="0" w:color="auto"/>
              <w:right w:val="single" w:sz="4" w:space="0" w:color="auto"/>
            </w:tcBorders>
            <w:shd w:val="clear" w:color="auto" w:fill="auto"/>
            <w:noWrap/>
            <w:vAlign w:val="bottom"/>
            <w:hideMark/>
          </w:tcPr>
          <w:p w14:paraId="15AD0EA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1,140,229.00 </w:t>
            </w:r>
          </w:p>
        </w:tc>
        <w:tc>
          <w:tcPr>
            <w:tcW w:w="421" w:type="pct"/>
            <w:vMerge/>
            <w:tcBorders>
              <w:top w:val="nil"/>
              <w:left w:val="single" w:sz="4" w:space="0" w:color="auto"/>
              <w:bottom w:val="single" w:sz="4" w:space="0" w:color="auto"/>
              <w:right w:val="single" w:sz="8" w:space="0" w:color="auto"/>
            </w:tcBorders>
            <w:vAlign w:val="center"/>
            <w:hideMark/>
          </w:tcPr>
          <w:p w14:paraId="2B17551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392901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752A1A7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B45C76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6EFEBC2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209,476.00 </w:t>
            </w:r>
          </w:p>
        </w:tc>
        <w:tc>
          <w:tcPr>
            <w:tcW w:w="438" w:type="pct"/>
            <w:vMerge/>
            <w:tcBorders>
              <w:top w:val="nil"/>
              <w:left w:val="single" w:sz="4" w:space="0" w:color="auto"/>
              <w:bottom w:val="single" w:sz="4" w:space="0" w:color="auto"/>
              <w:right w:val="single" w:sz="8" w:space="0" w:color="auto"/>
            </w:tcBorders>
            <w:vAlign w:val="center"/>
            <w:hideMark/>
          </w:tcPr>
          <w:p w14:paraId="3D856EB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1F383727"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DF671D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27B5C7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4198178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49,925.00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2CA7F8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0.062594</w:t>
            </w:r>
          </w:p>
        </w:tc>
        <w:tc>
          <w:tcPr>
            <w:tcW w:w="93" w:type="pct"/>
            <w:tcBorders>
              <w:top w:val="nil"/>
              <w:left w:val="nil"/>
              <w:bottom w:val="nil"/>
              <w:right w:val="nil"/>
            </w:tcBorders>
            <w:shd w:val="clear" w:color="auto" w:fill="auto"/>
            <w:noWrap/>
            <w:vAlign w:val="bottom"/>
            <w:hideMark/>
          </w:tcPr>
          <w:p w14:paraId="2D8AA1A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A684E1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E88078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539634C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62,556.00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47311C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0.055199</w:t>
            </w:r>
          </w:p>
        </w:tc>
        <w:tc>
          <w:tcPr>
            <w:tcW w:w="69" w:type="pct"/>
            <w:tcBorders>
              <w:top w:val="nil"/>
              <w:left w:val="nil"/>
              <w:bottom w:val="nil"/>
              <w:right w:val="nil"/>
            </w:tcBorders>
            <w:shd w:val="clear" w:color="auto" w:fill="auto"/>
            <w:noWrap/>
            <w:vAlign w:val="bottom"/>
            <w:hideMark/>
          </w:tcPr>
          <w:p w14:paraId="0D7ED41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59A6DE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077666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1FA040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25,104.00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1D0B83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0.121952</w:t>
            </w:r>
          </w:p>
        </w:tc>
      </w:tr>
      <w:tr w:rsidR="008B6FFF" w:rsidRPr="00FF6AFF" w14:paraId="5EF9957E"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4AA8A1D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255AAA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6B813BB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797,598.00 </w:t>
            </w:r>
          </w:p>
        </w:tc>
        <w:tc>
          <w:tcPr>
            <w:tcW w:w="438" w:type="pct"/>
            <w:vMerge/>
            <w:tcBorders>
              <w:top w:val="nil"/>
              <w:left w:val="single" w:sz="4" w:space="0" w:color="auto"/>
              <w:bottom w:val="single" w:sz="4" w:space="0" w:color="auto"/>
              <w:right w:val="single" w:sz="8" w:space="0" w:color="auto"/>
            </w:tcBorders>
            <w:vAlign w:val="center"/>
            <w:hideMark/>
          </w:tcPr>
          <w:p w14:paraId="57DD7E6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6748016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506B86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81A205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720" w:type="pct"/>
            <w:tcBorders>
              <w:top w:val="nil"/>
              <w:left w:val="nil"/>
              <w:bottom w:val="single" w:sz="4" w:space="0" w:color="auto"/>
              <w:right w:val="single" w:sz="4" w:space="0" w:color="auto"/>
            </w:tcBorders>
            <w:shd w:val="clear" w:color="auto" w:fill="auto"/>
            <w:noWrap/>
            <w:vAlign w:val="bottom"/>
            <w:hideMark/>
          </w:tcPr>
          <w:p w14:paraId="2D56A73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1,133,283.00 </w:t>
            </w:r>
          </w:p>
        </w:tc>
        <w:tc>
          <w:tcPr>
            <w:tcW w:w="421" w:type="pct"/>
            <w:vMerge/>
            <w:tcBorders>
              <w:top w:val="nil"/>
              <w:left w:val="single" w:sz="4" w:space="0" w:color="auto"/>
              <w:bottom w:val="single" w:sz="4" w:space="0" w:color="auto"/>
              <w:right w:val="single" w:sz="8" w:space="0" w:color="auto"/>
            </w:tcBorders>
            <w:vAlign w:val="center"/>
            <w:hideMark/>
          </w:tcPr>
          <w:p w14:paraId="705A5A2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55423EB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696D190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966B30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13EF13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205,852.00 </w:t>
            </w:r>
          </w:p>
        </w:tc>
        <w:tc>
          <w:tcPr>
            <w:tcW w:w="438" w:type="pct"/>
            <w:vMerge/>
            <w:tcBorders>
              <w:top w:val="nil"/>
              <w:left w:val="single" w:sz="4" w:space="0" w:color="auto"/>
              <w:bottom w:val="single" w:sz="4" w:space="0" w:color="auto"/>
              <w:right w:val="single" w:sz="8" w:space="0" w:color="auto"/>
            </w:tcBorders>
            <w:vAlign w:val="center"/>
            <w:hideMark/>
          </w:tcPr>
          <w:p w14:paraId="55C418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A7A7C8C"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7E8F51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F103A6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1C9DEF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48,906.00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1F5A4F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0.060221</w:t>
            </w:r>
          </w:p>
        </w:tc>
        <w:tc>
          <w:tcPr>
            <w:tcW w:w="93" w:type="pct"/>
            <w:tcBorders>
              <w:top w:val="nil"/>
              <w:left w:val="nil"/>
              <w:bottom w:val="nil"/>
              <w:right w:val="nil"/>
            </w:tcBorders>
            <w:shd w:val="clear" w:color="auto" w:fill="auto"/>
            <w:noWrap/>
            <w:vAlign w:val="bottom"/>
            <w:hideMark/>
          </w:tcPr>
          <w:p w14:paraId="77C6AF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C48F4E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5E855E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2D344EC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63,905.00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ABF8D5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0.056391</w:t>
            </w:r>
          </w:p>
        </w:tc>
        <w:tc>
          <w:tcPr>
            <w:tcW w:w="69" w:type="pct"/>
            <w:tcBorders>
              <w:top w:val="nil"/>
              <w:left w:val="nil"/>
              <w:bottom w:val="nil"/>
              <w:right w:val="nil"/>
            </w:tcBorders>
            <w:shd w:val="clear" w:color="auto" w:fill="auto"/>
            <w:noWrap/>
            <w:vAlign w:val="bottom"/>
            <w:hideMark/>
          </w:tcPr>
          <w:p w14:paraId="319E73B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6CADC6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F76EF0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20BBD60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21,907.00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10F7EA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0.143489</w:t>
            </w:r>
          </w:p>
        </w:tc>
      </w:tr>
      <w:tr w:rsidR="008B6FFF" w:rsidRPr="00FF6AFF" w14:paraId="13594B74"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3808E35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805A02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1ADE9A9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812,109.00 </w:t>
            </w:r>
          </w:p>
        </w:tc>
        <w:tc>
          <w:tcPr>
            <w:tcW w:w="438" w:type="pct"/>
            <w:vMerge/>
            <w:tcBorders>
              <w:top w:val="nil"/>
              <w:left w:val="single" w:sz="4" w:space="0" w:color="auto"/>
              <w:bottom w:val="single" w:sz="4" w:space="0" w:color="auto"/>
              <w:right w:val="single" w:sz="8" w:space="0" w:color="auto"/>
            </w:tcBorders>
            <w:vAlign w:val="center"/>
            <w:hideMark/>
          </w:tcPr>
          <w:p w14:paraId="68DD6E3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11D937C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553C947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017AF2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720" w:type="pct"/>
            <w:tcBorders>
              <w:top w:val="nil"/>
              <w:left w:val="nil"/>
              <w:bottom w:val="single" w:sz="4" w:space="0" w:color="auto"/>
              <w:right w:val="single" w:sz="4" w:space="0" w:color="auto"/>
            </w:tcBorders>
            <w:shd w:val="clear" w:color="auto" w:fill="auto"/>
            <w:noWrap/>
            <w:vAlign w:val="bottom"/>
            <w:hideMark/>
          </w:tcPr>
          <w:p w14:paraId="77A67D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1,133,248.00 </w:t>
            </w:r>
          </w:p>
        </w:tc>
        <w:tc>
          <w:tcPr>
            <w:tcW w:w="421" w:type="pct"/>
            <w:vMerge/>
            <w:tcBorders>
              <w:top w:val="nil"/>
              <w:left w:val="single" w:sz="4" w:space="0" w:color="auto"/>
              <w:bottom w:val="single" w:sz="4" w:space="0" w:color="auto"/>
              <w:right w:val="single" w:sz="8" w:space="0" w:color="auto"/>
            </w:tcBorders>
            <w:vAlign w:val="center"/>
            <w:hideMark/>
          </w:tcPr>
          <w:p w14:paraId="492587E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3FDC48D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00E4483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50B3181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01B0B18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152,674.00 </w:t>
            </w:r>
          </w:p>
        </w:tc>
        <w:tc>
          <w:tcPr>
            <w:tcW w:w="438" w:type="pct"/>
            <w:vMerge/>
            <w:tcBorders>
              <w:top w:val="nil"/>
              <w:left w:val="single" w:sz="4" w:space="0" w:color="auto"/>
              <w:bottom w:val="single" w:sz="4" w:space="0" w:color="auto"/>
              <w:right w:val="single" w:sz="8" w:space="0" w:color="auto"/>
            </w:tcBorders>
            <w:vAlign w:val="center"/>
            <w:hideMark/>
          </w:tcPr>
          <w:p w14:paraId="7296842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6CD0D05A"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3B065D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140255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14E4C5C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48,025.00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784615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0.058725</w:t>
            </w:r>
          </w:p>
        </w:tc>
        <w:tc>
          <w:tcPr>
            <w:tcW w:w="93" w:type="pct"/>
            <w:tcBorders>
              <w:top w:val="nil"/>
              <w:left w:val="nil"/>
              <w:bottom w:val="nil"/>
              <w:right w:val="nil"/>
            </w:tcBorders>
            <w:shd w:val="clear" w:color="auto" w:fill="auto"/>
            <w:noWrap/>
            <w:vAlign w:val="bottom"/>
            <w:hideMark/>
          </w:tcPr>
          <w:p w14:paraId="1C96801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4BBABE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EBECD6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38DB53D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64,873.00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12C545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0.053476</w:t>
            </w:r>
          </w:p>
        </w:tc>
        <w:tc>
          <w:tcPr>
            <w:tcW w:w="69" w:type="pct"/>
            <w:tcBorders>
              <w:top w:val="nil"/>
              <w:left w:val="nil"/>
              <w:bottom w:val="nil"/>
              <w:right w:val="nil"/>
            </w:tcBorders>
            <w:shd w:val="clear" w:color="auto" w:fill="auto"/>
            <w:noWrap/>
            <w:vAlign w:val="bottom"/>
            <w:hideMark/>
          </w:tcPr>
          <w:p w14:paraId="2CAD7E4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6D150D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718128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718C135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19,781.00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5CE0CE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0.131786</w:t>
            </w:r>
          </w:p>
        </w:tc>
      </w:tr>
      <w:tr w:rsidR="008B6FFF" w:rsidRPr="00FF6AFF" w14:paraId="6DBD699C"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21D60AE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B6C08B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6A97506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817,793.00 </w:t>
            </w:r>
          </w:p>
        </w:tc>
        <w:tc>
          <w:tcPr>
            <w:tcW w:w="438" w:type="pct"/>
            <w:vMerge/>
            <w:tcBorders>
              <w:top w:val="nil"/>
              <w:left w:val="single" w:sz="4" w:space="0" w:color="auto"/>
              <w:bottom w:val="single" w:sz="4" w:space="0" w:color="auto"/>
              <w:right w:val="single" w:sz="8" w:space="0" w:color="auto"/>
            </w:tcBorders>
            <w:vAlign w:val="center"/>
            <w:hideMark/>
          </w:tcPr>
          <w:p w14:paraId="49F4B69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4C0EA98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6989BF7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482E68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720" w:type="pct"/>
            <w:tcBorders>
              <w:top w:val="nil"/>
              <w:left w:val="nil"/>
              <w:bottom w:val="single" w:sz="4" w:space="0" w:color="auto"/>
              <w:right w:val="single" w:sz="4" w:space="0" w:color="auto"/>
            </w:tcBorders>
            <w:shd w:val="clear" w:color="auto" w:fill="auto"/>
            <w:noWrap/>
            <w:vAlign w:val="bottom"/>
            <w:hideMark/>
          </w:tcPr>
          <w:p w14:paraId="0CD2F95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1,213,126.00 </w:t>
            </w:r>
          </w:p>
        </w:tc>
        <w:tc>
          <w:tcPr>
            <w:tcW w:w="421" w:type="pct"/>
            <w:vMerge/>
            <w:tcBorders>
              <w:top w:val="nil"/>
              <w:left w:val="single" w:sz="4" w:space="0" w:color="auto"/>
              <w:bottom w:val="single" w:sz="4" w:space="0" w:color="auto"/>
              <w:right w:val="single" w:sz="8" w:space="0" w:color="auto"/>
            </w:tcBorders>
            <w:vAlign w:val="center"/>
            <w:hideMark/>
          </w:tcPr>
          <w:p w14:paraId="14B4B48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737EA02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5BD2840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61F0F2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6096120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150,099.00 </w:t>
            </w:r>
          </w:p>
        </w:tc>
        <w:tc>
          <w:tcPr>
            <w:tcW w:w="438" w:type="pct"/>
            <w:vMerge/>
            <w:tcBorders>
              <w:top w:val="nil"/>
              <w:left w:val="single" w:sz="4" w:space="0" w:color="auto"/>
              <w:bottom w:val="single" w:sz="4" w:space="0" w:color="auto"/>
              <w:right w:val="single" w:sz="8" w:space="0" w:color="auto"/>
            </w:tcBorders>
            <w:vAlign w:val="center"/>
            <w:hideMark/>
          </w:tcPr>
          <w:p w14:paraId="783D965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405384EB"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68975F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2804F8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7F7838C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45,254.00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227D7E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0.056672</w:t>
            </w:r>
          </w:p>
        </w:tc>
        <w:tc>
          <w:tcPr>
            <w:tcW w:w="93" w:type="pct"/>
            <w:tcBorders>
              <w:top w:val="nil"/>
              <w:left w:val="nil"/>
              <w:bottom w:val="nil"/>
              <w:right w:val="nil"/>
            </w:tcBorders>
            <w:shd w:val="clear" w:color="auto" w:fill="auto"/>
            <w:noWrap/>
            <w:vAlign w:val="bottom"/>
            <w:hideMark/>
          </w:tcPr>
          <w:p w14:paraId="0D91B0A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931B47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2E4A72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48EE257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63,256.00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31F2D9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0.056295</w:t>
            </w:r>
          </w:p>
        </w:tc>
        <w:tc>
          <w:tcPr>
            <w:tcW w:w="69" w:type="pct"/>
            <w:tcBorders>
              <w:top w:val="nil"/>
              <w:left w:val="nil"/>
              <w:bottom w:val="nil"/>
              <w:right w:val="nil"/>
            </w:tcBorders>
            <w:shd w:val="clear" w:color="auto" w:fill="auto"/>
            <w:noWrap/>
            <w:vAlign w:val="bottom"/>
            <w:hideMark/>
          </w:tcPr>
          <w:p w14:paraId="0E2546B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7167EF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511DB8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5920291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18,650.00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1D5C0D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0.124666</w:t>
            </w:r>
          </w:p>
        </w:tc>
      </w:tr>
      <w:tr w:rsidR="008B6FFF" w:rsidRPr="00FF6AFF" w14:paraId="3B110FED"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5F1F07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470D64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37D954E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798,526.00 </w:t>
            </w:r>
          </w:p>
        </w:tc>
        <w:tc>
          <w:tcPr>
            <w:tcW w:w="438" w:type="pct"/>
            <w:vMerge/>
            <w:tcBorders>
              <w:top w:val="nil"/>
              <w:left w:val="single" w:sz="4" w:space="0" w:color="auto"/>
              <w:bottom w:val="single" w:sz="4" w:space="0" w:color="auto"/>
              <w:right w:val="single" w:sz="8" w:space="0" w:color="auto"/>
            </w:tcBorders>
            <w:vAlign w:val="center"/>
            <w:hideMark/>
          </w:tcPr>
          <w:p w14:paraId="279A3B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62FA5E3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39FD8A1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EA7AF4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720" w:type="pct"/>
            <w:tcBorders>
              <w:top w:val="nil"/>
              <w:left w:val="nil"/>
              <w:bottom w:val="single" w:sz="4" w:space="0" w:color="auto"/>
              <w:right w:val="single" w:sz="4" w:space="0" w:color="auto"/>
            </w:tcBorders>
            <w:shd w:val="clear" w:color="auto" w:fill="auto"/>
            <w:noWrap/>
            <w:vAlign w:val="bottom"/>
            <w:hideMark/>
          </w:tcPr>
          <w:p w14:paraId="11FD357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1,123,650.00 </w:t>
            </w:r>
          </w:p>
        </w:tc>
        <w:tc>
          <w:tcPr>
            <w:tcW w:w="421" w:type="pct"/>
            <w:vMerge/>
            <w:tcBorders>
              <w:top w:val="nil"/>
              <w:left w:val="single" w:sz="4" w:space="0" w:color="auto"/>
              <w:bottom w:val="single" w:sz="4" w:space="0" w:color="auto"/>
              <w:right w:val="single" w:sz="8" w:space="0" w:color="auto"/>
            </w:tcBorders>
            <w:vAlign w:val="center"/>
            <w:hideMark/>
          </w:tcPr>
          <w:p w14:paraId="39F86F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0ACBB2C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4396772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E66CEF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asset</w:t>
            </w:r>
          </w:p>
        </w:tc>
        <w:tc>
          <w:tcPr>
            <w:tcW w:w="654" w:type="pct"/>
            <w:tcBorders>
              <w:top w:val="nil"/>
              <w:left w:val="nil"/>
              <w:bottom w:val="single" w:sz="4" w:space="0" w:color="auto"/>
              <w:right w:val="single" w:sz="4" w:space="0" w:color="auto"/>
            </w:tcBorders>
            <w:shd w:val="clear" w:color="auto" w:fill="auto"/>
            <w:noWrap/>
            <w:vAlign w:val="bottom"/>
            <w:hideMark/>
          </w:tcPr>
          <w:p w14:paraId="491FB15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149,600.00 </w:t>
            </w:r>
          </w:p>
        </w:tc>
        <w:tc>
          <w:tcPr>
            <w:tcW w:w="438" w:type="pct"/>
            <w:vMerge/>
            <w:tcBorders>
              <w:top w:val="nil"/>
              <w:left w:val="single" w:sz="4" w:space="0" w:color="auto"/>
              <w:bottom w:val="single" w:sz="4" w:space="0" w:color="auto"/>
              <w:right w:val="single" w:sz="8" w:space="0" w:color="auto"/>
            </w:tcBorders>
            <w:vAlign w:val="center"/>
            <w:hideMark/>
          </w:tcPr>
          <w:p w14:paraId="5FE3A3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42E9AE11" w14:textId="77777777" w:rsidTr="008B6FFF">
        <w:trPr>
          <w:trHeight w:val="300"/>
        </w:trPr>
        <w:tc>
          <w:tcPr>
            <w:tcW w:w="268" w:type="pct"/>
            <w:tcBorders>
              <w:top w:val="nil"/>
              <w:left w:val="single" w:sz="8" w:space="0" w:color="auto"/>
              <w:bottom w:val="nil"/>
              <w:right w:val="nil"/>
            </w:tcBorders>
            <w:shd w:val="clear" w:color="auto" w:fill="auto"/>
            <w:noWrap/>
            <w:vAlign w:val="bottom"/>
            <w:hideMark/>
          </w:tcPr>
          <w:p w14:paraId="189CC00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lastRenderedPageBreak/>
              <w:t> </w:t>
            </w:r>
          </w:p>
        </w:tc>
        <w:tc>
          <w:tcPr>
            <w:tcW w:w="60" w:type="pct"/>
            <w:tcBorders>
              <w:top w:val="nil"/>
              <w:left w:val="nil"/>
              <w:bottom w:val="nil"/>
              <w:right w:val="nil"/>
            </w:tcBorders>
            <w:shd w:val="clear" w:color="auto" w:fill="auto"/>
            <w:noWrap/>
            <w:vAlign w:val="bottom"/>
            <w:hideMark/>
          </w:tcPr>
          <w:p w14:paraId="507EB61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281C4E0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60EA027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0C6D513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54" w:type="pct"/>
            <w:tcBorders>
              <w:top w:val="nil"/>
              <w:left w:val="nil"/>
              <w:bottom w:val="nil"/>
              <w:right w:val="nil"/>
            </w:tcBorders>
            <w:shd w:val="clear" w:color="auto" w:fill="auto"/>
            <w:noWrap/>
            <w:vAlign w:val="bottom"/>
            <w:hideMark/>
          </w:tcPr>
          <w:p w14:paraId="58D2925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38" w:type="pct"/>
            <w:tcBorders>
              <w:top w:val="nil"/>
              <w:left w:val="nil"/>
              <w:bottom w:val="nil"/>
              <w:right w:val="single" w:sz="8" w:space="0" w:color="auto"/>
            </w:tcBorders>
            <w:shd w:val="clear" w:color="auto" w:fill="auto"/>
            <w:noWrap/>
            <w:vAlign w:val="bottom"/>
            <w:hideMark/>
          </w:tcPr>
          <w:p w14:paraId="2144CCC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93" w:type="pct"/>
            <w:tcBorders>
              <w:top w:val="nil"/>
              <w:left w:val="nil"/>
              <w:bottom w:val="nil"/>
              <w:right w:val="nil"/>
            </w:tcBorders>
            <w:shd w:val="clear" w:color="auto" w:fill="auto"/>
            <w:noWrap/>
            <w:vAlign w:val="bottom"/>
            <w:hideMark/>
          </w:tcPr>
          <w:p w14:paraId="6770B8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tcBorders>
              <w:top w:val="nil"/>
              <w:left w:val="single" w:sz="8" w:space="0" w:color="auto"/>
              <w:bottom w:val="nil"/>
              <w:right w:val="nil"/>
            </w:tcBorders>
            <w:shd w:val="clear" w:color="auto" w:fill="auto"/>
            <w:noWrap/>
            <w:vAlign w:val="bottom"/>
            <w:hideMark/>
          </w:tcPr>
          <w:p w14:paraId="6A61CD0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1" w:type="pct"/>
            <w:tcBorders>
              <w:top w:val="nil"/>
              <w:left w:val="nil"/>
              <w:bottom w:val="nil"/>
              <w:right w:val="nil"/>
            </w:tcBorders>
            <w:shd w:val="clear" w:color="auto" w:fill="auto"/>
            <w:noWrap/>
            <w:vAlign w:val="bottom"/>
            <w:hideMark/>
          </w:tcPr>
          <w:p w14:paraId="4504566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527439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4FDD8C5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015D95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20" w:type="pct"/>
            <w:tcBorders>
              <w:top w:val="nil"/>
              <w:left w:val="nil"/>
              <w:bottom w:val="nil"/>
              <w:right w:val="nil"/>
            </w:tcBorders>
            <w:shd w:val="clear" w:color="auto" w:fill="auto"/>
            <w:noWrap/>
            <w:vAlign w:val="bottom"/>
            <w:hideMark/>
          </w:tcPr>
          <w:p w14:paraId="7E2B534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21" w:type="pct"/>
            <w:tcBorders>
              <w:top w:val="nil"/>
              <w:left w:val="nil"/>
              <w:bottom w:val="nil"/>
              <w:right w:val="single" w:sz="8" w:space="0" w:color="auto"/>
            </w:tcBorders>
            <w:shd w:val="clear" w:color="auto" w:fill="auto"/>
            <w:noWrap/>
            <w:vAlign w:val="bottom"/>
            <w:hideMark/>
          </w:tcPr>
          <w:p w14:paraId="5F26E94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9" w:type="pct"/>
            <w:tcBorders>
              <w:top w:val="nil"/>
              <w:left w:val="nil"/>
              <w:bottom w:val="nil"/>
              <w:right w:val="nil"/>
            </w:tcBorders>
            <w:shd w:val="clear" w:color="auto" w:fill="auto"/>
            <w:noWrap/>
            <w:vAlign w:val="bottom"/>
            <w:hideMark/>
          </w:tcPr>
          <w:p w14:paraId="72CFC1A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tcBorders>
              <w:top w:val="nil"/>
              <w:left w:val="single" w:sz="8" w:space="0" w:color="auto"/>
              <w:bottom w:val="nil"/>
              <w:right w:val="nil"/>
            </w:tcBorders>
            <w:shd w:val="clear" w:color="auto" w:fill="auto"/>
            <w:noWrap/>
            <w:vAlign w:val="bottom"/>
            <w:hideMark/>
          </w:tcPr>
          <w:p w14:paraId="2745D9D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60" w:type="pct"/>
            <w:tcBorders>
              <w:top w:val="nil"/>
              <w:left w:val="nil"/>
              <w:bottom w:val="nil"/>
              <w:right w:val="nil"/>
            </w:tcBorders>
            <w:shd w:val="clear" w:color="auto" w:fill="auto"/>
            <w:noWrap/>
            <w:vAlign w:val="bottom"/>
            <w:hideMark/>
          </w:tcPr>
          <w:p w14:paraId="3DC4198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2715126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6E6F237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0" w:type="pct"/>
            <w:tcBorders>
              <w:top w:val="nil"/>
              <w:left w:val="nil"/>
              <w:bottom w:val="nil"/>
              <w:right w:val="nil"/>
            </w:tcBorders>
            <w:shd w:val="clear" w:color="auto" w:fill="auto"/>
            <w:noWrap/>
            <w:vAlign w:val="bottom"/>
            <w:hideMark/>
          </w:tcPr>
          <w:p w14:paraId="38B0CC0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54" w:type="pct"/>
            <w:tcBorders>
              <w:top w:val="nil"/>
              <w:left w:val="nil"/>
              <w:bottom w:val="nil"/>
              <w:right w:val="nil"/>
            </w:tcBorders>
            <w:shd w:val="clear" w:color="auto" w:fill="auto"/>
            <w:noWrap/>
            <w:vAlign w:val="bottom"/>
            <w:hideMark/>
          </w:tcPr>
          <w:p w14:paraId="7190C23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38" w:type="pct"/>
            <w:tcBorders>
              <w:top w:val="nil"/>
              <w:left w:val="nil"/>
              <w:bottom w:val="nil"/>
              <w:right w:val="single" w:sz="8" w:space="0" w:color="auto"/>
            </w:tcBorders>
            <w:shd w:val="clear" w:color="auto" w:fill="auto"/>
            <w:noWrap/>
            <w:vAlign w:val="bottom"/>
            <w:hideMark/>
          </w:tcPr>
          <w:p w14:paraId="5976F03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24D46EF6" w14:textId="77777777" w:rsidTr="008B6FFF">
        <w:trPr>
          <w:trHeight w:val="300"/>
        </w:trPr>
        <w:tc>
          <w:tcPr>
            <w:tcW w:w="16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9C79E5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Debt to Equity ratio</w:t>
            </w:r>
          </w:p>
        </w:tc>
        <w:tc>
          <w:tcPr>
            <w:tcW w:w="93" w:type="pct"/>
            <w:tcBorders>
              <w:top w:val="nil"/>
              <w:left w:val="nil"/>
              <w:bottom w:val="nil"/>
              <w:right w:val="nil"/>
            </w:tcBorders>
            <w:shd w:val="clear" w:color="auto" w:fill="auto"/>
            <w:noWrap/>
            <w:vAlign w:val="bottom"/>
            <w:hideMark/>
          </w:tcPr>
          <w:p w14:paraId="1A1233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39"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473FD2A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Debt to Equity ratio</w:t>
            </w:r>
          </w:p>
        </w:tc>
        <w:tc>
          <w:tcPr>
            <w:tcW w:w="69" w:type="pct"/>
            <w:tcBorders>
              <w:top w:val="nil"/>
              <w:left w:val="nil"/>
              <w:bottom w:val="nil"/>
              <w:right w:val="nil"/>
            </w:tcBorders>
            <w:shd w:val="clear" w:color="auto" w:fill="auto"/>
            <w:noWrap/>
            <w:vAlign w:val="bottom"/>
            <w:hideMark/>
          </w:tcPr>
          <w:p w14:paraId="76801D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C0A5E6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Debt to Equity ratio</w:t>
            </w:r>
          </w:p>
        </w:tc>
      </w:tr>
      <w:tr w:rsidR="008B6FFF" w:rsidRPr="00FF6AFF" w14:paraId="180D0C69" w14:textId="77777777" w:rsidTr="008B6FFF">
        <w:trPr>
          <w:trHeight w:val="300"/>
        </w:trPr>
        <w:tc>
          <w:tcPr>
            <w:tcW w:w="268" w:type="pct"/>
            <w:tcBorders>
              <w:top w:val="nil"/>
              <w:left w:val="single" w:sz="8" w:space="0" w:color="auto"/>
              <w:bottom w:val="single" w:sz="4" w:space="0" w:color="auto"/>
              <w:right w:val="single" w:sz="4" w:space="0" w:color="auto"/>
            </w:tcBorders>
            <w:shd w:val="clear" w:color="auto" w:fill="auto"/>
            <w:noWrap/>
            <w:vAlign w:val="center"/>
            <w:hideMark/>
          </w:tcPr>
          <w:p w14:paraId="04B1892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29E7FA2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54" w:type="pct"/>
            <w:tcBorders>
              <w:top w:val="nil"/>
              <w:left w:val="nil"/>
              <w:bottom w:val="single" w:sz="4" w:space="0" w:color="auto"/>
              <w:right w:val="single" w:sz="4" w:space="0" w:color="auto"/>
            </w:tcBorders>
            <w:shd w:val="clear" w:color="auto" w:fill="auto"/>
            <w:noWrap/>
            <w:vAlign w:val="center"/>
            <w:hideMark/>
          </w:tcPr>
          <w:p w14:paraId="4373B71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38" w:type="pct"/>
            <w:tcBorders>
              <w:top w:val="nil"/>
              <w:left w:val="nil"/>
              <w:bottom w:val="single" w:sz="4" w:space="0" w:color="auto"/>
              <w:right w:val="single" w:sz="8" w:space="0" w:color="auto"/>
            </w:tcBorders>
            <w:shd w:val="clear" w:color="auto" w:fill="auto"/>
            <w:noWrap/>
            <w:vAlign w:val="center"/>
            <w:hideMark/>
          </w:tcPr>
          <w:p w14:paraId="4943541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93" w:type="pct"/>
            <w:tcBorders>
              <w:top w:val="nil"/>
              <w:left w:val="nil"/>
              <w:bottom w:val="nil"/>
              <w:right w:val="nil"/>
            </w:tcBorders>
            <w:shd w:val="clear" w:color="auto" w:fill="auto"/>
            <w:noWrap/>
            <w:vAlign w:val="bottom"/>
            <w:hideMark/>
          </w:tcPr>
          <w:p w14:paraId="36FE617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tcBorders>
              <w:top w:val="nil"/>
              <w:left w:val="single" w:sz="8" w:space="0" w:color="auto"/>
              <w:bottom w:val="single" w:sz="4" w:space="0" w:color="auto"/>
              <w:right w:val="single" w:sz="4" w:space="0" w:color="auto"/>
            </w:tcBorders>
            <w:shd w:val="clear" w:color="auto" w:fill="auto"/>
            <w:noWrap/>
            <w:vAlign w:val="center"/>
            <w:hideMark/>
          </w:tcPr>
          <w:p w14:paraId="57EE851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7473F82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720" w:type="pct"/>
            <w:tcBorders>
              <w:top w:val="nil"/>
              <w:left w:val="nil"/>
              <w:bottom w:val="single" w:sz="4" w:space="0" w:color="auto"/>
              <w:right w:val="single" w:sz="4" w:space="0" w:color="auto"/>
            </w:tcBorders>
            <w:shd w:val="clear" w:color="auto" w:fill="auto"/>
            <w:noWrap/>
            <w:vAlign w:val="center"/>
            <w:hideMark/>
          </w:tcPr>
          <w:p w14:paraId="2002D5B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21" w:type="pct"/>
            <w:tcBorders>
              <w:top w:val="nil"/>
              <w:left w:val="nil"/>
              <w:bottom w:val="single" w:sz="4" w:space="0" w:color="auto"/>
              <w:right w:val="single" w:sz="8" w:space="0" w:color="auto"/>
            </w:tcBorders>
            <w:shd w:val="clear" w:color="auto" w:fill="auto"/>
            <w:noWrap/>
            <w:vAlign w:val="center"/>
            <w:hideMark/>
          </w:tcPr>
          <w:p w14:paraId="27CEA61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69" w:type="pct"/>
            <w:tcBorders>
              <w:top w:val="nil"/>
              <w:left w:val="nil"/>
              <w:bottom w:val="nil"/>
              <w:right w:val="nil"/>
            </w:tcBorders>
            <w:shd w:val="clear" w:color="auto" w:fill="auto"/>
            <w:noWrap/>
            <w:vAlign w:val="bottom"/>
            <w:hideMark/>
          </w:tcPr>
          <w:p w14:paraId="3DC60EC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tcBorders>
              <w:top w:val="nil"/>
              <w:left w:val="single" w:sz="8" w:space="0" w:color="auto"/>
              <w:bottom w:val="single" w:sz="4" w:space="0" w:color="auto"/>
              <w:right w:val="single" w:sz="4" w:space="0" w:color="auto"/>
            </w:tcBorders>
            <w:shd w:val="clear" w:color="auto" w:fill="auto"/>
            <w:noWrap/>
            <w:vAlign w:val="center"/>
            <w:hideMark/>
          </w:tcPr>
          <w:p w14:paraId="7230D28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240" w:type="pct"/>
            <w:gridSpan w:val="4"/>
            <w:tcBorders>
              <w:top w:val="single" w:sz="4" w:space="0" w:color="auto"/>
              <w:left w:val="nil"/>
              <w:bottom w:val="single" w:sz="4" w:space="0" w:color="auto"/>
              <w:right w:val="single" w:sz="4" w:space="0" w:color="auto"/>
            </w:tcBorders>
            <w:shd w:val="clear" w:color="auto" w:fill="auto"/>
            <w:noWrap/>
            <w:vAlign w:val="center"/>
            <w:hideMark/>
          </w:tcPr>
          <w:p w14:paraId="5608C19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54" w:type="pct"/>
            <w:tcBorders>
              <w:top w:val="nil"/>
              <w:left w:val="nil"/>
              <w:bottom w:val="single" w:sz="4" w:space="0" w:color="auto"/>
              <w:right w:val="single" w:sz="4" w:space="0" w:color="auto"/>
            </w:tcBorders>
            <w:shd w:val="clear" w:color="auto" w:fill="auto"/>
            <w:noWrap/>
            <w:vAlign w:val="center"/>
            <w:hideMark/>
          </w:tcPr>
          <w:p w14:paraId="28F8453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438" w:type="pct"/>
            <w:tcBorders>
              <w:top w:val="nil"/>
              <w:left w:val="nil"/>
              <w:bottom w:val="single" w:sz="4" w:space="0" w:color="auto"/>
              <w:right w:val="single" w:sz="8" w:space="0" w:color="auto"/>
            </w:tcBorders>
            <w:shd w:val="clear" w:color="auto" w:fill="auto"/>
            <w:noWrap/>
            <w:vAlign w:val="center"/>
            <w:hideMark/>
          </w:tcPr>
          <w:p w14:paraId="5784ADD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5384D691"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7A1D7A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6DC2F9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681B68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786,087.00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E75DE5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16.51339</w:t>
            </w:r>
          </w:p>
        </w:tc>
        <w:tc>
          <w:tcPr>
            <w:tcW w:w="93" w:type="pct"/>
            <w:tcBorders>
              <w:top w:val="nil"/>
              <w:left w:val="nil"/>
              <w:bottom w:val="nil"/>
              <w:right w:val="nil"/>
            </w:tcBorders>
            <w:shd w:val="clear" w:color="auto" w:fill="auto"/>
            <w:noWrap/>
            <w:vAlign w:val="bottom"/>
            <w:hideMark/>
          </w:tcPr>
          <w:p w14:paraId="0ADFF6E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D104F2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5B8F3A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720" w:type="pct"/>
            <w:tcBorders>
              <w:top w:val="nil"/>
              <w:left w:val="nil"/>
              <w:bottom w:val="single" w:sz="4" w:space="0" w:color="auto"/>
              <w:right w:val="single" w:sz="4" w:space="0" w:color="auto"/>
            </w:tcBorders>
            <w:shd w:val="clear" w:color="auto" w:fill="auto"/>
            <w:noWrap/>
            <w:vAlign w:val="bottom"/>
            <w:hideMark/>
          </w:tcPr>
          <w:p w14:paraId="2367B31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1,074,569.00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C4D80D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16.67834</w:t>
            </w:r>
          </w:p>
        </w:tc>
        <w:tc>
          <w:tcPr>
            <w:tcW w:w="69" w:type="pct"/>
            <w:tcBorders>
              <w:top w:val="nil"/>
              <w:left w:val="nil"/>
              <w:bottom w:val="nil"/>
              <w:right w:val="nil"/>
            </w:tcBorders>
            <w:shd w:val="clear" w:color="auto" w:fill="auto"/>
            <w:noWrap/>
            <w:vAlign w:val="bottom"/>
            <w:hideMark/>
          </w:tcPr>
          <w:p w14:paraId="2455C1D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08FAB60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526826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0165DBC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182,497.00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BAC13E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7.158991</w:t>
            </w:r>
          </w:p>
        </w:tc>
      </w:tr>
      <w:tr w:rsidR="008B6FFF" w:rsidRPr="00FF6AFF" w14:paraId="6C2C0D97"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2A2866D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AFD609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156EE2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47,603.00 </w:t>
            </w:r>
          </w:p>
        </w:tc>
        <w:tc>
          <w:tcPr>
            <w:tcW w:w="438" w:type="pct"/>
            <w:vMerge/>
            <w:tcBorders>
              <w:top w:val="nil"/>
              <w:left w:val="single" w:sz="4" w:space="0" w:color="auto"/>
              <w:bottom w:val="single" w:sz="4" w:space="0" w:color="auto"/>
              <w:right w:val="single" w:sz="8" w:space="0" w:color="auto"/>
            </w:tcBorders>
            <w:vAlign w:val="center"/>
            <w:hideMark/>
          </w:tcPr>
          <w:p w14:paraId="5A02DF2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3B36C57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3F421CD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659C0F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1C4DBC6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64,429.00 </w:t>
            </w:r>
          </w:p>
        </w:tc>
        <w:tc>
          <w:tcPr>
            <w:tcW w:w="421" w:type="pct"/>
            <w:vMerge/>
            <w:tcBorders>
              <w:top w:val="nil"/>
              <w:left w:val="single" w:sz="4" w:space="0" w:color="auto"/>
              <w:bottom w:val="single" w:sz="4" w:space="0" w:color="auto"/>
              <w:right w:val="single" w:sz="8" w:space="0" w:color="auto"/>
            </w:tcBorders>
            <w:vAlign w:val="center"/>
            <w:hideMark/>
          </w:tcPr>
          <w:p w14:paraId="6D414CA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7D2673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473BA7B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569E015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06A6CCC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25,492.00 </w:t>
            </w:r>
          </w:p>
        </w:tc>
        <w:tc>
          <w:tcPr>
            <w:tcW w:w="438" w:type="pct"/>
            <w:vMerge/>
            <w:tcBorders>
              <w:top w:val="nil"/>
              <w:left w:val="single" w:sz="4" w:space="0" w:color="auto"/>
              <w:bottom w:val="single" w:sz="4" w:space="0" w:color="auto"/>
              <w:right w:val="single" w:sz="8" w:space="0" w:color="auto"/>
            </w:tcBorders>
            <w:vAlign w:val="center"/>
            <w:hideMark/>
          </w:tcPr>
          <w:p w14:paraId="480B14D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84FBB7B"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112599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80483F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1047BA4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747,399.00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AC11E7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14.97044</w:t>
            </w:r>
          </w:p>
        </w:tc>
        <w:tc>
          <w:tcPr>
            <w:tcW w:w="93" w:type="pct"/>
            <w:tcBorders>
              <w:top w:val="nil"/>
              <w:left w:val="nil"/>
              <w:bottom w:val="nil"/>
              <w:right w:val="nil"/>
            </w:tcBorders>
            <w:shd w:val="clear" w:color="auto" w:fill="auto"/>
            <w:noWrap/>
            <w:vAlign w:val="bottom"/>
            <w:hideMark/>
          </w:tcPr>
          <w:p w14:paraId="4DB98BD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235EF0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A1F9D0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720" w:type="pct"/>
            <w:tcBorders>
              <w:top w:val="nil"/>
              <w:left w:val="nil"/>
              <w:bottom w:val="single" w:sz="4" w:space="0" w:color="auto"/>
              <w:right w:val="single" w:sz="4" w:space="0" w:color="auto"/>
            </w:tcBorders>
            <w:shd w:val="clear" w:color="auto" w:fill="auto"/>
            <w:noWrap/>
            <w:vAlign w:val="bottom"/>
            <w:hideMark/>
          </w:tcPr>
          <w:p w14:paraId="39D9272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1,069,504.00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AC01A2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17.09675</w:t>
            </w:r>
          </w:p>
        </w:tc>
        <w:tc>
          <w:tcPr>
            <w:tcW w:w="69" w:type="pct"/>
            <w:tcBorders>
              <w:top w:val="nil"/>
              <w:left w:val="nil"/>
              <w:bottom w:val="nil"/>
              <w:right w:val="nil"/>
            </w:tcBorders>
            <w:shd w:val="clear" w:color="auto" w:fill="auto"/>
            <w:noWrap/>
            <w:vAlign w:val="bottom"/>
            <w:hideMark/>
          </w:tcPr>
          <w:p w14:paraId="16B7FDD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B93143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47BC21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5AD2086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179,185.00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69A4B8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7.137707</w:t>
            </w:r>
          </w:p>
        </w:tc>
      </w:tr>
      <w:tr w:rsidR="008B6FFF" w:rsidRPr="00FF6AFF" w14:paraId="23CEF67B"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15D81DD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EFCEDB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683832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49,925.00 </w:t>
            </w:r>
          </w:p>
        </w:tc>
        <w:tc>
          <w:tcPr>
            <w:tcW w:w="438" w:type="pct"/>
            <w:vMerge/>
            <w:tcBorders>
              <w:top w:val="nil"/>
              <w:left w:val="single" w:sz="4" w:space="0" w:color="auto"/>
              <w:bottom w:val="single" w:sz="4" w:space="0" w:color="auto"/>
              <w:right w:val="single" w:sz="8" w:space="0" w:color="auto"/>
            </w:tcBorders>
            <w:vAlign w:val="center"/>
            <w:hideMark/>
          </w:tcPr>
          <w:p w14:paraId="4EF98B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566FFD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215E1F2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2DDDF5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04CE64C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62,556.00 </w:t>
            </w:r>
          </w:p>
        </w:tc>
        <w:tc>
          <w:tcPr>
            <w:tcW w:w="421" w:type="pct"/>
            <w:vMerge/>
            <w:tcBorders>
              <w:top w:val="nil"/>
              <w:left w:val="single" w:sz="4" w:space="0" w:color="auto"/>
              <w:bottom w:val="single" w:sz="4" w:space="0" w:color="auto"/>
              <w:right w:val="single" w:sz="8" w:space="0" w:color="auto"/>
            </w:tcBorders>
            <w:vAlign w:val="center"/>
            <w:hideMark/>
          </w:tcPr>
          <w:p w14:paraId="7CFCDB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0B6C0A0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4ACA01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2B297C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587512B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25,104.00 </w:t>
            </w:r>
          </w:p>
        </w:tc>
        <w:tc>
          <w:tcPr>
            <w:tcW w:w="438" w:type="pct"/>
            <w:vMerge/>
            <w:tcBorders>
              <w:top w:val="nil"/>
              <w:left w:val="single" w:sz="4" w:space="0" w:color="auto"/>
              <w:bottom w:val="single" w:sz="4" w:space="0" w:color="auto"/>
              <w:right w:val="single" w:sz="8" w:space="0" w:color="auto"/>
            </w:tcBorders>
            <w:vAlign w:val="center"/>
            <w:hideMark/>
          </w:tcPr>
          <w:p w14:paraId="1E5AFE0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36316E85"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5D2942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A8AF40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0FC0E2E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792,966.00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5CC6A8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16.21408</w:t>
            </w:r>
          </w:p>
        </w:tc>
        <w:tc>
          <w:tcPr>
            <w:tcW w:w="93" w:type="pct"/>
            <w:tcBorders>
              <w:top w:val="nil"/>
              <w:left w:val="nil"/>
              <w:bottom w:val="nil"/>
              <w:right w:val="nil"/>
            </w:tcBorders>
            <w:shd w:val="clear" w:color="auto" w:fill="auto"/>
            <w:noWrap/>
            <w:vAlign w:val="bottom"/>
            <w:hideMark/>
          </w:tcPr>
          <w:p w14:paraId="3E200EB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EE07F2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357A053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720" w:type="pct"/>
            <w:tcBorders>
              <w:top w:val="nil"/>
              <w:left w:val="nil"/>
              <w:bottom w:val="single" w:sz="4" w:space="0" w:color="auto"/>
              <w:right w:val="single" w:sz="4" w:space="0" w:color="auto"/>
            </w:tcBorders>
            <w:shd w:val="clear" w:color="auto" w:fill="auto"/>
            <w:noWrap/>
            <w:vAlign w:val="bottom"/>
            <w:hideMark/>
          </w:tcPr>
          <w:p w14:paraId="2527862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1,067,232.00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853026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16.70029</w:t>
            </w:r>
          </w:p>
        </w:tc>
        <w:tc>
          <w:tcPr>
            <w:tcW w:w="69" w:type="pct"/>
            <w:tcBorders>
              <w:top w:val="nil"/>
              <w:left w:val="nil"/>
              <w:bottom w:val="nil"/>
              <w:right w:val="nil"/>
            </w:tcBorders>
            <w:shd w:val="clear" w:color="auto" w:fill="auto"/>
            <w:noWrap/>
            <w:vAlign w:val="bottom"/>
            <w:hideMark/>
          </w:tcPr>
          <w:p w14:paraId="238F062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0EBC19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F6E72E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3B3AF8D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129,330.00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068F95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5.903592</w:t>
            </w:r>
          </w:p>
        </w:tc>
      </w:tr>
      <w:tr w:rsidR="008B6FFF" w:rsidRPr="00FF6AFF" w14:paraId="0561B8B9"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2169B2D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EFEC9B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3F8DECC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48,906.00 </w:t>
            </w:r>
          </w:p>
        </w:tc>
        <w:tc>
          <w:tcPr>
            <w:tcW w:w="438" w:type="pct"/>
            <w:vMerge/>
            <w:tcBorders>
              <w:top w:val="nil"/>
              <w:left w:val="single" w:sz="4" w:space="0" w:color="auto"/>
              <w:bottom w:val="single" w:sz="4" w:space="0" w:color="auto"/>
              <w:right w:val="single" w:sz="8" w:space="0" w:color="auto"/>
            </w:tcBorders>
            <w:vAlign w:val="center"/>
            <w:hideMark/>
          </w:tcPr>
          <w:p w14:paraId="42C1E3E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23515C6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0351BCF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1CA633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7C4DCE0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63,905.00 </w:t>
            </w:r>
          </w:p>
        </w:tc>
        <w:tc>
          <w:tcPr>
            <w:tcW w:w="421" w:type="pct"/>
            <w:vMerge/>
            <w:tcBorders>
              <w:top w:val="nil"/>
              <w:left w:val="single" w:sz="4" w:space="0" w:color="auto"/>
              <w:bottom w:val="single" w:sz="4" w:space="0" w:color="auto"/>
              <w:right w:val="single" w:sz="8" w:space="0" w:color="auto"/>
            </w:tcBorders>
            <w:vAlign w:val="center"/>
            <w:hideMark/>
          </w:tcPr>
          <w:p w14:paraId="4FE62CE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4C564B1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258BF7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5A173F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1DEA752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21,907.00 </w:t>
            </w:r>
          </w:p>
        </w:tc>
        <w:tc>
          <w:tcPr>
            <w:tcW w:w="438" w:type="pct"/>
            <w:vMerge/>
            <w:tcBorders>
              <w:top w:val="nil"/>
              <w:left w:val="single" w:sz="4" w:space="0" w:color="auto"/>
              <w:bottom w:val="single" w:sz="4" w:space="0" w:color="auto"/>
              <w:right w:val="single" w:sz="8" w:space="0" w:color="auto"/>
            </w:tcBorders>
            <w:vAlign w:val="center"/>
            <w:hideMark/>
          </w:tcPr>
          <w:p w14:paraId="469CB89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63336ABD" w14:textId="77777777" w:rsidTr="008B6FFF">
        <w:trPr>
          <w:trHeight w:val="300"/>
        </w:trPr>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0F8321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1CA6DF5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48D2186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769,328.00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EFE98B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16.01932</w:t>
            </w:r>
          </w:p>
        </w:tc>
        <w:tc>
          <w:tcPr>
            <w:tcW w:w="93" w:type="pct"/>
            <w:tcBorders>
              <w:top w:val="nil"/>
              <w:left w:val="nil"/>
              <w:bottom w:val="nil"/>
              <w:right w:val="nil"/>
            </w:tcBorders>
            <w:shd w:val="clear" w:color="auto" w:fill="auto"/>
            <w:noWrap/>
            <w:vAlign w:val="bottom"/>
            <w:hideMark/>
          </w:tcPr>
          <w:p w14:paraId="483627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0853E3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72B0C70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720" w:type="pct"/>
            <w:tcBorders>
              <w:top w:val="nil"/>
              <w:left w:val="nil"/>
              <w:bottom w:val="single" w:sz="4" w:space="0" w:color="auto"/>
              <w:right w:val="single" w:sz="4" w:space="0" w:color="auto"/>
            </w:tcBorders>
            <w:shd w:val="clear" w:color="auto" w:fill="auto"/>
            <w:noWrap/>
            <w:vAlign w:val="bottom"/>
            <w:hideMark/>
          </w:tcPr>
          <w:p w14:paraId="02D04BD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1,141,761.00 </w:t>
            </w:r>
          </w:p>
        </w:tc>
        <w:tc>
          <w:tcPr>
            <w:tcW w:w="42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BFA00A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17.59994</w:t>
            </w:r>
          </w:p>
        </w:tc>
        <w:tc>
          <w:tcPr>
            <w:tcW w:w="69" w:type="pct"/>
            <w:tcBorders>
              <w:top w:val="nil"/>
              <w:left w:val="nil"/>
              <w:bottom w:val="nil"/>
              <w:right w:val="nil"/>
            </w:tcBorders>
            <w:shd w:val="clear" w:color="auto" w:fill="auto"/>
            <w:noWrap/>
            <w:vAlign w:val="bottom"/>
            <w:hideMark/>
          </w:tcPr>
          <w:p w14:paraId="10F6B03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2D3711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4A6234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54A471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129,082.00 </w:t>
            </w:r>
          </w:p>
        </w:tc>
        <w:tc>
          <w:tcPr>
            <w:tcW w:w="438"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3B072D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6.525555</w:t>
            </w:r>
          </w:p>
        </w:tc>
      </w:tr>
      <w:tr w:rsidR="008B6FFF" w:rsidRPr="00FF6AFF" w14:paraId="048E0828" w14:textId="77777777" w:rsidTr="008B6FFF">
        <w:trPr>
          <w:trHeight w:val="300"/>
        </w:trPr>
        <w:tc>
          <w:tcPr>
            <w:tcW w:w="268" w:type="pct"/>
            <w:vMerge/>
            <w:tcBorders>
              <w:top w:val="nil"/>
              <w:left w:val="single" w:sz="8" w:space="0" w:color="auto"/>
              <w:bottom w:val="single" w:sz="4" w:space="0" w:color="auto"/>
              <w:right w:val="single" w:sz="4" w:space="0" w:color="auto"/>
            </w:tcBorders>
            <w:vAlign w:val="center"/>
            <w:hideMark/>
          </w:tcPr>
          <w:p w14:paraId="4692C86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81FC96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467F2D8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48,025.00 </w:t>
            </w:r>
          </w:p>
        </w:tc>
        <w:tc>
          <w:tcPr>
            <w:tcW w:w="438" w:type="pct"/>
            <w:vMerge/>
            <w:tcBorders>
              <w:top w:val="nil"/>
              <w:left w:val="single" w:sz="4" w:space="0" w:color="auto"/>
              <w:bottom w:val="single" w:sz="4" w:space="0" w:color="auto"/>
              <w:right w:val="single" w:sz="8" w:space="0" w:color="auto"/>
            </w:tcBorders>
            <w:vAlign w:val="center"/>
            <w:hideMark/>
          </w:tcPr>
          <w:p w14:paraId="18030A4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47AD5AD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4" w:space="0" w:color="auto"/>
              <w:right w:val="single" w:sz="4" w:space="0" w:color="auto"/>
            </w:tcBorders>
            <w:vAlign w:val="center"/>
            <w:hideMark/>
          </w:tcPr>
          <w:p w14:paraId="6083EF2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079C83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1B01B54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64,873.00 </w:t>
            </w:r>
          </w:p>
        </w:tc>
        <w:tc>
          <w:tcPr>
            <w:tcW w:w="421" w:type="pct"/>
            <w:vMerge/>
            <w:tcBorders>
              <w:top w:val="nil"/>
              <w:left w:val="single" w:sz="4" w:space="0" w:color="auto"/>
              <w:bottom w:val="single" w:sz="4" w:space="0" w:color="auto"/>
              <w:right w:val="single" w:sz="8" w:space="0" w:color="auto"/>
            </w:tcBorders>
            <w:vAlign w:val="center"/>
            <w:hideMark/>
          </w:tcPr>
          <w:p w14:paraId="2B9518F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11EBE5A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4" w:space="0" w:color="auto"/>
              <w:right w:val="single" w:sz="4" w:space="0" w:color="auto"/>
            </w:tcBorders>
            <w:vAlign w:val="center"/>
            <w:hideMark/>
          </w:tcPr>
          <w:p w14:paraId="21D6A97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432FF3A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21A2203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19,781.00 </w:t>
            </w:r>
          </w:p>
        </w:tc>
        <w:tc>
          <w:tcPr>
            <w:tcW w:w="438" w:type="pct"/>
            <w:vMerge/>
            <w:tcBorders>
              <w:top w:val="nil"/>
              <w:left w:val="single" w:sz="4" w:space="0" w:color="auto"/>
              <w:bottom w:val="single" w:sz="4" w:space="0" w:color="auto"/>
              <w:right w:val="single" w:sz="8" w:space="0" w:color="auto"/>
            </w:tcBorders>
            <w:vAlign w:val="center"/>
            <w:hideMark/>
          </w:tcPr>
          <w:p w14:paraId="63BA7E5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7054C0D3" w14:textId="77777777" w:rsidTr="008B6FFF">
        <w:trPr>
          <w:trHeight w:val="300"/>
        </w:trPr>
        <w:tc>
          <w:tcPr>
            <w:tcW w:w="268"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57DBA89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20E0972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63149B1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759,632.00 </w:t>
            </w:r>
          </w:p>
        </w:tc>
        <w:tc>
          <w:tcPr>
            <w:tcW w:w="438"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288FE52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16.78596</w:t>
            </w:r>
          </w:p>
        </w:tc>
        <w:tc>
          <w:tcPr>
            <w:tcW w:w="93" w:type="pct"/>
            <w:tcBorders>
              <w:top w:val="nil"/>
              <w:left w:val="nil"/>
              <w:bottom w:val="nil"/>
              <w:right w:val="nil"/>
            </w:tcBorders>
            <w:shd w:val="clear" w:color="auto" w:fill="auto"/>
            <w:noWrap/>
            <w:vAlign w:val="bottom"/>
            <w:hideMark/>
          </w:tcPr>
          <w:p w14:paraId="3357E54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4E03F79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093F109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720" w:type="pct"/>
            <w:tcBorders>
              <w:top w:val="nil"/>
              <w:left w:val="nil"/>
              <w:bottom w:val="single" w:sz="4" w:space="0" w:color="auto"/>
              <w:right w:val="single" w:sz="4" w:space="0" w:color="auto"/>
            </w:tcBorders>
            <w:shd w:val="clear" w:color="auto" w:fill="auto"/>
            <w:noWrap/>
            <w:vAlign w:val="bottom"/>
            <w:hideMark/>
          </w:tcPr>
          <w:p w14:paraId="536B259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1,124,530.00 </w:t>
            </w:r>
          </w:p>
        </w:tc>
        <w:tc>
          <w:tcPr>
            <w:tcW w:w="421"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508D5A4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17.77744</w:t>
            </w:r>
          </w:p>
        </w:tc>
        <w:tc>
          <w:tcPr>
            <w:tcW w:w="69" w:type="pct"/>
            <w:tcBorders>
              <w:top w:val="nil"/>
              <w:left w:val="nil"/>
              <w:bottom w:val="nil"/>
              <w:right w:val="nil"/>
            </w:tcBorders>
            <w:shd w:val="clear" w:color="auto" w:fill="auto"/>
            <w:noWrap/>
            <w:vAlign w:val="bottom"/>
            <w:hideMark/>
          </w:tcPr>
          <w:p w14:paraId="59CC785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143227D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240" w:type="pct"/>
            <w:gridSpan w:val="4"/>
            <w:tcBorders>
              <w:top w:val="single" w:sz="4" w:space="0" w:color="auto"/>
              <w:left w:val="nil"/>
              <w:bottom w:val="single" w:sz="4" w:space="0" w:color="auto"/>
              <w:right w:val="single" w:sz="4" w:space="0" w:color="auto"/>
            </w:tcBorders>
            <w:shd w:val="clear" w:color="auto" w:fill="auto"/>
            <w:noWrap/>
            <w:vAlign w:val="bottom"/>
            <w:hideMark/>
          </w:tcPr>
          <w:p w14:paraId="632FCC8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Debt</w:t>
            </w:r>
          </w:p>
        </w:tc>
        <w:tc>
          <w:tcPr>
            <w:tcW w:w="654" w:type="pct"/>
            <w:tcBorders>
              <w:top w:val="nil"/>
              <w:left w:val="nil"/>
              <w:bottom w:val="single" w:sz="4" w:space="0" w:color="auto"/>
              <w:right w:val="single" w:sz="4" w:space="0" w:color="auto"/>
            </w:tcBorders>
            <w:shd w:val="clear" w:color="auto" w:fill="auto"/>
            <w:noWrap/>
            <w:vAlign w:val="bottom"/>
            <w:hideMark/>
          </w:tcPr>
          <w:p w14:paraId="3BC569C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125,633.00 </w:t>
            </w:r>
          </w:p>
        </w:tc>
        <w:tc>
          <w:tcPr>
            <w:tcW w:w="438"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1F78976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6.736354</w:t>
            </w:r>
          </w:p>
        </w:tc>
      </w:tr>
      <w:tr w:rsidR="008B6FFF" w:rsidRPr="00FF6AFF" w14:paraId="2E051ED3" w14:textId="77777777" w:rsidTr="008B6FFF">
        <w:trPr>
          <w:trHeight w:val="315"/>
        </w:trPr>
        <w:tc>
          <w:tcPr>
            <w:tcW w:w="268" w:type="pct"/>
            <w:vMerge/>
            <w:tcBorders>
              <w:top w:val="nil"/>
              <w:left w:val="single" w:sz="8" w:space="0" w:color="auto"/>
              <w:bottom w:val="single" w:sz="8" w:space="0" w:color="000000"/>
              <w:right w:val="single" w:sz="4" w:space="0" w:color="auto"/>
            </w:tcBorders>
            <w:vAlign w:val="center"/>
            <w:hideMark/>
          </w:tcPr>
          <w:p w14:paraId="7E76554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8" w:space="0" w:color="auto"/>
              <w:right w:val="single" w:sz="4" w:space="0" w:color="auto"/>
            </w:tcBorders>
            <w:shd w:val="clear" w:color="auto" w:fill="auto"/>
            <w:noWrap/>
            <w:vAlign w:val="bottom"/>
            <w:hideMark/>
          </w:tcPr>
          <w:p w14:paraId="1CB1D9D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8" w:space="0" w:color="auto"/>
              <w:right w:val="single" w:sz="4" w:space="0" w:color="auto"/>
            </w:tcBorders>
            <w:shd w:val="clear" w:color="auto" w:fill="auto"/>
            <w:noWrap/>
            <w:vAlign w:val="bottom"/>
            <w:hideMark/>
          </w:tcPr>
          <w:p w14:paraId="6DFFA3C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45,254.00 </w:t>
            </w:r>
          </w:p>
        </w:tc>
        <w:tc>
          <w:tcPr>
            <w:tcW w:w="438" w:type="pct"/>
            <w:vMerge/>
            <w:tcBorders>
              <w:top w:val="nil"/>
              <w:left w:val="single" w:sz="4" w:space="0" w:color="auto"/>
              <w:bottom w:val="single" w:sz="8" w:space="0" w:color="000000"/>
              <w:right w:val="single" w:sz="8" w:space="0" w:color="auto"/>
            </w:tcBorders>
            <w:vAlign w:val="center"/>
            <w:hideMark/>
          </w:tcPr>
          <w:p w14:paraId="033A5DB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93" w:type="pct"/>
            <w:tcBorders>
              <w:top w:val="nil"/>
              <w:left w:val="nil"/>
              <w:bottom w:val="nil"/>
              <w:right w:val="nil"/>
            </w:tcBorders>
            <w:shd w:val="clear" w:color="auto" w:fill="auto"/>
            <w:noWrap/>
            <w:vAlign w:val="bottom"/>
            <w:hideMark/>
          </w:tcPr>
          <w:p w14:paraId="7128E78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8" w:type="pct"/>
            <w:vMerge/>
            <w:tcBorders>
              <w:top w:val="nil"/>
              <w:left w:val="single" w:sz="8" w:space="0" w:color="auto"/>
              <w:bottom w:val="single" w:sz="8" w:space="0" w:color="000000"/>
              <w:right w:val="single" w:sz="4" w:space="0" w:color="auto"/>
            </w:tcBorders>
            <w:vAlign w:val="center"/>
            <w:hideMark/>
          </w:tcPr>
          <w:p w14:paraId="49460D0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8" w:space="0" w:color="auto"/>
              <w:right w:val="single" w:sz="4" w:space="0" w:color="auto"/>
            </w:tcBorders>
            <w:shd w:val="clear" w:color="auto" w:fill="auto"/>
            <w:noWrap/>
            <w:vAlign w:val="bottom"/>
            <w:hideMark/>
          </w:tcPr>
          <w:p w14:paraId="1F6F2D0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720" w:type="pct"/>
            <w:tcBorders>
              <w:top w:val="nil"/>
              <w:left w:val="nil"/>
              <w:bottom w:val="single" w:sz="4" w:space="0" w:color="auto"/>
              <w:right w:val="single" w:sz="4" w:space="0" w:color="auto"/>
            </w:tcBorders>
            <w:shd w:val="clear" w:color="auto" w:fill="auto"/>
            <w:noWrap/>
            <w:vAlign w:val="bottom"/>
            <w:hideMark/>
          </w:tcPr>
          <w:p w14:paraId="071E0FD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63,256.00 </w:t>
            </w:r>
          </w:p>
        </w:tc>
        <w:tc>
          <w:tcPr>
            <w:tcW w:w="421" w:type="pct"/>
            <w:vMerge/>
            <w:tcBorders>
              <w:top w:val="nil"/>
              <w:left w:val="single" w:sz="4" w:space="0" w:color="auto"/>
              <w:bottom w:val="single" w:sz="8" w:space="0" w:color="000000"/>
              <w:right w:val="single" w:sz="8" w:space="0" w:color="auto"/>
            </w:tcBorders>
            <w:vAlign w:val="center"/>
            <w:hideMark/>
          </w:tcPr>
          <w:p w14:paraId="2752D02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69" w:type="pct"/>
            <w:tcBorders>
              <w:top w:val="nil"/>
              <w:left w:val="nil"/>
              <w:bottom w:val="nil"/>
              <w:right w:val="nil"/>
            </w:tcBorders>
            <w:shd w:val="clear" w:color="auto" w:fill="auto"/>
            <w:noWrap/>
            <w:vAlign w:val="bottom"/>
            <w:hideMark/>
          </w:tcPr>
          <w:p w14:paraId="2F0907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68" w:type="pct"/>
            <w:vMerge/>
            <w:tcBorders>
              <w:top w:val="nil"/>
              <w:left w:val="single" w:sz="8" w:space="0" w:color="auto"/>
              <w:bottom w:val="single" w:sz="8" w:space="0" w:color="000000"/>
              <w:right w:val="single" w:sz="4" w:space="0" w:color="auto"/>
            </w:tcBorders>
            <w:vAlign w:val="center"/>
            <w:hideMark/>
          </w:tcPr>
          <w:p w14:paraId="087AE3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0" w:type="pct"/>
            <w:gridSpan w:val="4"/>
            <w:tcBorders>
              <w:top w:val="single" w:sz="4" w:space="0" w:color="auto"/>
              <w:left w:val="nil"/>
              <w:bottom w:val="single" w:sz="8" w:space="0" w:color="auto"/>
              <w:right w:val="single" w:sz="4" w:space="0" w:color="auto"/>
            </w:tcBorders>
            <w:shd w:val="clear" w:color="auto" w:fill="auto"/>
            <w:noWrap/>
            <w:vAlign w:val="bottom"/>
            <w:hideMark/>
          </w:tcPr>
          <w:p w14:paraId="6D676FE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Equity</w:t>
            </w:r>
          </w:p>
        </w:tc>
        <w:tc>
          <w:tcPr>
            <w:tcW w:w="654" w:type="pct"/>
            <w:tcBorders>
              <w:top w:val="nil"/>
              <w:left w:val="nil"/>
              <w:bottom w:val="single" w:sz="4" w:space="0" w:color="auto"/>
              <w:right w:val="single" w:sz="4" w:space="0" w:color="auto"/>
            </w:tcBorders>
            <w:shd w:val="clear" w:color="auto" w:fill="auto"/>
            <w:noWrap/>
            <w:vAlign w:val="bottom"/>
            <w:hideMark/>
          </w:tcPr>
          <w:p w14:paraId="343CDC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18,650.00 </w:t>
            </w:r>
          </w:p>
        </w:tc>
        <w:tc>
          <w:tcPr>
            <w:tcW w:w="438" w:type="pct"/>
            <w:vMerge/>
            <w:tcBorders>
              <w:top w:val="nil"/>
              <w:left w:val="single" w:sz="4" w:space="0" w:color="auto"/>
              <w:bottom w:val="single" w:sz="8" w:space="0" w:color="000000"/>
              <w:right w:val="single" w:sz="8" w:space="0" w:color="auto"/>
            </w:tcBorders>
            <w:vAlign w:val="center"/>
            <w:hideMark/>
          </w:tcPr>
          <w:p w14:paraId="1DED273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bl>
    <w:p w14:paraId="5914271B" w14:textId="7036B5E9" w:rsidR="005B0C9D" w:rsidRPr="005B0C9D" w:rsidRDefault="008B6FFF" w:rsidP="005B0C9D">
      <w:pPr>
        <w:jc w:val="center"/>
        <w:rPr>
          <w:rFonts w:ascii="Times New Roman" w:hAnsi="Times New Roman" w:cs="Times New Roman"/>
          <w:b/>
          <w:sz w:val="24"/>
          <w:szCs w:val="24"/>
        </w:rPr>
        <w:sectPr w:rsidR="005B0C9D" w:rsidRPr="005B0C9D" w:rsidSect="005B0C9D">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8B6FFF">
        <w:rPr>
          <w:rFonts w:ascii="Times New Roman" w:hAnsi="Times New Roman" w:cs="Times New Roman"/>
          <w:b/>
          <w:sz w:val="24"/>
          <w:szCs w:val="24"/>
        </w:rPr>
        <w:t>Table</w:t>
      </w:r>
      <w:bookmarkStart w:id="12" w:name="_Toc39166247"/>
      <w:r w:rsidR="005B0C9D">
        <w:rPr>
          <w:rFonts w:ascii="Times New Roman" w:hAnsi="Times New Roman" w:cs="Times New Roman"/>
          <w:b/>
          <w:sz w:val="24"/>
          <w:szCs w:val="24"/>
        </w:rPr>
        <w:t xml:space="preserve"> 1: Capital ratio</w:t>
      </w:r>
    </w:p>
    <w:p w14:paraId="0000001D" w14:textId="0D3B1556" w:rsidR="00C65B51" w:rsidRPr="004F6549" w:rsidRDefault="006C0F24" w:rsidP="00E95AFC">
      <w:pPr>
        <w:pStyle w:val="Heading3"/>
        <w:spacing w:line="360" w:lineRule="auto"/>
      </w:pPr>
      <w:r w:rsidRPr="004F6549">
        <w:lastRenderedPageBreak/>
        <w:t>2.1.1 Equity ratio</w:t>
      </w:r>
      <w:bookmarkEnd w:id="12"/>
    </w:p>
    <w:p w14:paraId="0000001F" w14:textId="3AFAEDB2"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Overall capital structure of the UK banking sector has been evaluated by computing the equity ratio and debt-equity ratio. Based on the results of the equity ratio of Lloyd bank, a fluctuation was determined during the last five years. The reason is that, in 2015 the ratio was 0.05 and in 2017 it became 0.06. An increment was evaluated in this financial factor</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Vickers,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However, in 2019 again a reduction took place in the financial activities of Lloyd banking company.</w:t>
      </w:r>
    </w:p>
    <w:p w14:paraId="00000020" w14:textId="77777777"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According to the equity ratio of Barclay banking institutions, it was evaluated that the ability of organizational management in resolving the shareholders was observed to be increased in the financial year 2019. Thus, it can be contemplated as a key success factor of organizational financial position. The value of equity share capital of this organization was greater than Lloyd bank. However, the value of assets was found to be lesser than its respective competitor.</w:t>
      </w:r>
    </w:p>
    <w:p w14:paraId="00000021" w14:textId="77777777" w:rsidR="00C65B51" w:rsidRPr="004F6549" w:rsidRDefault="00C65B51" w:rsidP="00E95AFC">
      <w:pPr>
        <w:spacing w:line="360" w:lineRule="auto"/>
        <w:jc w:val="both"/>
        <w:rPr>
          <w:rFonts w:ascii="Times New Roman" w:hAnsi="Times New Roman" w:cs="Times New Roman"/>
          <w:sz w:val="24"/>
          <w:szCs w:val="24"/>
        </w:rPr>
      </w:pPr>
    </w:p>
    <w:p w14:paraId="00000022" w14:textId="1F8698F2"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As the Santander bank is a general banking sector of a company, thus, financial figures are lower than other two </w:t>
      </w:r>
      <w:r w:rsidR="0075703F" w:rsidRPr="004F6549">
        <w:rPr>
          <w:rFonts w:ascii="Times New Roman" w:hAnsi="Times New Roman" w:cs="Times New Roman"/>
          <w:sz w:val="24"/>
          <w:szCs w:val="24"/>
        </w:rPr>
        <w:t>companies are</w:t>
      </w:r>
      <w:r w:rsidRPr="004F6549">
        <w:rPr>
          <w:rFonts w:ascii="Times New Roman" w:hAnsi="Times New Roman" w:cs="Times New Roman"/>
          <w:sz w:val="24"/>
          <w:szCs w:val="24"/>
        </w:rPr>
        <w:t>. However, the equity ratio of Santander baking company can be considered as stronger than Lloyds and Barclays bank. Since the financial year 2018, a decrement has taken place in the terms of equity ratio</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Keogh </w:t>
      </w:r>
      <w:r w:rsidR="00F52492" w:rsidRPr="004F6549">
        <w:rPr>
          <w:rFonts w:ascii="Times New Roman" w:hAnsi="Times New Roman" w:cs="Times New Roman"/>
          <w:i/>
          <w:sz w:val="24"/>
          <w:szCs w:val="24"/>
          <w:shd w:val="clear" w:color="auto" w:fill="FFFFFF"/>
        </w:rPr>
        <w:t>et al.</w:t>
      </w:r>
      <w:r w:rsidR="00F52492" w:rsidRPr="004F6549">
        <w:rPr>
          <w:rFonts w:ascii="Times New Roman" w:hAnsi="Times New Roman" w:cs="Times New Roman"/>
          <w:sz w:val="24"/>
          <w:szCs w:val="24"/>
          <w:shd w:val="clear" w:color="auto" w:fill="FFFFFF"/>
        </w:rPr>
        <w:t>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However, it was contemplated as in a greater financial </w:t>
      </w:r>
      <w:r w:rsidR="0075703F" w:rsidRPr="004F6549">
        <w:rPr>
          <w:rFonts w:ascii="Times New Roman" w:hAnsi="Times New Roman" w:cs="Times New Roman"/>
          <w:sz w:val="24"/>
          <w:szCs w:val="24"/>
        </w:rPr>
        <w:t>position than</w:t>
      </w:r>
      <w:r w:rsidRPr="004F6549">
        <w:rPr>
          <w:rFonts w:ascii="Times New Roman" w:hAnsi="Times New Roman" w:cs="Times New Roman"/>
          <w:sz w:val="24"/>
          <w:szCs w:val="24"/>
        </w:rPr>
        <w:t xml:space="preserve"> other selected organizations. The valuation of equity share capital was lesser than other banking organizations. </w:t>
      </w:r>
    </w:p>
    <w:p w14:paraId="00000023" w14:textId="77777777" w:rsidR="00C65B51" w:rsidRPr="004F6549" w:rsidRDefault="006C0F24" w:rsidP="00E95AFC">
      <w:pPr>
        <w:pStyle w:val="Heading3"/>
        <w:spacing w:line="360" w:lineRule="auto"/>
      </w:pPr>
      <w:bookmarkStart w:id="13" w:name="_Toc39166248"/>
      <w:r w:rsidRPr="004F6549">
        <w:t>2.1.2 Debt-equity ratio</w:t>
      </w:r>
      <w:bookmarkEnd w:id="13"/>
    </w:p>
    <w:p w14:paraId="00000024" w14:textId="0FA5E11F"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According to the results of the debt-equity ratio of Lloyds bank a poor financial performance was evaluated. The main reason is that, during the last 5 years, the amount of debt was observed to be increased in a greater amount than equity share capital. As it was specified to be an increased maximum double amount of equity share capital, thus, it can be contemplated as incapability of organizational financial authorities</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Zhao and Jones-Evans,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Efficient debt-equity ratio was 2 </w:t>
      </w:r>
      <w:proofErr w:type="gramStart"/>
      <w:r w:rsidRPr="004F6549">
        <w:rPr>
          <w:rFonts w:ascii="Times New Roman" w:hAnsi="Times New Roman" w:cs="Times New Roman"/>
          <w:sz w:val="24"/>
          <w:szCs w:val="24"/>
        </w:rPr>
        <w:t>and in this company</w:t>
      </w:r>
      <w:proofErr w:type="gramEnd"/>
      <w:r w:rsidRPr="004F6549">
        <w:rPr>
          <w:rFonts w:ascii="Times New Roman" w:hAnsi="Times New Roman" w:cs="Times New Roman"/>
          <w:sz w:val="24"/>
          <w:szCs w:val="24"/>
        </w:rPr>
        <w:t xml:space="preserve"> that ratio was more than 14. </w:t>
      </w:r>
    </w:p>
    <w:p w14:paraId="00000025" w14:textId="394F7094"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respect to the results of Barclays bank, the similar financial weakness has been determined, as the debt amount of this baking company was also lesser than the total value of equity. As an impact of this, the debt-equity ratio became 16 to 17. The liability of organizational financial </w:t>
      </w:r>
      <w:r w:rsidRPr="004F6549">
        <w:rPr>
          <w:rFonts w:ascii="Times New Roman" w:hAnsi="Times New Roman" w:cs="Times New Roman"/>
          <w:sz w:val="24"/>
          <w:szCs w:val="24"/>
        </w:rPr>
        <w:lastRenderedPageBreak/>
        <w:t>statements was observed to be greater than their assets. Hence, an ineffective financial management has been reflected by the financial reports. Both the value of debt a</w:t>
      </w:r>
      <w:r w:rsidR="0075703F" w:rsidRPr="004F6549">
        <w:rPr>
          <w:rFonts w:ascii="Times New Roman" w:hAnsi="Times New Roman" w:cs="Times New Roman"/>
          <w:sz w:val="24"/>
          <w:szCs w:val="24"/>
        </w:rPr>
        <w:t>nd</w:t>
      </w:r>
      <w:r w:rsidRPr="004F6549">
        <w:rPr>
          <w:rFonts w:ascii="Times New Roman" w:hAnsi="Times New Roman" w:cs="Times New Roman"/>
          <w:sz w:val="24"/>
          <w:szCs w:val="24"/>
        </w:rPr>
        <w:t xml:space="preserve"> equity share capital of Barclay was found to be greater than </w:t>
      </w:r>
      <w:r w:rsidR="0075703F" w:rsidRPr="004F6549">
        <w:rPr>
          <w:rFonts w:ascii="Times New Roman" w:hAnsi="Times New Roman" w:cs="Times New Roman"/>
          <w:sz w:val="24"/>
          <w:szCs w:val="24"/>
        </w:rPr>
        <w:t>Lloyds</w:t>
      </w:r>
      <w:r w:rsidRPr="004F6549">
        <w:rPr>
          <w:rFonts w:ascii="Times New Roman" w:hAnsi="Times New Roman" w:cs="Times New Roman"/>
          <w:sz w:val="24"/>
          <w:szCs w:val="24"/>
        </w:rPr>
        <w:t>.</w:t>
      </w:r>
    </w:p>
    <w:p w14:paraId="00000026" w14:textId="65EDC36D"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 part of the financial records of Santander banking sector, </w:t>
      </w:r>
      <w:r w:rsidR="0075703F" w:rsidRPr="004F6549">
        <w:rPr>
          <w:rFonts w:ascii="Times New Roman" w:hAnsi="Times New Roman" w:cs="Times New Roman"/>
          <w:sz w:val="24"/>
          <w:szCs w:val="24"/>
        </w:rPr>
        <w:t>both</w:t>
      </w:r>
      <w:r w:rsidRPr="004F6549">
        <w:rPr>
          <w:rFonts w:ascii="Times New Roman" w:hAnsi="Times New Roman" w:cs="Times New Roman"/>
          <w:sz w:val="24"/>
          <w:szCs w:val="24"/>
        </w:rPr>
        <w:t xml:space="preserve"> the value of equity share capital and debt amount was considered as lesser than the other select companies. The main reason is that </w:t>
      </w:r>
      <w:r w:rsidR="0075703F" w:rsidRPr="004F6549">
        <w:rPr>
          <w:rFonts w:ascii="Times New Roman" w:hAnsi="Times New Roman" w:cs="Times New Roman"/>
          <w:sz w:val="24"/>
          <w:szCs w:val="24"/>
        </w:rPr>
        <w:t>Santander</w:t>
      </w:r>
      <w:r w:rsidRPr="004F6549">
        <w:rPr>
          <w:rFonts w:ascii="Times New Roman" w:hAnsi="Times New Roman" w:cs="Times New Roman"/>
          <w:sz w:val="24"/>
          <w:szCs w:val="24"/>
        </w:rPr>
        <w:t xml:space="preserve"> is a medium </w:t>
      </w:r>
      <w:r w:rsidR="0075703F" w:rsidRPr="004F6549">
        <w:rPr>
          <w:rFonts w:ascii="Times New Roman" w:hAnsi="Times New Roman" w:cs="Times New Roman"/>
          <w:sz w:val="24"/>
          <w:szCs w:val="24"/>
        </w:rPr>
        <w:t>level-banking</w:t>
      </w:r>
      <w:r w:rsidRPr="004F6549">
        <w:rPr>
          <w:rFonts w:ascii="Times New Roman" w:hAnsi="Times New Roman" w:cs="Times New Roman"/>
          <w:sz w:val="24"/>
          <w:szCs w:val="24"/>
        </w:rPr>
        <w:t xml:space="preserve"> sector</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Güneş</w:t>
      </w:r>
      <w:proofErr w:type="spellEnd"/>
      <w:r w:rsidR="00F52492" w:rsidRPr="004F6549">
        <w:rPr>
          <w:rFonts w:ascii="Times New Roman" w:hAnsi="Times New Roman" w:cs="Times New Roman"/>
          <w:sz w:val="24"/>
          <w:szCs w:val="24"/>
          <w:shd w:val="clear" w:color="auto" w:fill="FFFFFF"/>
        </w:rPr>
        <w:t xml:space="preserve"> and </w:t>
      </w:r>
      <w:proofErr w:type="spellStart"/>
      <w:r w:rsidR="00F52492" w:rsidRPr="004F6549">
        <w:rPr>
          <w:rFonts w:ascii="Times New Roman" w:hAnsi="Times New Roman" w:cs="Times New Roman"/>
          <w:sz w:val="24"/>
          <w:szCs w:val="24"/>
          <w:shd w:val="clear" w:color="auto" w:fill="FFFFFF"/>
        </w:rPr>
        <w:t>Atılgan</w:t>
      </w:r>
      <w:proofErr w:type="spellEnd"/>
      <w:r w:rsidR="00F52492" w:rsidRPr="004F6549">
        <w:rPr>
          <w:rFonts w:ascii="Times New Roman" w:hAnsi="Times New Roman" w:cs="Times New Roman"/>
          <w:sz w:val="24"/>
          <w:szCs w:val="24"/>
          <w:shd w:val="clear" w:color="auto" w:fill="FFFFFF"/>
        </w:rPr>
        <w:t>,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w:t>
      </w:r>
      <w:r w:rsidR="0075703F" w:rsidRPr="004F6549">
        <w:rPr>
          <w:rFonts w:ascii="Times New Roman" w:hAnsi="Times New Roman" w:cs="Times New Roman"/>
          <w:sz w:val="24"/>
          <w:szCs w:val="24"/>
        </w:rPr>
        <w:t>However,</w:t>
      </w:r>
      <w:r w:rsidRPr="004F6549">
        <w:rPr>
          <w:rFonts w:ascii="Times New Roman" w:hAnsi="Times New Roman" w:cs="Times New Roman"/>
          <w:sz w:val="24"/>
          <w:szCs w:val="24"/>
        </w:rPr>
        <w:t xml:space="preserve"> the debt-equity ratio of this company reflects better financial </w:t>
      </w:r>
      <w:r w:rsidR="0075703F" w:rsidRPr="004F6549">
        <w:rPr>
          <w:rFonts w:ascii="Times New Roman" w:hAnsi="Times New Roman" w:cs="Times New Roman"/>
          <w:sz w:val="24"/>
          <w:szCs w:val="24"/>
        </w:rPr>
        <w:t>management</w:t>
      </w:r>
      <w:r w:rsidRPr="004F6549">
        <w:rPr>
          <w:rFonts w:ascii="Times New Roman" w:hAnsi="Times New Roman" w:cs="Times New Roman"/>
          <w:sz w:val="24"/>
          <w:szCs w:val="24"/>
        </w:rPr>
        <w:t xml:space="preserve"> in comparison to two big financial institutions.</w:t>
      </w:r>
    </w:p>
    <w:p w14:paraId="40405A00" w14:textId="77777777" w:rsidR="00F23E4D" w:rsidRDefault="00F23E4D">
      <w:pPr>
        <w:rPr>
          <w:rFonts w:ascii="Times New Roman" w:hAnsi="Times New Roman"/>
          <w:b/>
          <w:sz w:val="24"/>
          <w:szCs w:val="32"/>
        </w:rPr>
      </w:pPr>
      <w:bookmarkStart w:id="14" w:name="_Toc39166249"/>
      <w:r>
        <w:br w:type="page"/>
      </w:r>
    </w:p>
    <w:p w14:paraId="143189C7" w14:textId="77777777" w:rsidR="00B525D7" w:rsidRDefault="00B525D7" w:rsidP="00E95AFC">
      <w:pPr>
        <w:pStyle w:val="Heading2"/>
        <w:spacing w:line="360" w:lineRule="auto"/>
        <w:sectPr w:rsidR="00B525D7" w:rsidSect="005240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0000027" w14:textId="0031DE80" w:rsidR="00C65B51" w:rsidRDefault="006C0F24" w:rsidP="00E95AFC">
      <w:pPr>
        <w:pStyle w:val="Heading2"/>
        <w:spacing w:line="360" w:lineRule="auto"/>
      </w:pPr>
      <w:r w:rsidRPr="004F6549">
        <w:lastRenderedPageBreak/>
        <w:t>2.2 Liquidity level</w:t>
      </w:r>
      <w:bookmarkEnd w:id="14"/>
    </w:p>
    <w:tbl>
      <w:tblPr>
        <w:tblW w:w="5090" w:type="pct"/>
        <w:tblLayout w:type="fixed"/>
        <w:tblLook w:val="04A0" w:firstRow="1" w:lastRow="0" w:firstColumn="1" w:lastColumn="0" w:noHBand="0" w:noVBand="1"/>
      </w:tblPr>
      <w:tblGrid>
        <w:gridCol w:w="485"/>
        <w:gridCol w:w="493"/>
        <w:gridCol w:w="493"/>
        <w:gridCol w:w="348"/>
        <w:gridCol w:w="123"/>
        <w:gridCol w:w="325"/>
        <w:gridCol w:w="1218"/>
        <w:gridCol w:w="923"/>
        <w:gridCol w:w="325"/>
        <w:gridCol w:w="488"/>
        <w:gridCol w:w="494"/>
        <w:gridCol w:w="496"/>
        <w:gridCol w:w="290"/>
        <w:gridCol w:w="182"/>
        <w:gridCol w:w="325"/>
        <w:gridCol w:w="1229"/>
        <w:gridCol w:w="687"/>
        <w:gridCol w:w="325"/>
        <w:gridCol w:w="491"/>
        <w:gridCol w:w="496"/>
        <w:gridCol w:w="496"/>
        <w:gridCol w:w="223"/>
        <w:gridCol w:w="247"/>
        <w:gridCol w:w="325"/>
        <w:gridCol w:w="1218"/>
        <w:gridCol w:w="668"/>
      </w:tblGrid>
      <w:tr w:rsidR="008B6FFF" w:rsidRPr="00FF6AFF" w14:paraId="5DE1E940" w14:textId="77777777" w:rsidTr="00C559F6">
        <w:trPr>
          <w:trHeight w:val="300"/>
        </w:trPr>
        <w:tc>
          <w:tcPr>
            <w:tcW w:w="1643" w:type="pct"/>
            <w:gridSpan w:val="8"/>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5D4A7C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Lloyds Bank</w:t>
            </w:r>
          </w:p>
        </w:tc>
        <w:tc>
          <w:tcPr>
            <w:tcW w:w="121" w:type="pct"/>
            <w:tcBorders>
              <w:top w:val="nil"/>
              <w:left w:val="nil"/>
              <w:bottom w:val="nil"/>
              <w:right w:val="nil"/>
            </w:tcBorders>
            <w:shd w:val="clear" w:color="auto" w:fill="auto"/>
            <w:noWrap/>
            <w:vAlign w:val="bottom"/>
            <w:hideMark/>
          </w:tcPr>
          <w:p w14:paraId="5A36260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62" w:type="pct"/>
            <w:gridSpan w:val="8"/>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A5CFFF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Barclay Bank</w:t>
            </w:r>
          </w:p>
        </w:tc>
        <w:tc>
          <w:tcPr>
            <w:tcW w:w="121" w:type="pct"/>
            <w:tcBorders>
              <w:top w:val="nil"/>
              <w:left w:val="nil"/>
              <w:bottom w:val="nil"/>
              <w:right w:val="nil"/>
            </w:tcBorders>
            <w:shd w:val="clear" w:color="auto" w:fill="auto"/>
            <w:noWrap/>
            <w:vAlign w:val="bottom"/>
            <w:hideMark/>
          </w:tcPr>
          <w:p w14:paraId="0CD41CB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53" w:type="pct"/>
            <w:gridSpan w:val="8"/>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05D7F1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Santander Bank</w:t>
            </w:r>
          </w:p>
        </w:tc>
      </w:tr>
      <w:tr w:rsidR="008B6FFF" w:rsidRPr="00FF6AFF" w14:paraId="6F4905B0" w14:textId="77777777" w:rsidTr="00C559F6">
        <w:trPr>
          <w:trHeight w:val="135"/>
        </w:trPr>
        <w:tc>
          <w:tcPr>
            <w:tcW w:w="181" w:type="pct"/>
            <w:tcBorders>
              <w:top w:val="nil"/>
              <w:left w:val="single" w:sz="8" w:space="0" w:color="auto"/>
              <w:bottom w:val="nil"/>
              <w:right w:val="nil"/>
            </w:tcBorders>
            <w:shd w:val="clear" w:color="auto" w:fill="auto"/>
            <w:noWrap/>
            <w:vAlign w:val="bottom"/>
            <w:hideMark/>
          </w:tcPr>
          <w:p w14:paraId="3EBE302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4" w:type="pct"/>
            <w:tcBorders>
              <w:top w:val="nil"/>
              <w:left w:val="nil"/>
              <w:bottom w:val="nil"/>
              <w:right w:val="nil"/>
            </w:tcBorders>
            <w:shd w:val="clear" w:color="auto" w:fill="auto"/>
            <w:noWrap/>
            <w:vAlign w:val="bottom"/>
            <w:hideMark/>
          </w:tcPr>
          <w:p w14:paraId="214A950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4" w:type="pct"/>
            <w:tcBorders>
              <w:top w:val="nil"/>
              <w:left w:val="nil"/>
              <w:bottom w:val="nil"/>
              <w:right w:val="nil"/>
            </w:tcBorders>
            <w:shd w:val="clear" w:color="auto" w:fill="auto"/>
            <w:noWrap/>
            <w:vAlign w:val="bottom"/>
            <w:hideMark/>
          </w:tcPr>
          <w:p w14:paraId="4543D1E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6" w:type="pct"/>
            <w:gridSpan w:val="2"/>
            <w:tcBorders>
              <w:top w:val="nil"/>
              <w:left w:val="nil"/>
              <w:bottom w:val="nil"/>
              <w:right w:val="nil"/>
            </w:tcBorders>
            <w:shd w:val="clear" w:color="auto" w:fill="auto"/>
            <w:noWrap/>
            <w:vAlign w:val="bottom"/>
            <w:hideMark/>
          </w:tcPr>
          <w:p w14:paraId="55D7A89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4D6C5C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4" w:type="pct"/>
            <w:tcBorders>
              <w:top w:val="nil"/>
              <w:left w:val="nil"/>
              <w:bottom w:val="nil"/>
              <w:right w:val="nil"/>
            </w:tcBorders>
            <w:shd w:val="clear" w:color="auto" w:fill="auto"/>
            <w:noWrap/>
            <w:vAlign w:val="bottom"/>
            <w:hideMark/>
          </w:tcPr>
          <w:p w14:paraId="51343FB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44" w:type="pct"/>
            <w:tcBorders>
              <w:top w:val="nil"/>
              <w:left w:val="nil"/>
              <w:bottom w:val="nil"/>
              <w:right w:val="single" w:sz="8" w:space="0" w:color="auto"/>
            </w:tcBorders>
            <w:shd w:val="clear" w:color="auto" w:fill="auto"/>
            <w:noWrap/>
            <w:vAlign w:val="bottom"/>
            <w:hideMark/>
          </w:tcPr>
          <w:p w14:paraId="5C7E163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1" w:type="pct"/>
            <w:tcBorders>
              <w:top w:val="nil"/>
              <w:left w:val="nil"/>
              <w:bottom w:val="nil"/>
              <w:right w:val="nil"/>
            </w:tcBorders>
            <w:shd w:val="clear" w:color="auto" w:fill="auto"/>
            <w:noWrap/>
            <w:vAlign w:val="bottom"/>
            <w:hideMark/>
          </w:tcPr>
          <w:p w14:paraId="6C2827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tcBorders>
              <w:top w:val="nil"/>
              <w:left w:val="single" w:sz="8" w:space="0" w:color="auto"/>
              <w:bottom w:val="nil"/>
              <w:right w:val="nil"/>
            </w:tcBorders>
            <w:shd w:val="clear" w:color="auto" w:fill="auto"/>
            <w:noWrap/>
            <w:vAlign w:val="bottom"/>
            <w:hideMark/>
          </w:tcPr>
          <w:p w14:paraId="5B81728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4" w:type="pct"/>
            <w:tcBorders>
              <w:top w:val="nil"/>
              <w:left w:val="nil"/>
              <w:bottom w:val="nil"/>
              <w:right w:val="nil"/>
            </w:tcBorders>
            <w:shd w:val="clear" w:color="auto" w:fill="auto"/>
            <w:noWrap/>
            <w:vAlign w:val="bottom"/>
            <w:hideMark/>
          </w:tcPr>
          <w:p w14:paraId="1013BB6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5" w:type="pct"/>
            <w:tcBorders>
              <w:top w:val="nil"/>
              <w:left w:val="nil"/>
              <w:bottom w:val="nil"/>
              <w:right w:val="nil"/>
            </w:tcBorders>
            <w:shd w:val="clear" w:color="auto" w:fill="auto"/>
            <w:noWrap/>
            <w:vAlign w:val="bottom"/>
            <w:hideMark/>
          </w:tcPr>
          <w:p w14:paraId="600A0D4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6" w:type="pct"/>
            <w:gridSpan w:val="2"/>
            <w:tcBorders>
              <w:top w:val="nil"/>
              <w:left w:val="nil"/>
              <w:bottom w:val="nil"/>
              <w:right w:val="nil"/>
            </w:tcBorders>
            <w:shd w:val="clear" w:color="auto" w:fill="auto"/>
            <w:noWrap/>
            <w:vAlign w:val="bottom"/>
            <w:hideMark/>
          </w:tcPr>
          <w:p w14:paraId="7CAC3DF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76D269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7" w:type="pct"/>
            <w:tcBorders>
              <w:top w:val="nil"/>
              <w:left w:val="nil"/>
              <w:bottom w:val="nil"/>
              <w:right w:val="nil"/>
            </w:tcBorders>
            <w:shd w:val="clear" w:color="auto" w:fill="auto"/>
            <w:noWrap/>
            <w:vAlign w:val="bottom"/>
            <w:hideMark/>
          </w:tcPr>
          <w:p w14:paraId="0133955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nil"/>
              <w:bottom w:val="nil"/>
              <w:right w:val="single" w:sz="8" w:space="0" w:color="auto"/>
            </w:tcBorders>
            <w:shd w:val="clear" w:color="auto" w:fill="auto"/>
            <w:noWrap/>
            <w:vAlign w:val="bottom"/>
            <w:hideMark/>
          </w:tcPr>
          <w:p w14:paraId="32F590B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1" w:type="pct"/>
            <w:tcBorders>
              <w:top w:val="nil"/>
              <w:left w:val="nil"/>
              <w:bottom w:val="nil"/>
              <w:right w:val="nil"/>
            </w:tcBorders>
            <w:shd w:val="clear" w:color="auto" w:fill="auto"/>
            <w:noWrap/>
            <w:vAlign w:val="bottom"/>
            <w:hideMark/>
          </w:tcPr>
          <w:p w14:paraId="11BD68F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tcBorders>
              <w:top w:val="nil"/>
              <w:left w:val="single" w:sz="8" w:space="0" w:color="auto"/>
              <w:bottom w:val="nil"/>
              <w:right w:val="nil"/>
            </w:tcBorders>
            <w:shd w:val="clear" w:color="auto" w:fill="auto"/>
            <w:noWrap/>
            <w:vAlign w:val="bottom"/>
            <w:hideMark/>
          </w:tcPr>
          <w:p w14:paraId="2A71933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5" w:type="pct"/>
            <w:tcBorders>
              <w:top w:val="nil"/>
              <w:left w:val="nil"/>
              <w:bottom w:val="nil"/>
              <w:right w:val="nil"/>
            </w:tcBorders>
            <w:shd w:val="clear" w:color="auto" w:fill="auto"/>
            <w:noWrap/>
            <w:vAlign w:val="bottom"/>
            <w:hideMark/>
          </w:tcPr>
          <w:p w14:paraId="6229198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5" w:type="pct"/>
            <w:tcBorders>
              <w:top w:val="nil"/>
              <w:left w:val="nil"/>
              <w:bottom w:val="nil"/>
              <w:right w:val="nil"/>
            </w:tcBorders>
            <w:shd w:val="clear" w:color="auto" w:fill="auto"/>
            <w:noWrap/>
            <w:vAlign w:val="bottom"/>
            <w:hideMark/>
          </w:tcPr>
          <w:p w14:paraId="5DC62E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5" w:type="pct"/>
            <w:gridSpan w:val="2"/>
            <w:tcBorders>
              <w:top w:val="nil"/>
              <w:left w:val="nil"/>
              <w:bottom w:val="nil"/>
              <w:right w:val="nil"/>
            </w:tcBorders>
            <w:shd w:val="clear" w:color="auto" w:fill="auto"/>
            <w:noWrap/>
            <w:vAlign w:val="bottom"/>
            <w:hideMark/>
          </w:tcPr>
          <w:p w14:paraId="16FC229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61C6CB9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tcBorders>
              <w:top w:val="nil"/>
              <w:left w:val="nil"/>
              <w:bottom w:val="nil"/>
              <w:right w:val="nil"/>
            </w:tcBorders>
            <w:shd w:val="clear" w:color="auto" w:fill="auto"/>
            <w:noWrap/>
            <w:vAlign w:val="bottom"/>
            <w:hideMark/>
          </w:tcPr>
          <w:p w14:paraId="227D8BE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9" w:type="pct"/>
            <w:tcBorders>
              <w:top w:val="nil"/>
              <w:left w:val="nil"/>
              <w:bottom w:val="nil"/>
              <w:right w:val="single" w:sz="8" w:space="0" w:color="auto"/>
            </w:tcBorders>
            <w:shd w:val="clear" w:color="auto" w:fill="auto"/>
            <w:noWrap/>
            <w:vAlign w:val="bottom"/>
            <w:hideMark/>
          </w:tcPr>
          <w:p w14:paraId="456C857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5111CD1B" w14:textId="77777777" w:rsidTr="00C559F6">
        <w:trPr>
          <w:trHeight w:val="300"/>
        </w:trPr>
        <w:tc>
          <w:tcPr>
            <w:tcW w:w="1643"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F6C1A8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Current ratio</w:t>
            </w:r>
          </w:p>
        </w:tc>
        <w:tc>
          <w:tcPr>
            <w:tcW w:w="121" w:type="pct"/>
            <w:tcBorders>
              <w:top w:val="nil"/>
              <w:left w:val="nil"/>
              <w:bottom w:val="nil"/>
              <w:right w:val="nil"/>
            </w:tcBorders>
            <w:shd w:val="clear" w:color="auto" w:fill="auto"/>
            <w:noWrap/>
            <w:vAlign w:val="bottom"/>
            <w:hideMark/>
          </w:tcPr>
          <w:p w14:paraId="5141EAE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62"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8DCAB0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Current ratio</w:t>
            </w:r>
          </w:p>
        </w:tc>
        <w:tc>
          <w:tcPr>
            <w:tcW w:w="121" w:type="pct"/>
            <w:tcBorders>
              <w:top w:val="nil"/>
              <w:left w:val="nil"/>
              <w:bottom w:val="nil"/>
              <w:right w:val="nil"/>
            </w:tcBorders>
            <w:shd w:val="clear" w:color="auto" w:fill="auto"/>
            <w:noWrap/>
            <w:vAlign w:val="bottom"/>
            <w:hideMark/>
          </w:tcPr>
          <w:p w14:paraId="749A1D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53"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77C27D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Current ratio</w:t>
            </w:r>
          </w:p>
        </w:tc>
      </w:tr>
      <w:tr w:rsidR="008B6FFF" w:rsidRPr="00FF6AFF" w14:paraId="464F79BA" w14:textId="77777777" w:rsidTr="00C559F6">
        <w:trPr>
          <w:trHeight w:val="300"/>
        </w:trPr>
        <w:tc>
          <w:tcPr>
            <w:tcW w:w="181" w:type="pct"/>
            <w:tcBorders>
              <w:top w:val="nil"/>
              <w:left w:val="single" w:sz="8" w:space="0" w:color="auto"/>
              <w:bottom w:val="single" w:sz="4" w:space="0" w:color="auto"/>
              <w:right w:val="single" w:sz="4" w:space="0" w:color="auto"/>
            </w:tcBorders>
            <w:shd w:val="clear" w:color="auto" w:fill="auto"/>
            <w:noWrap/>
            <w:vAlign w:val="center"/>
            <w:hideMark/>
          </w:tcPr>
          <w:p w14:paraId="32F668C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98" w:type="pct"/>
            <w:gridSpan w:val="3"/>
            <w:tcBorders>
              <w:top w:val="single" w:sz="4" w:space="0" w:color="auto"/>
              <w:left w:val="nil"/>
              <w:bottom w:val="single" w:sz="4" w:space="0" w:color="auto"/>
              <w:right w:val="single" w:sz="4" w:space="0" w:color="auto"/>
            </w:tcBorders>
            <w:shd w:val="clear" w:color="auto" w:fill="auto"/>
            <w:noWrap/>
            <w:vAlign w:val="center"/>
            <w:hideMark/>
          </w:tcPr>
          <w:p w14:paraId="321DE685"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21" w:type="pct"/>
            <w:gridSpan w:val="3"/>
            <w:tcBorders>
              <w:top w:val="nil"/>
              <w:left w:val="nil"/>
              <w:bottom w:val="single" w:sz="4" w:space="0" w:color="auto"/>
              <w:right w:val="single" w:sz="4" w:space="0" w:color="auto"/>
            </w:tcBorders>
            <w:shd w:val="clear" w:color="auto" w:fill="auto"/>
            <w:noWrap/>
            <w:vAlign w:val="center"/>
            <w:hideMark/>
          </w:tcPr>
          <w:p w14:paraId="4021427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44" w:type="pct"/>
            <w:tcBorders>
              <w:top w:val="nil"/>
              <w:left w:val="nil"/>
              <w:bottom w:val="single" w:sz="4" w:space="0" w:color="auto"/>
              <w:right w:val="single" w:sz="8" w:space="0" w:color="auto"/>
            </w:tcBorders>
            <w:shd w:val="clear" w:color="auto" w:fill="auto"/>
            <w:noWrap/>
            <w:vAlign w:val="center"/>
            <w:hideMark/>
          </w:tcPr>
          <w:p w14:paraId="56FF103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121" w:type="pct"/>
            <w:tcBorders>
              <w:top w:val="nil"/>
              <w:left w:val="nil"/>
              <w:bottom w:val="nil"/>
              <w:right w:val="nil"/>
            </w:tcBorders>
            <w:shd w:val="clear" w:color="auto" w:fill="auto"/>
            <w:noWrap/>
            <w:vAlign w:val="bottom"/>
            <w:hideMark/>
          </w:tcPr>
          <w:p w14:paraId="121DF1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tcBorders>
              <w:top w:val="nil"/>
              <w:left w:val="single" w:sz="8" w:space="0" w:color="auto"/>
              <w:bottom w:val="single" w:sz="4" w:space="0" w:color="auto"/>
              <w:right w:val="single" w:sz="4" w:space="0" w:color="auto"/>
            </w:tcBorders>
            <w:shd w:val="clear" w:color="auto" w:fill="auto"/>
            <w:noWrap/>
            <w:vAlign w:val="center"/>
            <w:hideMark/>
          </w:tcPr>
          <w:p w14:paraId="21B4C50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77" w:type="pct"/>
            <w:gridSpan w:val="3"/>
            <w:tcBorders>
              <w:top w:val="single" w:sz="4" w:space="0" w:color="auto"/>
              <w:left w:val="nil"/>
              <w:bottom w:val="single" w:sz="4" w:space="0" w:color="auto"/>
              <w:right w:val="single" w:sz="4" w:space="0" w:color="auto"/>
            </w:tcBorders>
            <w:shd w:val="clear" w:color="auto" w:fill="auto"/>
            <w:noWrap/>
            <w:vAlign w:val="center"/>
            <w:hideMark/>
          </w:tcPr>
          <w:p w14:paraId="2EF87B4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47" w:type="pct"/>
            <w:gridSpan w:val="3"/>
            <w:tcBorders>
              <w:top w:val="nil"/>
              <w:left w:val="nil"/>
              <w:bottom w:val="single" w:sz="4" w:space="0" w:color="auto"/>
              <w:right w:val="single" w:sz="4" w:space="0" w:color="auto"/>
            </w:tcBorders>
            <w:shd w:val="clear" w:color="auto" w:fill="auto"/>
            <w:noWrap/>
            <w:vAlign w:val="center"/>
            <w:hideMark/>
          </w:tcPr>
          <w:p w14:paraId="0D9F5BA5"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256" w:type="pct"/>
            <w:tcBorders>
              <w:top w:val="nil"/>
              <w:left w:val="nil"/>
              <w:bottom w:val="single" w:sz="4" w:space="0" w:color="auto"/>
              <w:right w:val="single" w:sz="8" w:space="0" w:color="auto"/>
            </w:tcBorders>
            <w:shd w:val="clear" w:color="auto" w:fill="auto"/>
            <w:noWrap/>
            <w:vAlign w:val="center"/>
            <w:hideMark/>
          </w:tcPr>
          <w:p w14:paraId="358B898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121" w:type="pct"/>
            <w:tcBorders>
              <w:top w:val="nil"/>
              <w:left w:val="nil"/>
              <w:bottom w:val="nil"/>
              <w:right w:val="nil"/>
            </w:tcBorders>
            <w:shd w:val="clear" w:color="auto" w:fill="auto"/>
            <w:noWrap/>
            <w:vAlign w:val="bottom"/>
            <w:hideMark/>
          </w:tcPr>
          <w:p w14:paraId="4527EFE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tcBorders>
              <w:top w:val="nil"/>
              <w:left w:val="single" w:sz="8" w:space="0" w:color="auto"/>
              <w:bottom w:val="single" w:sz="4" w:space="0" w:color="auto"/>
              <w:right w:val="single" w:sz="4" w:space="0" w:color="auto"/>
            </w:tcBorders>
            <w:shd w:val="clear" w:color="auto" w:fill="auto"/>
            <w:noWrap/>
            <w:vAlign w:val="center"/>
            <w:hideMark/>
          </w:tcPr>
          <w:p w14:paraId="282B9EC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53" w:type="pct"/>
            <w:gridSpan w:val="3"/>
            <w:tcBorders>
              <w:top w:val="single" w:sz="4" w:space="0" w:color="auto"/>
              <w:left w:val="nil"/>
              <w:bottom w:val="single" w:sz="4" w:space="0" w:color="auto"/>
              <w:right w:val="single" w:sz="4" w:space="0" w:color="auto"/>
            </w:tcBorders>
            <w:shd w:val="clear" w:color="auto" w:fill="auto"/>
            <w:noWrap/>
            <w:vAlign w:val="center"/>
            <w:hideMark/>
          </w:tcPr>
          <w:p w14:paraId="2C76152D"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667" w:type="pct"/>
            <w:gridSpan w:val="3"/>
            <w:tcBorders>
              <w:top w:val="nil"/>
              <w:left w:val="nil"/>
              <w:bottom w:val="single" w:sz="4" w:space="0" w:color="auto"/>
              <w:right w:val="single" w:sz="4" w:space="0" w:color="auto"/>
            </w:tcBorders>
            <w:shd w:val="clear" w:color="auto" w:fill="auto"/>
            <w:noWrap/>
            <w:vAlign w:val="center"/>
            <w:hideMark/>
          </w:tcPr>
          <w:p w14:paraId="491728A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249" w:type="pct"/>
            <w:tcBorders>
              <w:top w:val="nil"/>
              <w:left w:val="nil"/>
              <w:bottom w:val="single" w:sz="4" w:space="0" w:color="auto"/>
              <w:right w:val="single" w:sz="8" w:space="0" w:color="auto"/>
            </w:tcBorders>
            <w:shd w:val="clear" w:color="auto" w:fill="auto"/>
            <w:noWrap/>
            <w:vAlign w:val="center"/>
            <w:hideMark/>
          </w:tcPr>
          <w:p w14:paraId="187E74B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107ECC3A" w14:textId="77777777" w:rsidTr="00C559F6">
        <w:trPr>
          <w:trHeight w:val="278"/>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1FD9CB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2972625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2433644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353,893.00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29A7B8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1.909838</w:t>
            </w:r>
          </w:p>
        </w:tc>
        <w:tc>
          <w:tcPr>
            <w:tcW w:w="121" w:type="pct"/>
            <w:tcBorders>
              <w:top w:val="nil"/>
              <w:left w:val="nil"/>
              <w:bottom w:val="nil"/>
              <w:right w:val="nil"/>
            </w:tcBorders>
            <w:shd w:val="clear" w:color="auto" w:fill="auto"/>
            <w:noWrap/>
            <w:vAlign w:val="bottom"/>
            <w:hideMark/>
          </w:tcPr>
          <w:p w14:paraId="5B823A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DFC7AB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9FBEAC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606AFEF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248,293.00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3C4B47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1.339951</w:t>
            </w:r>
          </w:p>
        </w:tc>
        <w:tc>
          <w:tcPr>
            <w:tcW w:w="121" w:type="pct"/>
            <w:tcBorders>
              <w:top w:val="nil"/>
              <w:left w:val="nil"/>
              <w:bottom w:val="nil"/>
              <w:right w:val="nil"/>
            </w:tcBorders>
            <w:shd w:val="clear" w:color="auto" w:fill="auto"/>
            <w:noWrap/>
            <w:vAlign w:val="bottom"/>
            <w:hideMark/>
          </w:tcPr>
          <w:p w14:paraId="2C4CAF9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4F93D0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38A7E59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1C20228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59,860.00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7D9903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1.681461</w:t>
            </w:r>
          </w:p>
        </w:tc>
      </w:tr>
      <w:tr w:rsidR="008B6FFF" w:rsidRPr="00FF6AFF" w14:paraId="432752C0"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6B6D87A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63FA603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174B227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185,300.00 </w:t>
            </w:r>
          </w:p>
        </w:tc>
        <w:tc>
          <w:tcPr>
            <w:tcW w:w="344" w:type="pct"/>
            <w:vMerge/>
            <w:tcBorders>
              <w:top w:val="nil"/>
              <w:left w:val="single" w:sz="4" w:space="0" w:color="auto"/>
              <w:bottom w:val="single" w:sz="4" w:space="0" w:color="auto"/>
              <w:right w:val="single" w:sz="8" w:space="0" w:color="auto"/>
            </w:tcBorders>
            <w:vAlign w:val="center"/>
            <w:hideMark/>
          </w:tcPr>
          <w:p w14:paraId="3876C1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EE8EA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0889EAE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E067BF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49CE5B7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185,300.00 </w:t>
            </w:r>
          </w:p>
        </w:tc>
        <w:tc>
          <w:tcPr>
            <w:tcW w:w="256" w:type="pct"/>
            <w:vMerge/>
            <w:tcBorders>
              <w:top w:val="nil"/>
              <w:left w:val="single" w:sz="4" w:space="0" w:color="auto"/>
              <w:bottom w:val="single" w:sz="4" w:space="0" w:color="auto"/>
              <w:right w:val="single" w:sz="8" w:space="0" w:color="auto"/>
            </w:tcBorders>
            <w:vAlign w:val="center"/>
            <w:hideMark/>
          </w:tcPr>
          <w:p w14:paraId="0C98C36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5B8DC71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691CD5A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123CC53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4066207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35,600.00 </w:t>
            </w:r>
          </w:p>
        </w:tc>
        <w:tc>
          <w:tcPr>
            <w:tcW w:w="249" w:type="pct"/>
            <w:vMerge/>
            <w:tcBorders>
              <w:top w:val="nil"/>
              <w:left w:val="single" w:sz="4" w:space="0" w:color="auto"/>
              <w:bottom w:val="single" w:sz="4" w:space="0" w:color="auto"/>
              <w:right w:val="single" w:sz="8" w:space="0" w:color="auto"/>
            </w:tcBorders>
            <w:vAlign w:val="center"/>
            <w:hideMark/>
          </w:tcPr>
          <w:p w14:paraId="28F7BD5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7BEFD22"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69E66A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15D57C9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3A18CDB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100,526.00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4980BA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1.174095</w:t>
            </w:r>
          </w:p>
        </w:tc>
        <w:tc>
          <w:tcPr>
            <w:tcW w:w="121" w:type="pct"/>
            <w:tcBorders>
              <w:top w:val="nil"/>
              <w:left w:val="nil"/>
              <w:bottom w:val="nil"/>
              <w:right w:val="nil"/>
            </w:tcBorders>
            <w:shd w:val="clear" w:color="auto" w:fill="auto"/>
            <w:noWrap/>
            <w:vAlign w:val="bottom"/>
            <w:hideMark/>
          </w:tcPr>
          <w:p w14:paraId="380374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79C687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65FC1F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62A117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269,500.00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920520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3.147629</w:t>
            </w:r>
          </w:p>
        </w:tc>
        <w:tc>
          <w:tcPr>
            <w:tcW w:w="121" w:type="pct"/>
            <w:tcBorders>
              <w:top w:val="nil"/>
              <w:left w:val="nil"/>
              <w:bottom w:val="nil"/>
              <w:right w:val="nil"/>
            </w:tcBorders>
            <w:shd w:val="clear" w:color="auto" w:fill="auto"/>
            <w:noWrap/>
            <w:vAlign w:val="bottom"/>
            <w:hideMark/>
          </w:tcPr>
          <w:p w14:paraId="47F738A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244FFE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5C1B668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2239999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65,322.00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6C53CE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2.581897</w:t>
            </w:r>
          </w:p>
        </w:tc>
      </w:tr>
      <w:tr w:rsidR="008B6FFF" w:rsidRPr="00FF6AFF" w14:paraId="214E1F9F"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6501BB3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0E774FB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1239340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85,620.00 </w:t>
            </w:r>
          </w:p>
        </w:tc>
        <w:tc>
          <w:tcPr>
            <w:tcW w:w="344" w:type="pct"/>
            <w:vMerge/>
            <w:tcBorders>
              <w:top w:val="nil"/>
              <w:left w:val="single" w:sz="4" w:space="0" w:color="auto"/>
              <w:bottom w:val="single" w:sz="4" w:space="0" w:color="auto"/>
              <w:right w:val="single" w:sz="8" w:space="0" w:color="auto"/>
            </w:tcBorders>
            <w:vAlign w:val="center"/>
            <w:hideMark/>
          </w:tcPr>
          <w:p w14:paraId="378E04F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5E61BE2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66C8445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BF1BE1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415D94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85,620.00 </w:t>
            </w:r>
          </w:p>
        </w:tc>
        <w:tc>
          <w:tcPr>
            <w:tcW w:w="256" w:type="pct"/>
            <w:vMerge/>
            <w:tcBorders>
              <w:top w:val="nil"/>
              <w:left w:val="single" w:sz="4" w:space="0" w:color="auto"/>
              <w:bottom w:val="single" w:sz="4" w:space="0" w:color="auto"/>
              <w:right w:val="single" w:sz="8" w:space="0" w:color="auto"/>
            </w:tcBorders>
            <w:vAlign w:val="center"/>
            <w:hideMark/>
          </w:tcPr>
          <w:p w14:paraId="053CAA9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0368649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56E83F5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26D1B1F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55A4F2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25,300.00 </w:t>
            </w:r>
          </w:p>
        </w:tc>
        <w:tc>
          <w:tcPr>
            <w:tcW w:w="249" w:type="pct"/>
            <w:vMerge/>
            <w:tcBorders>
              <w:top w:val="nil"/>
              <w:left w:val="single" w:sz="4" w:space="0" w:color="auto"/>
              <w:bottom w:val="single" w:sz="4" w:space="0" w:color="auto"/>
              <w:right w:val="single" w:sz="8" w:space="0" w:color="auto"/>
            </w:tcBorders>
            <w:vAlign w:val="center"/>
            <w:hideMark/>
          </w:tcPr>
          <w:p w14:paraId="33F035D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50F9CA6C"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D1FD82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59B4FFC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0FC54F6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102,536.00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F851C8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1.072193</w:t>
            </w:r>
          </w:p>
        </w:tc>
        <w:tc>
          <w:tcPr>
            <w:tcW w:w="121" w:type="pct"/>
            <w:tcBorders>
              <w:top w:val="nil"/>
              <w:left w:val="nil"/>
              <w:bottom w:val="nil"/>
              <w:right w:val="nil"/>
            </w:tcBorders>
            <w:shd w:val="clear" w:color="auto" w:fill="auto"/>
            <w:noWrap/>
            <w:vAlign w:val="bottom"/>
            <w:hideMark/>
          </w:tcPr>
          <w:p w14:paraId="50A3702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911981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303F4E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69D83B1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298,300.00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760632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3.119249</w:t>
            </w:r>
          </w:p>
        </w:tc>
        <w:tc>
          <w:tcPr>
            <w:tcW w:w="121" w:type="pct"/>
            <w:tcBorders>
              <w:top w:val="nil"/>
              <w:left w:val="nil"/>
              <w:bottom w:val="nil"/>
              <w:right w:val="nil"/>
            </w:tcBorders>
            <w:shd w:val="clear" w:color="auto" w:fill="auto"/>
            <w:noWrap/>
            <w:vAlign w:val="bottom"/>
            <w:hideMark/>
          </w:tcPr>
          <w:p w14:paraId="37C9DC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62BCFF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69D75A2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05AB69C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58,960.00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C06EE8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2.302136</w:t>
            </w:r>
          </w:p>
        </w:tc>
      </w:tr>
      <w:tr w:rsidR="008B6FFF" w:rsidRPr="00FF6AFF" w14:paraId="280B7BBF"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19D764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7728359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5C9D2D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95,632.00 </w:t>
            </w:r>
          </w:p>
        </w:tc>
        <w:tc>
          <w:tcPr>
            <w:tcW w:w="344" w:type="pct"/>
            <w:vMerge/>
            <w:tcBorders>
              <w:top w:val="nil"/>
              <w:left w:val="single" w:sz="4" w:space="0" w:color="auto"/>
              <w:bottom w:val="single" w:sz="4" w:space="0" w:color="auto"/>
              <w:right w:val="single" w:sz="8" w:space="0" w:color="auto"/>
            </w:tcBorders>
            <w:vAlign w:val="center"/>
            <w:hideMark/>
          </w:tcPr>
          <w:p w14:paraId="14F908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0B920E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492FBB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7311EB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427501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95,632.00 </w:t>
            </w:r>
          </w:p>
        </w:tc>
        <w:tc>
          <w:tcPr>
            <w:tcW w:w="256" w:type="pct"/>
            <w:vMerge/>
            <w:tcBorders>
              <w:top w:val="nil"/>
              <w:left w:val="single" w:sz="4" w:space="0" w:color="auto"/>
              <w:bottom w:val="single" w:sz="4" w:space="0" w:color="auto"/>
              <w:right w:val="single" w:sz="8" w:space="0" w:color="auto"/>
            </w:tcBorders>
            <w:vAlign w:val="center"/>
            <w:hideMark/>
          </w:tcPr>
          <w:p w14:paraId="1DB8A82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50189CB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5B41E9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0A96BB9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53A7733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25,611.00 </w:t>
            </w:r>
          </w:p>
        </w:tc>
        <w:tc>
          <w:tcPr>
            <w:tcW w:w="249" w:type="pct"/>
            <w:vMerge/>
            <w:tcBorders>
              <w:top w:val="nil"/>
              <w:left w:val="single" w:sz="4" w:space="0" w:color="auto"/>
              <w:bottom w:val="single" w:sz="4" w:space="0" w:color="auto"/>
              <w:right w:val="single" w:sz="8" w:space="0" w:color="auto"/>
            </w:tcBorders>
            <w:vAlign w:val="center"/>
            <w:hideMark/>
          </w:tcPr>
          <w:p w14:paraId="59FBB2E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07800FCF"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B9725D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50930EE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34AEB7E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112,035.00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DD24E3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1.978368</w:t>
            </w:r>
          </w:p>
        </w:tc>
        <w:tc>
          <w:tcPr>
            <w:tcW w:w="121" w:type="pct"/>
            <w:tcBorders>
              <w:top w:val="nil"/>
              <w:left w:val="nil"/>
              <w:bottom w:val="nil"/>
              <w:right w:val="nil"/>
            </w:tcBorders>
            <w:shd w:val="clear" w:color="auto" w:fill="auto"/>
            <w:noWrap/>
            <w:vAlign w:val="bottom"/>
            <w:hideMark/>
          </w:tcPr>
          <w:p w14:paraId="7810903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E7A6DB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9CF111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07D0825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156,300.00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5261B2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2.760021</w:t>
            </w:r>
          </w:p>
        </w:tc>
        <w:tc>
          <w:tcPr>
            <w:tcW w:w="121" w:type="pct"/>
            <w:tcBorders>
              <w:top w:val="nil"/>
              <w:left w:val="nil"/>
              <w:bottom w:val="nil"/>
              <w:right w:val="nil"/>
            </w:tcBorders>
            <w:shd w:val="clear" w:color="auto" w:fill="auto"/>
            <w:noWrap/>
            <w:vAlign w:val="bottom"/>
            <w:hideMark/>
          </w:tcPr>
          <w:p w14:paraId="01EC7A3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818672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0B3AAD6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651AE53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54,633.00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3D7590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1.29156</w:t>
            </w:r>
          </w:p>
        </w:tc>
      </w:tr>
      <w:tr w:rsidR="008B6FFF" w:rsidRPr="00FF6AFF" w14:paraId="28BB5C7B"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56EB21A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15762ED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71F0235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56,630.00 </w:t>
            </w:r>
          </w:p>
        </w:tc>
        <w:tc>
          <w:tcPr>
            <w:tcW w:w="344" w:type="pct"/>
            <w:vMerge/>
            <w:tcBorders>
              <w:top w:val="nil"/>
              <w:left w:val="single" w:sz="4" w:space="0" w:color="auto"/>
              <w:bottom w:val="single" w:sz="4" w:space="0" w:color="auto"/>
              <w:right w:val="single" w:sz="8" w:space="0" w:color="auto"/>
            </w:tcBorders>
            <w:vAlign w:val="center"/>
            <w:hideMark/>
          </w:tcPr>
          <w:p w14:paraId="248942C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40D4D6A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403B2A7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38D81B3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5599424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56,630.00 </w:t>
            </w:r>
          </w:p>
        </w:tc>
        <w:tc>
          <w:tcPr>
            <w:tcW w:w="256" w:type="pct"/>
            <w:vMerge/>
            <w:tcBorders>
              <w:top w:val="nil"/>
              <w:left w:val="single" w:sz="4" w:space="0" w:color="auto"/>
              <w:bottom w:val="single" w:sz="4" w:space="0" w:color="auto"/>
              <w:right w:val="single" w:sz="8" w:space="0" w:color="auto"/>
            </w:tcBorders>
            <w:vAlign w:val="center"/>
            <w:hideMark/>
          </w:tcPr>
          <w:p w14:paraId="73919A0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3CFDE4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488E556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1770336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4671CDF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42,300.00 </w:t>
            </w:r>
          </w:p>
        </w:tc>
        <w:tc>
          <w:tcPr>
            <w:tcW w:w="249" w:type="pct"/>
            <w:vMerge/>
            <w:tcBorders>
              <w:top w:val="nil"/>
              <w:left w:val="single" w:sz="4" w:space="0" w:color="auto"/>
              <w:bottom w:val="single" w:sz="4" w:space="0" w:color="auto"/>
              <w:right w:val="single" w:sz="8" w:space="0" w:color="auto"/>
            </w:tcBorders>
            <w:vAlign w:val="center"/>
            <w:hideMark/>
          </w:tcPr>
          <w:p w14:paraId="16F74FC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5B99ED3E"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6D7AB7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0AD97A0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542A2B5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253,600.00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0CC89A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2.232001</w:t>
            </w:r>
          </w:p>
        </w:tc>
        <w:tc>
          <w:tcPr>
            <w:tcW w:w="121" w:type="pct"/>
            <w:tcBorders>
              <w:top w:val="nil"/>
              <w:left w:val="nil"/>
              <w:bottom w:val="nil"/>
              <w:right w:val="nil"/>
            </w:tcBorders>
            <w:shd w:val="clear" w:color="auto" w:fill="auto"/>
            <w:noWrap/>
            <w:vAlign w:val="bottom"/>
            <w:hideMark/>
          </w:tcPr>
          <w:p w14:paraId="71CACE7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0C5EDD8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2E65767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057E4E5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158,963.00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990C97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1.399076</w:t>
            </w:r>
          </w:p>
        </w:tc>
        <w:tc>
          <w:tcPr>
            <w:tcW w:w="121" w:type="pct"/>
            <w:tcBorders>
              <w:top w:val="nil"/>
              <w:left w:val="nil"/>
              <w:bottom w:val="nil"/>
              <w:right w:val="nil"/>
            </w:tcBorders>
            <w:shd w:val="clear" w:color="auto" w:fill="auto"/>
            <w:noWrap/>
            <w:vAlign w:val="bottom"/>
            <w:hideMark/>
          </w:tcPr>
          <w:p w14:paraId="228D638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52FD33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36C7908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asset</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210105F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42,560.00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F4F2DB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1.307125</w:t>
            </w:r>
          </w:p>
        </w:tc>
      </w:tr>
      <w:tr w:rsidR="008B6FFF" w:rsidRPr="00FF6AFF" w14:paraId="519D6CF0"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3B2F57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224E5C8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33413B1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113,620.00 </w:t>
            </w:r>
          </w:p>
        </w:tc>
        <w:tc>
          <w:tcPr>
            <w:tcW w:w="344" w:type="pct"/>
            <w:vMerge/>
            <w:tcBorders>
              <w:top w:val="nil"/>
              <w:left w:val="single" w:sz="4" w:space="0" w:color="auto"/>
              <w:bottom w:val="single" w:sz="4" w:space="0" w:color="auto"/>
              <w:right w:val="single" w:sz="8" w:space="0" w:color="auto"/>
            </w:tcBorders>
            <w:vAlign w:val="center"/>
            <w:hideMark/>
          </w:tcPr>
          <w:p w14:paraId="68844E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6C07A9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112CD7E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00630D2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2FCB4B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113,620.00 </w:t>
            </w:r>
          </w:p>
        </w:tc>
        <w:tc>
          <w:tcPr>
            <w:tcW w:w="256" w:type="pct"/>
            <w:vMerge/>
            <w:tcBorders>
              <w:top w:val="nil"/>
              <w:left w:val="single" w:sz="4" w:space="0" w:color="auto"/>
              <w:bottom w:val="single" w:sz="4" w:space="0" w:color="auto"/>
              <w:right w:val="single" w:sz="8" w:space="0" w:color="auto"/>
            </w:tcBorders>
            <w:vAlign w:val="center"/>
            <w:hideMark/>
          </w:tcPr>
          <w:p w14:paraId="63AE7E2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82A1E3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42D711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4FC0B76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2F49D0B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32,560.00 </w:t>
            </w:r>
          </w:p>
        </w:tc>
        <w:tc>
          <w:tcPr>
            <w:tcW w:w="249" w:type="pct"/>
            <w:vMerge/>
            <w:tcBorders>
              <w:top w:val="nil"/>
              <w:left w:val="single" w:sz="4" w:space="0" w:color="auto"/>
              <w:bottom w:val="single" w:sz="4" w:space="0" w:color="auto"/>
              <w:right w:val="single" w:sz="8" w:space="0" w:color="auto"/>
            </w:tcBorders>
            <w:vAlign w:val="center"/>
            <w:hideMark/>
          </w:tcPr>
          <w:p w14:paraId="3DD93A4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4CECA3E6" w14:textId="77777777" w:rsidTr="00C559F6">
        <w:trPr>
          <w:trHeight w:val="300"/>
        </w:trPr>
        <w:tc>
          <w:tcPr>
            <w:tcW w:w="181" w:type="pct"/>
            <w:tcBorders>
              <w:top w:val="nil"/>
              <w:left w:val="single" w:sz="8" w:space="0" w:color="auto"/>
              <w:bottom w:val="nil"/>
              <w:right w:val="nil"/>
            </w:tcBorders>
            <w:shd w:val="clear" w:color="auto" w:fill="auto"/>
            <w:noWrap/>
            <w:vAlign w:val="bottom"/>
            <w:hideMark/>
          </w:tcPr>
          <w:p w14:paraId="1F69276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4" w:type="pct"/>
            <w:tcBorders>
              <w:top w:val="nil"/>
              <w:left w:val="nil"/>
              <w:bottom w:val="nil"/>
              <w:right w:val="nil"/>
            </w:tcBorders>
            <w:shd w:val="clear" w:color="auto" w:fill="auto"/>
            <w:noWrap/>
            <w:vAlign w:val="bottom"/>
            <w:hideMark/>
          </w:tcPr>
          <w:p w14:paraId="201969B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4" w:type="pct"/>
            <w:tcBorders>
              <w:top w:val="nil"/>
              <w:left w:val="nil"/>
              <w:bottom w:val="nil"/>
              <w:right w:val="nil"/>
            </w:tcBorders>
            <w:shd w:val="clear" w:color="auto" w:fill="auto"/>
            <w:noWrap/>
            <w:vAlign w:val="bottom"/>
            <w:hideMark/>
          </w:tcPr>
          <w:p w14:paraId="09F88B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6" w:type="pct"/>
            <w:gridSpan w:val="2"/>
            <w:tcBorders>
              <w:top w:val="nil"/>
              <w:left w:val="nil"/>
              <w:bottom w:val="nil"/>
              <w:right w:val="nil"/>
            </w:tcBorders>
            <w:shd w:val="clear" w:color="auto" w:fill="auto"/>
            <w:noWrap/>
            <w:vAlign w:val="bottom"/>
            <w:hideMark/>
          </w:tcPr>
          <w:p w14:paraId="1F1B3C1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72DDE4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4" w:type="pct"/>
            <w:tcBorders>
              <w:top w:val="nil"/>
              <w:left w:val="nil"/>
              <w:bottom w:val="nil"/>
              <w:right w:val="nil"/>
            </w:tcBorders>
            <w:shd w:val="clear" w:color="auto" w:fill="auto"/>
            <w:noWrap/>
            <w:vAlign w:val="bottom"/>
            <w:hideMark/>
          </w:tcPr>
          <w:p w14:paraId="458C278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44" w:type="pct"/>
            <w:tcBorders>
              <w:top w:val="nil"/>
              <w:left w:val="nil"/>
              <w:bottom w:val="nil"/>
              <w:right w:val="single" w:sz="8" w:space="0" w:color="auto"/>
            </w:tcBorders>
            <w:shd w:val="clear" w:color="auto" w:fill="auto"/>
            <w:noWrap/>
            <w:vAlign w:val="bottom"/>
            <w:hideMark/>
          </w:tcPr>
          <w:p w14:paraId="2CD6347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1" w:type="pct"/>
            <w:tcBorders>
              <w:top w:val="nil"/>
              <w:left w:val="nil"/>
              <w:bottom w:val="nil"/>
              <w:right w:val="nil"/>
            </w:tcBorders>
            <w:shd w:val="clear" w:color="auto" w:fill="auto"/>
            <w:noWrap/>
            <w:vAlign w:val="bottom"/>
            <w:hideMark/>
          </w:tcPr>
          <w:p w14:paraId="30A6ECA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tcBorders>
              <w:top w:val="nil"/>
              <w:left w:val="single" w:sz="8" w:space="0" w:color="auto"/>
              <w:bottom w:val="nil"/>
              <w:right w:val="nil"/>
            </w:tcBorders>
            <w:shd w:val="clear" w:color="auto" w:fill="auto"/>
            <w:noWrap/>
            <w:vAlign w:val="bottom"/>
            <w:hideMark/>
          </w:tcPr>
          <w:p w14:paraId="0ED1AA7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4" w:type="pct"/>
            <w:tcBorders>
              <w:top w:val="nil"/>
              <w:left w:val="nil"/>
              <w:bottom w:val="nil"/>
              <w:right w:val="nil"/>
            </w:tcBorders>
            <w:shd w:val="clear" w:color="auto" w:fill="auto"/>
            <w:noWrap/>
            <w:vAlign w:val="bottom"/>
            <w:hideMark/>
          </w:tcPr>
          <w:p w14:paraId="1C84A0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5" w:type="pct"/>
            <w:tcBorders>
              <w:top w:val="nil"/>
              <w:left w:val="nil"/>
              <w:bottom w:val="nil"/>
              <w:right w:val="nil"/>
            </w:tcBorders>
            <w:shd w:val="clear" w:color="auto" w:fill="auto"/>
            <w:noWrap/>
            <w:vAlign w:val="bottom"/>
            <w:hideMark/>
          </w:tcPr>
          <w:p w14:paraId="271B589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6" w:type="pct"/>
            <w:gridSpan w:val="2"/>
            <w:tcBorders>
              <w:top w:val="nil"/>
              <w:left w:val="nil"/>
              <w:bottom w:val="nil"/>
              <w:right w:val="nil"/>
            </w:tcBorders>
            <w:shd w:val="clear" w:color="auto" w:fill="auto"/>
            <w:noWrap/>
            <w:vAlign w:val="bottom"/>
            <w:hideMark/>
          </w:tcPr>
          <w:p w14:paraId="5F231FD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6189DD7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7" w:type="pct"/>
            <w:tcBorders>
              <w:top w:val="nil"/>
              <w:left w:val="nil"/>
              <w:bottom w:val="nil"/>
              <w:right w:val="nil"/>
            </w:tcBorders>
            <w:shd w:val="clear" w:color="auto" w:fill="auto"/>
            <w:noWrap/>
            <w:vAlign w:val="bottom"/>
            <w:hideMark/>
          </w:tcPr>
          <w:p w14:paraId="0101ED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nil"/>
              <w:bottom w:val="nil"/>
              <w:right w:val="single" w:sz="8" w:space="0" w:color="auto"/>
            </w:tcBorders>
            <w:shd w:val="clear" w:color="auto" w:fill="auto"/>
            <w:noWrap/>
            <w:vAlign w:val="bottom"/>
            <w:hideMark/>
          </w:tcPr>
          <w:p w14:paraId="42128DA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1" w:type="pct"/>
            <w:tcBorders>
              <w:top w:val="nil"/>
              <w:left w:val="nil"/>
              <w:bottom w:val="nil"/>
              <w:right w:val="nil"/>
            </w:tcBorders>
            <w:shd w:val="clear" w:color="auto" w:fill="auto"/>
            <w:noWrap/>
            <w:vAlign w:val="bottom"/>
            <w:hideMark/>
          </w:tcPr>
          <w:p w14:paraId="5CD1C5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tcBorders>
              <w:top w:val="nil"/>
              <w:left w:val="single" w:sz="8" w:space="0" w:color="auto"/>
              <w:bottom w:val="nil"/>
              <w:right w:val="nil"/>
            </w:tcBorders>
            <w:shd w:val="clear" w:color="auto" w:fill="auto"/>
            <w:noWrap/>
            <w:vAlign w:val="bottom"/>
            <w:hideMark/>
          </w:tcPr>
          <w:p w14:paraId="769CE4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85" w:type="pct"/>
            <w:tcBorders>
              <w:top w:val="nil"/>
              <w:left w:val="nil"/>
              <w:bottom w:val="nil"/>
              <w:right w:val="nil"/>
            </w:tcBorders>
            <w:shd w:val="clear" w:color="auto" w:fill="auto"/>
            <w:noWrap/>
            <w:vAlign w:val="bottom"/>
            <w:hideMark/>
          </w:tcPr>
          <w:p w14:paraId="7BE54CC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5" w:type="pct"/>
            <w:tcBorders>
              <w:top w:val="nil"/>
              <w:left w:val="nil"/>
              <w:bottom w:val="nil"/>
              <w:right w:val="nil"/>
            </w:tcBorders>
            <w:shd w:val="clear" w:color="auto" w:fill="auto"/>
            <w:noWrap/>
            <w:vAlign w:val="bottom"/>
            <w:hideMark/>
          </w:tcPr>
          <w:p w14:paraId="26BFD6A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75" w:type="pct"/>
            <w:gridSpan w:val="2"/>
            <w:tcBorders>
              <w:top w:val="nil"/>
              <w:left w:val="nil"/>
              <w:bottom w:val="nil"/>
              <w:right w:val="nil"/>
            </w:tcBorders>
            <w:shd w:val="clear" w:color="auto" w:fill="auto"/>
            <w:noWrap/>
            <w:vAlign w:val="bottom"/>
            <w:hideMark/>
          </w:tcPr>
          <w:p w14:paraId="289A5C1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44CCE57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tcBorders>
              <w:top w:val="nil"/>
              <w:left w:val="nil"/>
              <w:bottom w:val="nil"/>
              <w:right w:val="nil"/>
            </w:tcBorders>
            <w:shd w:val="clear" w:color="auto" w:fill="auto"/>
            <w:noWrap/>
            <w:vAlign w:val="bottom"/>
            <w:hideMark/>
          </w:tcPr>
          <w:p w14:paraId="038C7FD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49" w:type="pct"/>
            <w:tcBorders>
              <w:top w:val="nil"/>
              <w:left w:val="nil"/>
              <w:bottom w:val="nil"/>
              <w:right w:val="single" w:sz="8" w:space="0" w:color="auto"/>
            </w:tcBorders>
            <w:shd w:val="clear" w:color="auto" w:fill="auto"/>
            <w:noWrap/>
            <w:vAlign w:val="bottom"/>
            <w:hideMark/>
          </w:tcPr>
          <w:p w14:paraId="4010507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27FDA8B8" w14:textId="77777777" w:rsidTr="00C559F6">
        <w:trPr>
          <w:trHeight w:val="300"/>
        </w:trPr>
        <w:tc>
          <w:tcPr>
            <w:tcW w:w="1643"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D589C4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Quick ratio</w:t>
            </w:r>
          </w:p>
        </w:tc>
        <w:tc>
          <w:tcPr>
            <w:tcW w:w="121" w:type="pct"/>
            <w:tcBorders>
              <w:top w:val="nil"/>
              <w:left w:val="nil"/>
              <w:bottom w:val="nil"/>
              <w:right w:val="nil"/>
            </w:tcBorders>
            <w:shd w:val="clear" w:color="auto" w:fill="auto"/>
            <w:noWrap/>
            <w:vAlign w:val="bottom"/>
            <w:hideMark/>
          </w:tcPr>
          <w:p w14:paraId="3B6F1A1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62"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3048D23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Quick ratio</w:t>
            </w:r>
          </w:p>
        </w:tc>
        <w:tc>
          <w:tcPr>
            <w:tcW w:w="121" w:type="pct"/>
            <w:tcBorders>
              <w:top w:val="nil"/>
              <w:left w:val="nil"/>
              <w:bottom w:val="nil"/>
              <w:right w:val="nil"/>
            </w:tcBorders>
            <w:shd w:val="clear" w:color="auto" w:fill="auto"/>
            <w:noWrap/>
            <w:vAlign w:val="bottom"/>
            <w:hideMark/>
          </w:tcPr>
          <w:p w14:paraId="74B4D34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53" w:type="pct"/>
            <w:gridSpan w:val="8"/>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81B3CF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Quick ratio</w:t>
            </w:r>
          </w:p>
        </w:tc>
      </w:tr>
      <w:tr w:rsidR="008B6FFF" w:rsidRPr="00FF6AFF" w14:paraId="1678B0AF" w14:textId="77777777" w:rsidTr="00C559F6">
        <w:trPr>
          <w:trHeight w:val="300"/>
        </w:trPr>
        <w:tc>
          <w:tcPr>
            <w:tcW w:w="181" w:type="pct"/>
            <w:tcBorders>
              <w:top w:val="nil"/>
              <w:left w:val="single" w:sz="8" w:space="0" w:color="auto"/>
              <w:bottom w:val="single" w:sz="4" w:space="0" w:color="auto"/>
              <w:right w:val="single" w:sz="4" w:space="0" w:color="auto"/>
            </w:tcBorders>
            <w:shd w:val="clear" w:color="auto" w:fill="auto"/>
            <w:noWrap/>
            <w:vAlign w:val="center"/>
            <w:hideMark/>
          </w:tcPr>
          <w:p w14:paraId="493E530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w:t>
            </w:r>
            <w:r w:rsidRPr="00FF6AFF">
              <w:rPr>
                <w:rFonts w:ascii="Times New Roman" w:eastAsia="Times New Roman" w:hAnsi="Times New Roman" w:cs="Times New Roman"/>
                <w:b/>
                <w:bCs/>
                <w:color w:val="000000"/>
                <w:sz w:val="24"/>
                <w:szCs w:val="24"/>
              </w:rPr>
              <w:lastRenderedPageBreak/>
              <w:t>rs</w:t>
            </w:r>
          </w:p>
        </w:tc>
        <w:tc>
          <w:tcPr>
            <w:tcW w:w="498" w:type="pct"/>
            <w:gridSpan w:val="3"/>
            <w:tcBorders>
              <w:top w:val="single" w:sz="4" w:space="0" w:color="auto"/>
              <w:left w:val="nil"/>
              <w:bottom w:val="single" w:sz="4" w:space="0" w:color="auto"/>
              <w:right w:val="single" w:sz="4" w:space="0" w:color="auto"/>
            </w:tcBorders>
            <w:shd w:val="clear" w:color="auto" w:fill="auto"/>
            <w:noWrap/>
            <w:vAlign w:val="center"/>
            <w:hideMark/>
          </w:tcPr>
          <w:p w14:paraId="7704894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lastRenderedPageBreak/>
              <w:t>Particulars</w:t>
            </w:r>
          </w:p>
        </w:tc>
        <w:tc>
          <w:tcPr>
            <w:tcW w:w="621" w:type="pct"/>
            <w:gridSpan w:val="3"/>
            <w:tcBorders>
              <w:top w:val="nil"/>
              <w:left w:val="nil"/>
              <w:bottom w:val="single" w:sz="4" w:space="0" w:color="auto"/>
              <w:right w:val="single" w:sz="4" w:space="0" w:color="auto"/>
            </w:tcBorders>
            <w:shd w:val="clear" w:color="auto" w:fill="auto"/>
            <w:noWrap/>
            <w:vAlign w:val="center"/>
            <w:hideMark/>
          </w:tcPr>
          <w:p w14:paraId="0414A45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44" w:type="pct"/>
            <w:tcBorders>
              <w:top w:val="nil"/>
              <w:left w:val="nil"/>
              <w:bottom w:val="single" w:sz="4" w:space="0" w:color="auto"/>
              <w:right w:val="single" w:sz="8" w:space="0" w:color="auto"/>
            </w:tcBorders>
            <w:shd w:val="clear" w:color="auto" w:fill="auto"/>
            <w:noWrap/>
            <w:vAlign w:val="center"/>
            <w:hideMark/>
          </w:tcPr>
          <w:p w14:paraId="26F28FF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121" w:type="pct"/>
            <w:tcBorders>
              <w:top w:val="nil"/>
              <w:left w:val="nil"/>
              <w:bottom w:val="nil"/>
              <w:right w:val="nil"/>
            </w:tcBorders>
            <w:shd w:val="clear" w:color="auto" w:fill="auto"/>
            <w:noWrap/>
            <w:vAlign w:val="bottom"/>
            <w:hideMark/>
          </w:tcPr>
          <w:p w14:paraId="428A3DE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tcBorders>
              <w:top w:val="nil"/>
              <w:left w:val="single" w:sz="8" w:space="0" w:color="auto"/>
              <w:bottom w:val="single" w:sz="4" w:space="0" w:color="auto"/>
              <w:right w:val="single" w:sz="4" w:space="0" w:color="auto"/>
            </w:tcBorders>
            <w:shd w:val="clear" w:color="auto" w:fill="auto"/>
            <w:noWrap/>
            <w:vAlign w:val="center"/>
            <w:hideMark/>
          </w:tcPr>
          <w:p w14:paraId="4C75260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w:t>
            </w:r>
            <w:r w:rsidRPr="00FF6AFF">
              <w:rPr>
                <w:rFonts w:ascii="Times New Roman" w:eastAsia="Times New Roman" w:hAnsi="Times New Roman" w:cs="Times New Roman"/>
                <w:b/>
                <w:bCs/>
                <w:color w:val="000000"/>
                <w:sz w:val="24"/>
                <w:szCs w:val="24"/>
              </w:rPr>
              <w:lastRenderedPageBreak/>
              <w:t>rs</w:t>
            </w:r>
          </w:p>
        </w:tc>
        <w:tc>
          <w:tcPr>
            <w:tcW w:w="477" w:type="pct"/>
            <w:gridSpan w:val="3"/>
            <w:tcBorders>
              <w:top w:val="single" w:sz="4" w:space="0" w:color="auto"/>
              <w:left w:val="nil"/>
              <w:bottom w:val="single" w:sz="4" w:space="0" w:color="auto"/>
              <w:right w:val="single" w:sz="4" w:space="0" w:color="auto"/>
            </w:tcBorders>
            <w:shd w:val="clear" w:color="auto" w:fill="auto"/>
            <w:noWrap/>
            <w:vAlign w:val="center"/>
            <w:hideMark/>
          </w:tcPr>
          <w:p w14:paraId="454097F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lastRenderedPageBreak/>
              <w:t>Particulars</w:t>
            </w:r>
          </w:p>
        </w:tc>
        <w:tc>
          <w:tcPr>
            <w:tcW w:w="647" w:type="pct"/>
            <w:gridSpan w:val="3"/>
            <w:tcBorders>
              <w:top w:val="nil"/>
              <w:left w:val="nil"/>
              <w:bottom w:val="single" w:sz="4" w:space="0" w:color="auto"/>
              <w:right w:val="single" w:sz="4" w:space="0" w:color="auto"/>
            </w:tcBorders>
            <w:shd w:val="clear" w:color="auto" w:fill="auto"/>
            <w:noWrap/>
            <w:vAlign w:val="center"/>
            <w:hideMark/>
          </w:tcPr>
          <w:p w14:paraId="5A137649"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256" w:type="pct"/>
            <w:tcBorders>
              <w:top w:val="nil"/>
              <w:left w:val="nil"/>
              <w:bottom w:val="single" w:sz="4" w:space="0" w:color="auto"/>
              <w:right w:val="single" w:sz="8" w:space="0" w:color="auto"/>
            </w:tcBorders>
            <w:shd w:val="clear" w:color="auto" w:fill="auto"/>
            <w:noWrap/>
            <w:vAlign w:val="center"/>
            <w:hideMark/>
          </w:tcPr>
          <w:p w14:paraId="37ADC34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121" w:type="pct"/>
            <w:tcBorders>
              <w:top w:val="nil"/>
              <w:left w:val="nil"/>
              <w:bottom w:val="nil"/>
              <w:right w:val="nil"/>
            </w:tcBorders>
            <w:shd w:val="clear" w:color="auto" w:fill="auto"/>
            <w:noWrap/>
            <w:vAlign w:val="bottom"/>
            <w:hideMark/>
          </w:tcPr>
          <w:p w14:paraId="202894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tcBorders>
              <w:top w:val="nil"/>
              <w:left w:val="single" w:sz="8" w:space="0" w:color="auto"/>
              <w:bottom w:val="single" w:sz="4" w:space="0" w:color="auto"/>
              <w:right w:val="single" w:sz="4" w:space="0" w:color="auto"/>
            </w:tcBorders>
            <w:shd w:val="clear" w:color="auto" w:fill="auto"/>
            <w:noWrap/>
            <w:vAlign w:val="center"/>
            <w:hideMark/>
          </w:tcPr>
          <w:p w14:paraId="4FDC27D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w:t>
            </w:r>
            <w:r w:rsidRPr="00FF6AFF">
              <w:rPr>
                <w:rFonts w:ascii="Times New Roman" w:eastAsia="Times New Roman" w:hAnsi="Times New Roman" w:cs="Times New Roman"/>
                <w:b/>
                <w:bCs/>
                <w:color w:val="000000"/>
                <w:sz w:val="24"/>
                <w:szCs w:val="24"/>
              </w:rPr>
              <w:lastRenderedPageBreak/>
              <w:t>rs</w:t>
            </w:r>
          </w:p>
        </w:tc>
        <w:tc>
          <w:tcPr>
            <w:tcW w:w="453" w:type="pct"/>
            <w:gridSpan w:val="3"/>
            <w:tcBorders>
              <w:top w:val="single" w:sz="4" w:space="0" w:color="auto"/>
              <w:left w:val="nil"/>
              <w:bottom w:val="single" w:sz="4" w:space="0" w:color="auto"/>
              <w:right w:val="single" w:sz="4" w:space="0" w:color="auto"/>
            </w:tcBorders>
            <w:shd w:val="clear" w:color="auto" w:fill="auto"/>
            <w:noWrap/>
            <w:vAlign w:val="center"/>
            <w:hideMark/>
          </w:tcPr>
          <w:p w14:paraId="4BF1DE3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lastRenderedPageBreak/>
              <w:t>Particulars</w:t>
            </w:r>
          </w:p>
        </w:tc>
        <w:tc>
          <w:tcPr>
            <w:tcW w:w="667" w:type="pct"/>
            <w:gridSpan w:val="3"/>
            <w:tcBorders>
              <w:top w:val="nil"/>
              <w:left w:val="nil"/>
              <w:bottom w:val="single" w:sz="4" w:space="0" w:color="auto"/>
              <w:right w:val="single" w:sz="4" w:space="0" w:color="auto"/>
            </w:tcBorders>
            <w:shd w:val="clear" w:color="auto" w:fill="auto"/>
            <w:noWrap/>
            <w:vAlign w:val="center"/>
            <w:hideMark/>
          </w:tcPr>
          <w:p w14:paraId="18E5CB4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249" w:type="pct"/>
            <w:tcBorders>
              <w:top w:val="nil"/>
              <w:left w:val="nil"/>
              <w:bottom w:val="single" w:sz="4" w:space="0" w:color="auto"/>
              <w:right w:val="single" w:sz="8" w:space="0" w:color="auto"/>
            </w:tcBorders>
            <w:shd w:val="clear" w:color="auto" w:fill="auto"/>
            <w:noWrap/>
            <w:vAlign w:val="center"/>
            <w:hideMark/>
          </w:tcPr>
          <w:p w14:paraId="42B4359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5CCF0182"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F1EE05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4E9187B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400FE84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296,963.00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D4E7DC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1.602607</w:t>
            </w:r>
          </w:p>
        </w:tc>
        <w:tc>
          <w:tcPr>
            <w:tcW w:w="121" w:type="pct"/>
            <w:tcBorders>
              <w:top w:val="nil"/>
              <w:left w:val="nil"/>
              <w:bottom w:val="nil"/>
              <w:right w:val="nil"/>
            </w:tcBorders>
            <w:shd w:val="clear" w:color="auto" w:fill="auto"/>
            <w:noWrap/>
            <w:vAlign w:val="bottom"/>
            <w:hideMark/>
          </w:tcPr>
          <w:p w14:paraId="073C058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4ADA5E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34C3355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3FE10B1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189,363.00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77340B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1.021927</w:t>
            </w:r>
          </w:p>
        </w:tc>
        <w:tc>
          <w:tcPr>
            <w:tcW w:w="121" w:type="pct"/>
            <w:tcBorders>
              <w:top w:val="nil"/>
              <w:left w:val="nil"/>
              <w:bottom w:val="nil"/>
              <w:right w:val="nil"/>
            </w:tcBorders>
            <w:shd w:val="clear" w:color="auto" w:fill="auto"/>
            <w:noWrap/>
            <w:vAlign w:val="bottom"/>
            <w:hideMark/>
          </w:tcPr>
          <w:p w14:paraId="5B8620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3AA987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02A6E73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580008D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13,470.00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460B36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0.378371</w:t>
            </w:r>
          </w:p>
        </w:tc>
      </w:tr>
      <w:tr w:rsidR="008B6FFF" w:rsidRPr="00FF6AFF" w14:paraId="5BF4CB6B"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0C79AD9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33048F9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510617C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185,300.00 </w:t>
            </w:r>
          </w:p>
        </w:tc>
        <w:tc>
          <w:tcPr>
            <w:tcW w:w="344" w:type="pct"/>
            <w:vMerge/>
            <w:tcBorders>
              <w:top w:val="nil"/>
              <w:left w:val="single" w:sz="4" w:space="0" w:color="auto"/>
              <w:bottom w:val="single" w:sz="4" w:space="0" w:color="auto"/>
              <w:right w:val="single" w:sz="8" w:space="0" w:color="auto"/>
            </w:tcBorders>
            <w:vAlign w:val="center"/>
            <w:hideMark/>
          </w:tcPr>
          <w:p w14:paraId="71CB31C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1B410B7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29609C6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7A5E128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05F8EA4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185,300.00 </w:t>
            </w:r>
          </w:p>
        </w:tc>
        <w:tc>
          <w:tcPr>
            <w:tcW w:w="256" w:type="pct"/>
            <w:vMerge/>
            <w:tcBorders>
              <w:top w:val="nil"/>
              <w:left w:val="single" w:sz="4" w:space="0" w:color="auto"/>
              <w:bottom w:val="single" w:sz="4" w:space="0" w:color="auto"/>
              <w:right w:val="single" w:sz="8" w:space="0" w:color="auto"/>
            </w:tcBorders>
            <w:vAlign w:val="center"/>
            <w:hideMark/>
          </w:tcPr>
          <w:p w14:paraId="39418D8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22DF29B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664F473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0A6CC42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09ACFF1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35,600.00 </w:t>
            </w:r>
          </w:p>
        </w:tc>
        <w:tc>
          <w:tcPr>
            <w:tcW w:w="249" w:type="pct"/>
            <w:vMerge/>
            <w:tcBorders>
              <w:top w:val="nil"/>
              <w:left w:val="single" w:sz="4" w:space="0" w:color="auto"/>
              <w:bottom w:val="single" w:sz="4" w:space="0" w:color="auto"/>
              <w:right w:val="single" w:sz="8" w:space="0" w:color="auto"/>
            </w:tcBorders>
            <w:vAlign w:val="center"/>
            <w:hideMark/>
          </w:tcPr>
          <w:p w14:paraId="4CC27AF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69DB6A32"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92CB8B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23B70D1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407DDF3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76,876.00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7E8C26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0.897874</w:t>
            </w:r>
          </w:p>
        </w:tc>
        <w:tc>
          <w:tcPr>
            <w:tcW w:w="121" w:type="pct"/>
            <w:tcBorders>
              <w:top w:val="nil"/>
              <w:left w:val="nil"/>
              <w:bottom w:val="nil"/>
              <w:right w:val="nil"/>
            </w:tcBorders>
            <w:shd w:val="clear" w:color="auto" w:fill="auto"/>
            <w:noWrap/>
            <w:vAlign w:val="bottom"/>
            <w:hideMark/>
          </w:tcPr>
          <w:p w14:paraId="7776D49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4C58EC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A03228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54FDA9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243,850.00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38205B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2.84805</w:t>
            </w:r>
          </w:p>
        </w:tc>
        <w:tc>
          <w:tcPr>
            <w:tcW w:w="121" w:type="pct"/>
            <w:tcBorders>
              <w:top w:val="nil"/>
              <w:left w:val="nil"/>
              <w:bottom w:val="nil"/>
              <w:right w:val="nil"/>
            </w:tcBorders>
            <w:shd w:val="clear" w:color="auto" w:fill="auto"/>
            <w:noWrap/>
            <w:vAlign w:val="bottom"/>
            <w:hideMark/>
          </w:tcPr>
          <w:p w14:paraId="7E21E0C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4B8D49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71C1460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1EA76C6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51,762.00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7F695B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2.045929</w:t>
            </w:r>
          </w:p>
        </w:tc>
      </w:tr>
      <w:tr w:rsidR="008B6FFF" w:rsidRPr="00FF6AFF" w14:paraId="00001D11"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2185E7A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2914528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0BADBCC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85,620.00 </w:t>
            </w:r>
          </w:p>
        </w:tc>
        <w:tc>
          <w:tcPr>
            <w:tcW w:w="344" w:type="pct"/>
            <w:vMerge/>
            <w:tcBorders>
              <w:top w:val="nil"/>
              <w:left w:val="single" w:sz="4" w:space="0" w:color="auto"/>
              <w:bottom w:val="single" w:sz="4" w:space="0" w:color="auto"/>
              <w:right w:val="single" w:sz="8" w:space="0" w:color="auto"/>
            </w:tcBorders>
            <w:vAlign w:val="center"/>
            <w:hideMark/>
          </w:tcPr>
          <w:p w14:paraId="232F4A8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684ACD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18C114E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424BBE7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6ED64E7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85,620.00 </w:t>
            </w:r>
          </w:p>
        </w:tc>
        <w:tc>
          <w:tcPr>
            <w:tcW w:w="256" w:type="pct"/>
            <w:vMerge/>
            <w:tcBorders>
              <w:top w:val="nil"/>
              <w:left w:val="single" w:sz="4" w:space="0" w:color="auto"/>
              <w:bottom w:val="single" w:sz="4" w:space="0" w:color="auto"/>
              <w:right w:val="single" w:sz="8" w:space="0" w:color="auto"/>
            </w:tcBorders>
            <w:vAlign w:val="center"/>
            <w:hideMark/>
          </w:tcPr>
          <w:p w14:paraId="2E8E164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1BF8BD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3094CF3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57DF122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23C753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25,300.00 </w:t>
            </w:r>
          </w:p>
        </w:tc>
        <w:tc>
          <w:tcPr>
            <w:tcW w:w="249" w:type="pct"/>
            <w:vMerge/>
            <w:tcBorders>
              <w:top w:val="nil"/>
              <w:left w:val="single" w:sz="4" w:space="0" w:color="auto"/>
              <w:bottom w:val="single" w:sz="4" w:space="0" w:color="auto"/>
              <w:right w:val="single" w:sz="8" w:space="0" w:color="auto"/>
            </w:tcBorders>
            <w:vAlign w:val="center"/>
            <w:hideMark/>
          </w:tcPr>
          <w:p w14:paraId="30EC9AE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74D0307D"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F67B3A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6864A48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78099F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46,215.00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434CE4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0.483259</w:t>
            </w:r>
          </w:p>
        </w:tc>
        <w:tc>
          <w:tcPr>
            <w:tcW w:w="121" w:type="pct"/>
            <w:tcBorders>
              <w:top w:val="nil"/>
              <w:left w:val="nil"/>
              <w:bottom w:val="nil"/>
              <w:right w:val="nil"/>
            </w:tcBorders>
            <w:shd w:val="clear" w:color="auto" w:fill="auto"/>
            <w:noWrap/>
            <w:vAlign w:val="bottom"/>
            <w:hideMark/>
          </w:tcPr>
          <w:p w14:paraId="18DADC9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F4DD31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07A8F13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73A206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239,979.00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BFAA27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2.509401</w:t>
            </w:r>
          </w:p>
        </w:tc>
        <w:tc>
          <w:tcPr>
            <w:tcW w:w="121" w:type="pct"/>
            <w:tcBorders>
              <w:top w:val="nil"/>
              <w:left w:val="nil"/>
              <w:bottom w:val="nil"/>
              <w:right w:val="nil"/>
            </w:tcBorders>
            <w:shd w:val="clear" w:color="auto" w:fill="auto"/>
            <w:noWrap/>
            <w:vAlign w:val="bottom"/>
            <w:hideMark/>
          </w:tcPr>
          <w:p w14:paraId="29381B0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871CD4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70DD390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71E143F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12,729.00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9F8473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0.497013</w:t>
            </w:r>
          </w:p>
        </w:tc>
      </w:tr>
      <w:tr w:rsidR="008B6FFF" w:rsidRPr="00FF6AFF" w14:paraId="4A1D1782"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71E117C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63593A2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7117D6E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95,632.00 </w:t>
            </w:r>
          </w:p>
        </w:tc>
        <w:tc>
          <w:tcPr>
            <w:tcW w:w="344" w:type="pct"/>
            <w:vMerge/>
            <w:tcBorders>
              <w:top w:val="nil"/>
              <w:left w:val="single" w:sz="4" w:space="0" w:color="auto"/>
              <w:bottom w:val="single" w:sz="4" w:space="0" w:color="auto"/>
              <w:right w:val="single" w:sz="8" w:space="0" w:color="auto"/>
            </w:tcBorders>
            <w:vAlign w:val="center"/>
            <w:hideMark/>
          </w:tcPr>
          <w:p w14:paraId="3A9D6B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44352E8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47471DD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0E50229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334C974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95,632.00 </w:t>
            </w:r>
          </w:p>
        </w:tc>
        <w:tc>
          <w:tcPr>
            <w:tcW w:w="256" w:type="pct"/>
            <w:vMerge/>
            <w:tcBorders>
              <w:top w:val="nil"/>
              <w:left w:val="single" w:sz="4" w:space="0" w:color="auto"/>
              <w:bottom w:val="single" w:sz="4" w:space="0" w:color="auto"/>
              <w:right w:val="single" w:sz="8" w:space="0" w:color="auto"/>
            </w:tcBorders>
            <w:vAlign w:val="center"/>
            <w:hideMark/>
          </w:tcPr>
          <w:p w14:paraId="1C54927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73842CA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30B311A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60B9636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432631B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25,611.00 </w:t>
            </w:r>
          </w:p>
        </w:tc>
        <w:tc>
          <w:tcPr>
            <w:tcW w:w="249" w:type="pct"/>
            <w:vMerge/>
            <w:tcBorders>
              <w:top w:val="nil"/>
              <w:left w:val="single" w:sz="4" w:space="0" w:color="auto"/>
              <w:bottom w:val="single" w:sz="4" w:space="0" w:color="auto"/>
              <w:right w:val="single" w:sz="8" w:space="0" w:color="auto"/>
            </w:tcBorders>
            <w:vAlign w:val="center"/>
            <w:hideMark/>
          </w:tcPr>
          <w:p w14:paraId="2B4D28A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19D5B729" w14:textId="77777777" w:rsidTr="00C559F6">
        <w:trPr>
          <w:trHeight w:val="300"/>
        </w:trPr>
        <w:tc>
          <w:tcPr>
            <w:tcW w:w="1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91BC0B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18BC712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104D2AF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79,475.00 </w:t>
            </w:r>
          </w:p>
        </w:tc>
        <w:tc>
          <w:tcPr>
            <w:tcW w:w="344"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B7580F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1.403408</w:t>
            </w:r>
          </w:p>
        </w:tc>
        <w:tc>
          <w:tcPr>
            <w:tcW w:w="121" w:type="pct"/>
            <w:tcBorders>
              <w:top w:val="nil"/>
              <w:left w:val="nil"/>
              <w:bottom w:val="nil"/>
              <w:right w:val="nil"/>
            </w:tcBorders>
            <w:shd w:val="clear" w:color="auto" w:fill="auto"/>
            <w:noWrap/>
            <w:vAlign w:val="bottom"/>
            <w:hideMark/>
          </w:tcPr>
          <w:p w14:paraId="65E0A77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686760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F6B8C1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BE93C9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121,740.00 </w:t>
            </w:r>
          </w:p>
        </w:tc>
        <w:tc>
          <w:tcPr>
            <w:tcW w:w="25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DC76E7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2.149744</w:t>
            </w:r>
          </w:p>
        </w:tc>
        <w:tc>
          <w:tcPr>
            <w:tcW w:w="121" w:type="pct"/>
            <w:tcBorders>
              <w:top w:val="nil"/>
              <w:left w:val="nil"/>
              <w:bottom w:val="nil"/>
              <w:right w:val="nil"/>
            </w:tcBorders>
            <w:shd w:val="clear" w:color="auto" w:fill="auto"/>
            <w:noWrap/>
            <w:vAlign w:val="bottom"/>
            <w:hideMark/>
          </w:tcPr>
          <w:p w14:paraId="26E48E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929D6D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4523112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6D56D1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31,983.00 </w:t>
            </w:r>
          </w:p>
        </w:tc>
        <w:tc>
          <w:tcPr>
            <w:tcW w:w="249"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6BD5E4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0.756099</w:t>
            </w:r>
          </w:p>
        </w:tc>
      </w:tr>
      <w:tr w:rsidR="008B6FFF" w:rsidRPr="00FF6AFF" w14:paraId="2DB72E78" w14:textId="77777777" w:rsidTr="00C559F6">
        <w:trPr>
          <w:trHeight w:val="300"/>
        </w:trPr>
        <w:tc>
          <w:tcPr>
            <w:tcW w:w="181" w:type="pct"/>
            <w:vMerge/>
            <w:tcBorders>
              <w:top w:val="nil"/>
              <w:left w:val="single" w:sz="8" w:space="0" w:color="auto"/>
              <w:bottom w:val="single" w:sz="4" w:space="0" w:color="auto"/>
              <w:right w:val="single" w:sz="4" w:space="0" w:color="auto"/>
            </w:tcBorders>
            <w:vAlign w:val="center"/>
            <w:hideMark/>
          </w:tcPr>
          <w:p w14:paraId="36E067A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59F6322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54EE3D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56,630.00 </w:t>
            </w:r>
          </w:p>
        </w:tc>
        <w:tc>
          <w:tcPr>
            <w:tcW w:w="344" w:type="pct"/>
            <w:vMerge/>
            <w:tcBorders>
              <w:top w:val="nil"/>
              <w:left w:val="single" w:sz="4" w:space="0" w:color="auto"/>
              <w:bottom w:val="single" w:sz="4" w:space="0" w:color="auto"/>
              <w:right w:val="single" w:sz="8" w:space="0" w:color="auto"/>
            </w:tcBorders>
            <w:vAlign w:val="center"/>
            <w:hideMark/>
          </w:tcPr>
          <w:p w14:paraId="52C6FB6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36A7954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4" w:space="0" w:color="auto"/>
              <w:right w:val="single" w:sz="4" w:space="0" w:color="auto"/>
            </w:tcBorders>
            <w:vAlign w:val="center"/>
            <w:hideMark/>
          </w:tcPr>
          <w:p w14:paraId="5615BB9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ACAC66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7029635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56,630.00 </w:t>
            </w:r>
          </w:p>
        </w:tc>
        <w:tc>
          <w:tcPr>
            <w:tcW w:w="256" w:type="pct"/>
            <w:vMerge/>
            <w:tcBorders>
              <w:top w:val="nil"/>
              <w:left w:val="single" w:sz="4" w:space="0" w:color="auto"/>
              <w:bottom w:val="single" w:sz="4" w:space="0" w:color="auto"/>
              <w:right w:val="single" w:sz="8" w:space="0" w:color="auto"/>
            </w:tcBorders>
            <w:vAlign w:val="center"/>
            <w:hideMark/>
          </w:tcPr>
          <w:p w14:paraId="7ED59E6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6429E70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4" w:space="0" w:color="auto"/>
              <w:right w:val="single" w:sz="4" w:space="0" w:color="auto"/>
            </w:tcBorders>
            <w:vAlign w:val="center"/>
            <w:hideMark/>
          </w:tcPr>
          <w:p w14:paraId="3691A24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0C0B85B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311583F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42,300.00 </w:t>
            </w:r>
          </w:p>
        </w:tc>
        <w:tc>
          <w:tcPr>
            <w:tcW w:w="249" w:type="pct"/>
            <w:vMerge/>
            <w:tcBorders>
              <w:top w:val="nil"/>
              <w:left w:val="single" w:sz="4" w:space="0" w:color="auto"/>
              <w:bottom w:val="single" w:sz="4" w:space="0" w:color="auto"/>
              <w:right w:val="single" w:sz="8" w:space="0" w:color="auto"/>
            </w:tcBorders>
            <w:vAlign w:val="center"/>
            <w:hideMark/>
          </w:tcPr>
          <w:p w14:paraId="217557D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76A88F14" w14:textId="77777777" w:rsidTr="00C559F6">
        <w:trPr>
          <w:trHeight w:val="300"/>
        </w:trPr>
        <w:tc>
          <w:tcPr>
            <w:tcW w:w="181"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677E6BE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98" w:type="pct"/>
            <w:gridSpan w:val="3"/>
            <w:tcBorders>
              <w:top w:val="single" w:sz="4" w:space="0" w:color="auto"/>
              <w:left w:val="nil"/>
              <w:bottom w:val="single" w:sz="4" w:space="0" w:color="auto"/>
              <w:right w:val="single" w:sz="4" w:space="0" w:color="auto"/>
            </w:tcBorders>
            <w:shd w:val="clear" w:color="auto" w:fill="auto"/>
            <w:noWrap/>
            <w:vAlign w:val="bottom"/>
            <w:hideMark/>
          </w:tcPr>
          <w:p w14:paraId="77FDC97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5E25D60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218,000.00 </w:t>
            </w:r>
          </w:p>
        </w:tc>
        <w:tc>
          <w:tcPr>
            <w:tcW w:w="344"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6C91C76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1.918676</w:t>
            </w:r>
          </w:p>
        </w:tc>
        <w:tc>
          <w:tcPr>
            <w:tcW w:w="121" w:type="pct"/>
            <w:tcBorders>
              <w:top w:val="nil"/>
              <w:left w:val="nil"/>
              <w:bottom w:val="nil"/>
              <w:right w:val="nil"/>
            </w:tcBorders>
            <w:shd w:val="clear" w:color="auto" w:fill="auto"/>
            <w:noWrap/>
            <w:vAlign w:val="bottom"/>
            <w:hideMark/>
          </w:tcPr>
          <w:p w14:paraId="2F9B9EF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002E874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77" w:type="pct"/>
            <w:gridSpan w:val="3"/>
            <w:tcBorders>
              <w:top w:val="single" w:sz="4" w:space="0" w:color="auto"/>
              <w:left w:val="nil"/>
              <w:bottom w:val="single" w:sz="4" w:space="0" w:color="auto"/>
              <w:right w:val="single" w:sz="4" w:space="0" w:color="auto"/>
            </w:tcBorders>
            <w:shd w:val="clear" w:color="auto" w:fill="auto"/>
            <w:noWrap/>
            <w:vAlign w:val="bottom"/>
            <w:hideMark/>
          </w:tcPr>
          <w:p w14:paraId="140994C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4E9E51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121,363.00 </w:t>
            </w:r>
          </w:p>
        </w:tc>
        <w:tc>
          <w:tcPr>
            <w:tcW w:w="256"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2AAFE31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1.068148</w:t>
            </w:r>
          </w:p>
        </w:tc>
        <w:tc>
          <w:tcPr>
            <w:tcW w:w="121" w:type="pct"/>
            <w:tcBorders>
              <w:top w:val="nil"/>
              <w:left w:val="nil"/>
              <w:bottom w:val="nil"/>
              <w:right w:val="nil"/>
            </w:tcBorders>
            <w:shd w:val="clear" w:color="auto" w:fill="auto"/>
            <w:noWrap/>
            <w:vAlign w:val="bottom"/>
            <w:hideMark/>
          </w:tcPr>
          <w:p w14:paraId="38A8EBB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4366871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53" w:type="pct"/>
            <w:gridSpan w:val="3"/>
            <w:tcBorders>
              <w:top w:val="single" w:sz="4" w:space="0" w:color="auto"/>
              <w:left w:val="nil"/>
              <w:bottom w:val="single" w:sz="4" w:space="0" w:color="auto"/>
              <w:right w:val="single" w:sz="4" w:space="0" w:color="auto"/>
            </w:tcBorders>
            <w:shd w:val="clear" w:color="auto" w:fill="auto"/>
            <w:noWrap/>
            <w:vAlign w:val="bottom"/>
            <w:hideMark/>
          </w:tcPr>
          <w:p w14:paraId="4F597A7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asset - Inventory</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36BCCDE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17,500.00 </w:t>
            </w:r>
          </w:p>
        </w:tc>
        <w:tc>
          <w:tcPr>
            <w:tcW w:w="249"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0434BFA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0.537469</w:t>
            </w:r>
          </w:p>
        </w:tc>
      </w:tr>
      <w:tr w:rsidR="008B6FFF" w:rsidRPr="00FF6AFF" w14:paraId="6E294979" w14:textId="77777777" w:rsidTr="00C559F6">
        <w:trPr>
          <w:trHeight w:val="315"/>
        </w:trPr>
        <w:tc>
          <w:tcPr>
            <w:tcW w:w="181" w:type="pct"/>
            <w:vMerge/>
            <w:tcBorders>
              <w:top w:val="nil"/>
              <w:left w:val="single" w:sz="8" w:space="0" w:color="auto"/>
              <w:bottom w:val="single" w:sz="8" w:space="0" w:color="000000"/>
              <w:right w:val="single" w:sz="4" w:space="0" w:color="auto"/>
            </w:tcBorders>
            <w:vAlign w:val="center"/>
            <w:hideMark/>
          </w:tcPr>
          <w:p w14:paraId="3B85DB5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98" w:type="pct"/>
            <w:gridSpan w:val="3"/>
            <w:tcBorders>
              <w:top w:val="single" w:sz="4" w:space="0" w:color="auto"/>
              <w:left w:val="nil"/>
              <w:bottom w:val="single" w:sz="8" w:space="0" w:color="auto"/>
              <w:right w:val="single" w:sz="4" w:space="0" w:color="auto"/>
            </w:tcBorders>
            <w:shd w:val="clear" w:color="auto" w:fill="auto"/>
            <w:noWrap/>
            <w:vAlign w:val="bottom"/>
            <w:hideMark/>
          </w:tcPr>
          <w:p w14:paraId="193B7F6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21" w:type="pct"/>
            <w:gridSpan w:val="3"/>
            <w:tcBorders>
              <w:top w:val="nil"/>
              <w:left w:val="nil"/>
              <w:bottom w:val="single" w:sz="4" w:space="0" w:color="auto"/>
              <w:right w:val="single" w:sz="4" w:space="0" w:color="auto"/>
            </w:tcBorders>
            <w:shd w:val="clear" w:color="auto" w:fill="auto"/>
            <w:noWrap/>
            <w:vAlign w:val="bottom"/>
            <w:hideMark/>
          </w:tcPr>
          <w:p w14:paraId="1A92749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113,620.00 </w:t>
            </w:r>
          </w:p>
        </w:tc>
        <w:tc>
          <w:tcPr>
            <w:tcW w:w="344" w:type="pct"/>
            <w:vMerge/>
            <w:tcBorders>
              <w:top w:val="nil"/>
              <w:left w:val="single" w:sz="4" w:space="0" w:color="auto"/>
              <w:bottom w:val="single" w:sz="8" w:space="0" w:color="000000"/>
              <w:right w:val="single" w:sz="8" w:space="0" w:color="auto"/>
            </w:tcBorders>
            <w:vAlign w:val="center"/>
            <w:hideMark/>
          </w:tcPr>
          <w:p w14:paraId="7F90BD1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6EB2360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2" w:type="pct"/>
            <w:vMerge/>
            <w:tcBorders>
              <w:top w:val="nil"/>
              <w:left w:val="single" w:sz="8" w:space="0" w:color="auto"/>
              <w:bottom w:val="single" w:sz="8" w:space="0" w:color="000000"/>
              <w:right w:val="single" w:sz="4" w:space="0" w:color="auto"/>
            </w:tcBorders>
            <w:vAlign w:val="center"/>
            <w:hideMark/>
          </w:tcPr>
          <w:p w14:paraId="45D07AB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77" w:type="pct"/>
            <w:gridSpan w:val="3"/>
            <w:tcBorders>
              <w:top w:val="single" w:sz="4" w:space="0" w:color="auto"/>
              <w:left w:val="nil"/>
              <w:bottom w:val="single" w:sz="8" w:space="0" w:color="auto"/>
              <w:right w:val="single" w:sz="4" w:space="0" w:color="auto"/>
            </w:tcBorders>
            <w:shd w:val="clear" w:color="auto" w:fill="auto"/>
            <w:noWrap/>
            <w:vAlign w:val="bottom"/>
            <w:hideMark/>
          </w:tcPr>
          <w:p w14:paraId="6A01CC1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47" w:type="pct"/>
            <w:gridSpan w:val="3"/>
            <w:tcBorders>
              <w:top w:val="nil"/>
              <w:left w:val="nil"/>
              <w:bottom w:val="single" w:sz="4" w:space="0" w:color="auto"/>
              <w:right w:val="single" w:sz="4" w:space="0" w:color="auto"/>
            </w:tcBorders>
            <w:shd w:val="clear" w:color="auto" w:fill="auto"/>
            <w:noWrap/>
            <w:vAlign w:val="bottom"/>
            <w:hideMark/>
          </w:tcPr>
          <w:p w14:paraId="6200C03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113,620.00 </w:t>
            </w:r>
          </w:p>
        </w:tc>
        <w:tc>
          <w:tcPr>
            <w:tcW w:w="256" w:type="pct"/>
            <w:vMerge/>
            <w:tcBorders>
              <w:top w:val="nil"/>
              <w:left w:val="single" w:sz="4" w:space="0" w:color="auto"/>
              <w:bottom w:val="single" w:sz="8" w:space="0" w:color="000000"/>
              <w:right w:val="single" w:sz="8" w:space="0" w:color="auto"/>
            </w:tcBorders>
            <w:vAlign w:val="center"/>
            <w:hideMark/>
          </w:tcPr>
          <w:p w14:paraId="51D9E61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1" w:type="pct"/>
            <w:tcBorders>
              <w:top w:val="nil"/>
              <w:left w:val="nil"/>
              <w:bottom w:val="nil"/>
              <w:right w:val="nil"/>
            </w:tcBorders>
            <w:shd w:val="clear" w:color="auto" w:fill="auto"/>
            <w:noWrap/>
            <w:vAlign w:val="bottom"/>
            <w:hideMark/>
          </w:tcPr>
          <w:p w14:paraId="2F5D462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83" w:type="pct"/>
            <w:vMerge/>
            <w:tcBorders>
              <w:top w:val="nil"/>
              <w:left w:val="single" w:sz="8" w:space="0" w:color="auto"/>
              <w:bottom w:val="single" w:sz="8" w:space="0" w:color="000000"/>
              <w:right w:val="single" w:sz="4" w:space="0" w:color="auto"/>
            </w:tcBorders>
            <w:vAlign w:val="center"/>
            <w:hideMark/>
          </w:tcPr>
          <w:p w14:paraId="2859A77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53" w:type="pct"/>
            <w:gridSpan w:val="3"/>
            <w:tcBorders>
              <w:top w:val="single" w:sz="4" w:space="0" w:color="auto"/>
              <w:left w:val="nil"/>
              <w:bottom w:val="single" w:sz="8" w:space="0" w:color="auto"/>
              <w:right w:val="single" w:sz="4" w:space="0" w:color="auto"/>
            </w:tcBorders>
            <w:shd w:val="clear" w:color="auto" w:fill="auto"/>
            <w:noWrap/>
            <w:vAlign w:val="bottom"/>
            <w:hideMark/>
          </w:tcPr>
          <w:p w14:paraId="127AD49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current liabilities</w:t>
            </w:r>
          </w:p>
        </w:tc>
        <w:tc>
          <w:tcPr>
            <w:tcW w:w="667" w:type="pct"/>
            <w:gridSpan w:val="3"/>
            <w:tcBorders>
              <w:top w:val="nil"/>
              <w:left w:val="nil"/>
              <w:bottom w:val="single" w:sz="4" w:space="0" w:color="auto"/>
              <w:right w:val="single" w:sz="4" w:space="0" w:color="auto"/>
            </w:tcBorders>
            <w:shd w:val="clear" w:color="auto" w:fill="auto"/>
            <w:noWrap/>
            <w:vAlign w:val="bottom"/>
            <w:hideMark/>
          </w:tcPr>
          <w:p w14:paraId="0D3A02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32,560.00 </w:t>
            </w:r>
          </w:p>
        </w:tc>
        <w:tc>
          <w:tcPr>
            <w:tcW w:w="249" w:type="pct"/>
            <w:vMerge/>
            <w:tcBorders>
              <w:top w:val="nil"/>
              <w:left w:val="single" w:sz="4" w:space="0" w:color="auto"/>
              <w:bottom w:val="single" w:sz="8" w:space="0" w:color="000000"/>
              <w:right w:val="single" w:sz="8" w:space="0" w:color="auto"/>
            </w:tcBorders>
            <w:vAlign w:val="center"/>
            <w:hideMark/>
          </w:tcPr>
          <w:p w14:paraId="0588DA3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bl>
    <w:p w14:paraId="6E3BDDE7" w14:textId="628E5B28" w:rsidR="00B525D7" w:rsidRPr="001220A0" w:rsidRDefault="00C559F6" w:rsidP="001220A0">
      <w:pPr>
        <w:jc w:val="center"/>
        <w:rPr>
          <w:rFonts w:ascii="Times New Roman" w:hAnsi="Times New Roman" w:cs="Times New Roman"/>
          <w:b/>
          <w:sz w:val="24"/>
          <w:szCs w:val="24"/>
        </w:rPr>
        <w:sectPr w:rsidR="00B525D7" w:rsidRPr="001220A0" w:rsidSect="00B525D7">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8B6FFF">
        <w:rPr>
          <w:rFonts w:ascii="Times New Roman" w:hAnsi="Times New Roman" w:cs="Times New Roman"/>
          <w:b/>
          <w:sz w:val="24"/>
          <w:szCs w:val="24"/>
        </w:rPr>
        <w:t xml:space="preserve">Table </w:t>
      </w:r>
      <w:r>
        <w:rPr>
          <w:rFonts w:ascii="Times New Roman" w:hAnsi="Times New Roman" w:cs="Times New Roman"/>
          <w:b/>
          <w:sz w:val="24"/>
          <w:szCs w:val="24"/>
        </w:rPr>
        <w:t>2</w:t>
      </w:r>
      <w:r w:rsidRPr="008B6FFF">
        <w:rPr>
          <w:rFonts w:ascii="Times New Roman" w:hAnsi="Times New Roman" w:cs="Times New Roman"/>
          <w:b/>
          <w:sz w:val="24"/>
          <w:szCs w:val="24"/>
        </w:rPr>
        <w:t xml:space="preserve">: </w:t>
      </w:r>
      <w:r>
        <w:rPr>
          <w:rFonts w:ascii="Times New Roman" w:hAnsi="Times New Roman" w:cs="Times New Roman"/>
          <w:b/>
          <w:sz w:val="24"/>
          <w:szCs w:val="24"/>
        </w:rPr>
        <w:t>Liquidity</w:t>
      </w:r>
      <w:r w:rsidRPr="008B6FFF">
        <w:rPr>
          <w:rFonts w:ascii="Times New Roman" w:hAnsi="Times New Roman" w:cs="Times New Roman"/>
          <w:b/>
          <w:sz w:val="24"/>
          <w:szCs w:val="24"/>
        </w:rPr>
        <w:t xml:space="preserve"> ratio</w:t>
      </w:r>
    </w:p>
    <w:p w14:paraId="00000028" w14:textId="175EB456" w:rsidR="00C65B51" w:rsidRPr="004F6549" w:rsidRDefault="006C0F24" w:rsidP="00E95AFC">
      <w:pPr>
        <w:pStyle w:val="Heading3"/>
        <w:spacing w:line="360" w:lineRule="auto"/>
      </w:pPr>
      <w:bookmarkStart w:id="15" w:name="_Toc39166250"/>
      <w:r w:rsidRPr="004F6549">
        <w:lastRenderedPageBreak/>
        <w:t>2.2.1 Current ratio</w:t>
      </w:r>
      <w:bookmarkEnd w:id="15"/>
    </w:p>
    <w:p w14:paraId="00000029" w14:textId="29371826"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Current </w:t>
      </w:r>
      <w:r w:rsidR="0075703F" w:rsidRPr="004F6549">
        <w:rPr>
          <w:rFonts w:ascii="Times New Roman" w:hAnsi="Times New Roman" w:cs="Times New Roman"/>
          <w:sz w:val="24"/>
          <w:szCs w:val="24"/>
        </w:rPr>
        <w:t>ratio represents</w:t>
      </w:r>
      <w:r w:rsidRPr="004F6549">
        <w:rPr>
          <w:rFonts w:ascii="Times New Roman" w:hAnsi="Times New Roman" w:cs="Times New Roman"/>
          <w:sz w:val="24"/>
          <w:szCs w:val="24"/>
        </w:rPr>
        <w:t xml:space="preserve"> the short-term financial capabilities of organizational management. According to the current ratio of Lloyds bank, </w:t>
      </w:r>
      <w:r w:rsidR="0075703F" w:rsidRPr="004F6549">
        <w:rPr>
          <w:rFonts w:ascii="Times New Roman" w:hAnsi="Times New Roman" w:cs="Times New Roman"/>
          <w:sz w:val="24"/>
          <w:szCs w:val="24"/>
        </w:rPr>
        <w:t>its</w:t>
      </w:r>
      <w:r w:rsidRPr="004F6549">
        <w:rPr>
          <w:rFonts w:ascii="Times New Roman" w:hAnsi="Times New Roman" w:cs="Times New Roman"/>
          <w:sz w:val="24"/>
          <w:szCs w:val="24"/>
        </w:rPr>
        <w:t xml:space="preserve"> economic management has been considered as effective. The major reason is that, since </w:t>
      </w:r>
      <w:r w:rsidR="0075703F" w:rsidRPr="004F6549">
        <w:rPr>
          <w:rFonts w:ascii="Times New Roman" w:hAnsi="Times New Roman" w:cs="Times New Roman"/>
          <w:sz w:val="24"/>
          <w:szCs w:val="24"/>
        </w:rPr>
        <w:t>2017,</w:t>
      </w:r>
      <w:r w:rsidRPr="004F6549">
        <w:rPr>
          <w:rFonts w:ascii="Times New Roman" w:hAnsi="Times New Roman" w:cs="Times New Roman"/>
          <w:sz w:val="24"/>
          <w:szCs w:val="24"/>
        </w:rPr>
        <w:t xml:space="preserve"> the current ratio was found to be declining and financial performances were </w:t>
      </w:r>
      <w:r w:rsidR="0075703F" w:rsidRPr="004F6549">
        <w:rPr>
          <w:rFonts w:ascii="Times New Roman" w:hAnsi="Times New Roman" w:cs="Times New Roman"/>
          <w:sz w:val="24"/>
          <w:szCs w:val="24"/>
        </w:rPr>
        <w:t>weaken</w:t>
      </w:r>
      <w:r w:rsidRPr="004F6549">
        <w:rPr>
          <w:rFonts w:ascii="Times New Roman" w:hAnsi="Times New Roman" w:cs="Times New Roman"/>
          <w:sz w:val="24"/>
          <w:szCs w:val="24"/>
        </w:rPr>
        <w:t>. However, in the last financial year 2019, again the current ratio became 2</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Saeed and Zahid,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In addition to all this, the overall financial activities can be contemplated as efficiency, as the amount of current asset was greater than current liabilities.</w:t>
      </w:r>
    </w:p>
    <w:p w14:paraId="0000002A" w14:textId="77777777" w:rsidR="00C65B51" w:rsidRPr="004F6549" w:rsidRDefault="00C65B51" w:rsidP="00E95AFC">
      <w:pPr>
        <w:spacing w:line="360" w:lineRule="auto"/>
        <w:jc w:val="both"/>
        <w:rPr>
          <w:rFonts w:ascii="Times New Roman" w:hAnsi="Times New Roman" w:cs="Times New Roman"/>
          <w:sz w:val="24"/>
          <w:szCs w:val="24"/>
        </w:rPr>
      </w:pPr>
    </w:p>
    <w:p w14:paraId="0000002B" w14:textId="5BFA9ED3"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According to the current ratio past five years of Barclay </w:t>
      </w:r>
      <w:r w:rsidR="0075703F" w:rsidRPr="004F6549">
        <w:rPr>
          <w:rFonts w:ascii="Times New Roman" w:hAnsi="Times New Roman" w:cs="Times New Roman"/>
          <w:sz w:val="24"/>
          <w:szCs w:val="24"/>
        </w:rPr>
        <w:t>bank,</w:t>
      </w:r>
      <w:r w:rsidRPr="004F6549">
        <w:rPr>
          <w:rFonts w:ascii="Times New Roman" w:hAnsi="Times New Roman" w:cs="Times New Roman"/>
          <w:sz w:val="24"/>
          <w:szCs w:val="24"/>
        </w:rPr>
        <w:t xml:space="preserve"> their economic authority was regarded as effective. The minimum current ratio during that tenure was 2. In the financial term 2019, that rate was observed to be reduced to 1.3 and this reflects the financial weaknesses of the organization. As the amount of current liabilities was also lower in 2019 than current assets, thus, a stable condition was analyzed in respect to this banking sector.</w:t>
      </w:r>
    </w:p>
    <w:p w14:paraId="0000002C" w14:textId="77777777" w:rsidR="00C65B51" w:rsidRPr="004F6549" w:rsidRDefault="00C65B51" w:rsidP="00E95AFC">
      <w:pPr>
        <w:spacing w:line="360" w:lineRule="auto"/>
        <w:jc w:val="both"/>
        <w:rPr>
          <w:rFonts w:ascii="Times New Roman" w:hAnsi="Times New Roman" w:cs="Times New Roman"/>
          <w:sz w:val="24"/>
          <w:szCs w:val="24"/>
        </w:rPr>
      </w:pPr>
    </w:p>
    <w:p w14:paraId="0000002D" w14:textId="4CB12306"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comparison to the financial statements of all these companies, the short-term asset management of Santander </w:t>
      </w:r>
      <w:r w:rsidR="0075703F" w:rsidRPr="004F6549">
        <w:rPr>
          <w:rFonts w:ascii="Times New Roman" w:hAnsi="Times New Roman" w:cs="Times New Roman"/>
          <w:sz w:val="24"/>
          <w:szCs w:val="24"/>
        </w:rPr>
        <w:t>Company</w:t>
      </w:r>
      <w:r w:rsidRPr="004F6549">
        <w:rPr>
          <w:rFonts w:ascii="Times New Roman" w:hAnsi="Times New Roman" w:cs="Times New Roman"/>
          <w:sz w:val="24"/>
          <w:szCs w:val="24"/>
        </w:rPr>
        <w:t xml:space="preserve"> has been contemplated as in better position than Lloyds and Barclays </w:t>
      </w:r>
      <w:r w:rsidR="0075703F" w:rsidRPr="004F6549">
        <w:rPr>
          <w:rFonts w:ascii="Times New Roman" w:hAnsi="Times New Roman" w:cs="Times New Roman"/>
          <w:sz w:val="24"/>
          <w:szCs w:val="24"/>
        </w:rPr>
        <w:t>Company</w:t>
      </w:r>
      <w:r w:rsidRPr="004F6549">
        <w:rPr>
          <w:rFonts w:ascii="Times New Roman" w:hAnsi="Times New Roman" w:cs="Times New Roman"/>
          <w:sz w:val="24"/>
          <w:szCs w:val="24"/>
        </w:rPr>
        <w:t>. The reason is that a moderate financial position was maintained by this organization in terms of current ratio</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Qiu</w:t>
      </w:r>
      <w:proofErr w:type="spellEnd"/>
      <w:r w:rsidR="00F52492" w:rsidRPr="004F6549">
        <w:rPr>
          <w:rFonts w:ascii="Times New Roman" w:hAnsi="Times New Roman" w:cs="Times New Roman"/>
          <w:sz w:val="24"/>
          <w:szCs w:val="24"/>
          <w:shd w:val="clear" w:color="auto" w:fill="FFFFFF"/>
        </w:rPr>
        <w:t xml:space="preserve">, Shaukat and </w:t>
      </w:r>
      <w:proofErr w:type="spellStart"/>
      <w:r w:rsidR="00F52492" w:rsidRPr="004F6549">
        <w:rPr>
          <w:rFonts w:ascii="Times New Roman" w:hAnsi="Times New Roman" w:cs="Times New Roman"/>
          <w:sz w:val="24"/>
          <w:szCs w:val="24"/>
          <w:shd w:val="clear" w:color="auto" w:fill="FFFFFF"/>
        </w:rPr>
        <w:t>Tharyan</w:t>
      </w:r>
      <w:proofErr w:type="spellEnd"/>
      <w:r w:rsidR="00F52492" w:rsidRPr="004F6549">
        <w:rPr>
          <w:rFonts w:ascii="Times New Roman" w:hAnsi="Times New Roman" w:cs="Times New Roman"/>
          <w:sz w:val="24"/>
          <w:szCs w:val="24"/>
          <w:shd w:val="clear" w:color="auto" w:fill="FFFFFF"/>
        </w:rPr>
        <w:t>,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In the last accounting </w:t>
      </w:r>
      <w:r w:rsidR="0075703F" w:rsidRPr="004F6549">
        <w:rPr>
          <w:rFonts w:ascii="Times New Roman" w:hAnsi="Times New Roman" w:cs="Times New Roman"/>
          <w:sz w:val="24"/>
          <w:szCs w:val="24"/>
        </w:rPr>
        <w:t>year,</w:t>
      </w:r>
      <w:r w:rsidRPr="004F6549">
        <w:rPr>
          <w:rFonts w:ascii="Times New Roman" w:hAnsi="Times New Roman" w:cs="Times New Roman"/>
          <w:sz w:val="24"/>
          <w:szCs w:val="24"/>
        </w:rPr>
        <w:t xml:space="preserve"> the ratio was 1.68. However, in respect to this ratio, all the selected companies can be regarded as effective and efficient, except Lloyds.</w:t>
      </w:r>
    </w:p>
    <w:p w14:paraId="0000002E" w14:textId="77777777" w:rsidR="00C65B51" w:rsidRPr="004F6549" w:rsidRDefault="006C0F24" w:rsidP="00E95AFC">
      <w:pPr>
        <w:pStyle w:val="Heading3"/>
        <w:spacing w:line="360" w:lineRule="auto"/>
      </w:pPr>
      <w:bookmarkStart w:id="16" w:name="_Toc39166251"/>
      <w:r w:rsidRPr="004F6549">
        <w:t>2.2.2 Quick ratio</w:t>
      </w:r>
      <w:bookmarkEnd w:id="16"/>
    </w:p>
    <w:p w14:paraId="0000002F" w14:textId="77777777"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This ratio reflects the short-term financial performances of organizational management and the nature of this ratio was almost similar to the current ratio. The only difference between current and quick ratio is infant opry. In other words, the quick ratio does not consider the value of inventory as a part of the current asset. In respect to this ratio, Lloyd baking company can be contemplated as a moderate. The major reason is that, during the last five years a fluctuation was evaluated in this ratio.</w:t>
      </w:r>
    </w:p>
    <w:p w14:paraId="00000030" w14:textId="6D38A486"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As per the calculation, Barclay bank has achieved a better position than the past </w:t>
      </w:r>
      <w:r w:rsidR="0075703F" w:rsidRPr="004F6549">
        <w:rPr>
          <w:rFonts w:ascii="Times New Roman" w:hAnsi="Times New Roman" w:cs="Times New Roman"/>
          <w:sz w:val="24"/>
          <w:szCs w:val="24"/>
        </w:rPr>
        <w:t>five-year</w:t>
      </w:r>
      <w:r w:rsidRPr="004F6549">
        <w:rPr>
          <w:rFonts w:ascii="Times New Roman" w:hAnsi="Times New Roman" w:cs="Times New Roman"/>
          <w:sz w:val="24"/>
          <w:szCs w:val="24"/>
        </w:rPr>
        <w:t xml:space="preserve"> trend. The main reason is that, most the previous year reflects the quick ratio as 2. However, in respect </w:t>
      </w:r>
      <w:r w:rsidRPr="004F6549">
        <w:rPr>
          <w:rFonts w:ascii="Times New Roman" w:hAnsi="Times New Roman" w:cs="Times New Roman"/>
          <w:sz w:val="24"/>
          <w:szCs w:val="24"/>
        </w:rPr>
        <w:lastRenderedPageBreak/>
        <w:t xml:space="preserve">to the last year's financial statement, the result of this company was quite lesser than </w:t>
      </w:r>
      <w:r w:rsidR="0075703F" w:rsidRPr="004F6549">
        <w:rPr>
          <w:rFonts w:ascii="Times New Roman" w:hAnsi="Times New Roman" w:cs="Times New Roman"/>
          <w:sz w:val="24"/>
          <w:szCs w:val="24"/>
        </w:rPr>
        <w:t>Lloyds</w:t>
      </w:r>
      <w:r w:rsidRPr="004F6549">
        <w:rPr>
          <w:rFonts w:ascii="Times New Roman" w:hAnsi="Times New Roman" w:cs="Times New Roman"/>
          <w:sz w:val="24"/>
          <w:szCs w:val="24"/>
        </w:rPr>
        <w:t xml:space="preserve"> </w:t>
      </w:r>
      <w:r w:rsidR="0075703F" w:rsidRPr="004F6549">
        <w:rPr>
          <w:rFonts w:ascii="Times New Roman" w:hAnsi="Times New Roman" w:cs="Times New Roman"/>
          <w:sz w:val="24"/>
          <w:szCs w:val="24"/>
        </w:rPr>
        <w:t>banking were</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 xml:space="preserve">Afonso, </w:t>
      </w:r>
      <w:proofErr w:type="spellStart"/>
      <w:r w:rsidR="00F52492" w:rsidRPr="004F6549">
        <w:rPr>
          <w:rFonts w:ascii="Times New Roman" w:hAnsi="Times New Roman" w:cs="Times New Roman"/>
          <w:sz w:val="24"/>
          <w:szCs w:val="24"/>
          <w:shd w:val="clear" w:color="auto" w:fill="FFFFFF"/>
        </w:rPr>
        <w:t>Baxa</w:t>
      </w:r>
      <w:proofErr w:type="spellEnd"/>
      <w:r w:rsidR="00F52492" w:rsidRPr="004F6549">
        <w:rPr>
          <w:rFonts w:ascii="Times New Roman" w:hAnsi="Times New Roman" w:cs="Times New Roman"/>
          <w:sz w:val="24"/>
          <w:szCs w:val="24"/>
          <w:shd w:val="clear" w:color="auto" w:fill="FFFFFF"/>
        </w:rPr>
        <w:t xml:space="preserve"> and </w:t>
      </w:r>
      <w:proofErr w:type="spellStart"/>
      <w:r w:rsidR="00F52492" w:rsidRPr="004F6549">
        <w:rPr>
          <w:rFonts w:ascii="Times New Roman" w:hAnsi="Times New Roman" w:cs="Times New Roman"/>
          <w:sz w:val="24"/>
          <w:szCs w:val="24"/>
          <w:shd w:val="clear" w:color="auto" w:fill="FFFFFF"/>
        </w:rPr>
        <w:t>Slavík</w:t>
      </w:r>
      <w:proofErr w:type="spellEnd"/>
      <w:r w:rsidR="00F52492" w:rsidRPr="004F6549">
        <w:rPr>
          <w:rFonts w:ascii="Times New Roman" w:hAnsi="Times New Roman" w:cs="Times New Roman"/>
          <w:sz w:val="24"/>
          <w:szCs w:val="24"/>
          <w:shd w:val="clear" w:color="auto" w:fill="FFFFFF"/>
        </w:rPr>
        <w:t>,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According to the financial records, the amount of current liabilities was observed to be reduced in respect to the </w:t>
      </w:r>
      <w:r w:rsidR="0075703F" w:rsidRPr="004F6549">
        <w:rPr>
          <w:rFonts w:ascii="Times New Roman" w:hAnsi="Times New Roman" w:cs="Times New Roman"/>
          <w:sz w:val="24"/>
          <w:szCs w:val="24"/>
        </w:rPr>
        <w:t>Lloyds</w:t>
      </w:r>
      <w:r w:rsidRPr="004F6549">
        <w:rPr>
          <w:rFonts w:ascii="Times New Roman" w:hAnsi="Times New Roman" w:cs="Times New Roman"/>
          <w:sz w:val="24"/>
          <w:szCs w:val="24"/>
        </w:rPr>
        <w:t xml:space="preserve"> bank.</w:t>
      </w:r>
    </w:p>
    <w:p w14:paraId="00000031" w14:textId="6E826E17"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As the Santander belongs to the lower financial position than other two banking sectors, thus, the amount of current asset and liabilities was determined as definitely lower than that. However, in terms of quick ratio, the financial management of Santander banking companies can be contemplated as weaker than others also. The major factor is that, during the last financial year, the quick ratio of this organization was below 1</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Adrian and Liang,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Hence, it can be referred to below the specified level.</w:t>
      </w:r>
    </w:p>
    <w:p w14:paraId="7D752732" w14:textId="77777777" w:rsidR="004E43C5" w:rsidRDefault="004E43C5">
      <w:pPr>
        <w:rPr>
          <w:rFonts w:ascii="Times New Roman" w:hAnsi="Times New Roman"/>
          <w:b/>
          <w:sz w:val="24"/>
          <w:szCs w:val="32"/>
        </w:rPr>
      </w:pPr>
      <w:bookmarkStart w:id="17" w:name="_Toc39166252"/>
      <w:r>
        <w:br w:type="page"/>
      </w:r>
    </w:p>
    <w:p w14:paraId="54100684" w14:textId="77777777" w:rsidR="003D2D09" w:rsidRDefault="003D2D09" w:rsidP="00E95AFC">
      <w:pPr>
        <w:pStyle w:val="Heading2"/>
        <w:spacing w:line="360" w:lineRule="auto"/>
        <w:sectPr w:rsidR="003D2D09" w:rsidSect="005240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0000032" w14:textId="5C44BCE8" w:rsidR="00C65B51" w:rsidRDefault="006C0F24" w:rsidP="00E95AFC">
      <w:pPr>
        <w:pStyle w:val="Heading2"/>
        <w:spacing w:line="360" w:lineRule="auto"/>
      </w:pPr>
      <w:r w:rsidRPr="004F6549">
        <w:lastRenderedPageBreak/>
        <w:t>2.3 Efficiency level</w:t>
      </w:r>
      <w:bookmarkEnd w:id="17"/>
    </w:p>
    <w:tbl>
      <w:tblPr>
        <w:tblW w:w="5000" w:type="pct"/>
        <w:tblLook w:val="04A0" w:firstRow="1" w:lastRow="0" w:firstColumn="1" w:lastColumn="0" w:noHBand="0" w:noVBand="1"/>
      </w:tblPr>
      <w:tblGrid>
        <w:gridCol w:w="665"/>
        <w:gridCol w:w="346"/>
        <w:gridCol w:w="346"/>
        <w:gridCol w:w="341"/>
        <w:gridCol w:w="341"/>
        <w:gridCol w:w="1247"/>
        <w:gridCol w:w="888"/>
        <w:gridCol w:w="220"/>
        <w:gridCol w:w="664"/>
        <w:gridCol w:w="345"/>
        <w:gridCol w:w="345"/>
        <w:gridCol w:w="340"/>
        <w:gridCol w:w="340"/>
        <w:gridCol w:w="1426"/>
        <w:gridCol w:w="888"/>
        <w:gridCol w:w="220"/>
        <w:gridCol w:w="664"/>
        <w:gridCol w:w="345"/>
        <w:gridCol w:w="345"/>
        <w:gridCol w:w="340"/>
        <w:gridCol w:w="340"/>
        <w:gridCol w:w="1292"/>
        <w:gridCol w:w="888"/>
      </w:tblGrid>
      <w:tr w:rsidR="008B6FFF" w:rsidRPr="00FF6AFF" w14:paraId="27606A41" w14:textId="77777777" w:rsidTr="003D2D09">
        <w:trPr>
          <w:trHeight w:val="300"/>
        </w:trPr>
        <w:tc>
          <w:tcPr>
            <w:tcW w:w="1589"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69D778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Lloyds Bank</w:t>
            </w:r>
          </w:p>
        </w:tc>
        <w:tc>
          <w:tcPr>
            <w:tcW w:w="70" w:type="pct"/>
            <w:tcBorders>
              <w:top w:val="nil"/>
              <w:left w:val="nil"/>
              <w:bottom w:val="nil"/>
              <w:right w:val="nil"/>
            </w:tcBorders>
            <w:shd w:val="clear" w:color="auto" w:fill="auto"/>
            <w:noWrap/>
            <w:vAlign w:val="bottom"/>
            <w:hideMark/>
          </w:tcPr>
          <w:p w14:paraId="21FF2CF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65"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56CDF0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Barclay Bank</w:t>
            </w:r>
          </w:p>
        </w:tc>
        <w:tc>
          <w:tcPr>
            <w:tcW w:w="70" w:type="pct"/>
            <w:tcBorders>
              <w:top w:val="nil"/>
              <w:left w:val="nil"/>
              <w:bottom w:val="nil"/>
              <w:right w:val="nil"/>
            </w:tcBorders>
            <w:shd w:val="clear" w:color="auto" w:fill="auto"/>
            <w:noWrap/>
            <w:vAlign w:val="bottom"/>
            <w:hideMark/>
          </w:tcPr>
          <w:p w14:paraId="4CB55E4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5"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4EE5C8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Santander Bank</w:t>
            </w:r>
          </w:p>
        </w:tc>
      </w:tr>
      <w:tr w:rsidR="008B6FFF" w:rsidRPr="00FF6AFF" w14:paraId="122AF827" w14:textId="77777777" w:rsidTr="003D2D09">
        <w:trPr>
          <w:trHeight w:val="150"/>
        </w:trPr>
        <w:tc>
          <w:tcPr>
            <w:tcW w:w="256" w:type="pct"/>
            <w:tcBorders>
              <w:top w:val="nil"/>
              <w:left w:val="single" w:sz="8" w:space="0" w:color="auto"/>
              <w:bottom w:val="nil"/>
              <w:right w:val="nil"/>
            </w:tcBorders>
            <w:shd w:val="clear" w:color="auto" w:fill="auto"/>
            <w:noWrap/>
            <w:vAlign w:val="bottom"/>
            <w:hideMark/>
          </w:tcPr>
          <w:p w14:paraId="38D916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7B4DAD5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6DFFB2C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057A63E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4358104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00" w:type="pct"/>
            <w:tcBorders>
              <w:top w:val="nil"/>
              <w:left w:val="nil"/>
              <w:bottom w:val="nil"/>
              <w:right w:val="nil"/>
            </w:tcBorders>
            <w:shd w:val="clear" w:color="auto" w:fill="auto"/>
            <w:noWrap/>
            <w:vAlign w:val="bottom"/>
            <w:hideMark/>
          </w:tcPr>
          <w:p w14:paraId="2476435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50" w:type="pct"/>
            <w:tcBorders>
              <w:top w:val="nil"/>
              <w:left w:val="nil"/>
              <w:bottom w:val="nil"/>
              <w:right w:val="single" w:sz="8" w:space="0" w:color="auto"/>
            </w:tcBorders>
            <w:shd w:val="clear" w:color="auto" w:fill="auto"/>
            <w:noWrap/>
            <w:vAlign w:val="bottom"/>
            <w:hideMark/>
          </w:tcPr>
          <w:p w14:paraId="6801897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70" w:type="pct"/>
            <w:tcBorders>
              <w:top w:val="nil"/>
              <w:left w:val="nil"/>
              <w:bottom w:val="nil"/>
              <w:right w:val="nil"/>
            </w:tcBorders>
            <w:shd w:val="clear" w:color="auto" w:fill="auto"/>
            <w:noWrap/>
            <w:vAlign w:val="bottom"/>
            <w:hideMark/>
          </w:tcPr>
          <w:p w14:paraId="1E036A8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nil"/>
              <w:right w:val="nil"/>
            </w:tcBorders>
            <w:shd w:val="clear" w:color="auto" w:fill="auto"/>
            <w:noWrap/>
            <w:vAlign w:val="bottom"/>
            <w:hideMark/>
          </w:tcPr>
          <w:p w14:paraId="041B98A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31BB70E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7EE6C63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764E778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3B4C708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75" w:type="pct"/>
            <w:tcBorders>
              <w:top w:val="nil"/>
              <w:left w:val="nil"/>
              <w:bottom w:val="nil"/>
              <w:right w:val="nil"/>
            </w:tcBorders>
            <w:shd w:val="clear" w:color="auto" w:fill="auto"/>
            <w:noWrap/>
            <w:vAlign w:val="bottom"/>
            <w:hideMark/>
          </w:tcPr>
          <w:p w14:paraId="7E86AA7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50" w:type="pct"/>
            <w:tcBorders>
              <w:top w:val="nil"/>
              <w:left w:val="nil"/>
              <w:bottom w:val="nil"/>
              <w:right w:val="single" w:sz="8" w:space="0" w:color="auto"/>
            </w:tcBorders>
            <w:shd w:val="clear" w:color="auto" w:fill="auto"/>
            <w:noWrap/>
            <w:vAlign w:val="bottom"/>
            <w:hideMark/>
          </w:tcPr>
          <w:p w14:paraId="0F46578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70" w:type="pct"/>
            <w:tcBorders>
              <w:top w:val="nil"/>
              <w:left w:val="nil"/>
              <w:bottom w:val="nil"/>
              <w:right w:val="nil"/>
            </w:tcBorders>
            <w:shd w:val="clear" w:color="auto" w:fill="auto"/>
            <w:noWrap/>
            <w:vAlign w:val="bottom"/>
            <w:hideMark/>
          </w:tcPr>
          <w:p w14:paraId="18985D7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nil"/>
              <w:right w:val="nil"/>
            </w:tcBorders>
            <w:shd w:val="clear" w:color="auto" w:fill="auto"/>
            <w:noWrap/>
            <w:vAlign w:val="bottom"/>
            <w:hideMark/>
          </w:tcPr>
          <w:p w14:paraId="2846510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2C9F7F9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7DEE9BF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45E26A4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1A15443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19" w:type="pct"/>
            <w:tcBorders>
              <w:top w:val="nil"/>
              <w:left w:val="nil"/>
              <w:bottom w:val="nil"/>
              <w:right w:val="nil"/>
            </w:tcBorders>
            <w:shd w:val="clear" w:color="auto" w:fill="auto"/>
            <w:noWrap/>
            <w:vAlign w:val="bottom"/>
            <w:hideMark/>
          </w:tcPr>
          <w:p w14:paraId="3CE70B4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46" w:type="pct"/>
            <w:tcBorders>
              <w:top w:val="nil"/>
              <w:left w:val="nil"/>
              <w:bottom w:val="nil"/>
              <w:right w:val="single" w:sz="8" w:space="0" w:color="auto"/>
            </w:tcBorders>
            <w:shd w:val="clear" w:color="auto" w:fill="auto"/>
            <w:noWrap/>
            <w:vAlign w:val="bottom"/>
            <w:hideMark/>
          </w:tcPr>
          <w:p w14:paraId="06A8BB6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5C887241" w14:textId="77777777" w:rsidTr="003D2D09">
        <w:trPr>
          <w:trHeight w:val="300"/>
        </w:trPr>
        <w:tc>
          <w:tcPr>
            <w:tcW w:w="1589"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57EA27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Inventory turnover ratio</w:t>
            </w:r>
          </w:p>
        </w:tc>
        <w:tc>
          <w:tcPr>
            <w:tcW w:w="70" w:type="pct"/>
            <w:tcBorders>
              <w:top w:val="nil"/>
              <w:left w:val="nil"/>
              <w:bottom w:val="nil"/>
              <w:right w:val="nil"/>
            </w:tcBorders>
            <w:shd w:val="clear" w:color="auto" w:fill="auto"/>
            <w:noWrap/>
            <w:vAlign w:val="bottom"/>
            <w:hideMark/>
          </w:tcPr>
          <w:p w14:paraId="362AC4A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65"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1C83C2D"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Inventory turnover ratio</w:t>
            </w:r>
          </w:p>
        </w:tc>
        <w:tc>
          <w:tcPr>
            <w:tcW w:w="70" w:type="pct"/>
            <w:tcBorders>
              <w:top w:val="nil"/>
              <w:left w:val="nil"/>
              <w:bottom w:val="nil"/>
              <w:right w:val="nil"/>
            </w:tcBorders>
            <w:shd w:val="clear" w:color="auto" w:fill="auto"/>
            <w:noWrap/>
            <w:vAlign w:val="bottom"/>
            <w:hideMark/>
          </w:tcPr>
          <w:p w14:paraId="19B9529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5"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75A1D57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Inventory turnover ratio</w:t>
            </w:r>
          </w:p>
        </w:tc>
      </w:tr>
      <w:tr w:rsidR="008B6FFF" w:rsidRPr="00FF6AFF" w14:paraId="0E187CB3" w14:textId="77777777" w:rsidTr="003D2D09">
        <w:trPr>
          <w:trHeight w:val="300"/>
        </w:trPr>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79941109"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405E75E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00" w:type="pct"/>
            <w:tcBorders>
              <w:top w:val="nil"/>
              <w:left w:val="nil"/>
              <w:bottom w:val="single" w:sz="4" w:space="0" w:color="auto"/>
              <w:right w:val="single" w:sz="4" w:space="0" w:color="auto"/>
            </w:tcBorders>
            <w:shd w:val="clear" w:color="auto" w:fill="auto"/>
            <w:noWrap/>
            <w:vAlign w:val="center"/>
            <w:hideMark/>
          </w:tcPr>
          <w:p w14:paraId="02DE5E5D"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50" w:type="pct"/>
            <w:tcBorders>
              <w:top w:val="nil"/>
              <w:left w:val="nil"/>
              <w:bottom w:val="single" w:sz="4" w:space="0" w:color="auto"/>
              <w:right w:val="single" w:sz="8" w:space="0" w:color="auto"/>
            </w:tcBorders>
            <w:shd w:val="clear" w:color="auto" w:fill="auto"/>
            <w:noWrap/>
            <w:vAlign w:val="center"/>
            <w:hideMark/>
          </w:tcPr>
          <w:p w14:paraId="27D6CCC9"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70" w:type="pct"/>
            <w:tcBorders>
              <w:top w:val="nil"/>
              <w:left w:val="nil"/>
              <w:bottom w:val="nil"/>
              <w:right w:val="nil"/>
            </w:tcBorders>
            <w:shd w:val="clear" w:color="auto" w:fill="auto"/>
            <w:noWrap/>
            <w:vAlign w:val="bottom"/>
            <w:hideMark/>
          </w:tcPr>
          <w:p w14:paraId="767AFAE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66F9915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0F49B3D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75" w:type="pct"/>
            <w:tcBorders>
              <w:top w:val="nil"/>
              <w:left w:val="nil"/>
              <w:bottom w:val="single" w:sz="4" w:space="0" w:color="auto"/>
              <w:right w:val="single" w:sz="4" w:space="0" w:color="auto"/>
            </w:tcBorders>
            <w:shd w:val="clear" w:color="auto" w:fill="auto"/>
            <w:noWrap/>
            <w:vAlign w:val="center"/>
            <w:hideMark/>
          </w:tcPr>
          <w:p w14:paraId="1983FA0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50" w:type="pct"/>
            <w:tcBorders>
              <w:top w:val="nil"/>
              <w:left w:val="nil"/>
              <w:bottom w:val="single" w:sz="4" w:space="0" w:color="auto"/>
              <w:right w:val="single" w:sz="8" w:space="0" w:color="auto"/>
            </w:tcBorders>
            <w:shd w:val="clear" w:color="auto" w:fill="auto"/>
            <w:noWrap/>
            <w:vAlign w:val="center"/>
            <w:hideMark/>
          </w:tcPr>
          <w:p w14:paraId="771C5CC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70" w:type="pct"/>
            <w:tcBorders>
              <w:top w:val="nil"/>
              <w:left w:val="nil"/>
              <w:bottom w:val="nil"/>
              <w:right w:val="nil"/>
            </w:tcBorders>
            <w:shd w:val="clear" w:color="auto" w:fill="auto"/>
            <w:noWrap/>
            <w:vAlign w:val="bottom"/>
            <w:hideMark/>
          </w:tcPr>
          <w:p w14:paraId="161FFD8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644E2FE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2691C26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19" w:type="pct"/>
            <w:tcBorders>
              <w:top w:val="nil"/>
              <w:left w:val="nil"/>
              <w:bottom w:val="single" w:sz="4" w:space="0" w:color="auto"/>
              <w:right w:val="single" w:sz="4" w:space="0" w:color="auto"/>
            </w:tcBorders>
            <w:shd w:val="clear" w:color="auto" w:fill="auto"/>
            <w:noWrap/>
            <w:vAlign w:val="center"/>
            <w:hideMark/>
          </w:tcPr>
          <w:p w14:paraId="40DB0C4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46" w:type="pct"/>
            <w:tcBorders>
              <w:top w:val="nil"/>
              <w:left w:val="nil"/>
              <w:bottom w:val="single" w:sz="4" w:space="0" w:color="auto"/>
              <w:right w:val="single" w:sz="8" w:space="0" w:color="auto"/>
            </w:tcBorders>
            <w:shd w:val="clear" w:color="auto" w:fill="auto"/>
            <w:noWrap/>
            <w:vAlign w:val="center"/>
            <w:hideMark/>
          </w:tcPr>
          <w:p w14:paraId="2E73087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03ABDFE0"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C748CB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E47DA7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00" w:type="pct"/>
            <w:tcBorders>
              <w:top w:val="nil"/>
              <w:left w:val="nil"/>
              <w:bottom w:val="single" w:sz="4" w:space="0" w:color="auto"/>
              <w:right w:val="single" w:sz="4" w:space="0" w:color="auto"/>
            </w:tcBorders>
            <w:shd w:val="clear" w:color="auto" w:fill="auto"/>
            <w:noWrap/>
            <w:vAlign w:val="bottom"/>
            <w:hideMark/>
          </w:tcPr>
          <w:p w14:paraId="2595F79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1,434.00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547C08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0.025189</w:t>
            </w:r>
          </w:p>
        </w:tc>
        <w:tc>
          <w:tcPr>
            <w:tcW w:w="70" w:type="pct"/>
            <w:tcBorders>
              <w:top w:val="nil"/>
              <w:left w:val="nil"/>
              <w:bottom w:val="nil"/>
              <w:right w:val="nil"/>
            </w:tcBorders>
            <w:shd w:val="clear" w:color="auto" w:fill="auto"/>
            <w:noWrap/>
            <w:vAlign w:val="bottom"/>
            <w:hideMark/>
          </w:tcPr>
          <w:p w14:paraId="2CB1099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ECA32A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E055AF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75" w:type="pct"/>
            <w:tcBorders>
              <w:top w:val="nil"/>
              <w:left w:val="nil"/>
              <w:bottom w:val="single" w:sz="4" w:space="0" w:color="auto"/>
              <w:right w:val="single" w:sz="4" w:space="0" w:color="auto"/>
            </w:tcBorders>
            <w:shd w:val="clear" w:color="auto" w:fill="auto"/>
            <w:noWrap/>
            <w:vAlign w:val="bottom"/>
            <w:hideMark/>
          </w:tcPr>
          <w:p w14:paraId="3E7EFDE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2,074.00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8DFA11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0.035194</w:t>
            </w:r>
          </w:p>
        </w:tc>
        <w:tc>
          <w:tcPr>
            <w:tcW w:w="70" w:type="pct"/>
            <w:tcBorders>
              <w:top w:val="nil"/>
              <w:left w:val="nil"/>
              <w:bottom w:val="nil"/>
              <w:right w:val="nil"/>
            </w:tcBorders>
            <w:shd w:val="clear" w:color="auto" w:fill="auto"/>
            <w:noWrap/>
            <w:vAlign w:val="bottom"/>
            <w:hideMark/>
          </w:tcPr>
          <w:p w14:paraId="2634F5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8AA0F4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F18CD9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19" w:type="pct"/>
            <w:tcBorders>
              <w:top w:val="nil"/>
              <w:left w:val="nil"/>
              <w:bottom w:val="single" w:sz="4" w:space="0" w:color="auto"/>
              <w:right w:val="single" w:sz="4" w:space="0" w:color="auto"/>
            </w:tcBorders>
            <w:shd w:val="clear" w:color="auto" w:fill="auto"/>
            <w:noWrap/>
            <w:vAlign w:val="bottom"/>
            <w:hideMark/>
          </w:tcPr>
          <w:p w14:paraId="4593050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1,313.00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435813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0.028304</w:t>
            </w:r>
          </w:p>
        </w:tc>
      </w:tr>
      <w:tr w:rsidR="008B6FFF" w:rsidRPr="00FF6AFF" w14:paraId="7AD0E3B5"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73B8384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D5362C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00" w:type="pct"/>
            <w:tcBorders>
              <w:top w:val="nil"/>
              <w:left w:val="nil"/>
              <w:bottom w:val="single" w:sz="4" w:space="0" w:color="auto"/>
              <w:right w:val="single" w:sz="4" w:space="0" w:color="auto"/>
            </w:tcBorders>
            <w:shd w:val="clear" w:color="auto" w:fill="auto"/>
            <w:noWrap/>
            <w:vAlign w:val="bottom"/>
            <w:hideMark/>
          </w:tcPr>
          <w:p w14:paraId="0300DFE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56,930.00 </w:t>
            </w:r>
          </w:p>
        </w:tc>
        <w:tc>
          <w:tcPr>
            <w:tcW w:w="350" w:type="pct"/>
            <w:vMerge/>
            <w:tcBorders>
              <w:top w:val="nil"/>
              <w:left w:val="single" w:sz="4" w:space="0" w:color="auto"/>
              <w:bottom w:val="single" w:sz="4" w:space="0" w:color="auto"/>
              <w:right w:val="single" w:sz="8" w:space="0" w:color="auto"/>
            </w:tcBorders>
            <w:vAlign w:val="center"/>
            <w:hideMark/>
          </w:tcPr>
          <w:p w14:paraId="539B887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10D0649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25AF56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29983A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75" w:type="pct"/>
            <w:tcBorders>
              <w:top w:val="nil"/>
              <w:left w:val="nil"/>
              <w:bottom w:val="single" w:sz="4" w:space="0" w:color="auto"/>
              <w:right w:val="single" w:sz="4" w:space="0" w:color="auto"/>
            </w:tcBorders>
            <w:shd w:val="clear" w:color="auto" w:fill="auto"/>
            <w:noWrap/>
            <w:vAlign w:val="bottom"/>
            <w:hideMark/>
          </w:tcPr>
          <w:p w14:paraId="665C31E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58,930.00 </w:t>
            </w:r>
          </w:p>
        </w:tc>
        <w:tc>
          <w:tcPr>
            <w:tcW w:w="350" w:type="pct"/>
            <w:vMerge/>
            <w:tcBorders>
              <w:top w:val="nil"/>
              <w:left w:val="single" w:sz="4" w:space="0" w:color="auto"/>
              <w:bottom w:val="single" w:sz="4" w:space="0" w:color="auto"/>
              <w:right w:val="single" w:sz="8" w:space="0" w:color="auto"/>
            </w:tcBorders>
            <w:vAlign w:val="center"/>
            <w:hideMark/>
          </w:tcPr>
          <w:p w14:paraId="79F320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7F21178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339014C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979A01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19" w:type="pct"/>
            <w:tcBorders>
              <w:top w:val="nil"/>
              <w:left w:val="nil"/>
              <w:bottom w:val="single" w:sz="4" w:space="0" w:color="auto"/>
              <w:right w:val="single" w:sz="4" w:space="0" w:color="auto"/>
            </w:tcBorders>
            <w:shd w:val="clear" w:color="auto" w:fill="auto"/>
            <w:noWrap/>
            <w:vAlign w:val="bottom"/>
            <w:hideMark/>
          </w:tcPr>
          <w:p w14:paraId="0A00242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46,390.00 </w:t>
            </w:r>
          </w:p>
        </w:tc>
        <w:tc>
          <w:tcPr>
            <w:tcW w:w="346" w:type="pct"/>
            <w:vMerge/>
            <w:tcBorders>
              <w:top w:val="nil"/>
              <w:left w:val="single" w:sz="4" w:space="0" w:color="auto"/>
              <w:bottom w:val="single" w:sz="4" w:space="0" w:color="auto"/>
              <w:right w:val="single" w:sz="8" w:space="0" w:color="auto"/>
            </w:tcBorders>
            <w:vAlign w:val="center"/>
            <w:hideMark/>
          </w:tcPr>
          <w:p w14:paraId="42776E5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7497793"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ABC8A5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E151C7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00" w:type="pct"/>
            <w:tcBorders>
              <w:top w:val="nil"/>
              <w:left w:val="nil"/>
              <w:bottom w:val="single" w:sz="4" w:space="0" w:color="auto"/>
              <w:right w:val="single" w:sz="4" w:space="0" w:color="auto"/>
            </w:tcBorders>
            <w:shd w:val="clear" w:color="auto" w:fill="auto"/>
            <w:noWrap/>
            <w:vAlign w:val="bottom"/>
            <w:hideMark/>
          </w:tcPr>
          <w:p w14:paraId="3AF2567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1,605.00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DEC5E5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0.067865</w:t>
            </w:r>
          </w:p>
        </w:tc>
        <w:tc>
          <w:tcPr>
            <w:tcW w:w="70" w:type="pct"/>
            <w:tcBorders>
              <w:top w:val="nil"/>
              <w:left w:val="nil"/>
              <w:bottom w:val="nil"/>
              <w:right w:val="nil"/>
            </w:tcBorders>
            <w:shd w:val="clear" w:color="auto" w:fill="auto"/>
            <w:noWrap/>
            <w:vAlign w:val="bottom"/>
            <w:hideMark/>
          </w:tcPr>
          <w:p w14:paraId="6FECD9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C6764D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5945F5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75" w:type="pct"/>
            <w:tcBorders>
              <w:top w:val="nil"/>
              <w:left w:val="nil"/>
              <w:bottom w:val="single" w:sz="4" w:space="0" w:color="auto"/>
              <w:right w:val="single" w:sz="4" w:space="0" w:color="auto"/>
            </w:tcBorders>
            <w:shd w:val="clear" w:color="auto" w:fill="auto"/>
            <w:noWrap/>
            <w:vAlign w:val="bottom"/>
            <w:hideMark/>
          </w:tcPr>
          <w:p w14:paraId="381AD20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2,188.00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7F8BB5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0.085302</w:t>
            </w:r>
          </w:p>
        </w:tc>
        <w:tc>
          <w:tcPr>
            <w:tcW w:w="70" w:type="pct"/>
            <w:tcBorders>
              <w:top w:val="nil"/>
              <w:left w:val="nil"/>
              <w:bottom w:val="nil"/>
              <w:right w:val="nil"/>
            </w:tcBorders>
            <w:shd w:val="clear" w:color="auto" w:fill="auto"/>
            <w:noWrap/>
            <w:vAlign w:val="bottom"/>
            <w:hideMark/>
          </w:tcPr>
          <w:p w14:paraId="1C39216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6C22F1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294C58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19" w:type="pct"/>
            <w:tcBorders>
              <w:top w:val="nil"/>
              <w:left w:val="nil"/>
              <w:bottom w:val="single" w:sz="4" w:space="0" w:color="auto"/>
              <w:right w:val="single" w:sz="4" w:space="0" w:color="auto"/>
            </w:tcBorders>
            <w:shd w:val="clear" w:color="auto" w:fill="auto"/>
            <w:noWrap/>
            <w:vAlign w:val="bottom"/>
            <w:hideMark/>
          </w:tcPr>
          <w:p w14:paraId="506A3C1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1,161.00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68FD77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0.085619</w:t>
            </w:r>
          </w:p>
        </w:tc>
      </w:tr>
      <w:tr w:rsidR="008B6FFF" w:rsidRPr="00FF6AFF" w14:paraId="08B1B049"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487D149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18C156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00" w:type="pct"/>
            <w:tcBorders>
              <w:top w:val="nil"/>
              <w:left w:val="nil"/>
              <w:bottom w:val="single" w:sz="4" w:space="0" w:color="auto"/>
              <w:right w:val="single" w:sz="4" w:space="0" w:color="auto"/>
            </w:tcBorders>
            <w:shd w:val="clear" w:color="auto" w:fill="auto"/>
            <w:noWrap/>
            <w:vAlign w:val="bottom"/>
            <w:hideMark/>
          </w:tcPr>
          <w:p w14:paraId="761D4EB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23,650.00 </w:t>
            </w:r>
          </w:p>
        </w:tc>
        <w:tc>
          <w:tcPr>
            <w:tcW w:w="350" w:type="pct"/>
            <w:vMerge/>
            <w:tcBorders>
              <w:top w:val="nil"/>
              <w:left w:val="single" w:sz="4" w:space="0" w:color="auto"/>
              <w:bottom w:val="single" w:sz="4" w:space="0" w:color="auto"/>
              <w:right w:val="single" w:sz="8" w:space="0" w:color="auto"/>
            </w:tcBorders>
            <w:vAlign w:val="center"/>
            <w:hideMark/>
          </w:tcPr>
          <w:p w14:paraId="5D61442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777F8B3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730CA60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74A4DD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75" w:type="pct"/>
            <w:tcBorders>
              <w:top w:val="nil"/>
              <w:left w:val="nil"/>
              <w:bottom w:val="single" w:sz="4" w:space="0" w:color="auto"/>
              <w:right w:val="single" w:sz="4" w:space="0" w:color="auto"/>
            </w:tcBorders>
            <w:shd w:val="clear" w:color="auto" w:fill="auto"/>
            <w:noWrap/>
            <w:vAlign w:val="bottom"/>
            <w:hideMark/>
          </w:tcPr>
          <w:p w14:paraId="0899B96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25,650.00 </w:t>
            </w:r>
          </w:p>
        </w:tc>
        <w:tc>
          <w:tcPr>
            <w:tcW w:w="350" w:type="pct"/>
            <w:vMerge/>
            <w:tcBorders>
              <w:top w:val="nil"/>
              <w:left w:val="single" w:sz="4" w:space="0" w:color="auto"/>
              <w:bottom w:val="single" w:sz="4" w:space="0" w:color="auto"/>
              <w:right w:val="single" w:sz="8" w:space="0" w:color="auto"/>
            </w:tcBorders>
            <w:vAlign w:val="center"/>
            <w:hideMark/>
          </w:tcPr>
          <w:p w14:paraId="0C698A8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7F3C05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6D26DA5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6941F4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19" w:type="pct"/>
            <w:tcBorders>
              <w:top w:val="nil"/>
              <w:left w:val="nil"/>
              <w:bottom w:val="single" w:sz="4" w:space="0" w:color="auto"/>
              <w:right w:val="single" w:sz="4" w:space="0" w:color="auto"/>
            </w:tcBorders>
            <w:shd w:val="clear" w:color="auto" w:fill="auto"/>
            <w:noWrap/>
            <w:vAlign w:val="bottom"/>
            <w:hideMark/>
          </w:tcPr>
          <w:p w14:paraId="7B813D4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13,560.00 </w:t>
            </w:r>
          </w:p>
        </w:tc>
        <w:tc>
          <w:tcPr>
            <w:tcW w:w="346" w:type="pct"/>
            <w:vMerge/>
            <w:tcBorders>
              <w:top w:val="nil"/>
              <w:left w:val="single" w:sz="4" w:space="0" w:color="auto"/>
              <w:bottom w:val="single" w:sz="4" w:space="0" w:color="auto"/>
              <w:right w:val="single" w:sz="8" w:space="0" w:color="auto"/>
            </w:tcBorders>
            <w:vAlign w:val="center"/>
            <w:hideMark/>
          </w:tcPr>
          <w:p w14:paraId="281A015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37CFB2BD"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3C49FE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9377AB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00" w:type="pct"/>
            <w:tcBorders>
              <w:top w:val="nil"/>
              <w:left w:val="nil"/>
              <w:bottom w:val="single" w:sz="4" w:space="0" w:color="auto"/>
              <w:right w:val="single" w:sz="4" w:space="0" w:color="auto"/>
            </w:tcBorders>
            <w:shd w:val="clear" w:color="auto" w:fill="auto"/>
            <w:noWrap/>
            <w:vAlign w:val="bottom"/>
            <w:hideMark/>
          </w:tcPr>
          <w:p w14:paraId="706CC7B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1,418.00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83627D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0.025177</w:t>
            </w:r>
          </w:p>
        </w:tc>
        <w:tc>
          <w:tcPr>
            <w:tcW w:w="70" w:type="pct"/>
            <w:tcBorders>
              <w:top w:val="nil"/>
              <w:left w:val="nil"/>
              <w:bottom w:val="nil"/>
              <w:right w:val="nil"/>
            </w:tcBorders>
            <w:shd w:val="clear" w:color="auto" w:fill="auto"/>
            <w:noWrap/>
            <w:vAlign w:val="bottom"/>
            <w:hideMark/>
          </w:tcPr>
          <w:p w14:paraId="70A27EA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4E0AA1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9E96EB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75" w:type="pct"/>
            <w:tcBorders>
              <w:top w:val="nil"/>
              <w:left w:val="nil"/>
              <w:bottom w:val="single" w:sz="4" w:space="0" w:color="auto"/>
              <w:right w:val="single" w:sz="4" w:space="0" w:color="auto"/>
            </w:tcBorders>
            <w:shd w:val="clear" w:color="auto" w:fill="auto"/>
            <w:noWrap/>
            <w:vAlign w:val="bottom"/>
            <w:hideMark/>
          </w:tcPr>
          <w:p w14:paraId="6B4A79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2,882.00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31264C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0.049416</w:t>
            </w:r>
          </w:p>
        </w:tc>
        <w:tc>
          <w:tcPr>
            <w:tcW w:w="70" w:type="pct"/>
            <w:tcBorders>
              <w:top w:val="nil"/>
              <w:left w:val="nil"/>
              <w:bottom w:val="nil"/>
              <w:right w:val="nil"/>
            </w:tcBorders>
            <w:shd w:val="clear" w:color="auto" w:fill="auto"/>
            <w:noWrap/>
            <w:vAlign w:val="bottom"/>
            <w:hideMark/>
          </w:tcPr>
          <w:p w14:paraId="13B1E32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A64A22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1AE124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19" w:type="pct"/>
            <w:tcBorders>
              <w:top w:val="nil"/>
              <w:left w:val="nil"/>
              <w:bottom w:val="single" w:sz="4" w:space="0" w:color="auto"/>
              <w:right w:val="single" w:sz="4" w:space="0" w:color="auto"/>
            </w:tcBorders>
            <w:shd w:val="clear" w:color="auto" w:fill="auto"/>
            <w:noWrap/>
            <w:vAlign w:val="bottom"/>
            <w:hideMark/>
          </w:tcPr>
          <w:p w14:paraId="3E0012A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970.00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3D830A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0.020982</w:t>
            </w:r>
          </w:p>
        </w:tc>
      </w:tr>
      <w:tr w:rsidR="008B6FFF" w:rsidRPr="00FF6AFF" w14:paraId="397A425E"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3608D35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BA1039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00" w:type="pct"/>
            <w:tcBorders>
              <w:top w:val="nil"/>
              <w:left w:val="nil"/>
              <w:bottom w:val="single" w:sz="4" w:space="0" w:color="auto"/>
              <w:right w:val="single" w:sz="4" w:space="0" w:color="auto"/>
            </w:tcBorders>
            <w:shd w:val="clear" w:color="auto" w:fill="auto"/>
            <w:noWrap/>
            <w:vAlign w:val="bottom"/>
            <w:hideMark/>
          </w:tcPr>
          <w:p w14:paraId="3B1417F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56,321.00 </w:t>
            </w:r>
          </w:p>
        </w:tc>
        <w:tc>
          <w:tcPr>
            <w:tcW w:w="350" w:type="pct"/>
            <w:vMerge/>
            <w:tcBorders>
              <w:top w:val="nil"/>
              <w:left w:val="single" w:sz="4" w:space="0" w:color="auto"/>
              <w:bottom w:val="single" w:sz="4" w:space="0" w:color="auto"/>
              <w:right w:val="single" w:sz="8" w:space="0" w:color="auto"/>
            </w:tcBorders>
            <w:vAlign w:val="center"/>
            <w:hideMark/>
          </w:tcPr>
          <w:p w14:paraId="0CE843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57597B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4B498F6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010744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75" w:type="pct"/>
            <w:tcBorders>
              <w:top w:val="nil"/>
              <w:left w:val="nil"/>
              <w:bottom w:val="single" w:sz="4" w:space="0" w:color="auto"/>
              <w:right w:val="single" w:sz="4" w:space="0" w:color="auto"/>
            </w:tcBorders>
            <w:shd w:val="clear" w:color="auto" w:fill="auto"/>
            <w:noWrap/>
            <w:vAlign w:val="bottom"/>
            <w:hideMark/>
          </w:tcPr>
          <w:p w14:paraId="7248E72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58,321.00 </w:t>
            </w:r>
          </w:p>
        </w:tc>
        <w:tc>
          <w:tcPr>
            <w:tcW w:w="350" w:type="pct"/>
            <w:vMerge/>
            <w:tcBorders>
              <w:top w:val="nil"/>
              <w:left w:val="single" w:sz="4" w:space="0" w:color="auto"/>
              <w:bottom w:val="single" w:sz="4" w:space="0" w:color="auto"/>
              <w:right w:val="single" w:sz="8" w:space="0" w:color="auto"/>
            </w:tcBorders>
            <w:vAlign w:val="center"/>
            <w:hideMark/>
          </w:tcPr>
          <w:p w14:paraId="71D7F76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053B854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57750B0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034C64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19" w:type="pct"/>
            <w:tcBorders>
              <w:top w:val="nil"/>
              <w:left w:val="nil"/>
              <w:bottom w:val="single" w:sz="4" w:space="0" w:color="auto"/>
              <w:right w:val="single" w:sz="4" w:space="0" w:color="auto"/>
            </w:tcBorders>
            <w:shd w:val="clear" w:color="auto" w:fill="auto"/>
            <w:noWrap/>
            <w:vAlign w:val="bottom"/>
            <w:hideMark/>
          </w:tcPr>
          <w:p w14:paraId="43A7C7F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46,231.00 </w:t>
            </w:r>
          </w:p>
        </w:tc>
        <w:tc>
          <w:tcPr>
            <w:tcW w:w="346" w:type="pct"/>
            <w:vMerge/>
            <w:tcBorders>
              <w:top w:val="nil"/>
              <w:left w:val="single" w:sz="4" w:space="0" w:color="auto"/>
              <w:bottom w:val="single" w:sz="4" w:space="0" w:color="auto"/>
              <w:right w:val="single" w:sz="8" w:space="0" w:color="auto"/>
            </w:tcBorders>
            <w:vAlign w:val="center"/>
            <w:hideMark/>
          </w:tcPr>
          <w:p w14:paraId="16AE583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60CA667B"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250DF9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139DD29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00" w:type="pct"/>
            <w:tcBorders>
              <w:top w:val="nil"/>
              <w:left w:val="nil"/>
              <w:bottom w:val="single" w:sz="4" w:space="0" w:color="auto"/>
              <w:right w:val="single" w:sz="4" w:space="0" w:color="auto"/>
            </w:tcBorders>
            <w:shd w:val="clear" w:color="auto" w:fill="auto"/>
            <w:noWrap/>
            <w:vAlign w:val="bottom"/>
            <w:hideMark/>
          </w:tcPr>
          <w:p w14:paraId="28A38EB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1,311.00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5A6E95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0.040239</w:t>
            </w:r>
          </w:p>
        </w:tc>
        <w:tc>
          <w:tcPr>
            <w:tcW w:w="70" w:type="pct"/>
            <w:tcBorders>
              <w:top w:val="nil"/>
              <w:left w:val="nil"/>
              <w:bottom w:val="nil"/>
              <w:right w:val="nil"/>
            </w:tcBorders>
            <w:shd w:val="clear" w:color="auto" w:fill="auto"/>
            <w:noWrap/>
            <w:vAlign w:val="bottom"/>
            <w:hideMark/>
          </w:tcPr>
          <w:p w14:paraId="0F5330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058A0C3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1C041C7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75" w:type="pct"/>
            <w:tcBorders>
              <w:top w:val="nil"/>
              <w:left w:val="nil"/>
              <w:bottom w:val="single" w:sz="4" w:space="0" w:color="auto"/>
              <w:right w:val="single" w:sz="4" w:space="0" w:color="auto"/>
            </w:tcBorders>
            <w:shd w:val="clear" w:color="auto" w:fill="auto"/>
            <w:noWrap/>
            <w:vAlign w:val="bottom"/>
            <w:hideMark/>
          </w:tcPr>
          <w:p w14:paraId="64C58D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2,507.00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9DF9EA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0.072499</w:t>
            </w:r>
          </w:p>
        </w:tc>
        <w:tc>
          <w:tcPr>
            <w:tcW w:w="70" w:type="pct"/>
            <w:tcBorders>
              <w:top w:val="nil"/>
              <w:left w:val="nil"/>
              <w:bottom w:val="nil"/>
              <w:right w:val="nil"/>
            </w:tcBorders>
            <w:shd w:val="clear" w:color="auto" w:fill="auto"/>
            <w:noWrap/>
            <w:vAlign w:val="bottom"/>
            <w:hideMark/>
          </w:tcPr>
          <w:p w14:paraId="62D5C72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E4516C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B86B4D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19" w:type="pct"/>
            <w:tcBorders>
              <w:top w:val="nil"/>
              <w:left w:val="nil"/>
              <w:bottom w:val="single" w:sz="4" w:space="0" w:color="auto"/>
              <w:right w:val="single" w:sz="4" w:space="0" w:color="auto"/>
            </w:tcBorders>
            <w:shd w:val="clear" w:color="auto" w:fill="auto"/>
            <w:noWrap/>
            <w:vAlign w:val="bottom"/>
            <w:hideMark/>
          </w:tcPr>
          <w:p w14:paraId="79D3936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1,010.00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4CBFD8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0.044592</w:t>
            </w:r>
          </w:p>
        </w:tc>
      </w:tr>
      <w:tr w:rsidR="008B6FFF" w:rsidRPr="00FF6AFF" w14:paraId="33479E72"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4FCA643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2742CB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00" w:type="pct"/>
            <w:tcBorders>
              <w:top w:val="nil"/>
              <w:left w:val="nil"/>
              <w:bottom w:val="single" w:sz="4" w:space="0" w:color="auto"/>
              <w:right w:val="single" w:sz="4" w:space="0" w:color="auto"/>
            </w:tcBorders>
            <w:shd w:val="clear" w:color="auto" w:fill="auto"/>
            <w:noWrap/>
            <w:vAlign w:val="bottom"/>
            <w:hideMark/>
          </w:tcPr>
          <w:p w14:paraId="5DE31C1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32,580.00 </w:t>
            </w:r>
          </w:p>
        </w:tc>
        <w:tc>
          <w:tcPr>
            <w:tcW w:w="350" w:type="pct"/>
            <w:vMerge/>
            <w:tcBorders>
              <w:top w:val="nil"/>
              <w:left w:val="single" w:sz="4" w:space="0" w:color="auto"/>
              <w:bottom w:val="single" w:sz="4" w:space="0" w:color="auto"/>
              <w:right w:val="single" w:sz="8" w:space="0" w:color="auto"/>
            </w:tcBorders>
            <w:vAlign w:val="center"/>
            <w:hideMark/>
          </w:tcPr>
          <w:p w14:paraId="6CB8F15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0E0ED0A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69664B1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145B775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75" w:type="pct"/>
            <w:tcBorders>
              <w:top w:val="nil"/>
              <w:left w:val="nil"/>
              <w:bottom w:val="single" w:sz="4" w:space="0" w:color="auto"/>
              <w:right w:val="single" w:sz="4" w:space="0" w:color="auto"/>
            </w:tcBorders>
            <w:shd w:val="clear" w:color="auto" w:fill="auto"/>
            <w:noWrap/>
            <w:vAlign w:val="bottom"/>
            <w:hideMark/>
          </w:tcPr>
          <w:p w14:paraId="13FE11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34,580.00 </w:t>
            </w:r>
          </w:p>
        </w:tc>
        <w:tc>
          <w:tcPr>
            <w:tcW w:w="350" w:type="pct"/>
            <w:vMerge/>
            <w:tcBorders>
              <w:top w:val="nil"/>
              <w:left w:val="single" w:sz="4" w:space="0" w:color="auto"/>
              <w:bottom w:val="single" w:sz="4" w:space="0" w:color="auto"/>
              <w:right w:val="single" w:sz="8" w:space="0" w:color="auto"/>
            </w:tcBorders>
            <w:vAlign w:val="center"/>
            <w:hideMark/>
          </w:tcPr>
          <w:p w14:paraId="14E324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68ECFDD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66D31FB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C75481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19" w:type="pct"/>
            <w:tcBorders>
              <w:top w:val="nil"/>
              <w:left w:val="nil"/>
              <w:bottom w:val="single" w:sz="4" w:space="0" w:color="auto"/>
              <w:right w:val="single" w:sz="4" w:space="0" w:color="auto"/>
            </w:tcBorders>
            <w:shd w:val="clear" w:color="auto" w:fill="auto"/>
            <w:noWrap/>
            <w:vAlign w:val="bottom"/>
            <w:hideMark/>
          </w:tcPr>
          <w:p w14:paraId="4A5B573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22,650.00 </w:t>
            </w:r>
          </w:p>
        </w:tc>
        <w:tc>
          <w:tcPr>
            <w:tcW w:w="346" w:type="pct"/>
            <w:vMerge/>
            <w:tcBorders>
              <w:top w:val="nil"/>
              <w:left w:val="single" w:sz="4" w:space="0" w:color="auto"/>
              <w:bottom w:val="single" w:sz="4" w:space="0" w:color="auto"/>
              <w:right w:val="single" w:sz="8" w:space="0" w:color="auto"/>
            </w:tcBorders>
            <w:vAlign w:val="center"/>
            <w:hideMark/>
          </w:tcPr>
          <w:p w14:paraId="2D2D05E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07AB6141"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D96521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AD8B5B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00" w:type="pct"/>
            <w:tcBorders>
              <w:top w:val="nil"/>
              <w:left w:val="nil"/>
              <w:bottom w:val="single" w:sz="4" w:space="0" w:color="auto"/>
              <w:right w:val="single" w:sz="4" w:space="0" w:color="auto"/>
            </w:tcBorders>
            <w:shd w:val="clear" w:color="auto" w:fill="auto"/>
            <w:noWrap/>
            <w:vAlign w:val="bottom"/>
            <w:hideMark/>
          </w:tcPr>
          <w:p w14:paraId="16C01A8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1,299.00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2C5856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0.036489</w:t>
            </w:r>
          </w:p>
        </w:tc>
        <w:tc>
          <w:tcPr>
            <w:tcW w:w="70" w:type="pct"/>
            <w:tcBorders>
              <w:top w:val="nil"/>
              <w:left w:val="nil"/>
              <w:bottom w:val="nil"/>
              <w:right w:val="nil"/>
            </w:tcBorders>
            <w:shd w:val="clear" w:color="auto" w:fill="auto"/>
            <w:noWrap/>
            <w:vAlign w:val="bottom"/>
            <w:hideMark/>
          </w:tcPr>
          <w:p w14:paraId="4E9C9A2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8D20E0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D6FF54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75" w:type="pct"/>
            <w:tcBorders>
              <w:top w:val="nil"/>
              <w:left w:val="nil"/>
              <w:bottom w:val="single" w:sz="4" w:space="0" w:color="auto"/>
              <w:right w:val="single" w:sz="4" w:space="0" w:color="auto"/>
            </w:tcBorders>
            <w:shd w:val="clear" w:color="auto" w:fill="auto"/>
            <w:noWrap/>
            <w:vAlign w:val="bottom"/>
            <w:hideMark/>
          </w:tcPr>
          <w:p w14:paraId="2B22B35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2,436.00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D46C9B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0.064787</w:t>
            </w:r>
          </w:p>
        </w:tc>
        <w:tc>
          <w:tcPr>
            <w:tcW w:w="70" w:type="pct"/>
            <w:tcBorders>
              <w:top w:val="nil"/>
              <w:left w:val="nil"/>
              <w:bottom w:val="nil"/>
              <w:right w:val="nil"/>
            </w:tcBorders>
            <w:shd w:val="clear" w:color="auto" w:fill="auto"/>
            <w:noWrap/>
            <w:vAlign w:val="bottom"/>
            <w:hideMark/>
          </w:tcPr>
          <w:p w14:paraId="4FB4C19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474083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26CD71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COGS</w:t>
            </w:r>
          </w:p>
        </w:tc>
        <w:tc>
          <w:tcPr>
            <w:tcW w:w="519" w:type="pct"/>
            <w:tcBorders>
              <w:top w:val="nil"/>
              <w:left w:val="nil"/>
              <w:bottom w:val="single" w:sz="4" w:space="0" w:color="auto"/>
              <w:right w:val="single" w:sz="4" w:space="0" w:color="auto"/>
            </w:tcBorders>
            <w:shd w:val="clear" w:color="auto" w:fill="auto"/>
            <w:noWrap/>
            <w:vAlign w:val="bottom"/>
            <w:hideMark/>
          </w:tcPr>
          <w:p w14:paraId="3484596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1,123.00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466D2A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0.044812</w:t>
            </w:r>
          </w:p>
        </w:tc>
      </w:tr>
      <w:tr w:rsidR="008B6FFF" w:rsidRPr="00FF6AFF" w14:paraId="2CDFE72C"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54BEAA4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196E0A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00" w:type="pct"/>
            <w:tcBorders>
              <w:top w:val="nil"/>
              <w:left w:val="nil"/>
              <w:bottom w:val="single" w:sz="4" w:space="0" w:color="auto"/>
              <w:right w:val="single" w:sz="4" w:space="0" w:color="auto"/>
            </w:tcBorders>
            <w:shd w:val="clear" w:color="auto" w:fill="auto"/>
            <w:noWrap/>
            <w:vAlign w:val="bottom"/>
            <w:hideMark/>
          </w:tcPr>
          <w:p w14:paraId="04341F8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35,600.00 </w:t>
            </w:r>
          </w:p>
        </w:tc>
        <w:tc>
          <w:tcPr>
            <w:tcW w:w="350" w:type="pct"/>
            <w:vMerge/>
            <w:tcBorders>
              <w:top w:val="nil"/>
              <w:left w:val="single" w:sz="4" w:space="0" w:color="auto"/>
              <w:bottom w:val="single" w:sz="4" w:space="0" w:color="auto"/>
              <w:right w:val="single" w:sz="8" w:space="0" w:color="auto"/>
            </w:tcBorders>
            <w:vAlign w:val="center"/>
            <w:hideMark/>
          </w:tcPr>
          <w:p w14:paraId="5EA99FB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2C60C8A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17FEB01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0B5709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75" w:type="pct"/>
            <w:tcBorders>
              <w:top w:val="nil"/>
              <w:left w:val="nil"/>
              <w:bottom w:val="single" w:sz="4" w:space="0" w:color="auto"/>
              <w:right w:val="single" w:sz="4" w:space="0" w:color="auto"/>
            </w:tcBorders>
            <w:shd w:val="clear" w:color="auto" w:fill="auto"/>
            <w:noWrap/>
            <w:vAlign w:val="bottom"/>
            <w:hideMark/>
          </w:tcPr>
          <w:p w14:paraId="6BAE1B3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37,600.00 </w:t>
            </w:r>
          </w:p>
        </w:tc>
        <w:tc>
          <w:tcPr>
            <w:tcW w:w="350" w:type="pct"/>
            <w:vMerge/>
            <w:tcBorders>
              <w:top w:val="nil"/>
              <w:left w:val="single" w:sz="4" w:space="0" w:color="auto"/>
              <w:bottom w:val="single" w:sz="4" w:space="0" w:color="auto"/>
              <w:right w:val="single" w:sz="8" w:space="0" w:color="auto"/>
            </w:tcBorders>
            <w:vAlign w:val="center"/>
            <w:hideMark/>
          </w:tcPr>
          <w:p w14:paraId="1156E13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D0A41A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1D85CB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0EE4E7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Inventory</w:t>
            </w:r>
          </w:p>
        </w:tc>
        <w:tc>
          <w:tcPr>
            <w:tcW w:w="519" w:type="pct"/>
            <w:tcBorders>
              <w:top w:val="nil"/>
              <w:left w:val="nil"/>
              <w:bottom w:val="single" w:sz="4" w:space="0" w:color="auto"/>
              <w:right w:val="single" w:sz="4" w:space="0" w:color="auto"/>
            </w:tcBorders>
            <w:shd w:val="clear" w:color="auto" w:fill="auto"/>
            <w:noWrap/>
            <w:vAlign w:val="bottom"/>
            <w:hideMark/>
          </w:tcPr>
          <w:p w14:paraId="414625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25,060.00 </w:t>
            </w:r>
          </w:p>
        </w:tc>
        <w:tc>
          <w:tcPr>
            <w:tcW w:w="346" w:type="pct"/>
            <w:vMerge/>
            <w:tcBorders>
              <w:top w:val="nil"/>
              <w:left w:val="single" w:sz="4" w:space="0" w:color="auto"/>
              <w:bottom w:val="single" w:sz="4" w:space="0" w:color="auto"/>
              <w:right w:val="single" w:sz="8" w:space="0" w:color="auto"/>
            </w:tcBorders>
            <w:vAlign w:val="center"/>
            <w:hideMark/>
          </w:tcPr>
          <w:p w14:paraId="3B18437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02400E3" w14:textId="77777777" w:rsidTr="003D2D09">
        <w:trPr>
          <w:trHeight w:val="300"/>
        </w:trPr>
        <w:tc>
          <w:tcPr>
            <w:tcW w:w="256" w:type="pct"/>
            <w:tcBorders>
              <w:top w:val="nil"/>
              <w:left w:val="single" w:sz="8" w:space="0" w:color="auto"/>
              <w:bottom w:val="nil"/>
              <w:right w:val="nil"/>
            </w:tcBorders>
            <w:shd w:val="clear" w:color="auto" w:fill="auto"/>
            <w:noWrap/>
            <w:vAlign w:val="bottom"/>
            <w:hideMark/>
          </w:tcPr>
          <w:p w14:paraId="24B4416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323DCBA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07BAD19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2506398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7AD912E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00" w:type="pct"/>
            <w:tcBorders>
              <w:top w:val="nil"/>
              <w:left w:val="nil"/>
              <w:bottom w:val="nil"/>
              <w:right w:val="nil"/>
            </w:tcBorders>
            <w:shd w:val="clear" w:color="auto" w:fill="auto"/>
            <w:noWrap/>
            <w:vAlign w:val="bottom"/>
            <w:hideMark/>
          </w:tcPr>
          <w:p w14:paraId="74B7309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50" w:type="pct"/>
            <w:tcBorders>
              <w:top w:val="nil"/>
              <w:left w:val="nil"/>
              <w:bottom w:val="nil"/>
              <w:right w:val="single" w:sz="8" w:space="0" w:color="auto"/>
            </w:tcBorders>
            <w:shd w:val="clear" w:color="auto" w:fill="auto"/>
            <w:noWrap/>
            <w:vAlign w:val="bottom"/>
            <w:hideMark/>
          </w:tcPr>
          <w:p w14:paraId="32CFD05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70" w:type="pct"/>
            <w:tcBorders>
              <w:top w:val="nil"/>
              <w:left w:val="nil"/>
              <w:bottom w:val="nil"/>
              <w:right w:val="nil"/>
            </w:tcBorders>
            <w:shd w:val="clear" w:color="auto" w:fill="auto"/>
            <w:noWrap/>
            <w:vAlign w:val="bottom"/>
            <w:hideMark/>
          </w:tcPr>
          <w:p w14:paraId="6977ADE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nil"/>
              <w:right w:val="nil"/>
            </w:tcBorders>
            <w:shd w:val="clear" w:color="auto" w:fill="auto"/>
            <w:noWrap/>
            <w:vAlign w:val="bottom"/>
            <w:hideMark/>
          </w:tcPr>
          <w:p w14:paraId="2F5882F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71A6039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08E4B65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4933CC1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6329A02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75" w:type="pct"/>
            <w:tcBorders>
              <w:top w:val="nil"/>
              <w:left w:val="nil"/>
              <w:bottom w:val="nil"/>
              <w:right w:val="nil"/>
            </w:tcBorders>
            <w:shd w:val="clear" w:color="auto" w:fill="auto"/>
            <w:noWrap/>
            <w:vAlign w:val="bottom"/>
            <w:hideMark/>
          </w:tcPr>
          <w:p w14:paraId="4EF2573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50" w:type="pct"/>
            <w:tcBorders>
              <w:top w:val="nil"/>
              <w:left w:val="nil"/>
              <w:bottom w:val="nil"/>
              <w:right w:val="single" w:sz="8" w:space="0" w:color="auto"/>
            </w:tcBorders>
            <w:shd w:val="clear" w:color="auto" w:fill="auto"/>
            <w:noWrap/>
            <w:vAlign w:val="bottom"/>
            <w:hideMark/>
          </w:tcPr>
          <w:p w14:paraId="4209427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70" w:type="pct"/>
            <w:tcBorders>
              <w:top w:val="nil"/>
              <w:left w:val="nil"/>
              <w:bottom w:val="nil"/>
              <w:right w:val="nil"/>
            </w:tcBorders>
            <w:shd w:val="clear" w:color="auto" w:fill="auto"/>
            <w:noWrap/>
            <w:vAlign w:val="bottom"/>
            <w:hideMark/>
          </w:tcPr>
          <w:p w14:paraId="78475C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nil"/>
              <w:right w:val="nil"/>
            </w:tcBorders>
            <w:shd w:val="clear" w:color="auto" w:fill="auto"/>
            <w:noWrap/>
            <w:vAlign w:val="bottom"/>
            <w:hideMark/>
          </w:tcPr>
          <w:p w14:paraId="64A2EE2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c>
          <w:tcPr>
            <w:tcW w:w="122" w:type="pct"/>
            <w:tcBorders>
              <w:top w:val="nil"/>
              <w:left w:val="nil"/>
              <w:bottom w:val="nil"/>
              <w:right w:val="nil"/>
            </w:tcBorders>
            <w:shd w:val="clear" w:color="auto" w:fill="auto"/>
            <w:noWrap/>
            <w:vAlign w:val="bottom"/>
            <w:hideMark/>
          </w:tcPr>
          <w:p w14:paraId="59975E8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2" w:type="pct"/>
            <w:tcBorders>
              <w:top w:val="nil"/>
              <w:left w:val="nil"/>
              <w:bottom w:val="nil"/>
              <w:right w:val="nil"/>
            </w:tcBorders>
            <w:shd w:val="clear" w:color="auto" w:fill="auto"/>
            <w:noWrap/>
            <w:vAlign w:val="bottom"/>
            <w:hideMark/>
          </w:tcPr>
          <w:p w14:paraId="1F13484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41C790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20" w:type="pct"/>
            <w:tcBorders>
              <w:top w:val="nil"/>
              <w:left w:val="nil"/>
              <w:bottom w:val="nil"/>
              <w:right w:val="nil"/>
            </w:tcBorders>
            <w:shd w:val="clear" w:color="auto" w:fill="auto"/>
            <w:noWrap/>
            <w:vAlign w:val="bottom"/>
            <w:hideMark/>
          </w:tcPr>
          <w:p w14:paraId="200CA74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519" w:type="pct"/>
            <w:tcBorders>
              <w:top w:val="nil"/>
              <w:left w:val="nil"/>
              <w:bottom w:val="nil"/>
              <w:right w:val="nil"/>
            </w:tcBorders>
            <w:shd w:val="clear" w:color="auto" w:fill="auto"/>
            <w:noWrap/>
            <w:vAlign w:val="bottom"/>
            <w:hideMark/>
          </w:tcPr>
          <w:p w14:paraId="20793AF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346" w:type="pct"/>
            <w:tcBorders>
              <w:top w:val="nil"/>
              <w:left w:val="nil"/>
              <w:bottom w:val="nil"/>
              <w:right w:val="single" w:sz="8" w:space="0" w:color="auto"/>
            </w:tcBorders>
            <w:shd w:val="clear" w:color="auto" w:fill="auto"/>
            <w:noWrap/>
            <w:vAlign w:val="bottom"/>
            <w:hideMark/>
          </w:tcPr>
          <w:p w14:paraId="65D7BA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w:t>
            </w:r>
          </w:p>
        </w:tc>
      </w:tr>
      <w:tr w:rsidR="008B6FFF" w:rsidRPr="00FF6AFF" w14:paraId="4C69AB98" w14:textId="77777777" w:rsidTr="003D2D09">
        <w:trPr>
          <w:trHeight w:val="300"/>
        </w:trPr>
        <w:tc>
          <w:tcPr>
            <w:tcW w:w="1589"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042D39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Fixed Asset turnover ratio</w:t>
            </w:r>
          </w:p>
        </w:tc>
        <w:tc>
          <w:tcPr>
            <w:tcW w:w="70" w:type="pct"/>
            <w:tcBorders>
              <w:top w:val="nil"/>
              <w:left w:val="nil"/>
              <w:bottom w:val="nil"/>
              <w:right w:val="nil"/>
            </w:tcBorders>
            <w:shd w:val="clear" w:color="auto" w:fill="auto"/>
            <w:noWrap/>
            <w:vAlign w:val="bottom"/>
            <w:hideMark/>
          </w:tcPr>
          <w:p w14:paraId="3EBC1A8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65"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15187C0"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Fixed Asset turnover ratio</w:t>
            </w:r>
          </w:p>
        </w:tc>
        <w:tc>
          <w:tcPr>
            <w:tcW w:w="70" w:type="pct"/>
            <w:tcBorders>
              <w:top w:val="nil"/>
              <w:left w:val="nil"/>
              <w:bottom w:val="nil"/>
              <w:right w:val="nil"/>
            </w:tcBorders>
            <w:shd w:val="clear" w:color="auto" w:fill="auto"/>
            <w:noWrap/>
            <w:vAlign w:val="bottom"/>
            <w:hideMark/>
          </w:tcPr>
          <w:p w14:paraId="3FD1B62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05"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B44E09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Fixed Asset turnover ratio</w:t>
            </w:r>
          </w:p>
        </w:tc>
      </w:tr>
      <w:tr w:rsidR="008B6FFF" w:rsidRPr="00FF6AFF" w14:paraId="2DA125CC" w14:textId="77777777" w:rsidTr="003D2D09">
        <w:trPr>
          <w:trHeight w:val="300"/>
        </w:trPr>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0CE8C7D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5947C3A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00" w:type="pct"/>
            <w:tcBorders>
              <w:top w:val="nil"/>
              <w:left w:val="nil"/>
              <w:bottom w:val="single" w:sz="4" w:space="0" w:color="auto"/>
              <w:right w:val="single" w:sz="4" w:space="0" w:color="auto"/>
            </w:tcBorders>
            <w:shd w:val="clear" w:color="auto" w:fill="auto"/>
            <w:noWrap/>
            <w:vAlign w:val="center"/>
            <w:hideMark/>
          </w:tcPr>
          <w:p w14:paraId="312A704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50" w:type="pct"/>
            <w:tcBorders>
              <w:top w:val="nil"/>
              <w:left w:val="nil"/>
              <w:bottom w:val="single" w:sz="4" w:space="0" w:color="auto"/>
              <w:right w:val="single" w:sz="8" w:space="0" w:color="auto"/>
            </w:tcBorders>
            <w:shd w:val="clear" w:color="auto" w:fill="auto"/>
            <w:noWrap/>
            <w:vAlign w:val="center"/>
            <w:hideMark/>
          </w:tcPr>
          <w:p w14:paraId="442248F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70" w:type="pct"/>
            <w:tcBorders>
              <w:top w:val="nil"/>
              <w:left w:val="nil"/>
              <w:bottom w:val="nil"/>
              <w:right w:val="nil"/>
            </w:tcBorders>
            <w:shd w:val="clear" w:color="auto" w:fill="auto"/>
            <w:noWrap/>
            <w:vAlign w:val="bottom"/>
            <w:hideMark/>
          </w:tcPr>
          <w:p w14:paraId="7256A25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009DF52A"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46D309E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75" w:type="pct"/>
            <w:tcBorders>
              <w:top w:val="nil"/>
              <w:left w:val="nil"/>
              <w:bottom w:val="single" w:sz="4" w:space="0" w:color="auto"/>
              <w:right w:val="single" w:sz="4" w:space="0" w:color="auto"/>
            </w:tcBorders>
            <w:shd w:val="clear" w:color="auto" w:fill="auto"/>
            <w:noWrap/>
            <w:vAlign w:val="center"/>
            <w:hideMark/>
          </w:tcPr>
          <w:p w14:paraId="29308F6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50" w:type="pct"/>
            <w:tcBorders>
              <w:top w:val="nil"/>
              <w:left w:val="nil"/>
              <w:bottom w:val="single" w:sz="4" w:space="0" w:color="auto"/>
              <w:right w:val="single" w:sz="8" w:space="0" w:color="auto"/>
            </w:tcBorders>
            <w:shd w:val="clear" w:color="auto" w:fill="auto"/>
            <w:noWrap/>
            <w:vAlign w:val="center"/>
            <w:hideMark/>
          </w:tcPr>
          <w:p w14:paraId="46F97014"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70" w:type="pct"/>
            <w:tcBorders>
              <w:top w:val="nil"/>
              <w:left w:val="nil"/>
              <w:bottom w:val="nil"/>
              <w:right w:val="nil"/>
            </w:tcBorders>
            <w:shd w:val="clear" w:color="auto" w:fill="auto"/>
            <w:noWrap/>
            <w:vAlign w:val="bottom"/>
            <w:hideMark/>
          </w:tcPr>
          <w:p w14:paraId="6A4D82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tcBorders>
              <w:top w:val="nil"/>
              <w:left w:val="single" w:sz="8" w:space="0" w:color="auto"/>
              <w:bottom w:val="single" w:sz="4" w:space="0" w:color="auto"/>
              <w:right w:val="single" w:sz="4" w:space="0" w:color="auto"/>
            </w:tcBorders>
            <w:shd w:val="clear" w:color="auto" w:fill="auto"/>
            <w:noWrap/>
            <w:vAlign w:val="center"/>
            <w:hideMark/>
          </w:tcPr>
          <w:p w14:paraId="3A836EA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84" w:type="pct"/>
            <w:gridSpan w:val="4"/>
            <w:tcBorders>
              <w:top w:val="single" w:sz="4" w:space="0" w:color="auto"/>
              <w:left w:val="nil"/>
              <w:bottom w:val="single" w:sz="4" w:space="0" w:color="auto"/>
              <w:right w:val="single" w:sz="4" w:space="0" w:color="auto"/>
            </w:tcBorders>
            <w:shd w:val="clear" w:color="auto" w:fill="auto"/>
            <w:noWrap/>
            <w:vAlign w:val="center"/>
            <w:hideMark/>
          </w:tcPr>
          <w:p w14:paraId="5F384059"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19" w:type="pct"/>
            <w:tcBorders>
              <w:top w:val="nil"/>
              <w:left w:val="nil"/>
              <w:bottom w:val="single" w:sz="4" w:space="0" w:color="auto"/>
              <w:right w:val="single" w:sz="4" w:space="0" w:color="auto"/>
            </w:tcBorders>
            <w:shd w:val="clear" w:color="auto" w:fill="auto"/>
            <w:noWrap/>
            <w:vAlign w:val="center"/>
            <w:hideMark/>
          </w:tcPr>
          <w:p w14:paraId="0C098E12"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46" w:type="pct"/>
            <w:tcBorders>
              <w:top w:val="nil"/>
              <w:left w:val="nil"/>
              <w:bottom w:val="single" w:sz="4" w:space="0" w:color="auto"/>
              <w:right w:val="single" w:sz="8" w:space="0" w:color="auto"/>
            </w:tcBorders>
            <w:shd w:val="clear" w:color="auto" w:fill="auto"/>
            <w:noWrap/>
            <w:vAlign w:val="center"/>
            <w:hideMark/>
          </w:tcPr>
          <w:p w14:paraId="659C060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740C48B8"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A33CD5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lastRenderedPageBreak/>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05A42D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00" w:type="pct"/>
            <w:tcBorders>
              <w:top w:val="nil"/>
              <w:left w:val="nil"/>
              <w:bottom w:val="single" w:sz="4" w:space="0" w:color="auto"/>
              <w:right w:val="single" w:sz="4" w:space="0" w:color="auto"/>
            </w:tcBorders>
            <w:shd w:val="clear" w:color="auto" w:fill="auto"/>
            <w:noWrap/>
            <w:vAlign w:val="bottom"/>
            <w:hideMark/>
          </w:tcPr>
          <w:p w14:paraId="31C3656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41,085.00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0163A2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0.085594</w:t>
            </w:r>
          </w:p>
        </w:tc>
        <w:tc>
          <w:tcPr>
            <w:tcW w:w="70" w:type="pct"/>
            <w:tcBorders>
              <w:top w:val="nil"/>
              <w:left w:val="nil"/>
              <w:bottom w:val="nil"/>
              <w:right w:val="nil"/>
            </w:tcBorders>
            <w:shd w:val="clear" w:color="auto" w:fill="auto"/>
            <w:noWrap/>
            <w:vAlign w:val="bottom"/>
            <w:hideMark/>
          </w:tcPr>
          <w:p w14:paraId="5FC279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2B5996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BCBEBD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75" w:type="pct"/>
            <w:tcBorders>
              <w:top w:val="nil"/>
              <w:left w:val="nil"/>
              <w:bottom w:val="single" w:sz="4" w:space="0" w:color="auto"/>
              <w:right w:val="single" w:sz="4" w:space="0" w:color="auto"/>
            </w:tcBorders>
            <w:shd w:val="clear" w:color="auto" w:fill="auto"/>
            <w:noWrap/>
            <w:vAlign w:val="bottom"/>
            <w:hideMark/>
          </w:tcPr>
          <w:p w14:paraId="6923CA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21,632.00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D160B4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0.024253</w:t>
            </w:r>
          </w:p>
        </w:tc>
        <w:tc>
          <w:tcPr>
            <w:tcW w:w="70" w:type="pct"/>
            <w:tcBorders>
              <w:top w:val="nil"/>
              <w:left w:val="nil"/>
              <w:bottom w:val="nil"/>
              <w:right w:val="nil"/>
            </w:tcBorders>
            <w:shd w:val="clear" w:color="auto" w:fill="auto"/>
            <w:noWrap/>
            <w:vAlign w:val="bottom"/>
            <w:hideMark/>
          </w:tcPr>
          <w:p w14:paraId="71BC5C7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233423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380898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19" w:type="pct"/>
            <w:tcBorders>
              <w:top w:val="nil"/>
              <w:left w:val="nil"/>
              <w:bottom w:val="single" w:sz="4" w:space="0" w:color="auto"/>
              <w:right w:val="single" w:sz="4" w:space="0" w:color="auto"/>
            </w:tcBorders>
            <w:shd w:val="clear" w:color="auto" w:fill="auto"/>
            <w:noWrap/>
            <w:vAlign w:val="bottom"/>
            <w:hideMark/>
          </w:tcPr>
          <w:p w14:paraId="5529E8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9,339.00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3C1920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0.06242</w:t>
            </w:r>
          </w:p>
        </w:tc>
      </w:tr>
      <w:tr w:rsidR="008B6FFF" w:rsidRPr="00FF6AFF" w14:paraId="66B0D8DC"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164EB8C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51450F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00" w:type="pct"/>
            <w:tcBorders>
              <w:top w:val="nil"/>
              <w:left w:val="nil"/>
              <w:bottom w:val="single" w:sz="4" w:space="0" w:color="auto"/>
              <w:right w:val="single" w:sz="4" w:space="0" w:color="auto"/>
            </w:tcBorders>
            <w:shd w:val="clear" w:color="auto" w:fill="auto"/>
            <w:noWrap/>
            <w:vAlign w:val="bottom"/>
            <w:hideMark/>
          </w:tcPr>
          <w:p w14:paraId="5773BC7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480,000.00 </w:t>
            </w:r>
          </w:p>
        </w:tc>
        <w:tc>
          <w:tcPr>
            <w:tcW w:w="350" w:type="pct"/>
            <w:vMerge/>
            <w:tcBorders>
              <w:top w:val="nil"/>
              <w:left w:val="single" w:sz="4" w:space="0" w:color="auto"/>
              <w:bottom w:val="single" w:sz="4" w:space="0" w:color="auto"/>
              <w:right w:val="single" w:sz="8" w:space="0" w:color="auto"/>
            </w:tcBorders>
            <w:vAlign w:val="center"/>
            <w:hideMark/>
          </w:tcPr>
          <w:p w14:paraId="0E1146A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7CFEAA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0E68EF4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AB0CAB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75" w:type="pct"/>
            <w:tcBorders>
              <w:top w:val="nil"/>
              <w:left w:val="nil"/>
              <w:bottom w:val="single" w:sz="4" w:space="0" w:color="auto"/>
              <w:right w:val="single" w:sz="4" w:space="0" w:color="auto"/>
            </w:tcBorders>
            <w:shd w:val="clear" w:color="auto" w:fill="auto"/>
            <w:noWrap/>
            <w:vAlign w:val="bottom"/>
            <w:hideMark/>
          </w:tcPr>
          <w:p w14:paraId="1B5CB5D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891,936.00 </w:t>
            </w:r>
          </w:p>
        </w:tc>
        <w:tc>
          <w:tcPr>
            <w:tcW w:w="350" w:type="pct"/>
            <w:vMerge/>
            <w:tcBorders>
              <w:top w:val="nil"/>
              <w:left w:val="single" w:sz="4" w:space="0" w:color="auto"/>
              <w:bottom w:val="single" w:sz="4" w:space="0" w:color="auto"/>
              <w:right w:val="single" w:sz="8" w:space="0" w:color="auto"/>
            </w:tcBorders>
            <w:vAlign w:val="center"/>
            <w:hideMark/>
          </w:tcPr>
          <w:p w14:paraId="4EB945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34BDB91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6D71C50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0A1519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19" w:type="pct"/>
            <w:tcBorders>
              <w:top w:val="nil"/>
              <w:left w:val="nil"/>
              <w:bottom w:val="single" w:sz="4" w:space="0" w:color="auto"/>
              <w:right w:val="single" w:sz="4" w:space="0" w:color="auto"/>
            </w:tcBorders>
            <w:shd w:val="clear" w:color="auto" w:fill="auto"/>
            <w:noWrap/>
            <w:vAlign w:val="bottom"/>
            <w:hideMark/>
          </w:tcPr>
          <w:p w14:paraId="07C343C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149,616.00 </w:t>
            </w:r>
          </w:p>
        </w:tc>
        <w:tc>
          <w:tcPr>
            <w:tcW w:w="346" w:type="pct"/>
            <w:vMerge/>
            <w:tcBorders>
              <w:top w:val="nil"/>
              <w:left w:val="single" w:sz="4" w:space="0" w:color="auto"/>
              <w:bottom w:val="single" w:sz="4" w:space="0" w:color="auto"/>
              <w:right w:val="single" w:sz="8" w:space="0" w:color="auto"/>
            </w:tcBorders>
            <w:vAlign w:val="center"/>
            <w:hideMark/>
          </w:tcPr>
          <w:p w14:paraId="690B04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556F6022"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97C566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20C59A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00" w:type="pct"/>
            <w:tcBorders>
              <w:top w:val="nil"/>
              <w:left w:val="nil"/>
              <w:bottom w:val="single" w:sz="4" w:space="0" w:color="auto"/>
              <w:right w:val="single" w:sz="4" w:space="0" w:color="auto"/>
            </w:tcBorders>
            <w:shd w:val="clear" w:color="auto" w:fill="auto"/>
            <w:noWrap/>
            <w:vAlign w:val="bottom"/>
            <w:hideMark/>
          </w:tcPr>
          <w:p w14:paraId="4ED8558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21,986.00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C54F6A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0.031541</w:t>
            </w:r>
          </w:p>
        </w:tc>
        <w:tc>
          <w:tcPr>
            <w:tcW w:w="70" w:type="pct"/>
            <w:tcBorders>
              <w:top w:val="nil"/>
              <w:left w:val="nil"/>
              <w:bottom w:val="nil"/>
              <w:right w:val="nil"/>
            </w:tcBorders>
            <w:shd w:val="clear" w:color="auto" w:fill="auto"/>
            <w:noWrap/>
            <w:vAlign w:val="bottom"/>
            <w:hideMark/>
          </w:tcPr>
          <w:p w14:paraId="4288294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CA39DB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BE6866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75" w:type="pct"/>
            <w:tcBorders>
              <w:top w:val="nil"/>
              <w:left w:val="nil"/>
              <w:bottom w:val="single" w:sz="4" w:space="0" w:color="auto"/>
              <w:right w:val="single" w:sz="4" w:space="0" w:color="auto"/>
            </w:tcBorders>
            <w:shd w:val="clear" w:color="auto" w:fill="auto"/>
            <w:noWrap/>
            <w:vAlign w:val="bottom"/>
            <w:hideMark/>
          </w:tcPr>
          <w:p w14:paraId="45BE8F8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21,136.00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A9623A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0.024469</w:t>
            </w:r>
          </w:p>
        </w:tc>
        <w:tc>
          <w:tcPr>
            <w:tcW w:w="70" w:type="pct"/>
            <w:tcBorders>
              <w:top w:val="nil"/>
              <w:left w:val="nil"/>
              <w:bottom w:val="nil"/>
              <w:right w:val="nil"/>
            </w:tcBorders>
            <w:shd w:val="clear" w:color="auto" w:fill="auto"/>
            <w:noWrap/>
            <w:vAlign w:val="bottom"/>
            <w:hideMark/>
          </w:tcPr>
          <w:p w14:paraId="2CE1F10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2E8074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A6B62E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19" w:type="pct"/>
            <w:tcBorders>
              <w:top w:val="nil"/>
              <w:left w:val="nil"/>
              <w:bottom w:val="single" w:sz="4" w:space="0" w:color="auto"/>
              <w:right w:val="single" w:sz="4" w:space="0" w:color="auto"/>
            </w:tcBorders>
            <w:shd w:val="clear" w:color="auto" w:fill="auto"/>
            <w:noWrap/>
            <w:vAlign w:val="bottom"/>
            <w:hideMark/>
          </w:tcPr>
          <w:p w14:paraId="14BD9EA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8,173.00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97CD7C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0.058158</w:t>
            </w:r>
          </w:p>
        </w:tc>
      </w:tr>
      <w:tr w:rsidR="008B6FFF" w:rsidRPr="00FF6AFF" w14:paraId="4F71108F"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2CC7EC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CD9A54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00" w:type="pct"/>
            <w:tcBorders>
              <w:top w:val="nil"/>
              <w:left w:val="nil"/>
              <w:bottom w:val="single" w:sz="4" w:space="0" w:color="auto"/>
              <w:right w:val="single" w:sz="4" w:space="0" w:color="auto"/>
            </w:tcBorders>
            <w:shd w:val="clear" w:color="auto" w:fill="auto"/>
            <w:noWrap/>
            <w:vAlign w:val="bottom"/>
            <w:hideMark/>
          </w:tcPr>
          <w:p w14:paraId="14A76D5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697,072.00 </w:t>
            </w:r>
          </w:p>
        </w:tc>
        <w:tc>
          <w:tcPr>
            <w:tcW w:w="350" w:type="pct"/>
            <w:vMerge/>
            <w:tcBorders>
              <w:top w:val="nil"/>
              <w:left w:val="single" w:sz="4" w:space="0" w:color="auto"/>
              <w:bottom w:val="single" w:sz="4" w:space="0" w:color="auto"/>
              <w:right w:val="single" w:sz="8" w:space="0" w:color="auto"/>
            </w:tcBorders>
            <w:vAlign w:val="center"/>
            <w:hideMark/>
          </w:tcPr>
          <w:p w14:paraId="761976F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9F4F66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559ED5F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983562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75" w:type="pct"/>
            <w:tcBorders>
              <w:top w:val="nil"/>
              <w:left w:val="nil"/>
              <w:bottom w:val="single" w:sz="4" w:space="0" w:color="auto"/>
              <w:right w:val="single" w:sz="4" w:space="0" w:color="auto"/>
            </w:tcBorders>
            <w:shd w:val="clear" w:color="auto" w:fill="auto"/>
            <w:noWrap/>
            <w:vAlign w:val="bottom"/>
            <w:hideMark/>
          </w:tcPr>
          <w:p w14:paraId="4E8DAFF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863,783.00 </w:t>
            </w:r>
          </w:p>
        </w:tc>
        <w:tc>
          <w:tcPr>
            <w:tcW w:w="350" w:type="pct"/>
            <w:vMerge/>
            <w:tcBorders>
              <w:top w:val="nil"/>
              <w:left w:val="single" w:sz="4" w:space="0" w:color="auto"/>
              <w:bottom w:val="single" w:sz="4" w:space="0" w:color="auto"/>
              <w:right w:val="single" w:sz="8" w:space="0" w:color="auto"/>
            </w:tcBorders>
            <w:vAlign w:val="center"/>
            <w:hideMark/>
          </w:tcPr>
          <w:p w14:paraId="2CA4C31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47DC345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65D0232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CE06DB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19" w:type="pct"/>
            <w:tcBorders>
              <w:top w:val="nil"/>
              <w:left w:val="nil"/>
              <w:bottom w:val="single" w:sz="4" w:space="0" w:color="auto"/>
              <w:right w:val="single" w:sz="4" w:space="0" w:color="auto"/>
            </w:tcBorders>
            <w:shd w:val="clear" w:color="auto" w:fill="auto"/>
            <w:noWrap/>
            <w:vAlign w:val="bottom"/>
            <w:hideMark/>
          </w:tcPr>
          <w:p w14:paraId="48DD352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140,530.00 </w:t>
            </w:r>
          </w:p>
        </w:tc>
        <w:tc>
          <w:tcPr>
            <w:tcW w:w="346" w:type="pct"/>
            <w:vMerge/>
            <w:tcBorders>
              <w:top w:val="nil"/>
              <w:left w:val="single" w:sz="4" w:space="0" w:color="auto"/>
              <w:bottom w:val="single" w:sz="4" w:space="0" w:color="auto"/>
              <w:right w:val="single" w:sz="8" w:space="0" w:color="auto"/>
            </w:tcBorders>
            <w:vAlign w:val="center"/>
            <w:hideMark/>
          </w:tcPr>
          <w:p w14:paraId="694D242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D829258"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F952BB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8BB0FA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00" w:type="pct"/>
            <w:tcBorders>
              <w:top w:val="nil"/>
              <w:left w:val="nil"/>
              <w:bottom w:val="single" w:sz="4" w:space="0" w:color="auto"/>
              <w:right w:val="single" w:sz="4" w:space="0" w:color="auto"/>
            </w:tcBorders>
            <w:shd w:val="clear" w:color="auto" w:fill="auto"/>
            <w:noWrap/>
            <w:vAlign w:val="bottom"/>
            <w:hideMark/>
          </w:tcPr>
          <w:p w14:paraId="1B5463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34,245.00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F75D87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0.048261</w:t>
            </w:r>
          </w:p>
        </w:tc>
        <w:tc>
          <w:tcPr>
            <w:tcW w:w="70" w:type="pct"/>
            <w:tcBorders>
              <w:top w:val="nil"/>
              <w:left w:val="nil"/>
              <w:bottom w:val="nil"/>
              <w:right w:val="nil"/>
            </w:tcBorders>
            <w:shd w:val="clear" w:color="auto" w:fill="auto"/>
            <w:noWrap/>
            <w:vAlign w:val="bottom"/>
            <w:hideMark/>
          </w:tcPr>
          <w:p w14:paraId="36FEC8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768D82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C38240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75" w:type="pct"/>
            <w:tcBorders>
              <w:top w:val="nil"/>
              <w:left w:val="nil"/>
              <w:bottom w:val="single" w:sz="4" w:space="0" w:color="auto"/>
              <w:right w:val="single" w:sz="4" w:space="0" w:color="auto"/>
            </w:tcBorders>
            <w:shd w:val="clear" w:color="auto" w:fill="auto"/>
            <w:noWrap/>
            <w:vAlign w:val="bottom"/>
            <w:hideMark/>
          </w:tcPr>
          <w:p w14:paraId="50CC248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21,076.00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2A1F0B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0.025242</w:t>
            </w:r>
          </w:p>
        </w:tc>
        <w:tc>
          <w:tcPr>
            <w:tcW w:w="70" w:type="pct"/>
            <w:tcBorders>
              <w:top w:val="nil"/>
              <w:left w:val="nil"/>
              <w:bottom w:val="nil"/>
              <w:right w:val="nil"/>
            </w:tcBorders>
            <w:shd w:val="clear" w:color="auto" w:fill="auto"/>
            <w:noWrap/>
            <w:vAlign w:val="bottom"/>
            <w:hideMark/>
          </w:tcPr>
          <w:p w14:paraId="599B58C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7A9465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73FB9FF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19" w:type="pct"/>
            <w:tcBorders>
              <w:top w:val="nil"/>
              <w:left w:val="nil"/>
              <w:bottom w:val="single" w:sz="4" w:space="0" w:color="auto"/>
              <w:right w:val="single" w:sz="4" w:space="0" w:color="auto"/>
            </w:tcBorders>
            <w:shd w:val="clear" w:color="auto" w:fill="auto"/>
            <w:noWrap/>
            <w:vAlign w:val="bottom"/>
            <w:hideMark/>
          </w:tcPr>
          <w:p w14:paraId="1733A67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7,698.00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385C27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0.082144</w:t>
            </w:r>
          </w:p>
        </w:tc>
      </w:tr>
      <w:tr w:rsidR="008B6FFF" w:rsidRPr="00FF6AFF" w14:paraId="4436972D"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0535138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03A3E6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00" w:type="pct"/>
            <w:tcBorders>
              <w:top w:val="nil"/>
              <w:left w:val="nil"/>
              <w:bottom w:val="single" w:sz="4" w:space="0" w:color="auto"/>
              <w:right w:val="single" w:sz="4" w:space="0" w:color="auto"/>
            </w:tcBorders>
            <w:shd w:val="clear" w:color="auto" w:fill="auto"/>
            <w:noWrap/>
            <w:vAlign w:val="bottom"/>
            <w:hideMark/>
          </w:tcPr>
          <w:p w14:paraId="357845D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709,573.00 </w:t>
            </w:r>
          </w:p>
        </w:tc>
        <w:tc>
          <w:tcPr>
            <w:tcW w:w="350" w:type="pct"/>
            <w:vMerge/>
            <w:tcBorders>
              <w:top w:val="nil"/>
              <w:left w:val="single" w:sz="4" w:space="0" w:color="auto"/>
              <w:bottom w:val="single" w:sz="4" w:space="0" w:color="auto"/>
              <w:right w:val="single" w:sz="8" w:space="0" w:color="auto"/>
            </w:tcBorders>
            <w:vAlign w:val="center"/>
            <w:hideMark/>
          </w:tcPr>
          <w:p w14:paraId="621C15D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6A7E663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0E24440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05226D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75" w:type="pct"/>
            <w:tcBorders>
              <w:top w:val="nil"/>
              <w:left w:val="nil"/>
              <w:bottom w:val="single" w:sz="4" w:space="0" w:color="auto"/>
              <w:right w:val="single" w:sz="4" w:space="0" w:color="auto"/>
            </w:tcBorders>
            <w:shd w:val="clear" w:color="auto" w:fill="auto"/>
            <w:noWrap/>
            <w:vAlign w:val="bottom"/>
            <w:hideMark/>
          </w:tcPr>
          <w:p w14:paraId="0AA8FAB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834,948.00 </w:t>
            </w:r>
          </w:p>
        </w:tc>
        <w:tc>
          <w:tcPr>
            <w:tcW w:w="350" w:type="pct"/>
            <w:vMerge/>
            <w:tcBorders>
              <w:top w:val="nil"/>
              <w:left w:val="single" w:sz="4" w:space="0" w:color="auto"/>
              <w:bottom w:val="single" w:sz="4" w:space="0" w:color="auto"/>
              <w:right w:val="single" w:sz="8" w:space="0" w:color="auto"/>
            </w:tcBorders>
            <w:vAlign w:val="center"/>
            <w:hideMark/>
          </w:tcPr>
          <w:p w14:paraId="0FA64A6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7981B6D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005083B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BD9D81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19" w:type="pct"/>
            <w:tcBorders>
              <w:top w:val="nil"/>
              <w:left w:val="nil"/>
              <w:bottom w:val="single" w:sz="4" w:space="0" w:color="auto"/>
              <w:right w:val="single" w:sz="4" w:space="0" w:color="auto"/>
            </w:tcBorders>
            <w:shd w:val="clear" w:color="auto" w:fill="auto"/>
            <w:noWrap/>
            <w:vAlign w:val="bottom"/>
            <w:hideMark/>
          </w:tcPr>
          <w:p w14:paraId="5F432D8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93,714.00 </w:t>
            </w:r>
          </w:p>
        </w:tc>
        <w:tc>
          <w:tcPr>
            <w:tcW w:w="346" w:type="pct"/>
            <w:vMerge/>
            <w:tcBorders>
              <w:top w:val="nil"/>
              <w:left w:val="single" w:sz="4" w:space="0" w:color="auto"/>
              <w:bottom w:val="single" w:sz="4" w:space="0" w:color="auto"/>
              <w:right w:val="single" w:sz="8" w:space="0" w:color="auto"/>
            </w:tcBorders>
            <w:vAlign w:val="center"/>
            <w:hideMark/>
          </w:tcPr>
          <w:p w14:paraId="2F35F64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3C9C921B" w14:textId="77777777" w:rsidTr="003D2D09">
        <w:trPr>
          <w:trHeight w:val="300"/>
        </w:trPr>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D5283D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197ED6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00" w:type="pct"/>
            <w:tcBorders>
              <w:top w:val="nil"/>
              <w:left w:val="nil"/>
              <w:bottom w:val="single" w:sz="4" w:space="0" w:color="auto"/>
              <w:right w:val="single" w:sz="4" w:space="0" w:color="auto"/>
            </w:tcBorders>
            <w:shd w:val="clear" w:color="auto" w:fill="auto"/>
            <w:noWrap/>
            <w:vAlign w:val="bottom"/>
            <w:hideMark/>
          </w:tcPr>
          <w:p w14:paraId="1C7B414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39,605.00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F84888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0.056117</w:t>
            </w:r>
          </w:p>
        </w:tc>
        <w:tc>
          <w:tcPr>
            <w:tcW w:w="70" w:type="pct"/>
            <w:tcBorders>
              <w:top w:val="nil"/>
              <w:left w:val="nil"/>
              <w:bottom w:val="nil"/>
              <w:right w:val="nil"/>
            </w:tcBorders>
            <w:shd w:val="clear" w:color="auto" w:fill="auto"/>
            <w:noWrap/>
            <w:vAlign w:val="bottom"/>
            <w:hideMark/>
          </w:tcPr>
          <w:p w14:paraId="5A776CC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295DDA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A65EA3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75" w:type="pct"/>
            <w:tcBorders>
              <w:top w:val="nil"/>
              <w:left w:val="nil"/>
              <w:bottom w:val="single" w:sz="4" w:space="0" w:color="auto"/>
              <w:right w:val="single" w:sz="4" w:space="0" w:color="auto"/>
            </w:tcBorders>
            <w:shd w:val="clear" w:color="auto" w:fill="auto"/>
            <w:noWrap/>
            <w:vAlign w:val="bottom"/>
            <w:hideMark/>
          </w:tcPr>
          <w:p w14:paraId="72D7654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21,451.00 </w:t>
            </w:r>
          </w:p>
        </w:tc>
        <w:tc>
          <w:tcPr>
            <w:tcW w:w="350"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C54FCB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0.020298</w:t>
            </w:r>
          </w:p>
        </w:tc>
        <w:tc>
          <w:tcPr>
            <w:tcW w:w="70" w:type="pct"/>
            <w:tcBorders>
              <w:top w:val="nil"/>
              <w:left w:val="nil"/>
              <w:bottom w:val="nil"/>
              <w:right w:val="nil"/>
            </w:tcBorders>
            <w:shd w:val="clear" w:color="auto" w:fill="auto"/>
            <w:noWrap/>
            <w:vAlign w:val="bottom"/>
            <w:hideMark/>
          </w:tcPr>
          <w:p w14:paraId="737064B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9D528C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189779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19" w:type="pct"/>
            <w:tcBorders>
              <w:top w:val="nil"/>
              <w:left w:val="nil"/>
              <w:bottom w:val="single" w:sz="4" w:space="0" w:color="auto"/>
              <w:right w:val="single" w:sz="4" w:space="0" w:color="auto"/>
            </w:tcBorders>
            <w:shd w:val="clear" w:color="auto" w:fill="auto"/>
            <w:noWrap/>
            <w:vAlign w:val="bottom"/>
            <w:hideMark/>
          </w:tcPr>
          <w:p w14:paraId="51BE936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7,576.00 </w:t>
            </w:r>
          </w:p>
        </w:tc>
        <w:tc>
          <w:tcPr>
            <w:tcW w:w="346"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1729E0A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0.079358</w:t>
            </w:r>
          </w:p>
        </w:tc>
      </w:tr>
      <w:tr w:rsidR="008B6FFF" w:rsidRPr="00FF6AFF" w14:paraId="7BA93106" w14:textId="77777777" w:rsidTr="003D2D09">
        <w:trPr>
          <w:trHeight w:val="300"/>
        </w:trPr>
        <w:tc>
          <w:tcPr>
            <w:tcW w:w="256" w:type="pct"/>
            <w:vMerge/>
            <w:tcBorders>
              <w:top w:val="nil"/>
              <w:left w:val="single" w:sz="8" w:space="0" w:color="auto"/>
              <w:bottom w:val="single" w:sz="4" w:space="0" w:color="auto"/>
              <w:right w:val="single" w:sz="4" w:space="0" w:color="auto"/>
            </w:tcBorders>
            <w:vAlign w:val="center"/>
            <w:hideMark/>
          </w:tcPr>
          <w:p w14:paraId="5D9DE01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CA99FE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00" w:type="pct"/>
            <w:tcBorders>
              <w:top w:val="nil"/>
              <w:left w:val="nil"/>
              <w:bottom w:val="single" w:sz="4" w:space="0" w:color="auto"/>
              <w:right w:val="single" w:sz="4" w:space="0" w:color="auto"/>
            </w:tcBorders>
            <w:shd w:val="clear" w:color="auto" w:fill="auto"/>
            <w:noWrap/>
            <w:vAlign w:val="bottom"/>
            <w:hideMark/>
          </w:tcPr>
          <w:p w14:paraId="62673AF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705,758.00 </w:t>
            </w:r>
          </w:p>
        </w:tc>
        <w:tc>
          <w:tcPr>
            <w:tcW w:w="350" w:type="pct"/>
            <w:vMerge/>
            <w:tcBorders>
              <w:top w:val="nil"/>
              <w:left w:val="single" w:sz="4" w:space="0" w:color="auto"/>
              <w:bottom w:val="single" w:sz="4" w:space="0" w:color="auto"/>
              <w:right w:val="single" w:sz="8" w:space="0" w:color="auto"/>
            </w:tcBorders>
            <w:vAlign w:val="center"/>
            <w:hideMark/>
          </w:tcPr>
          <w:p w14:paraId="2D4D6F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0EC1C27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3A4E5D2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6B582F5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75" w:type="pct"/>
            <w:tcBorders>
              <w:top w:val="nil"/>
              <w:left w:val="nil"/>
              <w:bottom w:val="single" w:sz="4" w:space="0" w:color="auto"/>
              <w:right w:val="single" w:sz="4" w:space="0" w:color="auto"/>
            </w:tcBorders>
            <w:shd w:val="clear" w:color="auto" w:fill="auto"/>
            <w:noWrap/>
            <w:vAlign w:val="bottom"/>
            <w:hideMark/>
          </w:tcPr>
          <w:p w14:paraId="311C900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1,056,826.00 </w:t>
            </w:r>
          </w:p>
        </w:tc>
        <w:tc>
          <w:tcPr>
            <w:tcW w:w="350" w:type="pct"/>
            <w:vMerge/>
            <w:tcBorders>
              <w:top w:val="nil"/>
              <w:left w:val="single" w:sz="4" w:space="0" w:color="auto"/>
              <w:bottom w:val="single" w:sz="4" w:space="0" w:color="auto"/>
              <w:right w:val="single" w:sz="8" w:space="0" w:color="auto"/>
            </w:tcBorders>
            <w:vAlign w:val="center"/>
            <w:hideMark/>
          </w:tcPr>
          <w:p w14:paraId="2FCDD5E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0692C5D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4" w:space="0" w:color="auto"/>
              <w:right w:val="single" w:sz="4" w:space="0" w:color="auto"/>
            </w:tcBorders>
            <w:vAlign w:val="center"/>
            <w:hideMark/>
          </w:tcPr>
          <w:p w14:paraId="47BCD6A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283565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19" w:type="pct"/>
            <w:tcBorders>
              <w:top w:val="nil"/>
              <w:left w:val="nil"/>
              <w:bottom w:val="single" w:sz="4" w:space="0" w:color="auto"/>
              <w:right w:val="single" w:sz="4" w:space="0" w:color="auto"/>
            </w:tcBorders>
            <w:shd w:val="clear" w:color="auto" w:fill="auto"/>
            <w:noWrap/>
            <w:vAlign w:val="bottom"/>
            <w:hideMark/>
          </w:tcPr>
          <w:p w14:paraId="73948F7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95,466.00 </w:t>
            </w:r>
          </w:p>
        </w:tc>
        <w:tc>
          <w:tcPr>
            <w:tcW w:w="346" w:type="pct"/>
            <w:vMerge/>
            <w:tcBorders>
              <w:top w:val="nil"/>
              <w:left w:val="single" w:sz="4" w:space="0" w:color="auto"/>
              <w:bottom w:val="single" w:sz="4" w:space="0" w:color="auto"/>
              <w:right w:val="single" w:sz="8" w:space="0" w:color="auto"/>
            </w:tcBorders>
            <w:vAlign w:val="center"/>
            <w:hideMark/>
          </w:tcPr>
          <w:p w14:paraId="254FA63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0010113C" w14:textId="77777777" w:rsidTr="003D2D09">
        <w:trPr>
          <w:trHeight w:val="300"/>
        </w:trPr>
        <w:tc>
          <w:tcPr>
            <w:tcW w:w="256"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24CA9C3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0BD8506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00" w:type="pct"/>
            <w:tcBorders>
              <w:top w:val="nil"/>
              <w:left w:val="nil"/>
              <w:bottom w:val="single" w:sz="4" w:space="0" w:color="auto"/>
              <w:right w:val="single" w:sz="4" w:space="0" w:color="auto"/>
            </w:tcBorders>
            <w:shd w:val="clear" w:color="auto" w:fill="auto"/>
            <w:noWrap/>
            <w:vAlign w:val="bottom"/>
            <w:hideMark/>
          </w:tcPr>
          <w:p w14:paraId="0490AE5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37,560.00 </w:t>
            </w:r>
          </w:p>
        </w:tc>
        <w:tc>
          <w:tcPr>
            <w:tcW w:w="350"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3D7D51A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0.068927</w:t>
            </w:r>
          </w:p>
        </w:tc>
        <w:tc>
          <w:tcPr>
            <w:tcW w:w="70" w:type="pct"/>
            <w:tcBorders>
              <w:top w:val="nil"/>
              <w:left w:val="nil"/>
              <w:bottom w:val="nil"/>
              <w:right w:val="nil"/>
            </w:tcBorders>
            <w:shd w:val="clear" w:color="auto" w:fill="auto"/>
            <w:noWrap/>
            <w:vAlign w:val="bottom"/>
            <w:hideMark/>
          </w:tcPr>
          <w:p w14:paraId="0BB1DB1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412EEB6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008C2E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75" w:type="pct"/>
            <w:tcBorders>
              <w:top w:val="nil"/>
              <w:left w:val="nil"/>
              <w:bottom w:val="single" w:sz="4" w:space="0" w:color="auto"/>
              <w:right w:val="single" w:sz="4" w:space="0" w:color="auto"/>
            </w:tcBorders>
            <w:shd w:val="clear" w:color="auto" w:fill="auto"/>
            <w:noWrap/>
            <w:vAlign w:val="bottom"/>
            <w:hideMark/>
          </w:tcPr>
          <w:p w14:paraId="2B29E98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20,256.00 </w:t>
            </w:r>
          </w:p>
        </w:tc>
        <w:tc>
          <w:tcPr>
            <w:tcW w:w="350"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01F03F6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0.020997</w:t>
            </w:r>
          </w:p>
        </w:tc>
        <w:tc>
          <w:tcPr>
            <w:tcW w:w="70" w:type="pct"/>
            <w:tcBorders>
              <w:top w:val="nil"/>
              <w:left w:val="nil"/>
              <w:bottom w:val="nil"/>
              <w:right w:val="nil"/>
            </w:tcBorders>
            <w:shd w:val="clear" w:color="auto" w:fill="auto"/>
            <w:noWrap/>
            <w:vAlign w:val="bottom"/>
            <w:hideMark/>
          </w:tcPr>
          <w:p w14:paraId="78BC183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62FA0E1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2DFB489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Total revenue</w:t>
            </w:r>
          </w:p>
        </w:tc>
        <w:tc>
          <w:tcPr>
            <w:tcW w:w="519" w:type="pct"/>
            <w:tcBorders>
              <w:top w:val="nil"/>
              <w:left w:val="nil"/>
              <w:bottom w:val="single" w:sz="4" w:space="0" w:color="auto"/>
              <w:right w:val="single" w:sz="4" w:space="0" w:color="auto"/>
            </w:tcBorders>
            <w:shd w:val="clear" w:color="auto" w:fill="auto"/>
            <w:noWrap/>
            <w:vAlign w:val="bottom"/>
            <w:hideMark/>
          </w:tcPr>
          <w:p w14:paraId="1C1BD61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7,586.00 </w:t>
            </w:r>
          </w:p>
        </w:tc>
        <w:tc>
          <w:tcPr>
            <w:tcW w:w="346"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72F0198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0.070871</w:t>
            </w:r>
          </w:p>
        </w:tc>
      </w:tr>
      <w:tr w:rsidR="008B6FFF" w:rsidRPr="00FF6AFF" w14:paraId="2E04E398" w14:textId="77777777" w:rsidTr="003D2D09">
        <w:trPr>
          <w:trHeight w:val="315"/>
        </w:trPr>
        <w:tc>
          <w:tcPr>
            <w:tcW w:w="256" w:type="pct"/>
            <w:vMerge/>
            <w:tcBorders>
              <w:top w:val="nil"/>
              <w:left w:val="single" w:sz="8" w:space="0" w:color="auto"/>
              <w:bottom w:val="single" w:sz="8" w:space="0" w:color="000000"/>
              <w:right w:val="single" w:sz="4" w:space="0" w:color="auto"/>
            </w:tcBorders>
            <w:vAlign w:val="center"/>
            <w:hideMark/>
          </w:tcPr>
          <w:p w14:paraId="0371DF7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4296F30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00" w:type="pct"/>
            <w:tcBorders>
              <w:top w:val="nil"/>
              <w:left w:val="nil"/>
              <w:bottom w:val="single" w:sz="4" w:space="0" w:color="auto"/>
              <w:right w:val="single" w:sz="4" w:space="0" w:color="auto"/>
            </w:tcBorders>
            <w:shd w:val="clear" w:color="auto" w:fill="auto"/>
            <w:noWrap/>
            <w:vAlign w:val="bottom"/>
            <w:hideMark/>
          </w:tcPr>
          <w:p w14:paraId="33F66B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544,926.00 </w:t>
            </w:r>
          </w:p>
        </w:tc>
        <w:tc>
          <w:tcPr>
            <w:tcW w:w="350" w:type="pct"/>
            <w:vMerge/>
            <w:tcBorders>
              <w:top w:val="nil"/>
              <w:left w:val="single" w:sz="4" w:space="0" w:color="auto"/>
              <w:bottom w:val="single" w:sz="8" w:space="0" w:color="000000"/>
              <w:right w:val="single" w:sz="8" w:space="0" w:color="auto"/>
            </w:tcBorders>
            <w:vAlign w:val="center"/>
            <w:hideMark/>
          </w:tcPr>
          <w:p w14:paraId="0F9026A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2826905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8" w:space="0" w:color="000000"/>
              <w:right w:val="single" w:sz="4" w:space="0" w:color="auto"/>
            </w:tcBorders>
            <w:vAlign w:val="center"/>
            <w:hideMark/>
          </w:tcPr>
          <w:p w14:paraId="6A7CD0C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5162DE8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75" w:type="pct"/>
            <w:tcBorders>
              <w:top w:val="nil"/>
              <w:left w:val="nil"/>
              <w:bottom w:val="single" w:sz="4" w:space="0" w:color="auto"/>
              <w:right w:val="single" w:sz="4" w:space="0" w:color="auto"/>
            </w:tcBorders>
            <w:shd w:val="clear" w:color="auto" w:fill="auto"/>
            <w:noWrap/>
            <w:vAlign w:val="bottom"/>
            <w:hideMark/>
          </w:tcPr>
          <w:p w14:paraId="58FEBDC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964,687.00 </w:t>
            </w:r>
          </w:p>
        </w:tc>
        <w:tc>
          <w:tcPr>
            <w:tcW w:w="350" w:type="pct"/>
            <w:vMerge/>
            <w:tcBorders>
              <w:top w:val="nil"/>
              <w:left w:val="single" w:sz="4" w:space="0" w:color="auto"/>
              <w:bottom w:val="single" w:sz="8" w:space="0" w:color="000000"/>
              <w:right w:val="single" w:sz="8" w:space="0" w:color="auto"/>
            </w:tcBorders>
            <w:vAlign w:val="center"/>
            <w:hideMark/>
          </w:tcPr>
          <w:p w14:paraId="3FC336A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70" w:type="pct"/>
            <w:tcBorders>
              <w:top w:val="nil"/>
              <w:left w:val="nil"/>
              <w:bottom w:val="nil"/>
              <w:right w:val="nil"/>
            </w:tcBorders>
            <w:shd w:val="clear" w:color="auto" w:fill="auto"/>
            <w:noWrap/>
            <w:vAlign w:val="bottom"/>
            <w:hideMark/>
          </w:tcPr>
          <w:p w14:paraId="3F13DFA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56" w:type="pct"/>
            <w:vMerge/>
            <w:tcBorders>
              <w:top w:val="nil"/>
              <w:left w:val="single" w:sz="8" w:space="0" w:color="auto"/>
              <w:bottom w:val="single" w:sz="8" w:space="0" w:color="000000"/>
              <w:right w:val="single" w:sz="4" w:space="0" w:color="auto"/>
            </w:tcBorders>
            <w:vAlign w:val="center"/>
            <w:hideMark/>
          </w:tcPr>
          <w:p w14:paraId="7878251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84" w:type="pct"/>
            <w:gridSpan w:val="4"/>
            <w:tcBorders>
              <w:top w:val="single" w:sz="4" w:space="0" w:color="auto"/>
              <w:left w:val="nil"/>
              <w:bottom w:val="single" w:sz="4" w:space="0" w:color="auto"/>
              <w:right w:val="single" w:sz="4" w:space="0" w:color="auto"/>
            </w:tcBorders>
            <w:shd w:val="clear" w:color="auto" w:fill="auto"/>
            <w:noWrap/>
            <w:vAlign w:val="bottom"/>
            <w:hideMark/>
          </w:tcPr>
          <w:p w14:paraId="3432F2B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Fixed Asset</w:t>
            </w:r>
          </w:p>
        </w:tc>
        <w:tc>
          <w:tcPr>
            <w:tcW w:w="519" w:type="pct"/>
            <w:tcBorders>
              <w:top w:val="nil"/>
              <w:left w:val="nil"/>
              <w:bottom w:val="single" w:sz="4" w:space="0" w:color="auto"/>
              <w:right w:val="single" w:sz="4" w:space="0" w:color="auto"/>
            </w:tcBorders>
            <w:shd w:val="clear" w:color="auto" w:fill="auto"/>
            <w:noWrap/>
            <w:vAlign w:val="bottom"/>
            <w:hideMark/>
          </w:tcPr>
          <w:p w14:paraId="2197165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107,040.00 </w:t>
            </w:r>
          </w:p>
        </w:tc>
        <w:tc>
          <w:tcPr>
            <w:tcW w:w="346" w:type="pct"/>
            <w:vMerge/>
            <w:tcBorders>
              <w:top w:val="nil"/>
              <w:left w:val="single" w:sz="4" w:space="0" w:color="auto"/>
              <w:bottom w:val="single" w:sz="8" w:space="0" w:color="000000"/>
              <w:right w:val="single" w:sz="8" w:space="0" w:color="auto"/>
            </w:tcBorders>
            <w:vAlign w:val="center"/>
            <w:hideMark/>
          </w:tcPr>
          <w:p w14:paraId="3C413E6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bl>
    <w:p w14:paraId="3403C3DB" w14:textId="77777777" w:rsidR="003D2D09" w:rsidRPr="008B6FFF" w:rsidRDefault="003D2D09" w:rsidP="003D2D09">
      <w:pPr>
        <w:jc w:val="center"/>
        <w:rPr>
          <w:rFonts w:ascii="Times New Roman" w:hAnsi="Times New Roman" w:cs="Times New Roman"/>
          <w:b/>
          <w:sz w:val="24"/>
          <w:szCs w:val="24"/>
        </w:rPr>
      </w:pPr>
      <w:r w:rsidRPr="008B6FFF">
        <w:rPr>
          <w:rFonts w:ascii="Times New Roman" w:hAnsi="Times New Roman" w:cs="Times New Roman"/>
          <w:b/>
          <w:sz w:val="24"/>
          <w:szCs w:val="24"/>
        </w:rPr>
        <w:t xml:space="preserve">Table </w:t>
      </w:r>
      <w:r>
        <w:rPr>
          <w:rFonts w:ascii="Times New Roman" w:hAnsi="Times New Roman" w:cs="Times New Roman"/>
          <w:b/>
          <w:sz w:val="24"/>
          <w:szCs w:val="24"/>
        </w:rPr>
        <w:t>3</w:t>
      </w:r>
      <w:r w:rsidRPr="008B6FFF">
        <w:rPr>
          <w:rFonts w:ascii="Times New Roman" w:hAnsi="Times New Roman" w:cs="Times New Roman"/>
          <w:b/>
          <w:sz w:val="24"/>
          <w:szCs w:val="24"/>
        </w:rPr>
        <w:t xml:space="preserve">: </w:t>
      </w:r>
      <w:r>
        <w:rPr>
          <w:rFonts w:ascii="Times New Roman" w:hAnsi="Times New Roman" w:cs="Times New Roman"/>
          <w:b/>
          <w:sz w:val="24"/>
          <w:szCs w:val="24"/>
        </w:rPr>
        <w:t>Efficiency</w:t>
      </w:r>
      <w:r w:rsidRPr="008B6FFF">
        <w:rPr>
          <w:rFonts w:ascii="Times New Roman" w:hAnsi="Times New Roman" w:cs="Times New Roman"/>
          <w:b/>
          <w:sz w:val="24"/>
          <w:szCs w:val="24"/>
        </w:rPr>
        <w:t xml:space="preserve"> ratio</w:t>
      </w:r>
    </w:p>
    <w:p w14:paraId="208C06C7" w14:textId="77777777" w:rsidR="003D2D09" w:rsidRDefault="003D2D09" w:rsidP="003D2D09">
      <w:pPr>
        <w:rPr>
          <w:rFonts w:ascii="Times New Roman" w:hAnsi="Times New Roman" w:cs="Times New Roman"/>
          <w:b/>
          <w:sz w:val="24"/>
          <w:szCs w:val="24"/>
        </w:rPr>
        <w:sectPr w:rsidR="003D2D09" w:rsidSect="003D2D09">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0000033" w14:textId="7BA00ED2" w:rsidR="00C65B51" w:rsidRPr="004F6549" w:rsidRDefault="006C0F24" w:rsidP="00E95AFC">
      <w:pPr>
        <w:pStyle w:val="Heading3"/>
        <w:spacing w:line="360" w:lineRule="auto"/>
      </w:pPr>
      <w:bookmarkStart w:id="18" w:name="_Toc39166253"/>
      <w:r w:rsidRPr="004F6549">
        <w:lastRenderedPageBreak/>
        <w:t>2.3.1 Inventory turnover ratio</w:t>
      </w:r>
      <w:bookmarkEnd w:id="18"/>
    </w:p>
    <w:p w14:paraId="00000034" w14:textId="03213970"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According to the inventory turnover ratio, Lloyds banking company can be regarded as quite weaker than other financial ratios. The main reason is that, inventory turnover ratio of that banking sector was less than 1 day. However, in respect to the financial management theories, a company would be capable of achieving a better position in this ratio, only if it has achieved 4 to 6 day. Thus, the economic performances are contemplated as poor</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Buil</w:t>
      </w:r>
      <w:proofErr w:type="spellEnd"/>
      <w:r w:rsidR="00F52492" w:rsidRPr="004F6549">
        <w:rPr>
          <w:rFonts w:ascii="Times New Roman" w:hAnsi="Times New Roman" w:cs="Times New Roman"/>
          <w:sz w:val="24"/>
          <w:szCs w:val="24"/>
          <w:shd w:val="clear" w:color="auto" w:fill="FFFFFF"/>
        </w:rPr>
        <w:t xml:space="preserve">, </w:t>
      </w:r>
      <w:proofErr w:type="spellStart"/>
      <w:r w:rsidR="00F52492" w:rsidRPr="004F6549">
        <w:rPr>
          <w:rFonts w:ascii="Times New Roman" w:hAnsi="Times New Roman" w:cs="Times New Roman"/>
          <w:sz w:val="24"/>
          <w:szCs w:val="24"/>
          <w:shd w:val="clear" w:color="auto" w:fill="FFFFFF"/>
        </w:rPr>
        <w:t>Catalán</w:t>
      </w:r>
      <w:proofErr w:type="spellEnd"/>
      <w:r w:rsidR="00F52492" w:rsidRPr="004F6549">
        <w:rPr>
          <w:rFonts w:ascii="Times New Roman" w:hAnsi="Times New Roman" w:cs="Times New Roman"/>
          <w:sz w:val="24"/>
          <w:szCs w:val="24"/>
          <w:shd w:val="clear" w:color="auto" w:fill="FFFFFF"/>
        </w:rPr>
        <w:t xml:space="preserve"> and Martínez, 2016</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As the amount of cost of goods sold was very much lower than inventory value, thus, it resulted in such a number of days.</w:t>
      </w:r>
    </w:p>
    <w:p w14:paraId="00000035" w14:textId="77777777"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As per the computational outcomes of Barclay bank, similar financial weaknesses were identified. Thus, the financial consideration of Barclay can be contemplated as almost similar to the Lloyds banking sector. However, the value of inventory and cost of goods sold of Barclay was found to be greater than Lloyds bank. After critical evaluation, the inventory turnover ratio of this organization can be considered as little better than Lloyds.</w:t>
      </w:r>
    </w:p>
    <w:p w14:paraId="00000036" w14:textId="118888C5"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Through considering the financial records of Santander baking company, a quiet position was evaluated in this regard</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Geddes, Schmidt and Steffen,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However, this company we also found to be incapable of recovering the inventory costs within the respective financial term. In comparison to other financial aspects, the inventory of this company is not highly undervalued in terms of other two companies. </w:t>
      </w:r>
      <w:r w:rsidR="0075703F" w:rsidRPr="004F6549">
        <w:rPr>
          <w:rFonts w:ascii="Times New Roman" w:hAnsi="Times New Roman" w:cs="Times New Roman"/>
          <w:sz w:val="24"/>
          <w:szCs w:val="24"/>
        </w:rPr>
        <w:t>Thus</w:t>
      </w:r>
      <w:r w:rsidRPr="004F6549">
        <w:rPr>
          <w:rFonts w:ascii="Times New Roman" w:hAnsi="Times New Roman" w:cs="Times New Roman"/>
          <w:sz w:val="24"/>
          <w:szCs w:val="24"/>
        </w:rPr>
        <w:t>, it can be contemplated as a negative factor of its financial authorities.</w:t>
      </w:r>
    </w:p>
    <w:p w14:paraId="00000037" w14:textId="77777777" w:rsidR="00C65B51" w:rsidRPr="004F6549" w:rsidRDefault="006C0F24" w:rsidP="00E95AFC">
      <w:pPr>
        <w:pStyle w:val="Heading3"/>
        <w:spacing w:line="360" w:lineRule="auto"/>
      </w:pPr>
      <w:bookmarkStart w:id="19" w:name="_Toc39166254"/>
      <w:r w:rsidRPr="004F6549">
        <w:t>2.3.2 Fixed asset turnover ratio</w:t>
      </w:r>
      <w:bookmarkEnd w:id="19"/>
    </w:p>
    <w:p w14:paraId="00000039" w14:textId="372175D2" w:rsidR="00C65B51"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According to this, the capability of organizational management in recovering the value of assets by employing the </w:t>
      </w:r>
      <w:r w:rsidR="008D4787">
        <w:rPr>
          <w:rFonts w:ascii="Times New Roman" w:hAnsi="Times New Roman" w:cs="Times New Roman"/>
          <w:sz w:val="24"/>
          <w:szCs w:val="24"/>
        </w:rPr>
        <w:t>sales</w:t>
      </w:r>
      <w:r w:rsidRPr="004F6549">
        <w:rPr>
          <w:rFonts w:ascii="Times New Roman" w:hAnsi="Times New Roman" w:cs="Times New Roman"/>
          <w:sz w:val="24"/>
          <w:szCs w:val="24"/>
        </w:rPr>
        <w:t xml:space="preserve"> has been evaluated. Based on the calculation, again weaknesses were evaluated in the Lloyd banking company. The reason is that the amount of assets was higher than the revenue amount. This was the only reason for which the ability of </w:t>
      </w:r>
      <w:r w:rsidR="0075703F" w:rsidRPr="004F6549">
        <w:rPr>
          <w:rFonts w:ascii="Times New Roman" w:hAnsi="Times New Roman" w:cs="Times New Roman"/>
          <w:sz w:val="24"/>
          <w:szCs w:val="24"/>
        </w:rPr>
        <w:t>organization</w:t>
      </w:r>
      <w:r w:rsidRPr="004F6549">
        <w:rPr>
          <w:rFonts w:ascii="Times New Roman" w:hAnsi="Times New Roman" w:cs="Times New Roman"/>
          <w:sz w:val="24"/>
          <w:szCs w:val="24"/>
        </w:rPr>
        <w:t xml:space="preserve"> was considered as very low in terms of recovering asset amounts</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Ouenniche</w:t>
      </w:r>
      <w:proofErr w:type="spellEnd"/>
      <w:r w:rsidR="00F52492" w:rsidRPr="004F6549">
        <w:rPr>
          <w:rFonts w:ascii="Times New Roman" w:hAnsi="Times New Roman" w:cs="Times New Roman"/>
          <w:sz w:val="24"/>
          <w:szCs w:val="24"/>
          <w:shd w:val="clear" w:color="auto" w:fill="FFFFFF"/>
        </w:rPr>
        <w:t xml:space="preserve"> and </w:t>
      </w:r>
      <w:proofErr w:type="spellStart"/>
      <w:r w:rsidR="00F52492" w:rsidRPr="004F6549">
        <w:rPr>
          <w:rFonts w:ascii="Times New Roman" w:hAnsi="Times New Roman" w:cs="Times New Roman"/>
          <w:sz w:val="24"/>
          <w:szCs w:val="24"/>
          <w:shd w:val="clear" w:color="auto" w:fill="FFFFFF"/>
        </w:rPr>
        <w:t>Carrales</w:t>
      </w:r>
      <w:proofErr w:type="spellEnd"/>
      <w:r w:rsidR="00F52492" w:rsidRPr="004F6549">
        <w:rPr>
          <w:rFonts w:ascii="Times New Roman" w:hAnsi="Times New Roman" w:cs="Times New Roman"/>
          <w:sz w:val="24"/>
          <w:szCs w:val="24"/>
          <w:shd w:val="clear" w:color="auto" w:fill="FFFFFF"/>
        </w:rPr>
        <w:t>, 2018</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However, in </w:t>
      </w:r>
      <w:r w:rsidR="0075703F" w:rsidRPr="004F6549">
        <w:rPr>
          <w:rFonts w:ascii="Times New Roman" w:hAnsi="Times New Roman" w:cs="Times New Roman"/>
          <w:sz w:val="24"/>
          <w:szCs w:val="24"/>
        </w:rPr>
        <w:t>2019,</w:t>
      </w:r>
      <w:r w:rsidRPr="004F6549">
        <w:rPr>
          <w:rFonts w:ascii="Times New Roman" w:hAnsi="Times New Roman" w:cs="Times New Roman"/>
          <w:sz w:val="24"/>
          <w:szCs w:val="24"/>
        </w:rPr>
        <w:t xml:space="preserve"> the financial position was observed to be increased and the rate became 0.08.</w:t>
      </w:r>
    </w:p>
    <w:p w14:paraId="29B89ADC" w14:textId="77777777" w:rsidR="00D71B77" w:rsidRPr="004F6549" w:rsidRDefault="00D71B77" w:rsidP="00E95AFC">
      <w:pPr>
        <w:spacing w:line="360" w:lineRule="auto"/>
        <w:jc w:val="both"/>
        <w:rPr>
          <w:rFonts w:ascii="Times New Roman" w:hAnsi="Times New Roman" w:cs="Times New Roman"/>
          <w:sz w:val="24"/>
          <w:szCs w:val="24"/>
        </w:rPr>
      </w:pPr>
    </w:p>
    <w:p w14:paraId="0000003A" w14:textId="7868D4BD"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Fixed asset turnover ratio of Barclays banking company, reflects the lower financial position than its competitors. The reason is that the recovering organizational </w:t>
      </w:r>
      <w:r w:rsidR="0075703F" w:rsidRPr="004F6549">
        <w:rPr>
          <w:rFonts w:ascii="Times New Roman" w:hAnsi="Times New Roman" w:cs="Times New Roman"/>
          <w:sz w:val="24"/>
          <w:szCs w:val="24"/>
        </w:rPr>
        <w:t xml:space="preserve">assets by employing the </w:t>
      </w:r>
      <w:r w:rsidR="0075703F" w:rsidRPr="004F6549">
        <w:rPr>
          <w:rFonts w:ascii="Times New Roman" w:hAnsi="Times New Roman" w:cs="Times New Roman"/>
          <w:sz w:val="24"/>
          <w:szCs w:val="24"/>
        </w:rPr>
        <w:lastRenderedPageBreak/>
        <w:t>revenues amount were</w:t>
      </w:r>
      <w:r w:rsidRPr="004F6549">
        <w:rPr>
          <w:rFonts w:ascii="Times New Roman" w:hAnsi="Times New Roman" w:cs="Times New Roman"/>
          <w:sz w:val="24"/>
          <w:szCs w:val="24"/>
        </w:rPr>
        <w:t xml:space="preserve"> lesser than its rival company. During the last five </w:t>
      </w:r>
      <w:r w:rsidR="0075703F" w:rsidRPr="004F6549">
        <w:rPr>
          <w:rFonts w:ascii="Times New Roman" w:hAnsi="Times New Roman" w:cs="Times New Roman"/>
          <w:sz w:val="24"/>
          <w:szCs w:val="24"/>
        </w:rPr>
        <w:t>years,</w:t>
      </w:r>
      <w:r w:rsidRPr="004F6549">
        <w:rPr>
          <w:rFonts w:ascii="Times New Roman" w:hAnsi="Times New Roman" w:cs="Times New Roman"/>
          <w:sz w:val="24"/>
          <w:szCs w:val="24"/>
        </w:rPr>
        <w:t xml:space="preserve"> a stable condition was evaluated in financial performances. The value of assets was greater than Lloyds and the value of revenue was lesser than </w:t>
      </w:r>
      <w:r w:rsidR="0075703F" w:rsidRPr="004F6549">
        <w:rPr>
          <w:rFonts w:ascii="Times New Roman" w:hAnsi="Times New Roman" w:cs="Times New Roman"/>
          <w:sz w:val="24"/>
          <w:szCs w:val="24"/>
        </w:rPr>
        <w:t>Lloyds</w:t>
      </w:r>
      <w:r w:rsidRPr="004F6549">
        <w:rPr>
          <w:rFonts w:ascii="Times New Roman" w:hAnsi="Times New Roman" w:cs="Times New Roman"/>
          <w:sz w:val="24"/>
          <w:szCs w:val="24"/>
        </w:rPr>
        <w:t>. This is the major reason for which its economic condition reflects poor condition than Lloyds.</w:t>
      </w:r>
    </w:p>
    <w:p w14:paraId="0000003B" w14:textId="2BF849C3"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comparison to previous ratios, Santander </w:t>
      </w:r>
      <w:r w:rsidR="0075703F" w:rsidRPr="004F6549">
        <w:rPr>
          <w:rFonts w:ascii="Times New Roman" w:hAnsi="Times New Roman" w:cs="Times New Roman"/>
          <w:sz w:val="24"/>
          <w:szCs w:val="24"/>
        </w:rPr>
        <w:t>Company</w:t>
      </w:r>
      <w:r w:rsidRPr="004F6549">
        <w:rPr>
          <w:rFonts w:ascii="Times New Roman" w:hAnsi="Times New Roman" w:cs="Times New Roman"/>
          <w:sz w:val="24"/>
          <w:szCs w:val="24"/>
        </w:rPr>
        <w:t xml:space="preserve"> has achieved a better position. The major factor is that the capability of organizational management in recovering the asset value by appointing the </w:t>
      </w:r>
      <w:r w:rsidR="0075703F" w:rsidRPr="004F6549">
        <w:rPr>
          <w:rFonts w:ascii="Times New Roman" w:hAnsi="Times New Roman" w:cs="Times New Roman"/>
          <w:sz w:val="24"/>
          <w:szCs w:val="24"/>
        </w:rPr>
        <w:t>revenue</w:t>
      </w:r>
      <w:r w:rsidRPr="004F6549">
        <w:rPr>
          <w:rFonts w:ascii="Times New Roman" w:hAnsi="Times New Roman" w:cs="Times New Roman"/>
          <w:sz w:val="24"/>
          <w:szCs w:val="24"/>
        </w:rPr>
        <w:t xml:space="preserve"> was greater in this company than others</w:t>
      </w:r>
      <w:r w:rsidR="00F52492" w:rsidRPr="004F6549">
        <w:rPr>
          <w:rFonts w:ascii="Times New Roman" w:hAnsi="Times New Roman" w:cs="Times New Roman"/>
          <w:sz w:val="24"/>
          <w:szCs w:val="24"/>
        </w:rPr>
        <w:t xml:space="preserve"> (</w:t>
      </w:r>
      <w:proofErr w:type="spellStart"/>
      <w:r w:rsidR="00F52492" w:rsidRPr="004F6549">
        <w:rPr>
          <w:rFonts w:ascii="Times New Roman" w:hAnsi="Times New Roman" w:cs="Times New Roman"/>
          <w:sz w:val="24"/>
          <w:szCs w:val="24"/>
          <w:shd w:val="clear" w:color="auto" w:fill="FFFFFF"/>
        </w:rPr>
        <w:t>Ozkan</w:t>
      </w:r>
      <w:proofErr w:type="spellEnd"/>
      <w:r w:rsidR="00F52492" w:rsidRPr="004F6549">
        <w:rPr>
          <w:rFonts w:ascii="Times New Roman" w:hAnsi="Times New Roman" w:cs="Times New Roman"/>
          <w:sz w:val="24"/>
          <w:szCs w:val="24"/>
          <w:shd w:val="clear" w:color="auto" w:fill="FFFFFF"/>
        </w:rPr>
        <w:t xml:space="preserve">, </w:t>
      </w:r>
      <w:proofErr w:type="spellStart"/>
      <w:r w:rsidR="00F52492" w:rsidRPr="004F6549">
        <w:rPr>
          <w:rFonts w:ascii="Times New Roman" w:hAnsi="Times New Roman" w:cs="Times New Roman"/>
          <w:sz w:val="24"/>
          <w:szCs w:val="24"/>
          <w:shd w:val="clear" w:color="auto" w:fill="FFFFFF"/>
        </w:rPr>
        <w:t>Cakan</w:t>
      </w:r>
      <w:proofErr w:type="spellEnd"/>
      <w:r w:rsidR="00F52492" w:rsidRPr="004F6549">
        <w:rPr>
          <w:rFonts w:ascii="Times New Roman" w:hAnsi="Times New Roman" w:cs="Times New Roman"/>
          <w:sz w:val="24"/>
          <w:szCs w:val="24"/>
          <w:shd w:val="clear" w:color="auto" w:fill="FFFFFF"/>
        </w:rPr>
        <w:t xml:space="preserve"> and </w:t>
      </w:r>
      <w:proofErr w:type="spellStart"/>
      <w:r w:rsidR="00F52492" w:rsidRPr="004F6549">
        <w:rPr>
          <w:rFonts w:ascii="Times New Roman" w:hAnsi="Times New Roman" w:cs="Times New Roman"/>
          <w:sz w:val="24"/>
          <w:szCs w:val="24"/>
          <w:shd w:val="clear" w:color="auto" w:fill="FFFFFF"/>
        </w:rPr>
        <w:t>Kayacan</w:t>
      </w:r>
      <w:proofErr w:type="spellEnd"/>
      <w:r w:rsidR="00F52492" w:rsidRPr="004F6549">
        <w:rPr>
          <w:rFonts w:ascii="Times New Roman" w:hAnsi="Times New Roman" w:cs="Times New Roman"/>
          <w:sz w:val="24"/>
          <w:szCs w:val="24"/>
          <w:shd w:val="clear" w:color="auto" w:fill="FFFFFF"/>
        </w:rPr>
        <w:t>, 2017</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However, the value of the overall asset and the revenge scale was considered as lower than its competitors. </w:t>
      </w:r>
    </w:p>
    <w:p w14:paraId="25F3397D" w14:textId="77777777" w:rsidR="00A4312E" w:rsidRDefault="00A4312E">
      <w:pPr>
        <w:rPr>
          <w:rFonts w:ascii="Times New Roman" w:hAnsi="Times New Roman"/>
          <w:b/>
          <w:sz w:val="28"/>
          <w:szCs w:val="40"/>
        </w:rPr>
      </w:pPr>
      <w:bookmarkStart w:id="20" w:name="_Toc39166255"/>
      <w:r>
        <w:br w:type="page"/>
      </w:r>
    </w:p>
    <w:p w14:paraId="23249D0A" w14:textId="77777777" w:rsidR="00EF0258" w:rsidRDefault="00EF0258" w:rsidP="00E95AFC">
      <w:pPr>
        <w:pStyle w:val="Heading1"/>
        <w:spacing w:line="360" w:lineRule="auto"/>
        <w:sectPr w:rsidR="00EF0258" w:rsidSect="005240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000003C" w14:textId="13C2618A" w:rsidR="00C65B51" w:rsidRDefault="006C0F24" w:rsidP="00E95AFC">
      <w:pPr>
        <w:pStyle w:val="Heading1"/>
        <w:spacing w:line="360" w:lineRule="auto"/>
      </w:pPr>
      <w:r w:rsidRPr="004F6549">
        <w:lastRenderedPageBreak/>
        <w:t>3. Impact on profitability</w:t>
      </w:r>
      <w:bookmarkEnd w:id="20"/>
    </w:p>
    <w:tbl>
      <w:tblPr>
        <w:tblW w:w="5000" w:type="pct"/>
        <w:tblLook w:val="04A0" w:firstRow="1" w:lastRow="0" w:firstColumn="1" w:lastColumn="0" w:noHBand="0" w:noVBand="1"/>
      </w:tblPr>
      <w:tblGrid>
        <w:gridCol w:w="740"/>
        <w:gridCol w:w="1218"/>
        <w:gridCol w:w="1317"/>
        <w:gridCol w:w="1003"/>
        <w:gridCol w:w="221"/>
        <w:gridCol w:w="741"/>
        <w:gridCol w:w="1219"/>
        <w:gridCol w:w="1317"/>
        <w:gridCol w:w="1003"/>
        <w:gridCol w:w="221"/>
        <w:gridCol w:w="741"/>
        <w:gridCol w:w="1219"/>
        <w:gridCol w:w="1213"/>
        <w:gridCol w:w="1003"/>
      </w:tblGrid>
      <w:tr w:rsidR="008B6FFF" w:rsidRPr="00FF6AFF" w14:paraId="51492F0E" w14:textId="77777777" w:rsidTr="0036439D">
        <w:trPr>
          <w:trHeight w:val="300"/>
        </w:trPr>
        <w:tc>
          <w:tcPr>
            <w:tcW w:w="1623" w:type="pct"/>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F20D41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Lloyds Bank</w:t>
            </w:r>
          </w:p>
        </w:tc>
        <w:tc>
          <w:tcPr>
            <w:tcW w:w="84" w:type="pct"/>
            <w:tcBorders>
              <w:top w:val="nil"/>
              <w:left w:val="nil"/>
              <w:bottom w:val="nil"/>
              <w:right w:val="nil"/>
            </w:tcBorders>
            <w:shd w:val="clear" w:color="auto" w:fill="auto"/>
            <w:noWrap/>
            <w:vAlign w:val="bottom"/>
            <w:hideMark/>
          </w:tcPr>
          <w:p w14:paraId="5976A32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24" w:type="pct"/>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75E96D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Barclay Bank</w:t>
            </w:r>
          </w:p>
        </w:tc>
        <w:tc>
          <w:tcPr>
            <w:tcW w:w="84" w:type="pct"/>
            <w:tcBorders>
              <w:top w:val="nil"/>
              <w:left w:val="nil"/>
              <w:bottom w:val="nil"/>
              <w:right w:val="nil"/>
            </w:tcBorders>
            <w:shd w:val="clear" w:color="auto" w:fill="auto"/>
            <w:noWrap/>
            <w:vAlign w:val="bottom"/>
            <w:hideMark/>
          </w:tcPr>
          <w:p w14:paraId="42CD975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85" w:type="pct"/>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4349BC8"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Santander Bank</w:t>
            </w:r>
          </w:p>
        </w:tc>
      </w:tr>
      <w:tr w:rsidR="008B6FFF" w:rsidRPr="00FF6AFF" w14:paraId="2E73B9D4" w14:textId="77777777" w:rsidTr="0036439D">
        <w:trPr>
          <w:trHeight w:val="300"/>
        </w:trPr>
        <w:tc>
          <w:tcPr>
            <w:tcW w:w="1623" w:type="pct"/>
            <w:gridSpan w:val="4"/>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7F9F1F6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Net Profit margin</w:t>
            </w:r>
          </w:p>
        </w:tc>
        <w:tc>
          <w:tcPr>
            <w:tcW w:w="84" w:type="pct"/>
            <w:tcBorders>
              <w:top w:val="nil"/>
              <w:left w:val="nil"/>
              <w:bottom w:val="nil"/>
              <w:right w:val="nil"/>
            </w:tcBorders>
            <w:shd w:val="clear" w:color="auto" w:fill="auto"/>
            <w:noWrap/>
            <w:vAlign w:val="bottom"/>
            <w:hideMark/>
          </w:tcPr>
          <w:p w14:paraId="16847AC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624" w:type="pct"/>
            <w:gridSpan w:val="4"/>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7367CFE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Net Profit margin</w:t>
            </w:r>
          </w:p>
        </w:tc>
        <w:tc>
          <w:tcPr>
            <w:tcW w:w="84" w:type="pct"/>
            <w:tcBorders>
              <w:top w:val="nil"/>
              <w:left w:val="nil"/>
              <w:bottom w:val="nil"/>
              <w:right w:val="nil"/>
            </w:tcBorders>
            <w:shd w:val="clear" w:color="auto" w:fill="auto"/>
            <w:noWrap/>
            <w:vAlign w:val="bottom"/>
            <w:hideMark/>
          </w:tcPr>
          <w:p w14:paraId="70A0C5E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1585" w:type="pct"/>
            <w:gridSpan w:val="4"/>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2D55D93"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Net Profit margin</w:t>
            </w:r>
          </w:p>
        </w:tc>
      </w:tr>
      <w:tr w:rsidR="008B6FFF" w:rsidRPr="00FF6AFF" w14:paraId="53B45F73" w14:textId="77777777" w:rsidTr="0036439D">
        <w:trPr>
          <w:trHeight w:val="300"/>
        </w:trPr>
        <w:tc>
          <w:tcPr>
            <w:tcW w:w="281" w:type="pct"/>
            <w:tcBorders>
              <w:top w:val="nil"/>
              <w:left w:val="single" w:sz="8" w:space="0" w:color="auto"/>
              <w:bottom w:val="single" w:sz="4" w:space="0" w:color="auto"/>
              <w:right w:val="single" w:sz="4" w:space="0" w:color="auto"/>
            </w:tcBorders>
            <w:shd w:val="clear" w:color="auto" w:fill="auto"/>
            <w:noWrap/>
            <w:vAlign w:val="center"/>
            <w:hideMark/>
          </w:tcPr>
          <w:p w14:paraId="28ACC34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62" w:type="pct"/>
            <w:tcBorders>
              <w:top w:val="single" w:sz="4" w:space="0" w:color="auto"/>
              <w:left w:val="nil"/>
              <w:bottom w:val="single" w:sz="4" w:space="0" w:color="auto"/>
              <w:right w:val="single" w:sz="4" w:space="0" w:color="auto"/>
            </w:tcBorders>
            <w:shd w:val="clear" w:color="auto" w:fill="auto"/>
            <w:noWrap/>
            <w:vAlign w:val="center"/>
            <w:hideMark/>
          </w:tcPr>
          <w:p w14:paraId="06CD06D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00" w:type="pct"/>
            <w:tcBorders>
              <w:top w:val="nil"/>
              <w:left w:val="nil"/>
              <w:bottom w:val="single" w:sz="4" w:space="0" w:color="auto"/>
              <w:right w:val="single" w:sz="4" w:space="0" w:color="auto"/>
            </w:tcBorders>
            <w:shd w:val="clear" w:color="auto" w:fill="auto"/>
            <w:noWrap/>
            <w:vAlign w:val="center"/>
            <w:hideMark/>
          </w:tcPr>
          <w:p w14:paraId="028B28FE"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81" w:type="pct"/>
            <w:tcBorders>
              <w:top w:val="nil"/>
              <w:left w:val="nil"/>
              <w:bottom w:val="single" w:sz="4" w:space="0" w:color="auto"/>
              <w:right w:val="single" w:sz="8" w:space="0" w:color="auto"/>
            </w:tcBorders>
            <w:shd w:val="clear" w:color="auto" w:fill="auto"/>
            <w:noWrap/>
            <w:vAlign w:val="center"/>
            <w:hideMark/>
          </w:tcPr>
          <w:p w14:paraId="2FB03A1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84" w:type="pct"/>
            <w:tcBorders>
              <w:top w:val="nil"/>
              <w:left w:val="nil"/>
              <w:bottom w:val="nil"/>
              <w:right w:val="nil"/>
            </w:tcBorders>
            <w:shd w:val="clear" w:color="auto" w:fill="auto"/>
            <w:noWrap/>
            <w:vAlign w:val="bottom"/>
            <w:hideMark/>
          </w:tcPr>
          <w:p w14:paraId="16B074F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tcBorders>
              <w:top w:val="nil"/>
              <w:left w:val="single" w:sz="8" w:space="0" w:color="auto"/>
              <w:bottom w:val="single" w:sz="4" w:space="0" w:color="auto"/>
              <w:right w:val="single" w:sz="4" w:space="0" w:color="auto"/>
            </w:tcBorders>
            <w:shd w:val="clear" w:color="auto" w:fill="auto"/>
            <w:noWrap/>
            <w:vAlign w:val="center"/>
            <w:hideMark/>
          </w:tcPr>
          <w:p w14:paraId="0A833F6F"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63" w:type="pct"/>
            <w:tcBorders>
              <w:top w:val="single" w:sz="4" w:space="0" w:color="auto"/>
              <w:left w:val="nil"/>
              <w:bottom w:val="single" w:sz="4" w:space="0" w:color="auto"/>
              <w:right w:val="single" w:sz="4" w:space="0" w:color="auto"/>
            </w:tcBorders>
            <w:shd w:val="clear" w:color="auto" w:fill="auto"/>
            <w:noWrap/>
            <w:vAlign w:val="center"/>
            <w:hideMark/>
          </w:tcPr>
          <w:p w14:paraId="68253ECB"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500" w:type="pct"/>
            <w:tcBorders>
              <w:top w:val="nil"/>
              <w:left w:val="nil"/>
              <w:bottom w:val="single" w:sz="4" w:space="0" w:color="auto"/>
              <w:right w:val="single" w:sz="4" w:space="0" w:color="auto"/>
            </w:tcBorders>
            <w:shd w:val="clear" w:color="auto" w:fill="auto"/>
            <w:noWrap/>
            <w:vAlign w:val="center"/>
            <w:hideMark/>
          </w:tcPr>
          <w:p w14:paraId="77E6D7CC"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81" w:type="pct"/>
            <w:tcBorders>
              <w:top w:val="nil"/>
              <w:left w:val="nil"/>
              <w:bottom w:val="single" w:sz="4" w:space="0" w:color="auto"/>
              <w:right w:val="single" w:sz="8" w:space="0" w:color="auto"/>
            </w:tcBorders>
            <w:shd w:val="clear" w:color="auto" w:fill="auto"/>
            <w:noWrap/>
            <w:vAlign w:val="center"/>
            <w:hideMark/>
          </w:tcPr>
          <w:p w14:paraId="6DF19615"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c>
          <w:tcPr>
            <w:tcW w:w="84" w:type="pct"/>
            <w:tcBorders>
              <w:top w:val="nil"/>
              <w:left w:val="nil"/>
              <w:bottom w:val="nil"/>
              <w:right w:val="nil"/>
            </w:tcBorders>
            <w:shd w:val="clear" w:color="auto" w:fill="auto"/>
            <w:noWrap/>
            <w:vAlign w:val="bottom"/>
            <w:hideMark/>
          </w:tcPr>
          <w:p w14:paraId="68178FE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tcBorders>
              <w:top w:val="nil"/>
              <w:left w:val="single" w:sz="8" w:space="0" w:color="auto"/>
              <w:bottom w:val="single" w:sz="4" w:space="0" w:color="auto"/>
              <w:right w:val="single" w:sz="4" w:space="0" w:color="auto"/>
            </w:tcBorders>
            <w:shd w:val="clear" w:color="auto" w:fill="auto"/>
            <w:noWrap/>
            <w:vAlign w:val="center"/>
            <w:hideMark/>
          </w:tcPr>
          <w:p w14:paraId="6AF85686"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Years</w:t>
            </w:r>
          </w:p>
        </w:tc>
        <w:tc>
          <w:tcPr>
            <w:tcW w:w="463" w:type="pct"/>
            <w:tcBorders>
              <w:top w:val="single" w:sz="4" w:space="0" w:color="auto"/>
              <w:left w:val="nil"/>
              <w:bottom w:val="single" w:sz="4" w:space="0" w:color="auto"/>
              <w:right w:val="single" w:sz="4" w:space="0" w:color="auto"/>
            </w:tcBorders>
            <w:shd w:val="clear" w:color="auto" w:fill="auto"/>
            <w:noWrap/>
            <w:vAlign w:val="center"/>
            <w:hideMark/>
          </w:tcPr>
          <w:p w14:paraId="541C4911"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Particulars</w:t>
            </w:r>
          </w:p>
        </w:tc>
        <w:tc>
          <w:tcPr>
            <w:tcW w:w="460" w:type="pct"/>
            <w:tcBorders>
              <w:top w:val="nil"/>
              <w:left w:val="nil"/>
              <w:bottom w:val="single" w:sz="4" w:space="0" w:color="auto"/>
              <w:right w:val="single" w:sz="4" w:space="0" w:color="auto"/>
            </w:tcBorders>
            <w:shd w:val="clear" w:color="auto" w:fill="auto"/>
            <w:noWrap/>
            <w:vAlign w:val="center"/>
            <w:hideMark/>
          </w:tcPr>
          <w:p w14:paraId="5C2BEAB7"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Amount</w:t>
            </w:r>
          </w:p>
        </w:tc>
        <w:tc>
          <w:tcPr>
            <w:tcW w:w="381" w:type="pct"/>
            <w:tcBorders>
              <w:top w:val="nil"/>
              <w:left w:val="nil"/>
              <w:bottom w:val="single" w:sz="4" w:space="0" w:color="auto"/>
              <w:right w:val="single" w:sz="8" w:space="0" w:color="auto"/>
            </w:tcBorders>
            <w:shd w:val="clear" w:color="auto" w:fill="auto"/>
            <w:noWrap/>
            <w:vAlign w:val="center"/>
            <w:hideMark/>
          </w:tcPr>
          <w:p w14:paraId="1BD84AA5" w14:textId="77777777" w:rsidR="008B6FFF" w:rsidRPr="00FF6AFF" w:rsidRDefault="008B6FFF" w:rsidP="008B6FFF">
            <w:pPr>
              <w:spacing w:line="240" w:lineRule="auto"/>
              <w:jc w:val="center"/>
              <w:rPr>
                <w:rFonts w:ascii="Times New Roman" w:eastAsia="Times New Roman" w:hAnsi="Times New Roman" w:cs="Times New Roman"/>
                <w:b/>
                <w:bCs/>
                <w:color w:val="000000"/>
                <w:sz w:val="24"/>
                <w:szCs w:val="24"/>
              </w:rPr>
            </w:pPr>
            <w:r w:rsidRPr="00FF6AFF">
              <w:rPr>
                <w:rFonts w:ascii="Times New Roman" w:eastAsia="Times New Roman" w:hAnsi="Times New Roman" w:cs="Times New Roman"/>
                <w:b/>
                <w:bCs/>
                <w:color w:val="000000"/>
                <w:sz w:val="24"/>
                <w:szCs w:val="24"/>
              </w:rPr>
              <w:t>Ratio</w:t>
            </w:r>
          </w:p>
        </w:tc>
      </w:tr>
      <w:tr w:rsidR="008B6FFF" w:rsidRPr="00FF6AFF" w14:paraId="0F2FD1E7" w14:textId="77777777" w:rsidTr="0036439D">
        <w:trPr>
          <w:trHeight w:val="300"/>
        </w:trPr>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9BEB1D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33BA6B7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11BA6C1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2,925.00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7D13B0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0.071194</w:t>
            </w:r>
          </w:p>
        </w:tc>
        <w:tc>
          <w:tcPr>
            <w:tcW w:w="84" w:type="pct"/>
            <w:tcBorders>
              <w:top w:val="nil"/>
              <w:left w:val="nil"/>
              <w:bottom w:val="nil"/>
              <w:right w:val="nil"/>
            </w:tcBorders>
            <w:shd w:val="clear" w:color="auto" w:fill="auto"/>
            <w:noWrap/>
            <w:vAlign w:val="bottom"/>
            <w:hideMark/>
          </w:tcPr>
          <w:p w14:paraId="70D1FD0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2E55AC0"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73D743C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2450F75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2,461.00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12CFBB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0.113767</w:t>
            </w:r>
          </w:p>
        </w:tc>
        <w:tc>
          <w:tcPr>
            <w:tcW w:w="84" w:type="pct"/>
            <w:tcBorders>
              <w:top w:val="nil"/>
              <w:left w:val="nil"/>
              <w:bottom w:val="nil"/>
              <w:right w:val="nil"/>
            </w:tcBorders>
            <w:shd w:val="clear" w:color="auto" w:fill="auto"/>
            <w:noWrap/>
            <w:vAlign w:val="bottom"/>
            <w:hideMark/>
          </w:tcPr>
          <w:p w14:paraId="45C0E5F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443B3D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2019</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0457EB6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460" w:type="pct"/>
            <w:tcBorders>
              <w:top w:val="nil"/>
              <w:left w:val="nil"/>
              <w:bottom w:val="single" w:sz="4" w:space="0" w:color="auto"/>
              <w:right w:val="single" w:sz="4" w:space="0" w:color="auto"/>
            </w:tcBorders>
            <w:shd w:val="clear" w:color="auto" w:fill="auto"/>
            <w:noWrap/>
            <w:vAlign w:val="bottom"/>
            <w:hideMark/>
          </w:tcPr>
          <w:p w14:paraId="3BEF424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2,138.00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4CFB3C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0.228932</w:t>
            </w:r>
          </w:p>
        </w:tc>
      </w:tr>
      <w:tr w:rsidR="008B6FFF" w:rsidRPr="00FF6AFF" w14:paraId="10B194E2" w14:textId="77777777" w:rsidTr="0036439D">
        <w:trPr>
          <w:trHeight w:val="300"/>
        </w:trPr>
        <w:tc>
          <w:tcPr>
            <w:tcW w:w="281" w:type="pct"/>
            <w:vMerge/>
            <w:tcBorders>
              <w:top w:val="nil"/>
              <w:left w:val="single" w:sz="8" w:space="0" w:color="auto"/>
              <w:bottom w:val="single" w:sz="4" w:space="0" w:color="auto"/>
              <w:right w:val="single" w:sz="4" w:space="0" w:color="auto"/>
            </w:tcBorders>
            <w:vAlign w:val="center"/>
            <w:hideMark/>
          </w:tcPr>
          <w:p w14:paraId="389435C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28DFE93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310389C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41,085.00 </w:t>
            </w:r>
          </w:p>
        </w:tc>
        <w:tc>
          <w:tcPr>
            <w:tcW w:w="381" w:type="pct"/>
            <w:vMerge/>
            <w:tcBorders>
              <w:top w:val="nil"/>
              <w:left w:val="single" w:sz="4" w:space="0" w:color="auto"/>
              <w:bottom w:val="single" w:sz="4" w:space="0" w:color="auto"/>
              <w:right w:val="single" w:sz="8" w:space="0" w:color="auto"/>
            </w:tcBorders>
            <w:vAlign w:val="center"/>
            <w:hideMark/>
          </w:tcPr>
          <w:p w14:paraId="6FC8544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735522B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2421D64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4125DE6C"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64D2A86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21,632.00 </w:t>
            </w:r>
          </w:p>
        </w:tc>
        <w:tc>
          <w:tcPr>
            <w:tcW w:w="381" w:type="pct"/>
            <w:vMerge/>
            <w:tcBorders>
              <w:top w:val="nil"/>
              <w:left w:val="single" w:sz="4" w:space="0" w:color="auto"/>
              <w:bottom w:val="single" w:sz="4" w:space="0" w:color="auto"/>
              <w:right w:val="single" w:sz="8" w:space="0" w:color="auto"/>
            </w:tcBorders>
            <w:vAlign w:val="center"/>
            <w:hideMark/>
          </w:tcPr>
          <w:p w14:paraId="0093691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3233398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72329CE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1ABB0DDF"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460" w:type="pct"/>
            <w:tcBorders>
              <w:top w:val="nil"/>
              <w:left w:val="nil"/>
              <w:bottom w:val="single" w:sz="4" w:space="0" w:color="auto"/>
              <w:right w:val="single" w:sz="4" w:space="0" w:color="auto"/>
            </w:tcBorders>
            <w:shd w:val="clear" w:color="auto" w:fill="auto"/>
            <w:noWrap/>
            <w:vAlign w:val="bottom"/>
            <w:hideMark/>
          </w:tcPr>
          <w:p w14:paraId="150FF7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9,339.00 </w:t>
            </w:r>
          </w:p>
        </w:tc>
        <w:tc>
          <w:tcPr>
            <w:tcW w:w="381" w:type="pct"/>
            <w:vMerge/>
            <w:tcBorders>
              <w:top w:val="nil"/>
              <w:left w:val="single" w:sz="4" w:space="0" w:color="auto"/>
              <w:bottom w:val="single" w:sz="4" w:space="0" w:color="auto"/>
              <w:right w:val="single" w:sz="8" w:space="0" w:color="auto"/>
            </w:tcBorders>
            <w:vAlign w:val="center"/>
            <w:hideMark/>
          </w:tcPr>
          <w:p w14:paraId="2087B18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EB092AD" w14:textId="77777777" w:rsidTr="0036439D">
        <w:trPr>
          <w:trHeight w:val="300"/>
        </w:trPr>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07A94E9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05398C7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0BCE8A4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4,302.00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D9A64A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0.19567</w:t>
            </w:r>
          </w:p>
        </w:tc>
        <w:tc>
          <w:tcPr>
            <w:tcW w:w="84" w:type="pct"/>
            <w:tcBorders>
              <w:top w:val="nil"/>
              <w:left w:val="nil"/>
              <w:bottom w:val="nil"/>
              <w:right w:val="nil"/>
            </w:tcBorders>
            <w:shd w:val="clear" w:color="auto" w:fill="auto"/>
            <w:noWrap/>
            <w:vAlign w:val="bottom"/>
            <w:hideMark/>
          </w:tcPr>
          <w:p w14:paraId="77137B3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416A90B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303ED56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758DEC9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1,394.00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60B9653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0.065954</w:t>
            </w:r>
          </w:p>
        </w:tc>
        <w:tc>
          <w:tcPr>
            <w:tcW w:w="84" w:type="pct"/>
            <w:tcBorders>
              <w:top w:val="nil"/>
              <w:left w:val="nil"/>
              <w:bottom w:val="nil"/>
              <w:right w:val="nil"/>
            </w:tcBorders>
            <w:shd w:val="clear" w:color="auto" w:fill="auto"/>
            <w:noWrap/>
            <w:vAlign w:val="bottom"/>
            <w:hideMark/>
          </w:tcPr>
          <w:p w14:paraId="436C060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22F423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2018</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0A0BD00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460" w:type="pct"/>
            <w:tcBorders>
              <w:top w:val="nil"/>
              <w:left w:val="nil"/>
              <w:bottom w:val="single" w:sz="4" w:space="0" w:color="auto"/>
              <w:right w:val="single" w:sz="4" w:space="0" w:color="auto"/>
            </w:tcBorders>
            <w:shd w:val="clear" w:color="auto" w:fill="auto"/>
            <w:noWrap/>
            <w:vAlign w:val="bottom"/>
            <w:hideMark/>
          </w:tcPr>
          <w:p w14:paraId="0238A88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2,365.00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2A568C1"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0.289367</w:t>
            </w:r>
          </w:p>
        </w:tc>
      </w:tr>
      <w:tr w:rsidR="008B6FFF" w:rsidRPr="00FF6AFF" w14:paraId="4CF6215C" w14:textId="77777777" w:rsidTr="0036439D">
        <w:trPr>
          <w:trHeight w:val="300"/>
        </w:trPr>
        <w:tc>
          <w:tcPr>
            <w:tcW w:w="281" w:type="pct"/>
            <w:vMerge/>
            <w:tcBorders>
              <w:top w:val="nil"/>
              <w:left w:val="single" w:sz="8" w:space="0" w:color="auto"/>
              <w:bottom w:val="single" w:sz="4" w:space="0" w:color="auto"/>
              <w:right w:val="single" w:sz="4" w:space="0" w:color="auto"/>
            </w:tcBorders>
            <w:vAlign w:val="center"/>
            <w:hideMark/>
          </w:tcPr>
          <w:p w14:paraId="46F7CA2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2B13ACD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2CDB5A9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21,986.00 </w:t>
            </w:r>
          </w:p>
        </w:tc>
        <w:tc>
          <w:tcPr>
            <w:tcW w:w="381" w:type="pct"/>
            <w:vMerge/>
            <w:tcBorders>
              <w:top w:val="nil"/>
              <w:left w:val="single" w:sz="4" w:space="0" w:color="auto"/>
              <w:bottom w:val="single" w:sz="4" w:space="0" w:color="auto"/>
              <w:right w:val="single" w:sz="8" w:space="0" w:color="auto"/>
            </w:tcBorders>
            <w:vAlign w:val="center"/>
            <w:hideMark/>
          </w:tcPr>
          <w:p w14:paraId="762E8D6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72F34D4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7AE8AB1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4AF81C1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2B59B77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21,136.00 </w:t>
            </w:r>
          </w:p>
        </w:tc>
        <w:tc>
          <w:tcPr>
            <w:tcW w:w="381" w:type="pct"/>
            <w:vMerge/>
            <w:tcBorders>
              <w:top w:val="nil"/>
              <w:left w:val="single" w:sz="4" w:space="0" w:color="auto"/>
              <w:bottom w:val="single" w:sz="4" w:space="0" w:color="auto"/>
              <w:right w:val="single" w:sz="8" w:space="0" w:color="auto"/>
            </w:tcBorders>
            <w:vAlign w:val="center"/>
            <w:hideMark/>
          </w:tcPr>
          <w:p w14:paraId="2BE0B47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6677F75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2358DB1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22D8C47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460" w:type="pct"/>
            <w:tcBorders>
              <w:top w:val="nil"/>
              <w:left w:val="nil"/>
              <w:bottom w:val="single" w:sz="4" w:space="0" w:color="auto"/>
              <w:right w:val="single" w:sz="4" w:space="0" w:color="auto"/>
            </w:tcBorders>
            <w:shd w:val="clear" w:color="auto" w:fill="auto"/>
            <w:noWrap/>
            <w:vAlign w:val="bottom"/>
            <w:hideMark/>
          </w:tcPr>
          <w:p w14:paraId="70F5BFE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8,173.00 </w:t>
            </w:r>
          </w:p>
        </w:tc>
        <w:tc>
          <w:tcPr>
            <w:tcW w:w="381" w:type="pct"/>
            <w:vMerge/>
            <w:tcBorders>
              <w:top w:val="nil"/>
              <w:left w:val="single" w:sz="4" w:space="0" w:color="auto"/>
              <w:bottom w:val="single" w:sz="4" w:space="0" w:color="auto"/>
              <w:right w:val="single" w:sz="8" w:space="0" w:color="auto"/>
            </w:tcBorders>
            <w:vAlign w:val="center"/>
            <w:hideMark/>
          </w:tcPr>
          <w:p w14:paraId="1ED0D7D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6E229B6B" w14:textId="77777777" w:rsidTr="0036439D">
        <w:trPr>
          <w:trHeight w:val="300"/>
        </w:trPr>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96AABB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2C4AC83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4BF021C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3,807.00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564BA3E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0.11117</w:t>
            </w:r>
          </w:p>
        </w:tc>
        <w:tc>
          <w:tcPr>
            <w:tcW w:w="84" w:type="pct"/>
            <w:tcBorders>
              <w:top w:val="nil"/>
              <w:left w:val="nil"/>
              <w:bottom w:val="nil"/>
              <w:right w:val="nil"/>
            </w:tcBorders>
            <w:shd w:val="clear" w:color="auto" w:fill="auto"/>
            <w:noWrap/>
            <w:vAlign w:val="bottom"/>
            <w:hideMark/>
          </w:tcPr>
          <w:p w14:paraId="2EDCD1D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86B83B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7FA8F66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1002592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1,922.00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45226DB4"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-0.09119</w:t>
            </w:r>
          </w:p>
        </w:tc>
        <w:tc>
          <w:tcPr>
            <w:tcW w:w="84" w:type="pct"/>
            <w:tcBorders>
              <w:top w:val="nil"/>
              <w:left w:val="nil"/>
              <w:bottom w:val="nil"/>
              <w:right w:val="nil"/>
            </w:tcBorders>
            <w:shd w:val="clear" w:color="auto" w:fill="auto"/>
            <w:noWrap/>
            <w:vAlign w:val="bottom"/>
            <w:hideMark/>
          </w:tcPr>
          <w:p w14:paraId="54D7720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83D3B2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2017</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1012EFC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460" w:type="pct"/>
            <w:tcBorders>
              <w:top w:val="nil"/>
              <w:left w:val="nil"/>
              <w:bottom w:val="single" w:sz="4" w:space="0" w:color="auto"/>
              <w:right w:val="single" w:sz="4" w:space="0" w:color="auto"/>
            </w:tcBorders>
            <w:shd w:val="clear" w:color="auto" w:fill="auto"/>
            <w:noWrap/>
            <w:vAlign w:val="bottom"/>
            <w:hideMark/>
          </w:tcPr>
          <w:p w14:paraId="4185905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2,213.00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3C002F4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0.287477</w:t>
            </w:r>
          </w:p>
        </w:tc>
      </w:tr>
      <w:tr w:rsidR="008B6FFF" w:rsidRPr="00FF6AFF" w14:paraId="5F58E5AF" w14:textId="77777777" w:rsidTr="0036439D">
        <w:trPr>
          <w:trHeight w:val="300"/>
        </w:trPr>
        <w:tc>
          <w:tcPr>
            <w:tcW w:w="281" w:type="pct"/>
            <w:vMerge/>
            <w:tcBorders>
              <w:top w:val="nil"/>
              <w:left w:val="single" w:sz="8" w:space="0" w:color="auto"/>
              <w:bottom w:val="single" w:sz="4" w:space="0" w:color="auto"/>
              <w:right w:val="single" w:sz="4" w:space="0" w:color="auto"/>
            </w:tcBorders>
            <w:vAlign w:val="center"/>
            <w:hideMark/>
          </w:tcPr>
          <w:p w14:paraId="40B155E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6E39467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26517BB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34,245.00 </w:t>
            </w:r>
          </w:p>
        </w:tc>
        <w:tc>
          <w:tcPr>
            <w:tcW w:w="381" w:type="pct"/>
            <w:vMerge/>
            <w:tcBorders>
              <w:top w:val="nil"/>
              <w:left w:val="single" w:sz="4" w:space="0" w:color="auto"/>
              <w:bottom w:val="single" w:sz="4" w:space="0" w:color="auto"/>
              <w:right w:val="single" w:sz="8" w:space="0" w:color="auto"/>
            </w:tcBorders>
            <w:vAlign w:val="center"/>
            <w:hideMark/>
          </w:tcPr>
          <w:p w14:paraId="1F038A0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65D2D5A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645B60D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209E73D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79CEDC3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21,076.00 </w:t>
            </w:r>
          </w:p>
        </w:tc>
        <w:tc>
          <w:tcPr>
            <w:tcW w:w="381" w:type="pct"/>
            <w:vMerge/>
            <w:tcBorders>
              <w:top w:val="nil"/>
              <w:left w:val="single" w:sz="4" w:space="0" w:color="auto"/>
              <w:bottom w:val="single" w:sz="4" w:space="0" w:color="auto"/>
              <w:right w:val="single" w:sz="8" w:space="0" w:color="auto"/>
            </w:tcBorders>
            <w:vAlign w:val="center"/>
            <w:hideMark/>
          </w:tcPr>
          <w:p w14:paraId="0FE407E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3A0FC03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094E10F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12EEA24A"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460" w:type="pct"/>
            <w:tcBorders>
              <w:top w:val="nil"/>
              <w:left w:val="nil"/>
              <w:bottom w:val="single" w:sz="4" w:space="0" w:color="auto"/>
              <w:right w:val="single" w:sz="4" w:space="0" w:color="auto"/>
            </w:tcBorders>
            <w:shd w:val="clear" w:color="auto" w:fill="auto"/>
            <w:noWrap/>
            <w:vAlign w:val="bottom"/>
            <w:hideMark/>
          </w:tcPr>
          <w:p w14:paraId="67D4A55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7,698.00 </w:t>
            </w:r>
          </w:p>
        </w:tc>
        <w:tc>
          <w:tcPr>
            <w:tcW w:w="381" w:type="pct"/>
            <w:vMerge/>
            <w:tcBorders>
              <w:top w:val="nil"/>
              <w:left w:val="single" w:sz="4" w:space="0" w:color="auto"/>
              <w:bottom w:val="single" w:sz="4" w:space="0" w:color="auto"/>
              <w:right w:val="single" w:sz="8" w:space="0" w:color="auto"/>
            </w:tcBorders>
            <w:vAlign w:val="center"/>
            <w:hideMark/>
          </w:tcPr>
          <w:p w14:paraId="63D78D6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1126561" w14:textId="77777777" w:rsidTr="0036439D">
        <w:trPr>
          <w:trHeight w:val="300"/>
        </w:trPr>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070640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22BA719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65A513F5"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2,063.00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08FB973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0.052089</w:t>
            </w:r>
          </w:p>
        </w:tc>
        <w:tc>
          <w:tcPr>
            <w:tcW w:w="84" w:type="pct"/>
            <w:tcBorders>
              <w:top w:val="nil"/>
              <w:left w:val="nil"/>
              <w:bottom w:val="nil"/>
              <w:right w:val="nil"/>
            </w:tcBorders>
            <w:shd w:val="clear" w:color="auto" w:fill="auto"/>
            <w:noWrap/>
            <w:vAlign w:val="bottom"/>
            <w:hideMark/>
          </w:tcPr>
          <w:p w14:paraId="36E5D4F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A276DA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45A697C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23198DA7"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1,623.00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265C09C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0.075661</w:t>
            </w:r>
          </w:p>
        </w:tc>
        <w:tc>
          <w:tcPr>
            <w:tcW w:w="84" w:type="pct"/>
            <w:tcBorders>
              <w:top w:val="nil"/>
              <w:left w:val="nil"/>
              <w:bottom w:val="nil"/>
              <w:right w:val="nil"/>
            </w:tcBorders>
            <w:shd w:val="clear" w:color="auto" w:fill="auto"/>
            <w:noWrap/>
            <w:vAlign w:val="bottom"/>
            <w:hideMark/>
          </w:tcPr>
          <w:p w14:paraId="33EFBD0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0F34B0E8"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2016</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7373808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460" w:type="pct"/>
            <w:tcBorders>
              <w:top w:val="nil"/>
              <w:left w:val="nil"/>
              <w:bottom w:val="single" w:sz="4" w:space="0" w:color="auto"/>
              <w:right w:val="single" w:sz="4" w:space="0" w:color="auto"/>
            </w:tcBorders>
            <w:shd w:val="clear" w:color="auto" w:fill="auto"/>
            <w:noWrap/>
            <w:vAlign w:val="bottom"/>
            <w:hideMark/>
          </w:tcPr>
          <w:p w14:paraId="3117C45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2,167.00 </w:t>
            </w:r>
          </w:p>
        </w:tc>
        <w:tc>
          <w:tcPr>
            <w:tcW w:w="381" w:type="pct"/>
            <w:vMerge w:val="restart"/>
            <w:tcBorders>
              <w:top w:val="nil"/>
              <w:left w:val="single" w:sz="4" w:space="0" w:color="auto"/>
              <w:bottom w:val="single" w:sz="4" w:space="0" w:color="auto"/>
              <w:right w:val="single" w:sz="8" w:space="0" w:color="auto"/>
            </w:tcBorders>
            <w:shd w:val="clear" w:color="auto" w:fill="auto"/>
            <w:noWrap/>
            <w:vAlign w:val="center"/>
            <w:hideMark/>
          </w:tcPr>
          <w:p w14:paraId="77D4281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0.286035</w:t>
            </w:r>
          </w:p>
        </w:tc>
      </w:tr>
      <w:tr w:rsidR="008B6FFF" w:rsidRPr="00FF6AFF" w14:paraId="4F48B116" w14:textId="77777777" w:rsidTr="0036439D">
        <w:trPr>
          <w:trHeight w:val="300"/>
        </w:trPr>
        <w:tc>
          <w:tcPr>
            <w:tcW w:w="281" w:type="pct"/>
            <w:vMerge/>
            <w:tcBorders>
              <w:top w:val="nil"/>
              <w:left w:val="single" w:sz="8" w:space="0" w:color="auto"/>
              <w:bottom w:val="single" w:sz="4" w:space="0" w:color="auto"/>
              <w:right w:val="single" w:sz="4" w:space="0" w:color="auto"/>
            </w:tcBorders>
            <w:vAlign w:val="center"/>
            <w:hideMark/>
          </w:tcPr>
          <w:p w14:paraId="59C7F31C"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66C64DD7"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60A514AF"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39,605.00 </w:t>
            </w:r>
          </w:p>
        </w:tc>
        <w:tc>
          <w:tcPr>
            <w:tcW w:w="381" w:type="pct"/>
            <w:vMerge/>
            <w:tcBorders>
              <w:top w:val="nil"/>
              <w:left w:val="single" w:sz="4" w:space="0" w:color="auto"/>
              <w:bottom w:val="single" w:sz="4" w:space="0" w:color="auto"/>
              <w:right w:val="single" w:sz="8" w:space="0" w:color="auto"/>
            </w:tcBorders>
            <w:vAlign w:val="center"/>
            <w:hideMark/>
          </w:tcPr>
          <w:p w14:paraId="381766C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74CE94A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342A3CB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5366FA6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30A088A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21,451.00 </w:t>
            </w:r>
          </w:p>
        </w:tc>
        <w:tc>
          <w:tcPr>
            <w:tcW w:w="381" w:type="pct"/>
            <w:vMerge/>
            <w:tcBorders>
              <w:top w:val="nil"/>
              <w:left w:val="single" w:sz="4" w:space="0" w:color="auto"/>
              <w:bottom w:val="single" w:sz="4" w:space="0" w:color="auto"/>
              <w:right w:val="single" w:sz="8" w:space="0" w:color="auto"/>
            </w:tcBorders>
            <w:vAlign w:val="center"/>
            <w:hideMark/>
          </w:tcPr>
          <w:p w14:paraId="19A621B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156931A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4" w:space="0" w:color="auto"/>
              <w:right w:val="single" w:sz="4" w:space="0" w:color="auto"/>
            </w:tcBorders>
            <w:vAlign w:val="center"/>
            <w:hideMark/>
          </w:tcPr>
          <w:p w14:paraId="7FA3371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3384B87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460" w:type="pct"/>
            <w:tcBorders>
              <w:top w:val="nil"/>
              <w:left w:val="nil"/>
              <w:bottom w:val="single" w:sz="4" w:space="0" w:color="auto"/>
              <w:right w:val="single" w:sz="4" w:space="0" w:color="auto"/>
            </w:tcBorders>
            <w:shd w:val="clear" w:color="auto" w:fill="auto"/>
            <w:noWrap/>
            <w:vAlign w:val="bottom"/>
            <w:hideMark/>
          </w:tcPr>
          <w:p w14:paraId="05A5315B"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7,576.00 </w:t>
            </w:r>
          </w:p>
        </w:tc>
        <w:tc>
          <w:tcPr>
            <w:tcW w:w="381" w:type="pct"/>
            <w:vMerge/>
            <w:tcBorders>
              <w:top w:val="nil"/>
              <w:left w:val="single" w:sz="4" w:space="0" w:color="auto"/>
              <w:bottom w:val="single" w:sz="4" w:space="0" w:color="auto"/>
              <w:right w:val="single" w:sz="8" w:space="0" w:color="auto"/>
            </w:tcBorders>
            <w:vAlign w:val="center"/>
            <w:hideMark/>
          </w:tcPr>
          <w:p w14:paraId="2D632329"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r w:rsidR="008B6FFF" w:rsidRPr="00FF6AFF" w14:paraId="22815850" w14:textId="77777777" w:rsidTr="0036439D">
        <w:trPr>
          <w:trHeight w:val="300"/>
        </w:trPr>
        <w:tc>
          <w:tcPr>
            <w:tcW w:w="281"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32BE86F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524D6443"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7E0C3BB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2,153.00 </w:t>
            </w:r>
          </w:p>
        </w:tc>
        <w:tc>
          <w:tcPr>
            <w:tcW w:w="381"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365B284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0.057322</w:t>
            </w:r>
          </w:p>
        </w:tc>
        <w:tc>
          <w:tcPr>
            <w:tcW w:w="84" w:type="pct"/>
            <w:tcBorders>
              <w:top w:val="nil"/>
              <w:left w:val="nil"/>
              <w:bottom w:val="nil"/>
              <w:right w:val="nil"/>
            </w:tcBorders>
            <w:shd w:val="clear" w:color="auto" w:fill="auto"/>
            <w:noWrap/>
            <w:vAlign w:val="bottom"/>
            <w:hideMark/>
          </w:tcPr>
          <w:p w14:paraId="62260FE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693DDDE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0576A27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500" w:type="pct"/>
            <w:tcBorders>
              <w:top w:val="nil"/>
              <w:left w:val="nil"/>
              <w:bottom w:val="single" w:sz="4" w:space="0" w:color="auto"/>
              <w:right w:val="single" w:sz="4" w:space="0" w:color="auto"/>
            </w:tcBorders>
            <w:shd w:val="clear" w:color="auto" w:fill="auto"/>
            <w:noWrap/>
            <w:vAlign w:val="bottom"/>
            <w:hideMark/>
          </w:tcPr>
          <w:p w14:paraId="3344586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1,526.00 </w:t>
            </w:r>
          </w:p>
        </w:tc>
        <w:tc>
          <w:tcPr>
            <w:tcW w:w="381"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6000035D"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0.075336</w:t>
            </w:r>
          </w:p>
        </w:tc>
        <w:tc>
          <w:tcPr>
            <w:tcW w:w="84" w:type="pct"/>
            <w:tcBorders>
              <w:top w:val="nil"/>
              <w:left w:val="nil"/>
              <w:bottom w:val="nil"/>
              <w:right w:val="nil"/>
            </w:tcBorders>
            <w:shd w:val="clear" w:color="auto" w:fill="auto"/>
            <w:noWrap/>
            <w:vAlign w:val="bottom"/>
            <w:hideMark/>
          </w:tcPr>
          <w:p w14:paraId="7B8DFD78"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val="restart"/>
            <w:tcBorders>
              <w:top w:val="nil"/>
              <w:left w:val="single" w:sz="8" w:space="0" w:color="auto"/>
              <w:bottom w:val="single" w:sz="8" w:space="0" w:color="000000"/>
              <w:right w:val="single" w:sz="4" w:space="0" w:color="auto"/>
            </w:tcBorders>
            <w:shd w:val="clear" w:color="auto" w:fill="auto"/>
            <w:noWrap/>
            <w:vAlign w:val="center"/>
            <w:hideMark/>
          </w:tcPr>
          <w:p w14:paraId="1141DA02"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2015</w:t>
            </w: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26554A7B"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Net Profit</w:t>
            </w:r>
          </w:p>
        </w:tc>
        <w:tc>
          <w:tcPr>
            <w:tcW w:w="460" w:type="pct"/>
            <w:tcBorders>
              <w:top w:val="nil"/>
              <w:left w:val="nil"/>
              <w:bottom w:val="single" w:sz="4" w:space="0" w:color="auto"/>
              <w:right w:val="single" w:sz="4" w:space="0" w:color="auto"/>
            </w:tcBorders>
            <w:shd w:val="clear" w:color="auto" w:fill="auto"/>
            <w:noWrap/>
            <w:vAlign w:val="bottom"/>
            <w:hideMark/>
          </w:tcPr>
          <w:p w14:paraId="31171CA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2,154.00 </w:t>
            </w:r>
          </w:p>
        </w:tc>
        <w:tc>
          <w:tcPr>
            <w:tcW w:w="381" w:type="pct"/>
            <w:vMerge w:val="restart"/>
            <w:tcBorders>
              <w:top w:val="nil"/>
              <w:left w:val="single" w:sz="4" w:space="0" w:color="auto"/>
              <w:bottom w:val="single" w:sz="8" w:space="0" w:color="000000"/>
              <w:right w:val="single" w:sz="8" w:space="0" w:color="auto"/>
            </w:tcBorders>
            <w:shd w:val="clear" w:color="auto" w:fill="auto"/>
            <w:noWrap/>
            <w:vAlign w:val="center"/>
            <w:hideMark/>
          </w:tcPr>
          <w:p w14:paraId="5EB36046"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0.283944</w:t>
            </w:r>
          </w:p>
        </w:tc>
      </w:tr>
      <w:tr w:rsidR="008B6FFF" w:rsidRPr="00FF6AFF" w14:paraId="237F5995" w14:textId="77777777" w:rsidTr="0036439D">
        <w:trPr>
          <w:trHeight w:val="315"/>
        </w:trPr>
        <w:tc>
          <w:tcPr>
            <w:tcW w:w="281" w:type="pct"/>
            <w:vMerge/>
            <w:tcBorders>
              <w:top w:val="nil"/>
              <w:left w:val="single" w:sz="8" w:space="0" w:color="auto"/>
              <w:bottom w:val="single" w:sz="8" w:space="0" w:color="000000"/>
              <w:right w:val="single" w:sz="4" w:space="0" w:color="auto"/>
            </w:tcBorders>
            <w:vAlign w:val="center"/>
            <w:hideMark/>
          </w:tcPr>
          <w:p w14:paraId="5725CAB4"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2" w:type="pct"/>
            <w:tcBorders>
              <w:top w:val="single" w:sz="4" w:space="0" w:color="auto"/>
              <w:left w:val="nil"/>
              <w:bottom w:val="single" w:sz="4" w:space="0" w:color="auto"/>
              <w:right w:val="single" w:sz="4" w:space="0" w:color="auto"/>
            </w:tcBorders>
            <w:shd w:val="clear" w:color="auto" w:fill="auto"/>
            <w:noWrap/>
            <w:vAlign w:val="bottom"/>
            <w:hideMark/>
          </w:tcPr>
          <w:p w14:paraId="5FDE4CD5"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6E36615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37,560.00 </w:t>
            </w:r>
          </w:p>
        </w:tc>
        <w:tc>
          <w:tcPr>
            <w:tcW w:w="381" w:type="pct"/>
            <w:vMerge/>
            <w:tcBorders>
              <w:top w:val="nil"/>
              <w:left w:val="single" w:sz="4" w:space="0" w:color="auto"/>
              <w:bottom w:val="single" w:sz="8" w:space="0" w:color="000000"/>
              <w:right w:val="single" w:sz="8" w:space="0" w:color="auto"/>
            </w:tcBorders>
            <w:vAlign w:val="center"/>
            <w:hideMark/>
          </w:tcPr>
          <w:p w14:paraId="374232C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01A20DA1"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8" w:space="0" w:color="000000"/>
              <w:right w:val="single" w:sz="4" w:space="0" w:color="auto"/>
            </w:tcBorders>
            <w:vAlign w:val="center"/>
            <w:hideMark/>
          </w:tcPr>
          <w:p w14:paraId="40F1821A"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0C18E429"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500" w:type="pct"/>
            <w:tcBorders>
              <w:top w:val="nil"/>
              <w:left w:val="nil"/>
              <w:bottom w:val="single" w:sz="4" w:space="0" w:color="auto"/>
              <w:right w:val="single" w:sz="4" w:space="0" w:color="auto"/>
            </w:tcBorders>
            <w:shd w:val="clear" w:color="auto" w:fill="auto"/>
            <w:noWrap/>
            <w:vAlign w:val="bottom"/>
            <w:hideMark/>
          </w:tcPr>
          <w:p w14:paraId="31F5A720"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20,256.00 </w:t>
            </w:r>
          </w:p>
        </w:tc>
        <w:tc>
          <w:tcPr>
            <w:tcW w:w="381" w:type="pct"/>
            <w:vMerge/>
            <w:tcBorders>
              <w:top w:val="nil"/>
              <w:left w:val="single" w:sz="4" w:space="0" w:color="auto"/>
              <w:bottom w:val="single" w:sz="8" w:space="0" w:color="000000"/>
              <w:right w:val="single" w:sz="8" w:space="0" w:color="auto"/>
            </w:tcBorders>
            <w:vAlign w:val="center"/>
            <w:hideMark/>
          </w:tcPr>
          <w:p w14:paraId="3819533D"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84" w:type="pct"/>
            <w:tcBorders>
              <w:top w:val="nil"/>
              <w:left w:val="nil"/>
              <w:bottom w:val="nil"/>
              <w:right w:val="nil"/>
            </w:tcBorders>
            <w:shd w:val="clear" w:color="auto" w:fill="auto"/>
            <w:noWrap/>
            <w:vAlign w:val="bottom"/>
            <w:hideMark/>
          </w:tcPr>
          <w:p w14:paraId="3E9B121E"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281" w:type="pct"/>
            <w:vMerge/>
            <w:tcBorders>
              <w:top w:val="nil"/>
              <w:left w:val="single" w:sz="8" w:space="0" w:color="auto"/>
              <w:bottom w:val="single" w:sz="8" w:space="0" w:color="000000"/>
              <w:right w:val="single" w:sz="4" w:space="0" w:color="auto"/>
            </w:tcBorders>
            <w:vAlign w:val="center"/>
            <w:hideMark/>
          </w:tcPr>
          <w:p w14:paraId="5E12E343"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c>
          <w:tcPr>
            <w:tcW w:w="463" w:type="pct"/>
            <w:tcBorders>
              <w:top w:val="single" w:sz="4" w:space="0" w:color="auto"/>
              <w:left w:val="nil"/>
              <w:bottom w:val="single" w:sz="4" w:space="0" w:color="auto"/>
              <w:right w:val="single" w:sz="4" w:space="0" w:color="auto"/>
            </w:tcBorders>
            <w:shd w:val="clear" w:color="auto" w:fill="auto"/>
            <w:noWrap/>
            <w:vAlign w:val="bottom"/>
            <w:hideMark/>
          </w:tcPr>
          <w:p w14:paraId="15A55D6E" w14:textId="77777777" w:rsidR="008B6FFF" w:rsidRPr="00FF6AFF" w:rsidRDefault="008B6FFF" w:rsidP="008B6FFF">
            <w:pPr>
              <w:spacing w:line="240" w:lineRule="auto"/>
              <w:jc w:val="center"/>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Revenue</w:t>
            </w:r>
          </w:p>
        </w:tc>
        <w:tc>
          <w:tcPr>
            <w:tcW w:w="460" w:type="pct"/>
            <w:tcBorders>
              <w:top w:val="nil"/>
              <w:left w:val="nil"/>
              <w:bottom w:val="single" w:sz="4" w:space="0" w:color="auto"/>
              <w:right w:val="single" w:sz="4" w:space="0" w:color="auto"/>
            </w:tcBorders>
            <w:shd w:val="clear" w:color="auto" w:fill="auto"/>
            <w:noWrap/>
            <w:vAlign w:val="bottom"/>
            <w:hideMark/>
          </w:tcPr>
          <w:p w14:paraId="03FE0182" w14:textId="77777777" w:rsidR="008B6FFF" w:rsidRPr="00FF6AFF" w:rsidRDefault="008B6FFF" w:rsidP="008B6FFF">
            <w:pPr>
              <w:spacing w:line="240" w:lineRule="auto"/>
              <w:rPr>
                <w:rFonts w:ascii="Times New Roman" w:eastAsia="Times New Roman" w:hAnsi="Times New Roman" w:cs="Times New Roman"/>
                <w:color w:val="000000"/>
                <w:sz w:val="24"/>
                <w:szCs w:val="24"/>
              </w:rPr>
            </w:pPr>
            <w:r w:rsidRPr="00FF6AFF">
              <w:rPr>
                <w:rFonts w:ascii="Times New Roman" w:eastAsia="Times New Roman" w:hAnsi="Times New Roman" w:cs="Times New Roman"/>
                <w:color w:val="000000"/>
                <w:sz w:val="24"/>
                <w:szCs w:val="24"/>
              </w:rPr>
              <w:t xml:space="preserve"> £  7,586.00 </w:t>
            </w:r>
          </w:p>
        </w:tc>
        <w:tc>
          <w:tcPr>
            <w:tcW w:w="381" w:type="pct"/>
            <w:vMerge/>
            <w:tcBorders>
              <w:top w:val="nil"/>
              <w:left w:val="single" w:sz="4" w:space="0" w:color="auto"/>
              <w:bottom w:val="single" w:sz="8" w:space="0" w:color="000000"/>
              <w:right w:val="single" w:sz="8" w:space="0" w:color="auto"/>
            </w:tcBorders>
            <w:vAlign w:val="center"/>
            <w:hideMark/>
          </w:tcPr>
          <w:p w14:paraId="428C82B6" w14:textId="77777777" w:rsidR="008B6FFF" w:rsidRPr="00FF6AFF" w:rsidRDefault="008B6FFF" w:rsidP="008B6FFF">
            <w:pPr>
              <w:spacing w:line="240" w:lineRule="auto"/>
              <w:rPr>
                <w:rFonts w:ascii="Times New Roman" w:eastAsia="Times New Roman" w:hAnsi="Times New Roman" w:cs="Times New Roman"/>
                <w:color w:val="000000"/>
                <w:sz w:val="24"/>
                <w:szCs w:val="24"/>
              </w:rPr>
            </w:pPr>
          </w:p>
        </w:tc>
      </w:tr>
    </w:tbl>
    <w:p w14:paraId="2350D12D" w14:textId="6719EF59" w:rsidR="0036439D" w:rsidRDefault="0036439D" w:rsidP="0085721A">
      <w:pPr>
        <w:jc w:val="center"/>
        <w:rPr>
          <w:rFonts w:ascii="Times New Roman" w:hAnsi="Times New Roman" w:cs="Times New Roman"/>
          <w:b/>
          <w:sz w:val="24"/>
          <w:szCs w:val="24"/>
        </w:rPr>
        <w:sectPr w:rsidR="0036439D" w:rsidSect="0036439D">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8B6FFF">
        <w:rPr>
          <w:rFonts w:ascii="Times New Roman" w:hAnsi="Times New Roman" w:cs="Times New Roman"/>
          <w:b/>
          <w:sz w:val="24"/>
          <w:szCs w:val="24"/>
        </w:rPr>
        <w:t xml:space="preserve">Table </w:t>
      </w:r>
      <w:r>
        <w:rPr>
          <w:rFonts w:ascii="Times New Roman" w:hAnsi="Times New Roman" w:cs="Times New Roman"/>
          <w:b/>
          <w:sz w:val="24"/>
          <w:szCs w:val="24"/>
        </w:rPr>
        <w:t>4</w:t>
      </w:r>
      <w:r w:rsidRPr="008B6FFF">
        <w:rPr>
          <w:rFonts w:ascii="Times New Roman" w:hAnsi="Times New Roman" w:cs="Times New Roman"/>
          <w:b/>
          <w:sz w:val="24"/>
          <w:szCs w:val="24"/>
        </w:rPr>
        <w:t xml:space="preserve">: </w:t>
      </w:r>
      <w:r>
        <w:rPr>
          <w:rFonts w:ascii="Times New Roman" w:hAnsi="Times New Roman" w:cs="Times New Roman"/>
          <w:b/>
          <w:sz w:val="24"/>
          <w:szCs w:val="24"/>
        </w:rPr>
        <w:t xml:space="preserve">Profitability </w:t>
      </w:r>
      <w:r w:rsidR="00E54A74">
        <w:rPr>
          <w:rFonts w:ascii="Times New Roman" w:hAnsi="Times New Roman" w:cs="Times New Roman"/>
          <w:b/>
          <w:sz w:val="24"/>
          <w:szCs w:val="24"/>
        </w:rPr>
        <w:t>ratio</w:t>
      </w:r>
    </w:p>
    <w:p w14:paraId="0000003D" w14:textId="4EA93B0F"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lastRenderedPageBreak/>
        <w:t>In order to determine the profitability of the overall banking industry of the United Kingdom, three respective banking sectors have been selected. Out of them two banks belong to the big four banking organizations and another one is a medium banking company of this country. The net profit margin has been calculated in terms of determining the profitability.</w:t>
      </w:r>
    </w:p>
    <w:p w14:paraId="0000003E" w14:textId="37ECD753"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According to the financial statement, net profit margin of Lloyds bank can be contemplated as moderate. During the last five year financial performance, reflects the fluctuation in the net profit rate, the rate of net profit was 0.057 in 2015 and this has declined to 0.052 in 2016</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lloydsbank.com, 2020</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w:t>
      </w:r>
      <w:r w:rsidR="0075703F" w:rsidRPr="004F6549">
        <w:rPr>
          <w:rFonts w:ascii="Times New Roman" w:hAnsi="Times New Roman" w:cs="Times New Roman"/>
          <w:sz w:val="24"/>
          <w:szCs w:val="24"/>
        </w:rPr>
        <w:t>Again,</w:t>
      </w:r>
      <w:r w:rsidRPr="004F6549">
        <w:rPr>
          <w:rFonts w:ascii="Times New Roman" w:hAnsi="Times New Roman" w:cs="Times New Roman"/>
          <w:sz w:val="24"/>
          <w:szCs w:val="24"/>
        </w:rPr>
        <w:t xml:space="preserve"> in the financial year 2017, the net profit margin was observed</w:t>
      </w:r>
      <w:r w:rsidR="0075703F" w:rsidRPr="004F6549">
        <w:rPr>
          <w:rFonts w:ascii="Times New Roman" w:hAnsi="Times New Roman" w:cs="Times New Roman"/>
          <w:sz w:val="24"/>
          <w:szCs w:val="24"/>
        </w:rPr>
        <w:t xml:space="preserve"> to be increased to 0.1 and in 2</w:t>
      </w:r>
      <w:r w:rsidRPr="004F6549">
        <w:rPr>
          <w:rFonts w:ascii="Times New Roman" w:hAnsi="Times New Roman" w:cs="Times New Roman"/>
          <w:sz w:val="24"/>
          <w:szCs w:val="24"/>
        </w:rPr>
        <w:t xml:space="preserve">018 it became 0.19. Thus, a continuous improvement was observed to take place in the organizational financial activities. However, in the last financial year, a sudden reduction was found in the financial performance. As the growth of revenue was found to be higher than the growth rate of net profit, thus it resulted in reduction in NP margin. During the financial year 2019, the amount of net profit was observed to be decreased and revenue was increased. </w:t>
      </w:r>
    </w:p>
    <w:p w14:paraId="0000003F" w14:textId="13CD2F6E"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According to the statement of profit and loss of </w:t>
      </w:r>
      <w:r w:rsidR="0075703F" w:rsidRPr="004F6549">
        <w:rPr>
          <w:rFonts w:ascii="Times New Roman" w:hAnsi="Times New Roman" w:cs="Times New Roman"/>
          <w:sz w:val="24"/>
          <w:szCs w:val="24"/>
        </w:rPr>
        <w:t>Barclay</w:t>
      </w:r>
      <w:r w:rsidRPr="004F6549">
        <w:rPr>
          <w:rFonts w:ascii="Times New Roman" w:hAnsi="Times New Roman" w:cs="Times New Roman"/>
          <w:sz w:val="24"/>
          <w:szCs w:val="24"/>
        </w:rPr>
        <w:t xml:space="preserve"> banking sector, net profit was observed to be increased during the accounting term, 20149. The reason is that the net profit margin of that year was considered as higher in respect to all its previous years. The amount of revenue was not highly changed in terms of previous financial terms. This war resulted in increasing the net profit margin of respective organizations. Up to the financial term 2018, the net profit rate was under 6 % and in </w:t>
      </w:r>
      <w:r w:rsidR="0075703F" w:rsidRPr="004F6549">
        <w:rPr>
          <w:rFonts w:ascii="Times New Roman" w:hAnsi="Times New Roman" w:cs="Times New Roman"/>
          <w:sz w:val="24"/>
          <w:szCs w:val="24"/>
        </w:rPr>
        <w:t>2017,</w:t>
      </w:r>
      <w:r w:rsidRPr="004F6549">
        <w:rPr>
          <w:rFonts w:ascii="Times New Roman" w:hAnsi="Times New Roman" w:cs="Times New Roman"/>
          <w:sz w:val="24"/>
          <w:szCs w:val="24"/>
        </w:rPr>
        <w:t xml:space="preserve"> a loss was faced by both organizations. However, the overall condition was recovered by </w:t>
      </w:r>
      <w:r w:rsidR="0075703F" w:rsidRPr="004F6549">
        <w:rPr>
          <w:rFonts w:ascii="Times New Roman" w:hAnsi="Times New Roman" w:cs="Times New Roman"/>
          <w:sz w:val="24"/>
          <w:szCs w:val="24"/>
        </w:rPr>
        <w:t>2019,</w:t>
      </w:r>
      <w:r w:rsidRPr="004F6549">
        <w:rPr>
          <w:rFonts w:ascii="Times New Roman" w:hAnsi="Times New Roman" w:cs="Times New Roman"/>
          <w:sz w:val="24"/>
          <w:szCs w:val="24"/>
        </w:rPr>
        <w:t xml:space="preserve"> as the NP rate of this company was 11.37%</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barclays.co.uk, 2020</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It has been contemplated as a dramatic increment in financial position. Hence, the financial department was evaluated as highly efficient in terms of this ratio.</w:t>
      </w:r>
    </w:p>
    <w:p w14:paraId="00000040" w14:textId="20F5B87F"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respect to the profitability, </w:t>
      </w:r>
      <w:r w:rsidR="0075703F" w:rsidRPr="004F6549">
        <w:rPr>
          <w:rFonts w:ascii="Times New Roman" w:hAnsi="Times New Roman" w:cs="Times New Roman"/>
          <w:sz w:val="24"/>
          <w:szCs w:val="24"/>
        </w:rPr>
        <w:t>Santander</w:t>
      </w:r>
      <w:r w:rsidRPr="004F6549">
        <w:rPr>
          <w:rFonts w:ascii="Times New Roman" w:hAnsi="Times New Roman" w:cs="Times New Roman"/>
          <w:sz w:val="24"/>
          <w:szCs w:val="24"/>
        </w:rPr>
        <w:t xml:space="preserve"> </w:t>
      </w:r>
      <w:r w:rsidR="0075703F" w:rsidRPr="004F6549">
        <w:rPr>
          <w:rFonts w:ascii="Times New Roman" w:hAnsi="Times New Roman" w:cs="Times New Roman"/>
          <w:sz w:val="24"/>
          <w:szCs w:val="24"/>
        </w:rPr>
        <w:t>Company</w:t>
      </w:r>
      <w:r w:rsidRPr="004F6549">
        <w:rPr>
          <w:rFonts w:ascii="Times New Roman" w:hAnsi="Times New Roman" w:cs="Times New Roman"/>
          <w:sz w:val="24"/>
          <w:szCs w:val="24"/>
        </w:rPr>
        <w:t xml:space="preserve"> has achieved the best position among the selected three companies. The amount of net profit of this organization was obviously lesser than </w:t>
      </w:r>
      <w:r w:rsidR="0075703F" w:rsidRPr="004F6549">
        <w:rPr>
          <w:rFonts w:ascii="Times New Roman" w:hAnsi="Times New Roman" w:cs="Times New Roman"/>
          <w:sz w:val="24"/>
          <w:szCs w:val="24"/>
        </w:rPr>
        <w:t>the Barclays</w:t>
      </w:r>
      <w:r w:rsidRPr="004F6549">
        <w:rPr>
          <w:rFonts w:ascii="Times New Roman" w:hAnsi="Times New Roman" w:cs="Times New Roman"/>
          <w:sz w:val="24"/>
          <w:szCs w:val="24"/>
        </w:rPr>
        <w:t xml:space="preserve"> and Lloyds. However, in terms of Net </w:t>
      </w:r>
      <w:r w:rsidR="0075703F" w:rsidRPr="004F6549">
        <w:rPr>
          <w:rFonts w:ascii="Times New Roman" w:hAnsi="Times New Roman" w:cs="Times New Roman"/>
          <w:sz w:val="24"/>
          <w:szCs w:val="24"/>
        </w:rPr>
        <w:t>profit margin wa</w:t>
      </w:r>
      <w:r w:rsidRPr="004F6549">
        <w:rPr>
          <w:rFonts w:ascii="Times New Roman" w:hAnsi="Times New Roman" w:cs="Times New Roman"/>
          <w:sz w:val="24"/>
          <w:szCs w:val="24"/>
        </w:rPr>
        <w:t xml:space="preserve">s </w:t>
      </w:r>
      <w:proofErr w:type="gramStart"/>
      <w:r w:rsidRPr="004F6549">
        <w:rPr>
          <w:rFonts w:ascii="Times New Roman" w:hAnsi="Times New Roman" w:cs="Times New Roman"/>
          <w:sz w:val="24"/>
          <w:szCs w:val="24"/>
        </w:rPr>
        <w:t>achieved  a</w:t>
      </w:r>
      <w:proofErr w:type="gramEnd"/>
      <w:r w:rsidRPr="004F6549">
        <w:rPr>
          <w:rFonts w:ascii="Times New Roman" w:hAnsi="Times New Roman" w:cs="Times New Roman"/>
          <w:sz w:val="24"/>
          <w:szCs w:val="24"/>
        </w:rPr>
        <w:t xml:space="preserve"> greater market position than others. The main reason is that, in the accounting term, the NP rate was 28% in 2015 and it became 228.6% in 2016. Besides that, in 2017 and 2018 this </w:t>
      </w:r>
      <w:r w:rsidR="0075703F" w:rsidRPr="004F6549">
        <w:rPr>
          <w:rFonts w:ascii="Times New Roman" w:hAnsi="Times New Roman" w:cs="Times New Roman"/>
          <w:sz w:val="24"/>
          <w:szCs w:val="24"/>
        </w:rPr>
        <w:t>Net</w:t>
      </w:r>
      <w:r w:rsidRPr="004F6549">
        <w:rPr>
          <w:rFonts w:ascii="Times New Roman" w:hAnsi="Times New Roman" w:cs="Times New Roman"/>
          <w:sz w:val="24"/>
          <w:szCs w:val="24"/>
        </w:rPr>
        <w:t xml:space="preserve"> profit margin became 28.7% and 28.9% respectively</w:t>
      </w:r>
      <w:r w:rsidR="00F52492" w:rsidRPr="004F6549">
        <w:rPr>
          <w:rFonts w:ascii="Times New Roman" w:hAnsi="Times New Roman" w:cs="Times New Roman"/>
          <w:sz w:val="24"/>
          <w:szCs w:val="24"/>
        </w:rPr>
        <w:t xml:space="preserve"> (</w:t>
      </w:r>
      <w:r w:rsidR="00F52492" w:rsidRPr="004F6549">
        <w:rPr>
          <w:rFonts w:ascii="Times New Roman" w:hAnsi="Times New Roman" w:cs="Times New Roman"/>
          <w:sz w:val="24"/>
          <w:szCs w:val="24"/>
          <w:shd w:val="clear" w:color="auto" w:fill="FFFFFF"/>
        </w:rPr>
        <w:t>santander.co.uk, 2020</w:t>
      </w:r>
      <w:r w:rsidR="00F52492" w:rsidRPr="004F6549">
        <w:rPr>
          <w:rFonts w:ascii="Times New Roman" w:hAnsi="Times New Roman" w:cs="Times New Roman"/>
          <w:sz w:val="24"/>
          <w:szCs w:val="24"/>
        </w:rPr>
        <w:t>)</w:t>
      </w:r>
      <w:r w:rsidRPr="004F6549">
        <w:rPr>
          <w:rFonts w:ascii="Times New Roman" w:hAnsi="Times New Roman" w:cs="Times New Roman"/>
          <w:sz w:val="24"/>
          <w:szCs w:val="24"/>
        </w:rPr>
        <w:t xml:space="preserve">. </w:t>
      </w:r>
      <w:r w:rsidR="0075703F" w:rsidRPr="004F6549">
        <w:rPr>
          <w:rFonts w:ascii="Times New Roman" w:hAnsi="Times New Roman" w:cs="Times New Roman"/>
          <w:sz w:val="24"/>
          <w:szCs w:val="24"/>
        </w:rPr>
        <w:t>Thus,</w:t>
      </w:r>
      <w:r w:rsidRPr="004F6549">
        <w:rPr>
          <w:rFonts w:ascii="Times New Roman" w:hAnsi="Times New Roman" w:cs="Times New Roman"/>
          <w:sz w:val="24"/>
          <w:szCs w:val="24"/>
        </w:rPr>
        <w:t xml:space="preserve"> a continuous increment was found to have taken place during the last few years. However, in 2019 that rate was </w:t>
      </w:r>
      <w:r w:rsidRPr="004F6549">
        <w:rPr>
          <w:rFonts w:ascii="Times New Roman" w:hAnsi="Times New Roman" w:cs="Times New Roman"/>
          <w:sz w:val="24"/>
          <w:szCs w:val="24"/>
        </w:rPr>
        <w:lastRenderedPageBreak/>
        <w:t xml:space="preserve">decreased to 22.89%. As the </w:t>
      </w:r>
      <w:r w:rsidR="0075703F" w:rsidRPr="004F6549">
        <w:rPr>
          <w:rFonts w:ascii="Times New Roman" w:hAnsi="Times New Roman" w:cs="Times New Roman"/>
          <w:sz w:val="24"/>
          <w:szCs w:val="24"/>
        </w:rPr>
        <w:t>rates of all respective years are</w:t>
      </w:r>
      <w:r w:rsidRPr="004F6549">
        <w:rPr>
          <w:rFonts w:ascii="Times New Roman" w:hAnsi="Times New Roman" w:cs="Times New Roman"/>
          <w:sz w:val="24"/>
          <w:szCs w:val="24"/>
        </w:rPr>
        <w:t xml:space="preserve"> greater than other two companies, hence the organizational management was contemplated as highly effective.</w:t>
      </w:r>
    </w:p>
    <w:p w14:paraId="00000041" w14:textId="77777777" w:rsidR="00C65B51" w:rsidRPr="004F6549" w:rsidRDefault="006C0F24" w:rsidP="00E95AFC">
      <w:pPr>
        <w:pStyle w:val="Heading1"/>
        <w:spacing w:line="360" w:lineRule="auto"/>
      </w:pPr>
      <w:bookmarkStart w:id="21" w:name="_Toc39166256"/>
      <w:r w:rsidRPr="004F6549">
        <w:t>4. Risks</w:t>
      </w:r>
      <w:bookmarkEnd w:id="21"/>
    </w:p>
    <w:p w14:paraId="00000042" w14:textId="7FD5A0F5" w:rsidR="00C65B51"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According to the financial performances of the selected organization, several financial risks were identified. Those issues are not only considered as the risks of respective companies. These are contemplated as the risks of overall banking industry of United Kingdom. In respect to the capital structure, the </w:t>
      </w:r>
      <w:r w:rsidR="00541A93" w:rsidRPr="004F6549">
        <w:rPr>
          <w:rFonts w:ascii="Times New Roman" w:hAnsi="Times New Roman" w:cs="Times New Roman"/>
          <w:sz w:val="24"/>
          <w:szCs w:val="24"/>
        </w:rPr>
        <w:t>Lloyds</w:t>
      </w:r>
      <w:r w:rsidRPr="004F6549">
        <w:rPr>
          <w:rFonts w:ascii="Times New Roman" w:hAnsi="Times New Roman" w:cs="Times New Roman"/>
          <w:sz w:val="24"/>
          <w:szCs w:val="24"/>
        </w:rPr>
        <w:t xml:space="preserve"> and Barclays financial management was incapable of managing their capital fund, as the amount of debts was dramatically increased in comparison to the equity share capital. As the rate of increment was more than 2, thus, it was contemplated as a weakness of economic management. The similar financial position was evaluated in the Barclays banking company. However, the </w:t>
      </w:r>
      <w:r w:rsidR="00541A93" w:rsidRPr="004F6549">
        <w:rPr>
          <w:rFonts w:ascii="Times New Roman" w:hAnsi="Times New Roman" w:cs="Times New Roman"/>
          <w:sz w:val="24"/>
          <w:szCs w:val="24"/>
        </w:rPr>
        <w:t>Santander</w:t>
      </w:r>
      <w:r w:rsidRPr="004F6549">
        <w:rPr>
          <w:rFonts w:ascii="Times New Roman" w:hAnsi="Times New Roman" w:cs="Times New Roman"/>
          <w:sz w:val="24"/>
          <w:szCs w:val="24"/>
        </w:rPr>
        <w:t xml:space="preserve"> has achieved quite a better position than those big </w:t>
      </w:r>
      <w:r w:rsidR="00541A93" w:rsidRPr="004F6549">
        <w:rPr>
          <w:rFonts w:ascii="Times New Roman" w:hAnsi="Times New Roman" w:cs="Times New Roman"/>
          <w:sz w:val="24"/>
          <w:szCs w:val="24"/>
        </w:rPr>
        <w:t>companies have</w:t>
      </w:r>
      <w:r w:rsidRPr="004F6549">
        <w:rPr>
          <w:rFonts w:ascii="Times New Roman" w:hAnsi="Times New Roman" w:cs="Times New Roman"/>
          <w:sz w:val="24"/>
          <w:szCs w:val="24"/>
        </w:rPr>
        <w:t>. Hence, the big financial companies are facing financial, risks and medium financial sectors are in a stable position in the UK money market. This reflects the strength of medium sectors and weaknesses of big financial companies.</w:t>
      </w:r>
    </w:p>
    <w:p w14:paraId="32EC82AB" w14:textId="45CC6916" w:rsidR="00082002" w:rsidRDefault="00082002" w:rsidP="00082002">
      <w:pPr>
        <w:spacing w:line="360" w:lineRule="auto"/>
        <w:jc w:val="center"/>
        <w:rPr>
          <w:rFonts w:ascii="Times New Roman" w:hAnsi="Times New Roman" w:cs="Times New Roman"/>
          <w:sz w:val="24"/>
          <w:szCs w:val="24"/>
        </w:rPr>
      </w:pPr>
      <w:r>
        <w:rPr>
          <w:noProof/>
          <w:lang w:val="en-US"/>
        </w:rPr>
        <w:drawing>
          <wp:inline distT="0" distB="0" distL="0" distR="0" wp14:anchorId="4DE84403" wp14:editId="13088B04">
            <wp:extent cx="5943600" cy="26885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2688590"/>
                    </a:xfrm>
                    <a:prstGeom prst="rect">
                      <a:avLst/>
                    </a:prstGeom>
                  </pic:spPr>
                </pic:pic>
              </a:graphicData>
            </a:graphic>
          </wp:inline>
        </w:drawing>
      </w:r>
    </w:p>
    <w:p w14:paraId="63E6FED3" w14:textId="12F4772D" w:rsidR="00C51F74" w:rsidRPr="00C51F74" w:rsidRDefault="00C51F74" w:rsidP="00C51F74">
      <w:pPr>
        <w:spacing w:line="360" w:lineRule="auto"/>
        <w:ind w:left="360"/>
        <w:jc w:val="center"/>
        <w:rPr>
          <w:rFonts w:ascii="Times New Roman" w:hAnsi="Times New Roman" w:cs="Times New Roman"/>
          <w:b/>
          <w:sz w:val="24"/>
          <w:szCs w:val="24"/>
        </w:rPr>
      </w:pPr>
      <w:r w:rsidRPr="00082002">
        <w:rPr>
          <w:rFonts w:ascii="Times New Roman" w:hAnsi="Times New Roman" w:cs="Times New Roman"/>
          <w:b/>
          <w:sz w:val="24"/>
          <w:szCs w:val="24"/>
        </w:rPr>
        <w:t>Figure 1: UK banking evolution</w:t>
      </w:r>
    </w:p>
    <w:p w14:paraId="00000043" w14:textId="4161EA00"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In terms of efficiency in financial activities, the Lloyds banking company also achieved a lower market position than medium scissors. The main reason is that, company was incapable of recovering the value of fixed assets in terms of revenue. Apart from that, the amount of inventory was highly overvalued in respect to the cost of goods sold. Thus, the days of inventory turnover </w:t>
      </w:r>
      <w:r w:rsidRPr="004F6549">
        <w:rPr>
          <w:rFonts w:ascii="Times New Roman" w:hAnsi="Times New Roman" w:cs="Times New Roman"/>
          <w:sz w:val="24"/>
          <w:szCs w:val="24"/>
        </w:rPr>
        <w:lastRenderedPageBreak/>
        <w:t xml:space="preserve">was observed to have reached the lower level. The similar condition was </w:t>
      </w:r>
      <w:r w:rsidR="00541A93" w:rsidRPr="004F6549">
        <w:rPr>
          <w:rFonts w:ascii="Times New Roman" w:hAnsi="Times New Roman" w:cs="Times New Roman"/>
          <w:sz w:val="24"/>
          <w:szCs w:val="24"/>
        </w:rPr>
        <w:t xml:space="preserve">found in the financial reports of Barclay. However, in this </w:t>
      </w:r>
      <w:r w:rsidRPr="004F6549">
        <w:rPr>
          <w:rFonts w:ascii="Times New Roman" w:hAnsi="Times New Roman" w:cs="Times New Roman"/>
          <w:sz w:val="24"/>
          <w:szCs w:val="24"/>
        </w:rPr>
        <w:t xml:space="preserve">case, the </w:t>
      </w:r>
      <w:r w:rsidR="00541A93" w:rsidRPr="004F6549">
        <w:rPr>
          <w:rFonts w:ascii="Times New Roman" w:hAnsi="Times New Roman" w:cs="Times New Roman"/>
          <w:sz w:val="24"/>
          <w:szCs w:val="24"/>
        </w:rPr>
        <w:t>Santander</w:t>
      </w:r>
      <w:r w:rsidRPr="004F6549">
        <w:rPr>
          <w:rFonts w:ascii="Times New Roman" w:hAnsi="Times New Roman" w:cs="Times New Roman"/>
          <w:sz w:val="24"/>
          <w:szCs w:val="24"/>
        </w:rPr>
        <w:t xml:space="preserve"> was not proficient in achieving the better position. In other words, similar financial performances were evaluated in this regard. Hence, in terms of efficiency calculation, both the big and medium financial institutions are at economic risk. The current asset </w:t>
      </w:r>
      <w:r w:rsidR="00541A93" w:rsidRPr="004F6549">
        <w:rPr>
          <w:rFonts w:ascii="Times New Roman" w:hAnsi="Times New Roman" w:cs="Times New Roman"/>
          <w:sz w:val="24"/>
          <w:szCs w:val="24"/>
        </w:rPr>
        <w:t>values of all the selected companies were</w:t>
      </w:r>
      <w:r w:rsidRPr="004F6549">
        <w:rPr>
          <w:rFonts w:ascii="Times New Roman" w:hAnsi="Times New Roman" w:cs="Times New Roman"/>
          <w:sz w:val="24"/>
          <w:szCs w:val="24"/>
        </w:rPr>
        <w:t xml:space="preserve"> observed to be greater than their current liabilities. </w:t>
      </w:r>
    </w:p>
    <w:p w14:paraId="00000044" w14:textId="2E237D46"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Consequently, the efficiency of economic performances was only reflected by this current ratio. Both the medium and large banking sector of the United </w:t>
      </w:r>
      <w:r w:rsidR="00541A93" w:rsidRPr="004F6549">
        <w:rPr>
          <w:rFonts w:ascii="Times New Roman" w:hAnsi="Times New Roman" w:cs="Times New Roman"/>
          <w:sz w:val="24"/>
          <w:szCs w:val="24"/>
        </w:rPr>
        <w:t>Kingdom</w:t>
      </w:r>
      <w:r w:rsidRPr="004F6549">
        <w:rPr>
          <w:rFonts w:ascii="Times New Roman" w:hAnsi="Times New Roman" w:cs="Times New Roman"/>
          <w:sz w:val="24"/>
          <w:szCs w:val="24"/>
        </w:rPr>
        <w:t xml:space="preserve"> reflects the similar condition. However, the profitability of banking sectors </w:t>
      </w:r>
      <w:r w:rsidR="00541A93" w:rsidRPr="004F6549">
        <w:rPr>
          <w:rFonts w:ascii="Times New Roman" w:hAnsi="Times New Roman" w:cs="Times New Roman"/>
          <w:sz w:val="24"/>
          <w:szCs w:val="24"/>
        </w:rPr>
        <w:t>is</w:t>
      </w:r>
      <w:r w:rsidRPr="004F6549">
        <w:rPr>
          <w:rFonts w:ascii="Times New Roman" w:hAnsi="Times New Roman" w:cs="Times New Roman"/>
          <w:sz w:val="24"/>
          <w:szCs w:val="24"/>
        </w:rPr>
        <w:t xml:space="preserve"> also considered as in better financial position.</w:t>
      </w:r>
      <w:r w:rsidR="00541A93" w:rsidRPr="004F6549">
        <w:rPr>
          <w:rFonts w:ascii="Times New Roman" w:hAnsi="Times New Roman" w:cs="Times New Roman"/>
          <w:sz w:val="24"/>
          <w:szCs w:val="24"/>
        </w:rPr>
        <w:t xml:space="preserve"> The reason is that, no</w:t>
      </w:r>
      <w:r w:rsidRPr="004F6549">
        <w:rPr>
          <w:rFonts w:ascii="Times New Roman" w:hAnsi="Times New Roman" w:cs="Times New Roman"/>
          <w:sz w:val="24"/>
          <w:szCs w:val="24"/>
        </w:rPr>
        <w:t xml:space="preserve"> losses were evaluated during the financial profitability. Only in the accounting year 2017 the Barclays are having financial </w:t>
      </w:r>
      <w:proofErr w:type="gramStart"/>
      <w:r w:rsidRPr="004F6549">
        <w:rPr>
          <w:rFonts w:ascii="Times New Roman" w:hAnsi="Times New Roman" w:cs="Times New Roman"/>
          <w:sz w:val="24"/>
          <w:szCs w:val="24"/>
        </w:rPr>
        <w:t>losses,</w:t>
      </w:r>
      <w:proofErr w:type="gramEnd"/>
      <w:r w:rsidRPr="004F6549">
        <w:rPr>
          <w:rFonts w:ascii="Times New Roman" w:hAnsi="Times New Roman" w:cs="Times New Roman"/>
          <w:sz w:val="24"/>
          <w:szCs w:val="24"/>
        </w:rPr>
        <w:t xml:space="preserve"> however it was recovered by the last year. The net profit margin of Santander bank achieved a better position than big banking sectors.  </w:t>
      </w:r>
    </w:p>
    <w:p w14:paraId="00000045" w14:textId="77777777" w:rsidR="00C65B51" w:rsidRPr="004F6549" w:rsidRDefault="006C0F24"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According to the overall financial evaluation, the financial condition of big banking sectors can be regarded as weaker than the medium and small companies. Hence, the risk of losing financial position was very high. Along with this, the value of market share would possibly be reduced for the big companies. Hence, the respective organizational management would be required to take reasonable steps towards the financial improvements. In addition to these financial risks, no such operational and managerial risks were evaluated during the UK banking industry.</w:t>
      </w:r>
    </w:p>
    <w:p w14:paraId="00000046" w14:textId="6B63FD1D" w:rsidR="00C65B51" w:rsidRPr="004F6549" w:rsidRDefault="00F52492" w:rsidP="00E95AFC">
      <w:pPr>
        <w:pStyle w:val="Heading1"/>
        <w:spacing w:line="360" w:lineRule="auto"/>
      </w:pPr>
      <w:bookmarkStart w:id="22" w:name="_Toc39166257"/>
      <w:r w:rsidRPr="004F6549">
        <w:t>Conclusion</w:t>
      </w:r>
      <w:bookmarkEnd w:id="22"/>
    </w:p>
    <w:p w14:paraId="00B875D3" w14:textId="2B78CF18" w:rsidR="00295545" w:rsidRPr="004F6549" w:rsidRDefault="00295545"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rPr>
        <w:t xml:space="preserve">According to the </w:t>
      </w:r>
      <w:r w:rsidR="008A23AE" w:rsidRPr="004F6549">
        <w:rPr>
          <w:rFonts w:ascii="Times New Roman" w:hAnsi="Times New Roman" w:cs="Times New Roman"/>
          <w:sz w:val="24"/>
          <w:szCs w:val="24"/>
        </w:rPr>
        <w:t xml:space="preserve">overall financial and non-financial aspects of the UK banking system, its market position was possible to be evaluated. Apart from that, the evaluation of UK banking sector was explained in this report. According to the analysis, the UK big five banking companies are turned into the big four companies. Out of them two companies </w:t>
      </w:r>
      <w:proofErr w:type="gramStart"/>
      <w:r w:rsidR="008A23AE" w:rsidRPr="004F6549">
        <w:rPr>
          <w:rFonts w:ascii="Times New Roman" w:hAnsi="Times New Roman" w:cs="Times New Roman"/>
          <w:sz w:val="24"/>
          <w:szCs w:val="24"/>
        </w:rPr>
        <w:t>has</w:t>
      </w:r>
      <w:proofErr w:type="gramEnd"/>
      <w:r w:rsidR="008A23AE" w:rsidRPr="004F6549">
        <w:rPr>
          <w:rFonts w:ascii="Times New Roman" w:hAnsi="Times New Roman" w:cs="Times New Roman"/>
          <w:sz w:val="24"/>
          <w:szCs w:val="24"/>
        </w:rPr>
        <w:t xml:space="preserve"> been selected and also a medium size financial institutions has been selected for analyzing the financial factors. In respect to the financial figures, Santander bank was achieved lesser market position than other big </w:t>
      </w:r>
      <w:r w:rsidR="006C70C9" w:rsidRPr="004F6549">
        <w:rPr>
          <w:rFonts w:ascii="Times New Roman" w:hAnsi="Times New Roman" w:cs="Times New Roman"/>
          <w:sz w:val="24"/>
          <w:szCs w:val="24"/>
        </w:rPr>
        <w:t>companies were</w:t>
      </w:r>
      <w:r w:rsidR="008A23AE" w:rsidRPr="004F6549">
        <w:rPr>
          <w:rFonts w:ascii="Times New Roman" w:hAnsi="Times New Roman" w:cs="Times New Roman"/>
          <w:sz w:val="24"/>
          <w:szCs w:val="24"/>
        </w:rPr>
        <w:t>. However, in terms of financial ratios, Santander bank was achieved</w:t>
      </w:r>
      <w:r w:rsidR="006C70C9" w:rsidRPr="004F6549">
        <w:rPr>
          <w:rFonts w:ascii="Times New Roman" w:hAnsi="Times New Roman" w:cs="Times New Roman"/>
          <w:sz w:val="24"/>
          <w:szCs w:val="24"/>
        </w:rPr>
        <w:t xml:space="preserve"> better position in UK</w:t>
      </w:r>
      <w:r w:rsidR="008A23AE" w:rsidRPr="004F6549">
        <w:rPr>
          <w:rFonts w:ascii="Times New Roman" w:hAnsi="Times New Roman" w:cs="Times New Roman"/>
          <w:sz w:val="24"/>
          <w:szCs w:val="24"/>
        </w:rPr>
        <w:t xml:space="preserve"> finance market. </w:t>
      </w:r>
      <w:r w:rsidR="006C70C9" w:rsidRPr="004F6549">
        <w:rPr>
          <w:rFonts w:ascii="Times New Roman" w:hAnsi="Times New Roman" w:cs="Times New Roman"/>
          <w:sz w:val="24"/>
          <w:szCs w:val="24"/>
        </w:rPr>
        <w:t xml:space="preserve">Overall, financial risks of UK banking sector </w:t>
      </w:r>
      <w:proofErr w:type="gramStart"/>
      <w:r w:rsidR="006C70C9" w:rsidRPr="004F6549">
        <w:rPr>
          <w:rFonts w:ascii="Times New Roman" w:hAnsi="Times New Roman" w:cs="Times New Roman"/>
          <w:sz w:val="24"/>
          <w:szCs w:val="24"/>
        </w:rPr>
        <w:t>has</w:t>
      </w:r>
      <w:proofErr w:type="gramEnd"/>
      <w:r w:rsidR="006C70C9" w:rsidRPr="004F6549">
        <w:rPr>
          <w:rFonts w:ascii="Times New Roman" w:hAnsi="Times New Roman" w:cs="Times New Roman"/>
          <w:sz w:val="24"/>
          <w:szCs w:val="24"/>
        </w:rPr>
        <w:t xml:space="preserve"> been contemplated over the current study.</w:t>
      </w:r>
    </w:p>
    <w:p w14:paraId="00000047" w14:textId="7177B45A"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b/>
          <w:sz w:val="24"/>
          <w:szCs w:val="24"/>
        </w:rPr>
        <w:br w:type="page"/>
      </w:r>
    </w:p>
    <w:p w14:paraId="241C947B" w14:textId="77777777" w:rsidR="009E37D1" w:rsidRPr="004F6549" w:rsidRDefault="009E37D1" w:rsidP="00E95AFC">
      <w:pPr>
        <w:pStyle w:val="Heading1"/>
        <w:spacing w:line="360" w:lineRule="auto"/>
      </w:pPr>
      <w:bookmarkStart w:id="23" w:name="_Toc39166258"/>
      <w:r w:rsidRPr="004F6549">
        <w:lastRenderedPageBreak/>
        <w:t>References</w:t>
      </w:r>
      <w:bookmarkEnd w:id="23"/>
    </w:p>
    <w:p w14:paraId="7778F2F8"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b/>
          <w:sz w:val="24"/>
          <w:szCs w:val="24"/>
        </w:rPr>
        <w:t>Books</w:t>
      </w:r>
    </w:p>
    <w:p w14:paraId="760E0E73"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Cranston, R. and Van </w:t>
      </w:r>
      <w:proofErr w:type="spellStart"/>
      <w:r w:rsidRPr="004F6549">
        <w:rPr>
          <w:rFonts w:ascii="Times New Roman" w:hAnsi="Times New Roman" w:cs="Times New Roman"/>
          <w:sz w:val="24"/>
          <w:szCs w:val="24"/>
          <w:shd w:val="clear" w:color="auto" w:fill="FFFFFF"/>
        </w:rPr>
        <w:t>Sante</w:t>
      </w:r>
      <w:proofErr w:type="spellEnd"/>
      <w:r w:rsidRPr="004F6549">
        <w:rPr>
          <w:rFonts w:ascii="Times New Roman" w:hAnsi="Times New Roman" w:cs="Times New Roman"/>
          <w:sz w:val="24"/>
          <w:szCs w:val="24"/>
          <w:shd w:val="clear" w:color="auto" w:fill="FFFFFF"/>
        </w:rPr>
        <w:t>, T., 2018. </w:t>
      </w:r>
      <w:r w:rsidRPr="004F6549">
        <w:rPr>
          <w:rFonts w:ascii="Times New Roman" w:hAnsi="Times New Roman" w:cs="Times New Roman"/>
          <w:i/>
          <w:iCs/>
          <w:sz w:val="24"/>
          <w:szCs w:val="24"/>
          <w:shd w:val="clear" w:color="auto" w:fill="FFFFFF"/>
        </w:rPr>
        <w:t>Principles of banking law</w:t>
      </w:r>
      <w:r w:rsidRPr="004F6549">
        <w:rPr>
          <w:rFonts w:ascii="Times New Roman" w:hAnsi="Times New Roman" w:cs="Times New Roman"/>
          <w:sz w:val="24"/>
          <w:szCs w:val="24"/>
          <w:shd w:val="clear" w:color="auto" w:fill="FFFFFF"/>
        </w:rPr>
        <w:t>. Oxford University Press.</w:t>
      </w:r>
    </w:p>
    <w:p w14:paraId="144D4372"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proofErr w:type="spellStart"/>
      <w:r w:rsidRPr="004F6549">
        <w:rPr>
          <w:rFonts w:ascii="Times New Roman" w:hAnsi="Times New Roman" w:cs="Times New Roman"/>
          <w:sz w:val="24"/>
          <w:szCs w:val="24"/>
          <w:shd w:val="clear" w:color="auto" w:fill="FFFFFF"/>
        </w:rPr>
        <w:t>Ugolini</w:t>
      </w:r>
      <w:proofErr w:type="spellEnd"/>
      <w:r w:rsidRPr="004F6549">
        <w:rPr>
          <w:rFonts w:ascii="Times New Roman" w:hAnsi="Times New Roman" w:cs="Times New Roman"/>
          <w:sz w:val="24"/>
          <w:szCs w:val="24"/>
          <w:shd w:val="clear" w:color="auto" w:fill="FFFFFF"/>
        </w:rPr>
        <w:t>, S., 2017. </w:t>
      </w:r>
      <w:r w:rsidRPr="004F6549">
        <w:rPr>
          <w:rFonts w:ascii="Times New Roman" w:hAnsi="Times New Roman" w:cs="Times New Roman"/>
          <w:i/>
          <w:iCs/>
          <w:sz w:val="24"/>
          <w:szCs w:val="24"/>
          <w:shd w:val="clear" w:color="auto" w:fill="FFFFFF"/>
        </w:rPr>
        <w:t>The evolution of central banking: theory and history</w:t>
      </w:r>
      <w:r w:rsidRPr="004F6549">
        <w:rPr>
          <w:rFonts w:ascii="Times New Roman" w:hAnsi="Times New Roman" w:cs="Times New Roman"/>
          <w:sz w:val="24"/>
          <w:szCs w:val="24"/>
          <w:shd w:val="clear" w:color="auto" w:fill="FFFFFF"/>
        </w:rPr>
        <w:t>. London: Palgrave Macmillan UK.</w:t>
      </w:r>
    </w:p>
    <w:p w14:paraId="73213504" w14:textId="5BB08D2F"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Rogers, D., 2016. </w:t>
      </w:r>
      <w:r w:rsidRPr="004F6549">
        <w:rPr>
          <w:rFonts w:ascii="Times New Roman" w:hAnsi="Times New Roman" w:cs="Times New Roman"/>
          <w:i/>
          <w:iCs/>
          <w:sz w:val="24"/>
          <w:szCs w:val="24"/>
          <w:shd w:val="clear" w:color="auto" w:fill="FFFFFF"/>
        </w:rPr>
        <w:t xml:space="preserve">The big four British banks: </w:t>
      </w:r>
      <w:proofErr w:type="spellStart"/>
      <w:r w:rsidRPr="004F6549">
        <w:rPr>
          <w:rFonts w:ascii="Times New Roman" w:hAnsi="Times New Roman" w:cs="Times New Roman"/>
          <w:i/>
          <w:iCs/>
          <w:sz w:val="24"/>
          <w:szCs w:val="24"/>
          <w:shd w:val="clear" w:color="auto" w:fill="FFFFFF"/>
        </w:rPr>
        <w:t>Organisation</w:t>
      </w:r>
      <w:proofErr w:type="spellEnd"/>
      <w:r w:rsidRPr="004F6549">
        <w:rPr>
          <w:rFonts w:ascii="Times New Roman" w:hAnsi="Times New Roman" w:cs="Times New Roman"/>
          <w:i/>
          <w:iCs/>
          <w:sz w:val="24"/>
          <w:szCs w:val="24"/>
          <w:shd w:val="clear" w:color="auto" w:fill="FFFFFF"/>
        </w:rPr>
        <w:t>, strategy and the future</w:t>
      </w:r>
      <w:r w:rsidRPr="004F6549">
        <w:rPr>
          <w:rFonts w:ascii="Times New Roman" w:hAnsi="Times New Roman" w:cs="Times New Roman"/>
          <w:sz w:val="24"/>
          <w:szCs w:val="24"/>
          <w:shd w:val="clear" w:color="auto" w:fill="FFFFFF"/>
        </w:rPr>
        <w:t xml:space="preserve">. </w:t>
      </w:r>
      <w:r w:rsidR="00A2283B">
        <w:rPr>
          <w:rFonts w:ascii="Times New Roman" w:hAnsi="Times New Roman" w:cs="Times New Roman"/>
          <w:sz w:val="24"/>
          <w:szCs w:val="24"/>
          <w:shd w:val="clear" w:color="auto" w:fill="FFFFFF"/>
        </w:rPr>
        <w:t xml:space="preserve">Berlin: </w:t>
      </w:r>
      <w:r w:rsidRPr="004F6549">
        <w:rPr>
          <w:rFonts w:ascii="Times New Roman" w:hAnsi="Times New Roman" w:cs="Times New Roman"/>
          <w:sz w:val="24"/>
          <w:szCs w:val="24"/>
          <w:shd w:val="clear" w:color="auto" w:fill="FFFFFF"/>
        </w:rPr>
        <w:t>Springer.</w:t>
      </w:r>
    </w:p>
    <w:p w14:paraId="5BFBDB07" w14:textId="0BE49839"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sz w:val="24"/>
          <w:szCs w:val="24"/>
          <w:shd w:val="clear" w:color="auto" w:fill="FFFFFF"/>
        </w:rPr>
        <w:t>Schroeder, R.G., Clark, M.W. and Cathey, J.M., 2019. </w:t>
      </w:r>
      <w:r w:rsidRPr="004F6549">
        <w:rPr>
          <w:rFonts w:ascii="Times New Roman" w:hAnsi="Times New Roman" w:cs="Times New Roman"/>
          <w:i/>
          <w:iCs/>
          <w:sz w:val="24"/>
          <w:szCs w:val="24"/>
          <w:shd w:val="clear" w:color="auto" w:fill="FFFFFF"/>
        </w:rPr>
        <w:t>Financial accounting theory and analysis: text and cases</w:t>
      </w:r>
      <w:r w:rsidRPr="004F6549">
        <w:rPr>
          <w:rFonts w:ascii="Times New Roman" w:hAnsi="Times New Roman" w:cs="Times New Roman"/>
          <w:sz w:val="24"/>
          <w:szCs w:val="24"/>
          <w:shd w:val="clear" w:color="auto" w:fill="FFFFFF"/>
        </w:rPr>
        <w:t xml:space="preserve">. </w:t>
      </w:r>
      <w:r w:rsidR="00A2283B">
        <w:rPr>
          <w:rFonts w:ascii="Times New Roman" w:hAnsi="Times New Roman" w:cs="Times New Roman"/>
          <w:sz w:val="24"/>
          <w:szCs w:val="24"/>
          <w:shd w:val="clear" w:color="auto" w:fill="FFFFFF"/>
        </w:rPr>
        <w:t xml:space="preserve">New Jersey: </w:t>
      </w:r>
      <w:r w:rsidRPr="004F6549">
        <w:rPr>
          <w:rFonts w:ascii="Times New Roman" w:hAnsi="Times New Roman" w:cs="Times New Roman"/>
          <w:sz w:val="24"/>
          <w:szCs w:val="24"/>
          <w:shd w:val="clear" w:color="auto" w:fill="FFFFFF"/>
        </w:rPr>
        <w:t>John Wiley &amp; Sons.</w:t>
      </w:r>
    </w:p>
    <w:p w14:paraId="680E900E"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b/>
          <w:sz w:val="24"/>
          <w:szCs w:val="24"/>
        </w:rPr>
        <w:t>Journals</w:t>
      </w:r>
    </w:p>
    <w:p w14:paraId="11B9543D"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de-Ramon, S., Francis, W. and </w:t>
      </w:r>
      <w:proofErr w:type="spellStart"/>
      <w:r w:rsidRPr="004F6549">
        <w:rPr>
          <w:rFonts w:ascii="Times New Roman" w:hAnsi="Times New Roman" w:cs="Times New Roman"/>
          <w:sz w:val="24"/>
          <w:szCs w:val="24"/>
          <w:shd w:val="clear" w:color="auto" w:fill="FFFFFF"/>
        </w:rPr>
        <w:t>Milonas</w:t>
      </w:r>
      <w:proofErr w:type="spellEnd"/>
      <w:r w:rsidRPr="004F6549">
        <w:rPr>
          <w:rFonts w:ascii="Times New Roman" w:hAnsi="Times New Roman" w:cs="Times New Roman"/>
          <w:sz w:val="24"/>
          <w:szCs w:val="24"/>
          <w:shd w:val="clear" w:color="auto" w:fill="FFFFFF"/>
        </w:rPr>
        <w:t>, K., 2017. An overview of the UK banking sector since the Basel accord: insights from a new regulatory database.</w:t>
      </w:r>
    </w:p>
    <w:p w14:paraId="0DE151E6"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proofErr w:type="spellStart"/>
      <w:r w:rsidRPr="004F6549">
        <w:rPr>
          <w:rFonts w:ascii="Times New Roman" w:hAnsi="Times New Roman" w:cs="Times New Roman"/>
          <w:sz w:val="24"/>
          <w:szCs w:val="24"/>
          <w:shd w:val="clear" w:color="auto" w:fill="FFFFFF"/>
        </w:rPr>
        <w:t>Seyfang</w:t>
      </w:r>
      <w:proofErr w:type="spellEnd"/>
      <w:r w:rsidRPr="004F6549">
        <w:rPr>
          <w:rFonts w:ascii="Times New Roman" w:hAnsi="Times New Roman" w:cs="Times New Roman"/>
          <w:sz w:val="24"/>
          <w:szCs w:val="24"/>
          <w:shd w:val="clear" w:color="auto" w:fill="FFFFFF"/>
        </w:rPr>
        <w:t>, G. and Gilbert-Squires, A., 2019. Move your money? Sustainability transitions in regimes and practices in the UK retail banking sector. </w:t>
      </w:r>
      <w:r w:rsidRPr="004F6549">
        <w:rPr>
          <w:rFonts w:ascii="Times New Roman" w:hAnsi="Times New Roman" w:cs="Times New Roman"/>
          <w:i/>
          <w:iCs/>
          <w:sz w:val="24"/>
          <w:szCs w:val="24"/>
          <w:shd w:val="clear" w:color="auto" w:fill="FFFFFF"/>
        </w:rPr>
        <w:t>Ecological economics</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156</w:t>
      </w:r>
      <w:r w:rsidRPr="004F6549">
        <w:rPr>
          <w:rFonts w:ascii="Times New Roman" w:hAnsi="Times New Roman" w:cs="Times New Roman"/>
          <w:sz w:val="24"/>
          <w:szCs w:val="24"/>
          <w:shd w:val="clear" w:color="auto" w:fill="FFFFFF"/>
        </w:rPr>
        <w:t>, pp.224-235.</w:t>
      </w:r>
    </w:p>
    <w:p w14:paraId="180F9EB4"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proofErr w:type="spellStart"/>
      <w:r w:rsidRPr="004F6549">
        <w:rPr>
          <w:rFonts w:ascii="Times New Roman" w:hAnsi="Times New Roman" w:cs="Times New Roman"/>
          <w:sz w:val="24"/>
          <w:szCs w:val="24"/>
          <w:shd w:val="clear" w:color="auto" w:fill="FFFFFF"/>
        </w:rPr>
        <w:t>Benbouzid</w:t>
      </w:r>
      <w:proofErr w:type="spellEnd"/>
      <w:r w:rsidRPr="004F6549">
        <w:rPr>
          <w:rFonts w:ascii="Times New Roman" w:hAnsi="Times New Roman" w:cs="Times New Roman"/>
          <w:sz w:val="24"/>
          <w:szCs w:val="24"/>
          <w:shd w:val="clear" w:color="auto" w:fill="FFFFFF"/>
        </w:rPr>
        <w:t xml:space="preserve">, N., Mallick, S. and </w:t>
      </w:r>
      <w:proofErr w:type="spellStart"/>
      <w:r w:rsidRPr="004F6549">
        <w:rPr>
          <w:rFonts w:ascii="Times New Roman" w:hAnsi="Times New Roman" w:cs="Times New Roman"/>
          <w:sz w:val="24"/>
          <w:szCs w:val="24"/>
          <w:shd w:val="clear" w:color="auto" w:fill="FFFFFF"/>
        </w:rPr>
        <w:t>Pilbeam</w:t>
      </w:r>
      <w:proofErr w:type="spellEnd"/>
      <w:r w:rsidRPr="004F6549">
        <w:rPr>
          <w:rFonts w:ascii="Times New Roman" w:hAnsi="Times New Roman" w:cs="Times New Roman"/>
          <w:sz w:val="24"/>
          <w:szCs w:val="24"/>
          <w:shd w:val="clear" w:color="auto" w:fill="FFFFFF"/>
        </w:rPr>
        <w:t>, K., 2018. The housing market and the credit default swap premium in the UK banking sector: A VAR approach. </w:t>
      </w:r>
      <w:r w:rsidRPr="004F6549">
        <w:rPr>
          <w:rFonts w:ascii="Times New Roman" w:hAnsi="Times New Roman" w:cs="Times New Roman"/>
          <w:i/>
          <w:iCs/>
          <w:sz w:val="24"/>
          <w:szCs w:val="24"/>
          <w:shd w:val="clear" w:color="auto" w:fill="FFFFFF"/>
        </w:rPr>
        <w:t>Research in International Business and Finance</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44</w:t>
      </w:r>
      <w:r w:rsidRPr="004F6549">
        <w:rPr>
          <w:rFonts w:ascii="Times New Roman" w:hAnsi="Times New Roman" w:cs="Times New Roman"/>
          <w:sz w:val="24"/>
          <w:szCs w:val="24"/>
          <w:shd w:val="clear" w:color="auto" w:fill="FFFFFF"/>
        </w:rPr>
        <w:t>, pp.1-15.</w:t>
      </w:r>
    </w:p>
    <w:p w14:paraId="2A481112"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Lu, J. and Boateng, A., 2018. Board composition, monitoring and credit risk: evidence from the UK banking industry. </w:t>
      </w:r>
      <w:r w:rsidRPr="004F6549">
        <w:rPr>
          <w:rFonts w:ascii="Times New Roman" w:hAnsi="Times New Roman" w:cs="Times New Roman"/>
          <w:i/>
          <w:iCs/>
          <w:sz w:val="24"/>
          <w:szCs w:val="24"/>
          <w:shd w:val="clear" w:color="auto" w:fill="FFFFFF"/>
        </w:rPr>
        <w:t>Review of Quantitative Finance and Accounting</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51</w:t>
      </w:r>
      <w:r w:rsidRPr="004F6549">
        <w:rPr>
          <w:rFonts w:ascii="Times New Roman" w:hAnsi="Times New Roman" w:cs="Times New Roman"/>
          <w:sz w:val="24"/>
          <w:szCs w:val="24"/>
          <w:shd w:val="clear" w:color="auto" w:fill="FFFFFF"/>
        </w:rPr>
        <w:t>(4), pp.1107-1128.</w:t>
      </w:r>
    </w:p>
    <w:p w14:paraId="29C3A36D"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Kitchen, P.J., 2017. Integrated marketing communications. Evolution, current status, future developments. </w:t>
      </w:r>
      <w:r w:rsidRPr="004F6549">
        <w:rPr>
          <w:rFonts w:ascii="Times New Roman" w:hAnsi="Times New Roman" w:cs="Times New Roman"/>
          <w:i/>
          <w:iCs/>
          <w:sz w:val="24"/>
          <w:szCs w:val="24"/>
          <w:shd w:val="clear" w:color="auto" w:fill="FFFFFF"/>
        </w:rPr>
        <w:t>European Journal of Marketing</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51</w:t>
      </w:r>
      <w:r w:rsidRPr="004F6549">
        <w:rPr>
          <w:rFonts w:ascii="Times New Roman" w:hAnsi="Times New Roman" w:cs="Times New Roman"/>
          <w:sz w:val="24"/>
          <w:szCs w:val="24"/>
          <w:shd w:val="clear" w:color="auto" w:fill="FFFFFF"/>
        </w:rPr>
        <w:t>(3), pp.394-405.</w:t>
      </w:r>
    </w:p>
    <w:p w14:paraId="516155CD"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Calderon, C. and </w:t>
      </w:r>
      <w:proofErr w:type="spellStart"/>
      <w:r w:rsidRPr="004F6549">
        <w:rPr>
          <w:rFonts w:ascii="Times New Roman" w:hAnsi="Times New Roman" w:cs="Times New Roman"/>
          <w:sz w:val="24"/>
          <w:szCs w:val="24"/>
          <w:shd w:val="clear" w:color="auto" w:fill="FFFFFF"/>
        </w:rPr>
        <w:t>Schaeck</w:t>
      </w:r>
      <w:proofErr w:type="spellEnd"/>
      <w:r w:rsidRPr="004F6549">
        <w:rPr>
          <w:rFonts w:ascii="Times New Roman" w:hAnsi="Times New Roman" w:cs="Times New Roman"/>
          <w:sz w:val="24"/>
          <w:szCs w:val="24"/>
          <w:shd w:val="clear" w:color="auto" w:fill="FFFFFF"/>
        </w:rPr>
        <w:t>, K., 2016. The effects of government interventions in the financial sector on banking competition and the evolution of zombie banks. </w:t>
      </w:r>
      <w:r w:rsidRPr="004F6549">
        <w:rPr>
          <w:rFonts w:ascii="Times New Roman" w:hAnsi="Times New Roman" w:cs="Times New Roman"/>
          <w:i/>
          <w:iCs/>
          <w:sz w:val="24"/>
          <w:szCs w:val="24"/>
          <w:shd w:val="clear" w:color="auto" w:fill="FFFFFF"/>
        </w:rPr>
        <w:t>Journal of Financial and Quantitative analysis</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51</w:t>
      </w:r>
      <w:r w:rsidRPr="004F6549">
        <w:rPr>
          <w:rFonts w:ascii="Times New Roman" w:hAnsi="Times New Roman" w:cs="Times New Roman"/>
          <w:sz w:val="24"/>
          <w:szCs w:val="24"/>
          <w:shd w:val="clear" w:color="auto" w:fill="FFFFFF"/>
        </w:rPr>
        <w:t>(4), pp.1391-1436.</w:t>
      </w:r>
    </w:p>
    <w:p w14:paraId="1E258512"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ALENAZI, S. and MOHMMAD, W., 2016. </w:t>
      </w:r>
      <w:r w:rsidRPr="004F6549">
        <w:rPr>
          <w:rFonts w:ascii="Times New Roman" w:hAnsi="Times New Roman" w:cs="Times New Roman"/>
          <w:i/>
          <w:iCs/>
          <w:sz w:val="24"/>
          <w:szCs w:val="24"/>
          <w:shd w:val="clear" w:color="auto" w:fill="FFFFFF"/>
        </w:rPr>
        <w:t>The Role of Corporate Governance in Enhancing Performance and Reducing Corporate Risk: The Case of the UK Banking Sector</w:t>
      </w:r>
      <w:r w:rsidRPr="004F6549">
        <w:rPr>
          <w:rFonts w:ascii="Times New Roman" w:hAnsi="Times New Roman" w:cs="Times New Roman"/>
          <w:sz w:val="24"/>
          <w:szCs w:val="24"/>
          <w:shd w:val="clear" w:color="auto" w:fill="FFFFFF"/>
        </w:rPr>
        <w:t> (Doctoral dissertation, Durham University).</w:t>
      </w:r>
    </w:p>
    <w:p w14:paraId="206ED716"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Bravo, R., </w:t>
      </w:r>
      <w:proofErr w:type="spellStart"/>
      <w:r w:rsidRPr="004F6549">
        <w:rPr>
          <w:rFonts w:ascii="Times New Roman" w:hAnsi="Times New Roman" w:cs="Times New Roman"/>
          <w:sz w:val="24"/>
          <w:szCs w:val="24"/>
          <w:shd w:val="clear" w:color="auto" w:fill="FFFFFF"/>
        </w:rPr>
        <w:t>Buil</w:t>
      </w:r>
      <w:proofErr w:type="spellEnd"/>
      <w:r w:rsidRPr="004F6549">
        <w:rPr>
          <w:rFonts w:ascii="Times New Roman" w:hAnsi="Times New Roman" w:cs="Times New Roman"/>
          <w:sz w:val="24"/>
          <w:szCs w:val="24"/>
          <w:shd w:val="clear" w:color="auto" w:fill="FFFFFF"/>
        </w:rPr>
        <w:t xml:space="preserve">, I., de </w:t>
      </w:r>
      <w:proofErr w:type="spellStart"/>
      <w:r w:rsidRPr="004F6549">
        <w:rPr>
          <w:rFonts w:ascii="Times New Roman" w:hAnsi="Times New Roman" w:cs="Times New Roman"/>
          <w:sz w:val="24"/>
          <w:szCs w:val="24"/>
          <w:shd w:val="clear" w:color="auto" w:fill="FFFFFF"/>
        </w:rPr>
        <w:t>Chernatony</w:t>
      </w:r>
      <w:proofErr w:type="spellEnd"/>
      <w:r w:rsidRPr="004F6549">
        <w:rPr>
          <w:rFonts w:ascii="Times New Roman" w:hAnsi="Times New Roman" w:cs="Times New Roman"/>
          <w:sz w:val="24"/>
          <w:szCs w:val="24"/>
          <w:shd w:val="clear" w:color="auto" w:fill="FFFFFF"/>
        </w:rPr>
        <w:t>, L. and Martínez, E., 2017. Brand Identity Management and Corporate Social Responsibility: an analysis from employees’ perspective in the banking sector. </w:t>
      </w:r>
      <w:r w:rsidRPr="004F6549">
        <w:rPr>
          <w:rFonts w:ascii="Times New Roman" w:hAnsi="Times New Roman" w:cs="Times New Roman"/>
          <w:i/>
          <w:iCs/>
          <w:sz w:val="24"/>
          <w:szCs w:val="24"/>
          <w:shd w:val="clear" w:color="auto" w:fill="FFFFFF"/>
        </w:rPr>
        <w:t>Journal of Business Economics and Management</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18</w:t>
      </w:r>
      <w:r w:rsidRPr="004F6549">
        <w:rPr>
          <w:rFonts w:ascii="Times New Roman" w:hAnsi="Times New Roman" w:cs="Times New Roman"/>
          <w:sz w:val="24"/>
          <w:szCs w:val="24"/>
          <w:shd w:val="clear" w:color="auto" w:fill="FFFFFF"/>
        </w:rPr>
        <w:t>(2), pp.241-257.</w:t>
      </w:r>
    </w:p>
    <w:p w14:paraId="573E2EC6"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lastRenderedPageBreak/>
        <w:t>Banerjee, R.N. and Mio, H., 2018. The impact of liquidity regulation on banks. </w:t>
      </w:r>
      <w:r w:rsidRPr="004F6549">
        <w:rPr>
          <w:rFonts w:ascii="Times New Roman" w:hAnsi="Times New Roman" w:cs="Times New Roman"/>
          <w:i/>
          <w:iCs/>
          <w:sz w:val="24"/>
          <w:szCs w:val="24"/>
          <w:shd w:val="clear" w:color="auto" w:fill="FFFFFF"/>
        </w:rPr>
        <w:t>Journal of Financial intermediation</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35</w:t>
      </w:r>
      <w:r w:rsidRPr="004F6549">
        <w:rPr>
          <w:rFonts w:ascii="Times New Roman" w:hAnsi="Times New Roman" w:cs="Times New Roman"/>
          <w:sz w:val="24"/>
          <w:szCs w:val="24"/>
          <w:shd w:val="clear" w:color="auto" w:fill="FFFFFF"/>
        </w:rPr>
        <w:t>, pp.30-44.</w:t>
      </w:r>
    </w:p>
    <w:p w14:paraId="07953C39"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Vickers, J., 2016. The systemic risk buffer for UK banks: a response to the Bank of England’s consultation paper. </w:t>
      </w:r>
      <w:r w:rsidRPr="004F6549">
        <w:rPr>
          <w:rFonts w:ascii="Times New Roman" w:hAnsi="Times New Roman" w:cs="Times New Roman"/>
          <w:i/>
          <w:iCs/>
          <w:sz w:val="24"/>
          <w:szCs w:val="24"/>
          <w:shd w:val="clear" w:color="auto" w:fill="FFFFFF"/>
        </w:rPr>
        <w:t>Journal of Financial Regulation</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2</w:t>
      </w:r>
      <w:r w:rsidRPr="004F6549">
        <w:rPr>
          <w:rFonts w:ascii="Times New Roman" w:hAnsi="Times New Roman" w:cs="Times New Roman"/>
          <w:sz w:val="24"/>
          <w:szCs w:val="24"/>
          <w:shd w:val="clear" w:color="auto" w:fill="FFFFFF"/>
        </w:rPr>
        <w:t>(2), pp.264-282.</w:t>
      </w:r>
    </w:p>
    <w:p w14:paraId="03340577"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Keogh, M.J., Wei, W., Wilson, I., Coxhead, J., Ryan, S., Rollinson, S., Griffin, H., </w:t>
      </w:r>
      <w:proofErr w:type="spellStart"/>
      <w:r w:rsidRPr="004F6549">
        <w:rPr>
          <w:rFonts w:ascii="Times New Roman" w:hAnsi="Times New Roman" w:cs="Times New Roman"/>
          <w:sz w:val="24"/>
          <w:szCs w:val="24"/>
          <w:shd w:val="clear" w:color="auto" w:fill="FFFFFF"/>
        </w:rPr>
        <w:t>Kurzawa-Akanbi</w:t>
      </w:r>
      <w:proofErr w:type="spellEnd"/>
      <w:r w:rsidRPr="004F6549">
        <w:rPr>
          <w:rFonts w:ascii="Times New Roman" w:hAnsi="Times New Roman" w:cs="Times New Roman"/>
          <w:sz w:val="24"/>
          <w:szCs w:val="24"/>
          <w:shd w:val="clear" w:color="auto" w:fill="FFFFFF"/>
        </w:rPr>
        <w:t xml:space="preserve">, M., </w:t>
      </w:r>
      <w:proofErr w:type="spellStart"/>
      <w:r w:rsidRPr="004F6549">
        <w:rPr>
          <w:rFonts w:ascii="Times New Roman" w:hAnsi="Times New Roman" w:cs="Times New Roman"/>
          <w:sz w:val="24"/>
          <w:szCs w:val="24"/>
          <w:shd w:val="clear" w:color="auto" w:fill="FFFFFF"/>
        </w:rPr>
        <w:t>Santibanez-Koref</w:t>
      </w:r>
      <w:proofErr w:type="spellEnd"/>
      <w:r w:rsidRPr="004F6549">
        <w:rPr>
          <w:rFonts w:ascii="Times New Roman" w:hAnsi="Times New Roman" w:cs="Times New Roman"/>
          <w:sz w:val="24"/>
          <w:szCs w:val="24"/>
          <w:shd w:val="clear" w:color="auto" w:fill="FFFFFF"/>
        </w:rPr>
        <w:t>, M., Talbot, K. and Turner, M.R., 2017. Genetic compendium of 1511 human brains available through the UK medical research council brain banks network resource. </w:t>
      </w:r>
      <w:r w:rsidRPr="004F6549">
        <w:rPr>
          <w:rFonts w:ascii="Times New Roman" w:hAnsi="Times New Roman" w:cs="Times New Roman"/>
          <w:i/>
          <w:iCs/>
          <w:sz w:val="24"/>
          <w:szCs w:val="24"/>
          <w:shd w:val="clear" w:color="auto" w:fill="FFFFFF"/>
        </w:rPr>
        <w:t>Genome research</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27</w:t>
      </w:r>
      <w:r w:rsidRPr="004F6549">
        <w:rPr>
          <w:rFonts w:ascii="Times New Roman" w:hAnsi="Times New Roman" w:cs="Times New Roman"/>
          <w:sz w:val="24"/>
          <w:szCs w:val="24"/>
          <w:shd w:val="clear" w:color="auto" w:fill="FFFFFF"/>
        </w:rPr>
        <w:t>(1), pp.165-173.</w:t>
      </w:r>
    </w:p>
    <w:p w14:paraId="7DC266E4"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Zhao, T. and Jones-Evans, D., 2017. SMEs, banks and the spatial differentiation of access to finance. </w:t>
      </w:r>
      <w:r w:rsidRPr="004F6549">
        <w:rPr>
          <w:rFonts w:ascii="Times New Roman" w:hAnsi="Times New Roman" w:cs="Times New Roman"/>
          <w:i/>
          <w:iCs/>
          <w:sz w:val="24"/>
          <w:szCs w:val="24"/>
          <w:shd w:val="clear" w:color="auto" w:fill="FFFFFF"/>
        </w:rPr>
        <w:t>Journal of Economic Geography</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17</w:t>
      </w:r>
      <w:r w:rsidRPr="004F6549">
        <w:rPr>
          <w:rFonts w:ascii="Times New Roman" w:hAnsi="Times New Roman" w:cs="Times New Roman"/>
          <w:sz w:val="24"/>
          <w:szCs w:val="24"/>
          <w:shd w:val="clear" w:color="auto" w:fill="FFFFFF"/>
        </w:rPr>
        <w:t>(4), pp.791-824.</w:t>
      </w:r>
    </w:p>
    <w:p w14:paraId="25F22FAB"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proofErr w:type="spellStart"/>
      <w:r w:rsidRPr="004F6549">
        <w:rPr>
          <w:rFonts w:ascii="Times New Roman" w:hAnsi="Times New Roman" w:cs="Times New Roman"/>
          <w:sz w:val="24"/>
          <w:szCs w:val="24"/>
          <w:shd w:val="clear" w:color="auto" w:fill="FFFFFF"/>
        </w:rPr>
        <w:t>Güneş</w:t>
      </w:r>
      <w:proofErr w:type="spellEnd"/>
      <w:r w:rsidRPr="004F6549">
        <w:rPr>
          <w:rFonts w:ascii="Times New Roman" w:hAnsi="Times New Roman" w:cs="Times New Roman"/>
          <w:sz w:val="24"/>
          <w:szCs w:val="24"/>
          <w:shd w:val="clear" w:color="auto" w:fill="FFFFFF"/>
        </w:rPr>
        <w:t xml:space="preserve">, N. and </w:t>
      </w:r>
      <w:proofErr w:type="spellStart"/>
      <w:r w:rsidRPr="004F6549">
        <w:rPr>
          <w:rFonts w:ascii="Times New Roman" w:hAnsi="Times New Roman" w:cs="Times New Roman"/>
          <w:sz w:val="24"/>
          <w:szCs w:val="24"/>
          <w:shd w:val="clear" w:color="auto" w:fill="FFFFFF"/>
        </w:rPr>
        <w:t>Atılgan</w:t>
      </w:r>
      <w:proofErr w:type="spellEnd"/>
      <w:r w:rsidRPr="004F6549">
        <w:rPr>
          <w:rFonts w:ascii="Times New Roman" w:hAnsi="Times New Roman" w:cs="Times New Roman"/>
          <w:sz w:val="24"/>
          <w:szCs w:val="24"/>
          <w:shd w:val="clear" w:color="auto" w:fill="FFFFFF"/>
        </w:rPr>
        <w:t>, M.S., 2016. Comparison of the Effectiveness of Audit Committees in the UK and Turkish Banks. </w:t>
      </w:r>
      <w:r w:rsidRPr="004F6549">
        <w:rPr>
          <w:rFonts w:ascii="Times New Roman" w:hAnsi="Times New Roman" w:cs="Times New Roman"/>
          <w:i/>
          <w:iCs/>
          <w:sz w:val="24"/>
          <w:szCs w:val="24"/>
          <w:shd w:val="clear" w:color="auto" w:fill="FFFFFF"/>
        </w:rPr>
        <w:t>International Journal of Financial Research</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7</w:t>
      </w:r>
      <w:r w:rsidRPr="004F6549">
        <w:rPr>
          <w:rFonts w:ascii="Times New Roman" w:hAnsi="Times New Roman" w:cs="Times New Roman"/>
          <w:sz w:val="24"/>
          <w:szCs w:val="24"/>
          <w:shd w:val="clear" w:color="auto" w:fill="FFFFFF"/>
        </w:rPr>
        <w:t>(2).</w:t>
      </w:r>
    </w:p>
    <w:p w14:paraId="571B80AC"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Saeed, M.S. and Zahid, N., 2016. The impact of credit risk on profitability of the commercial banks. </w:t>
      </w:r>
      <w:r w:rsidRPr="004F6549">
        <w:rPr>
          <w:rFonts w:ascii="Times New Roman" w:hAnsi="Times New Roman" w:cs="Times New Roman"/>
          <w:i/>
          <w:iCs/>
          <w:sz w:val="24"/>
          <w:szCs w:val="24"/>
          <w:shd w:val="clear" w:color="auto" w:fill="FFFFFF"/>
        </w:rPr>
        <w:t>Journal of Business &amp; Financial Affairs</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5</w:t>
      </w:r>
      <w:r w:rsidRPr="004F6549">
        <w:rPr>
          <w:rFonts w:ascii="Times New Roman" w:hAnsi="Times New Roman" w:cs="Times New Roman"/>
          <w:sz w:val="24"/>
          <w:szCs w:val="24"/>
          <w:shd w:val="clear" w:color="auto" w:fill="FFFFFF"/>
        </w:rPr>
        <w:t>(2), pp.2167-0234.</w:t>
      </w:r>
    </w:p>
    <w:p w14:paraId="5524203F"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proofErr w:type="spellStart"/>
      <w:r w:rsidRPr="004F6549">
        <w:rPr>
          <w:rFonts w:ascii="Times New Roman" w:hAnsi="Times New Roman" w:cs="Times New Roman"/>
          <w:sz w:val="24"/>
          <w:szCs w:val="24"/>
          <w:shd w:val="clear" w:color="auto" w:fill="FFFFFF"/>
        </w:rPr>
        <w:t>Qiu</w:t>
      </w:r>
      <w:proofErr w:type="spellEnd"/>
      <w:r w:rsidRPr="004F6549">
        <w:rPr>
          <w:rFonts w:ascii="Times New Roman" w:hAnsi="Times New Roman" w:cs="Times New Roman"/>
          <w:sz w:val="24"/>
          <w:szCs w:val="24"/>
          <w:shd w:val="clear" w:color="auto" w:fill="FFFFFF"/>
        </w:rPr>
        <w:t xml:space="preserve">, Y., Shaukat, A. and </w:t>
      </w:r>
      <w:proofErr w:type="spellStart"/>
      <w:r w:rsidRPr="004F6549">
        <w:rPr>
          <w:rFonts w:ascii="Times New Roman" w:hAnsi="Times New Roman" w:cs="Times New Roman"/>
          <w:sz w:val="24"/>
          <w:szCs w:val="24"/>
          <w:shd w:val="clear" w:color="auto" w:fill="FFFFFF"/>
        </w:rPr>
        <w:t>Tharyan</w:t>
      </w:r>
      <w:proofErr w:type="spellEnd"/>
      <w:r w:rsidRPr="004F6549">
        <w:rPr>
          <w:rFonts w:ascii="Times New Roman" w:hAnsi="Times New Roman" w:cs="Times New Roman"/>
          <w:sz w:val="24"/>
          <w:szCs w:val="24"/>
          <w:shd w:val="clear" w:color="auto" w:fill="FFFFFF"/>
        </w:rPr>
        <w:t>, R., 2016. Environmental and social disclosures: Link with corporate financial performance. </w:t>
      </w:r>
      <w:r w:rsidRPr="004F6549">
        <w:rPr>
          <w:rFonts w:ascii="Times New Roman" w:hAnsi="Times New Roman" w:cs="Times New Roman"/>
          <w:i/>
          <w:iCs/>
          <w:sz w:val="24"/>
          <w:szCs w:val="24"/>
          <w:shd w:val="clear" w:color="auto" w:fill="FFFFFF"/>
        </w:rPr>
        <w:t>The British Accounting Review</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48</w:t>
      </w:r>
      <w:r w:rsidRPr="004F6549">
        <w:rPr>
          <w:rFonts w:ascii="Times New Roman" w:hAnsi="Times New Roman" w:cs="Times New Roman"/>
          <w:sz w:val="24"/>
          <w:szCs w:val="24"/>
          <w:shd w:val="clear" w:color="auto" w:fill="FFFFFF"/>
        </w:rPr>
        <w:t>(1), pp.102-116.</w:t>
      </w:r>
    </w:p>
    <w:p w14:paraId="65F601F4"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Afonso, A., </w:t>
      </w:r>
      <w:proofErr w:type="spellStart"/>
      <w:r w:rsidRPr="004F6549">
        <w:rPr>
          <w:rFonts w:ascii="Times New Roman" w:hAnsi="Times New Roman" w:cs="Times New Roman"/>
          <w:sz w:val="24"/>
          <w:szCs w:val="24"/>
          <w:shd w:val="clear" w:color="auto" w:fill="FFFFFF"/>
        </w:rPr>
        <w:t>Baxa</w:t>
      </w:r>
      <w:proofErr w:type="spellEnd"/>
      <w:r w:rsidRPr="004F6549">
        <w:rPr>
          <w:rFonts w:ascii="Times New Roman" w:hAnsi="Times New Roman" w:cs="Times New Roman"/>
          <w:sz w:val="24"/>
          <w:szCs w:val="24"/>
          <w:shd w:val="clear" w:color="auto" w:fill="FFFFFF"/>
        </w:rPr>
        <w:t xml:space="preserve">, J. and </w:t>
      </w:r>
      <w:proofErr w:type="spellStart"/>
      <w:r w:rsidRPr="004F6549">
        <w:rPr>
          <w:rFonts w:ascii="Times New Roman" w:hAnsi="Times New Roman" w:cs="Times New Roman"/>
          <w:sz w:val="24"/>
          <w:szCs w:val="24"/>
          <w:shd w:val="clear" w:color="auto" w:fill="FFFFFF"/>
        </w:rPr>
        <w:t>Slavík</w:t>
      </w:r>
      <w:proofErr w:type="spellEnd"/>
      <w:r w:rsidRPr="004F6549">
        <w:rPr>
          <w:rFonts w:ascii="Times New Roman" w:hAnsi="Times New Roman" w:cs="Times New Roman"/>
          <w:sz w:val="24"/>
          <w:szCs w:val="24"/>
          <w:shd w:val="clear" w:color="auto" w:fill="FFFFFF"/>
        </w:rPr>
        <w:t>, M., 2018. Fiscal developments and financial stress: a threshold VAR analysis. </w:t>
      </w:r>
      <w:r w:rsidRPr="004F6549">
        <w:rPr>
          <w:rFonts w:ascii="Times New Roman" w:hAnsi="Times New Roman" w:cs="Times New Roman"/>
          <w:i/>
          <w:iCs/>
          <w:sz w:val="24"/>
          <w:szCs w:val="24"/>
          <w:shd w:val="clear" w:color="auto" w:fill="FFFFFF"/>
        </w:rPr>
        <w:t>Empirical Economics</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54</w:t>
      </w:r>
      <w:r w:rsidRPr="004F6549">
        <w:rPr>
          <w:rFonts w:ascii="Times New Roman" w:hAnsi="Times New Roman" w:cs="Times New Roman"/>
          <w:sz w:val="24"/>
          <w:szCs w:val="24"/>
          <w:shd w:val="clear" w:color="auto" w:fill="FFFFFF"/>
        </w:rPr>
        <w:t>(2), pp.395-423.</w:t>
      </w:r>
    </w:p>
    <w:p w14:paraId="29B5CB27"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sz w:val="24"/>
          <w:szCs w:val="24"/>
          <w:shd w:val="clear" w:color="auto" w:fill="FFFFFF"/>
        </w:rPr>
        <w:t>Adrian, T. and Liang, N., 2016. Monetary policy, financial conditions, and financial stability.</w:t>
      </w:r>
    </w:p>
    <w:p w14:paraId="3E3F6505"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b/>
          <w:sz w:val="24"/>
          <w:szCs w:val="24"/>
        </w:rPr>
        <w:t>Online articles</w:t>
      </w:r>
    </w:p>
    <w:p w14:paraId="21134018" w14:textId="77777777" w:rsidR="009E37D1" w:rsidRPr="004F6549" w:rsidRDefault="009E37D1" w:rsidP="00E95AFC">
      <w:pPr>
        <w:spacing w:line="360" w:lineRule="auto"/>
        <w:jc w:val="both"/>
        <w:rPr>
          <w:rFonts w:ascii="Times New Roman" w:hAnsi="Times New Roman" w:cs="Times New Roman"/>
          <w:sz w:val="24"/>
          <w:szCs w:val="24"/>
        </w:rPr>
      </w:pPr>
      <w:proofErr w:type="spellStart"/>
      <w:r w:rsidRPr="004F6549">
        <w:rPr>
          <w:rFonts w:ascii="Times New Roman" w:hAnsi="Times New Roman" w:cs="Times New Roman"/>
          <w:sz w:val="24"/>
          <w:szCs w:val="24"/>
          <w:shd w:val="clear" w:color="auto" w:fill="FFFFFF"/>
        </w:rPr>
        <w:t>Buil</w:t>
      </w:r>
      <w:proofErr w:type="spellEnd"/>
      <w:r w:rsidRPr="004F6549">
        <w:rPr>
          <w:rFonts w:ascii="Times New Roman" w:hAnsi="Times New Roman" w:cs="Times New Roman"/>
          <w:sz w:val="24"/>
          <w:szCs w:val="24"/>
          <w:shd w:val="clear" w:color="auto" w:fill="FFFFFF"/>
        </w:rPr>
        <w:t xml:space="preserve">, I., </w:t>
      </w:r>
      <w:proofErr w:type="spellStart"/>
      <w:r w:rsidRPr="004F6549">
        <w:rPr>
          <w:rFonts w:ascii="Times New Roman" w:hAnsi="Times New Roman" w:cs="Times New Roman"/>
          <w:sz w:val="24"/>
          <w:szCs w:val="24"/>
          <w:shd w:val="clear" w:color="auto" w:fill="FFFFFF"/>
        </w:rPr>
        <w:t>Catalán</w:t>
      </w:r>
      <w:proofErr w:type="spellEnd"/>
      <w:r w:rsidRPr="004F6549">
        <w:rPr>
          <w:rFonts w:ascii="Times New Roman" w:hAnsi="Times New Roman" w:cs="Times New Roman"/>
          <w:sz w:val="24"/>
          <w:szCs w:val="24"/>
          <w:shd w:val="clear" w:color="auto" w:fill="FFFFFF"/>
        </w:rPr>
        <w:t>, S. and Martínez, E., 2016. The importance of corporate brand identity in business management: An application to the UK banking sector. </w:t>
      </w:r>
      <w:r w:rsidRPr="004F6549">
        <w:rPr>
          <w:rFonts w:ascii="Times New Roman" w:hAnsi="Times New Roman" w:cs="Times New Roman"/>
          <w:i/>
          <w:iCs/>
          <w:sz w:val="24"/>
          <w:szCs w:val="24"/>
          <w:shd w:val="clear" w:color="auto" w:fill="FFFFFF"/>
        </w:rPr>
        <w:t>BRQ Business Research Quarterly</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19</w:t>
      </w:r>
      <w:r w:rsidRPr="004F6549">
        <w:rPr>
          <w:rFonts w:ascii="Times New Roman" w:hAnsi="Times New Roman" w:cs="Times New Roman"/>
          <w:sz w:val="24"/>
          <w:szCs w:val="24"/>
          <w:shd w:val="clear" w:color="auto" w:fill="FFFFFF"/>
        </w:rPr>
        <w:t xml:space="preserve">(1), pp.3-12. Available at: </w:t>
      </w:r>
      <w:r w:rsidRPr="004F6549">
        <w:rPr>
          <w:rFonts w:ascii="Times New Roman" w:hAnsi="Times New Roman" w:cs="Times New Roman"/>
          <w:sz w:val="24"/>
          <w:szCs w:val="24"/>
        </w:rPr>
        <w:t>https://www.sciencedirect.com/science/article/pii/S2340943614000693 [Accessed on 5th April 2020]</w:t>
      </w:r>
    </w:p>
    <w:p w14:paraId="7A8E92EF" w14:textId="77777777" w:rsidR="009E37D1" w:rsidRPr="004F6549" w:rsidRDefault="009E37D1" w:rsidP="00E95AFC">
      <w:pPr>
        <w:spacing w:line="360" w:lineRule="auto"/>
        <w:jc w:val="both"/>
        <w:rPr>
          <w:rFonts w:ascii="Times New Roman" w:hAnsi="Times New Roman" w:cs="Times New Roman"/>
          <w:sz w:val="24"/>
          <w:szCs w:val="24"/>
        </w:rPr>
      </w:pPr>
      <w:r w:rsidRPr="004F6549">
        <w:rPr>
          <w:rFonts w:ascii="Times New Roman" w:hAnsi="Times New Roman" w:cs="Times New Roman"/>
          <w:sz w:val="24"/>
          <w:szCs w:val="24"/>
          <w:shd w:val="clear" w:color="auto" w:fill="FFFFFF"/>
        </w:rPr>
        <w:t>Geddes, A., Schmidt, T.S. and Steffen, B., 2018. The multiple roles of state investment banks in low-carbon energy finance: An analysis of Australia, the UK and Germany. </w:t>
      </w:r>
      <w:r w:rsidRPr="004F6549">
        <w:rPr>
          <w:rFonts w:ascii="Times New Roman" w:hAnsi="Times New Roman" w:cs="Times New Roman"/>
          <w:i/>
          <w:iCs/>
          <w:sz w:val="24"/>
          <w:szCs w:val="24"/>
          <w:shd w:val="clear" w:color="auto" w:fill="FFFFFF"/>
        </w:rPr>
        <w:t>Energy Policy</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115</w:t>
      </w:r>
      <w:r w:rsidRPr="004F6549">
        <w:rPr>
          <w:rFonts w:ascii="Times New Roman" w:hAnsi="Times New Roman" w:cs="Times New Roman"/>
          <w:sz w:val="24"/>
          <w:szCs w:val="24"/>
          <w:shd w:val="clear" w:color="auto" w:fill="FFFFFF"/>
        </w:rPr>
        <w:t xml:space="preserve">, pp.158-170. Available at: </w:t>
      </w:r>
      <w:r w:rsidRPr="004F6549">
        <w:rPr>
          <w:rFonts w:ascii="Times New Roman" w:hAnsi="Times New Roman" w:cs="Times New Roman"/>
          <w:sz w:val="24"/>
          <w:szCs w:val="24"/>
        </w:rPr>
        <w:t>https://www.sciencedirect.com/science/article/pii/S0301421518300090 [Accessed on 5th April 2020]</w:t>
      </w:r>
    </w:p>
    <w:p w14:paraId="4AA7E032" w14:textId="77777777" w:rsidR="009E37D1" w:rsidRPr="004F6549" w:rsidRDefault="009E37D1" w:rsidP="00E95AFC">
      <w:pPr>
        <w:spacing w:line="360" w:lineRule="auto"/>
        <w:jc w:val="both"/>
        <w:rPr>
          <w:rFonts w:ascii="Times New Roman" w:hAnsi="Times New Roman" w:cs="Times New Roman"/>
          <w:sz w:val="24"/>
          <w:szCs w:val="24"/>
        </w:rPr>
      </w:pPr>
      <w:proofErr w:type="spellStart"/>
      <w:r w:rsidRPr="004F6549">
        <w:rPr>
          <w:rFonts w:ascii="Times New Roman" w:hAnsi="Times New Roman" w:cs="Times New Roman"/>
          <w:sz w:val="24"/>
          <w:szCs w:val="24"/>
          <w:shd w:val="clear" w:color="auto" w:fill="FFFFFF"/>
        </w:rPr>
        <w:lastRenderedPageBreak/>
        <w:t>Ouenniche</w:t>
      </w:r>
      <w:proofErr w:type="spellEnd"/>
      <w:r w:rsidRPr="004F6549">
        <w:rPr>
          <w:rFonts w:ascii="Times New Roman" w:hAnsi="Times New Roman" w:cs="Times New Roman"/>
          <w:sz w:val="24"/>
          <w:szCs w:val="24"/>
          <w:shd w:val="clear" w:color="auto" w:fill="FFFFFF"/>
        </w:rPr>
        <w:t xml:space="preserve">, J. and </w:t>
      </w:r>
      <w:proofErr w:type="spellStart"/>
      <w:r w:rsidRPr="004F6549">
        <w:rPr>
          <w:rFonts w:ascii="Times New Roman" w:hAnsi="Times New Roman" w:cs="Times New Roman"/>
          <w:sz w:val="24"/>
          <w:szCs w:val="24"/>
          <w:shd w:val="clear" w:color="auto" w:fill="FFFFFF"/>
        </w:rPr>
        <w:t>Carrales</w:t>
      </w:r>
      <w:proofErr w:type="spellEnd"/>
      <w:r w:rsidRPr="004F6549">
        <w:rPr>
          <w:rFonts w:ascii="Times New Roman" w:hAnsi="Times New Roman" w:cs="Times New Roman"/>
          <w:sz w:val="24"/>
          <w:szCs w:val="24"/>
          <w:shd w:val="clear" w:color="auto" w:fill="FFFFFF"/>
        </w:rPr>
        <w:t>, S., 2018. Assessing efficiency profiles of UK commercial banks: a DEA analysis with regression-based feedback. </w:t>
      </w:r>
      <w:r w:rsidRPr="004F6549">
        <w:rPr>
          <w:rFonts w:ascii="Times New Roman" w:hAnsi="Times New Roman" w:cs="Times New Roman"/>
          <w:i/>
          <w:iCs/>
          <w:sz w:val="24"/>
          <w:szCs w:val="24"/>
          <w:shd w:val="clear" w:color="auto" w:fill="FFFFFF"/>
        </w:rPr>
        <w:t>Annals of Operations Research</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266</w:t>
      </w:r>
      <w:r w:rsidRPr="004F6549">
        <w:rPr>
          <w:rFonts w:ascii="Times New Roman" w:hAnsi="Times New Roman" w:cs="Times New Roman"/>
          <w:sz w:val="24"/>
          <w:szCs w:val="24"/>
          <w:shd w:val="clear" w:color="auto" w:fill="FFFFFF"/>
        </w:rPr>
        <w:t xml:space="preserve">(1-2), pp.551-587. Available at: </w:t>
      </w:r>
      <w:r w:rsidRPr="004F6549">
        <w:rPr>
          <w:rFonts w:ascii="Times New Roman" w:hAnsi="Times New Roman" w:cs="Times New Roman"/>
          <w:sz w:val="24"/>
          <w:szCs w:val="24"/>
        </w:rPr>
        <w:t>https://link.springer.com/article/10.1007/s10479-018-2797-z [Accessed on 5th April 2020]</w:t>
      </w:r>
    </w:p>
    <w:p w14:paraId="2550C44B" w14:textId="77777777" w:rsidR="009E37D1" w:rsidRPr="004F6549" w:rsidRDefault="009E37D1" w:rsidP="00E95AFC">
      <w:pPr>
        <w:spacing w:line="360" w:lineRule="auto"/>
        <w:jc w:val="both"/>
        <w:rPr>
          <w:rFonts w:ascii="Times New Roman" w:hAnsi="Times New Roman" w:cs="Times New Roman"/>
          <w:b/>
          <w:sz w:val="24"/>
          <w:szCs w:val="24"/>
        </w:rPr>
      </w:pPr>
      <w:proofErr w:type="spellStart"/>
      <w:r w:rsidRPr="004F6549">
        <w:rPr>
          <w:rFonts w:ascii="Times New Roman" w:hAnsi="Times New Roman" w:cs="Times New Roman"/>
          <w:sz w:val="24"/>
          <w:szCs w:val="24"/>
          <w:shd w:val="clear" w:color="auto" w:fill="FFFFFF"/>
        </w:rPr>
        <w:t>Ozkan</w:t>
      </w:r>
      <w:proofErr w:type="spellEnd"/>
      <w:r w:rsidRPr="004F6549">
        <w:rPr>
          <w:rFonts w:ascii="Times New Roman" w:hAnsi="Times New Roman" w:cs="Times New Roman"/>
          <w:sz w:val="24"/>
          <w:szCs w:val="24"/>
          <w:shd w:val="clear" w:color="auto" w:fill="FFFFFF"/>
        </w:rPr>
        <w:t xml:space="preserve">, N., </w:t>
      </w:r>
      <w:proofErr w:type="spellStart"/>
      <w:r w:rsidRPr="004F6549">
        <w:rPr>
          <w:rFonts w:ascii="Times New Roman" w:hAnsi="Times New Roman" w:cs="Times New Roman"/>
          <w:sz w:val="24"/>
          <w:szCs w:val="24"/>
          <w:shd w:val="clear" w:color="auto" w:fill="FFFFFF"/>
        </w:rPr>
        <w:t>Cakan</w:t>
      </w:r>
      <w:proofErr w:type="spellEnd"/>
      <w:r w:rsidRPr="004F6549">
        <w:rPr>
          <w:rFonts w:ascii="Times New Roman" w:hAnsi="Times New Roman" w:cs="Times New Roman"/>
          <w:sz w:val="24"/>
          <w:szCs w:val="24"/>
          <w:shd w:val="clear" w:color="auto" w:fill="FFFFFF"/>
        </w:rPr>
        <w:t xml:space="preserve">, S. and </w:t>
      </w:r>
      <w:proofErr w:type="spellStart"/>
      <w:r w:rsidRPr="004F6549">
        <w:rPr>
          <w:rFonts w:ascii="Times New Roman" w:hAnsi="Times New Roman" w:cs="Times New Roman"/>
          <w:sz w:val="24"/>
          <w:szCs w:val="24"/>
          <w:shd w:val="clear" w:color="auto" w:fill="FFFFFF"/>
        </w:rPr>
        <w:t>Kayacan</w:t>
      </w:r>
      <w:proofErr w:type="spellEnd"/>
      <w:r w:rsidRPr="004F6549">
        <w:rPr>
          <w:rFonts w:ascii="Times New Roman" w:hAnsi="Times New Roman" w:cs="Times New Roman"/>
          <w:sz w:val="24"/>
          <w:szCs w:val="24"/>
          <w:shd w:val="clear" w:color="auto" w:fill="FFFFFF"/>
        </w:rPr>
        <w:t>, M., 2017. Intellectual capital and financial performance: A study of the Turkish Banking Sector. </w:t>
      </w:r>
      <w:proofErr w:type="spellStart"/>
      <w:r w:rsidRPr="004F6549">
        <w:rPr>
          <w:rFonts w:ascii="Times New Roman" w:hAnsi="Times New Roman" w:cs="Times New Roman"/>
          <w:i/>
          <w:iCs/>
          <w:sz w:val="24"/>
          <w:szCs w:val="24"/>
          <w:shd w:val="clear" w:color="auto" w:fill="FFFFFF"/>
        </w:rPr>
        <w:t>Borsa</w:t>
      </w:r>
      <w:proofErr w:type="spellEnd"/>
      <w:r w:rsidRPr="004F6549">
        <w:rPr>
          <w:rFonts w:ascii="Times New Roman" w:hAnsi="Times New Roman" w:cs="Times New Roman"/>
          <w:i/>
          <w:iCs/>
          <w:sz w:val="24"/>
          <w:szCs w:val="24"/>
          <w:shd w:val="clear" w:color="auto" w:fill="FFFFFF"/>
        </w:rPr>
        <w:t xml:space="preserve"> Istanbul Review</w:t>
      </w:r>
      <w:r w:rsidRPr="004F6549">
        <w:rPr>
          <w:rFonts w:ascii="Times New Roman" w:hAnsi="Times New Roman" w:cs="Times New Roman"/>
          <w:sz w:val="24"/>
          <w:szCs w:val="24"/>
          <w:shd w:val="clear" w:color="auto" w:fill="FFFFFF"/>
        </w:rPr>
        <w:t>, </w:t>
      </w:r>
      <w:r w:rsidRPr="004F6549">
        <w:rPr>
          <w:rFonts w:ascii="Times New Roman" w:hAnsi="Times New Roman" w:cs="Times New Roman"/>
          <w:i/>
          <w:iCs/>
          <w:sz w:val="24"/>
          <w:szCs w:val="24"/>
          <w:shd w:val="clear" w:color="auto" w:fill="FFFFFF"/>
        </w:rPr>
        <w:t>17</w:t>
      </w:r>
      <w:r w:rsidRPr="004F6549">
        <w:rPr>
          <w:rFonts w:ascii="Times New Roman" w:hAnsi="Times New Roman" w:cs="Times New Roman"/>
          <w:sz w:val="24"/>
          <w:szCs w:val="24"/>
          <w:shd w:val="clear" w:color="auto" w:fill="FFFFFF"/>
        </w:rPr>
        <w:t xml:space="preserve">(3), pp.190-198. Available at: </w:t>
      </w:r>
      <w:r w:rsidRPr="004F6549">
        <w:rPr>
          <w:rFonts w:ascii="Times New Roman" w:hAnsi="Times New Roman" w:cs="Times New Roman"/>
          <w:sz w:val="24"/>
          <w:szCs w:val="24"/>
        </w:rPr>
        <w:t>https://www.sciencedirect.com/science/article/pii/S2214845016300011 [Accessed on 5th April 2020]</w:t>
      </w:r>
    </w:p>
    <w:p w14:paraId="26873AD4"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b/>
          <w:sz w:val="24"/>
          <w:szCs w:val="24"/>
        </w:rPr>
        <w:t xml:space="preserve">Websites </w:t>
      </w:r>
    </w:p>
    <w:p w14:paraId="2CE898BB"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lloydsbank.com (2020) Official site of Lloyds Bank available at: </w:t>
      </w:r>
      <w:r w:rsidRPr="004F6549">
        <w:rPr>
          <w:rFonts w:ascii="Times New Roman" w:hAnsi="Times New Roman" w:cs="Times New Roman"/>
          <w:sz w:val="24"/>
          <w:szCs w:val="24"/>
        </w:rPr>
        <w:t>https://www.lloydsbank.com/ [Accessed on 6th April 2020]</w:t>
      </w:r>
    </w:p>
    <w:p w14:paraId="7237FCDF" w14:textId="77777777" w:rsidR="009E37D1" w:rsidRPr="004F6549" w:rsidRDefault="009E37D1" w:rsidP="00E95AFC">
      <w:pPr>
        <w:spacing w:line="360" w:lineRule="auto"/>
        <w:jc w:val="both"/>
        <w:rPr>
          <w:rFonts w:ascii="Times New Roman" w:hAnsi="Times New Roman" w:cs="Times New Roman"/>
          <w:sz w:val="24"/>
          <w:szCs w:val="24"/>
          <w:shd w:val="clear" w:color="auto" w:fill="FFFFFF"/>
        </w:rPr>
      </w:pPr>
      <w:r w:rsidRPr="004F6549">
        <w:rPr>
          <w:rFonts w:ascii="Times New Roman" w:hAnsi="Times New Roman" w:cs="Times New Roman"/>
          <w:sz w:val="24"/>
          <w:szCs w:val="24"/>
          <w:shd w:val="clear" w:color="auto" w:fill="FFFFFF"/>
        </w:rPr>
        <w:t xml:space="preserve">barclays.co.uk (2020) Official site of Barclays Bank available at: </w:t>
      </w:r>
      <w:r w:rsidRPr="004F6549">
        <w:rPr>
          <w:rFonts w:ascii="Times New Roman" w:hAnsi="Times New Roman" w:cs="Times New Roman"/>
          <w:sz w:val="24"/>
          <w:szCs w:val="24"/>
        </w:rPr>
        <w:t>https://www.barclays.co.uk/ [Accessed on 7th April 2020]</w:t>
      </w:r>
    </w:p>
    <w:p w14:paraId="68ECE707" w14:textId="77777777" w:rsidR="009E37D1" w:rsidRPr="004F6549" w:rsidRDefault="009E37D1" w:rsidP="00E95AFC">
      <w:pPr>
        <w:spacing w:line="360" w:lineRule="auto"/>
        <w:jc w:val="both"/>
        <w:rPr>
          <w:rFonts w:ascii="Times New Roman" w:hAnsi="Times New Roman" w:cs="Times New Roman"/>
          <w:b/>
          <w:sz w:val="24"/>
          <w:szCs w:val="24"/>
        </w:rPr>
      </w:pPr>
      <w:r w:rsidRPr="004F6549">
        <w:rPr>
          <w:rFonts w:ascii="Times New Roman" w:hAnsi="Times New Roman" w:cs="Times New Roman"/>
          <w:sz w:val="24"/>
          <w:szCs w:val="24"/>
          <w:shd w:val="clear" w:color="auto" w:fill="FFFFFF"/>
        </w:rPr>
        <w:t xml:space="preserve">santander.co.uk (2020) Official site of Santander Bank available at: </w:t>
      </w:r>
      <w:r w:rsidRPr="004F6549">
        <w:rPr>
          <w:rFonts w:ascii="Times New Roman" w:hAnsi="Times New Roman" w:cs="Times New Roman"/>
          <w:sz w:val="24"/>
          <w:szCs w:val="24"/>
        </w:rPr>
        <w:t>https://www.santander.co.uk/ [Accessed on 8th April 2020]</w:t>
      </w:r>
    </w:p>
    <w:p w14:paraId="184EDA62" w14:textId="77777777" w:rsidR="00C65B51" w:rsidRPr="004F6549" w:rsidRDefault="00C65B51" w:rsidP="00E95AFC">
      <w:pPr>
        <w:spacing w:line="360" w:lineRule="auto"/>
        <w:jc w:val="both"/>
        <w:rPr>
          <w:rFonts w:ascii="Times New Roman" w:hAnsi="Times New Roman" w:cs="Times New Roman"/>
          <w:b/>
          <w:sz w:val="24"/>
          <w:szCs w:val="24"/>
        </w:rPr>
      </w:pPr>
    </w:p>
    <w:sectPr w:rsidR="00C65B51" w:rsidRPr="004F6549" w:rsidSect="005240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1BF670" w14:textId="77777777" w:rsidR="00E43E56" w:rsidRDefault="00E43E56">
      <w:pPr>
        <w:spacing w:line="240" w:lineRule="auto"/>
      </w:pPr>
      <w:r>
        <w:separator/>
      </w:r>
    </w:p>
  </w:endnote>
  <w:endnote w:type="continuationSeparator" w:id="0">
    <w:p w14:paraId="74FCCC58" w14:textId="77777777" w:rsidR="00E43E56" w:rsidRDefault="00E43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4851944"/>
      <w:docPartObj>
        <w:docPartGallery w:val="Page Numbers (Bottom of Page)"/>
        <w:docPartUnique/>
      </w:docPartObj>
    </w:sdtPr>
    <w:sdtEndPr>
      <w:rPr>
        <w:rFonts w:ascii="Times New Roman" w:hAnsi="Times New Roman" w:cs="Times New Roman"/>
        <w:noProof/>
        <w:sz w:val="20"/>
        <w:szCs w:val="20"/>
      </w:rPr>
    </w:sdtEndPr>
    <w:sdtContent>
      <w:p w14:paraId="5C711AA4" w14:textId="02782B50" w:rsidR="008B6FFF" w:rsidRPr="006F39DE" w:rsidRDefault="008B6FFF">
        <w:pPr>
          <w:pStyle w:val="Footer"/>
          <w:jc w:val="right"/>
          <w:rPr>
            <w:rFonts w:ascii="Times New Roman" w:hAnsi="Times New Roman" w:cs="Times New Roman"/>
            <w:sz w:val="20"/>
            <w:szCs w:val="20"/>
          </w:rPr>
        </w:pPr>
        <w:r w:rsidRPr="006F39DE">
          <w:rPr>
            <w:rFonts w:ascii="Times New Roman" w:hAnsi="Times New Roman" w:cs="Times New Roman"/>
            <w:sz w:val="20"/>
            <w:szCs w:val="20"/>
          </w:rPr>
          <w:fldChar w:fldCharType="begin"/>
        </w:r>
        <w:r w:rsidRPr="006F39DE">
          <w:rPr>
            <w:rFonts w:ascii="Times New Roman" w:hAnsi="Times New Roman" w:cs="Times New Roman"/>
            <w:sz w:val="20"/>
            <w:szCs w:val="20"/>
          </w:rPr>
          <w:instrText xml:space="preserve"> PAGE   \* MERGEFORMAT </w:instrText>
        </w:r>
        <w:r w:rsidRPr="006F39DE">
          <w:rPr>
            <w:rFonts w:ascii="Times New Roman" w:hAnsi="Times New Roman" w:cs="Times New Roman"/>
            <w:sz w:val="20"/>
            <w:szCs w:val="20"/>
          </w:rPr>
          <w:fldChar w:fldCharType="separate"/>
        </w:r>
        <w:r w:rsidR="008734EB">
          <w:rPr>
            <w:rFonts w:ascii="Times New Roman" w:hAnsi="Times New Roman" w:cs="Times New Roman"/>
            <w:noProof/>
            <w:sz w:val="20"/>
            <w:szCs w:val="20"/>
          </w:rPr>
          <w:t>1</w:t>
        </w:r>
        <w:r w:rsidRPr="006F39DE">
          <w:rPr>
            <w:rFonts w:ascii="Times New Roman" w:hAnsi="Times New Roman" w:cs="Times New Roman"/>
            <w:noProof/>
            <w:sz w:val="20"/>
            <w:szCs w:val="20"/>
          </w:rPr>
          <w:fldChar w:fldCharType="end"/>
        </w:r>
      </w:p>
    </w:sdtContent>
  </w:sdt>
  <w:p w14:paraId="00000048" w14:textId="77777777" w:rsidR="008B6FFF" w:rsidRDefault="008B6F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656AFE" w14:textId="77777777" w:rsidR="00E43E56" w:rsidRDefault="00E43E56">
      <w:pPr>
        <w:spacing w:line="240" w:lineRule="auto"/>
      </w:pPr>
      <w:r>
        <w:separator/>
      </w:r>
    </w:p>
  </w:footnote>
  <w:footnote w:type="continuationSeparator" w:id="0">
    <w:p w14:paraId="49A46C6A" w14:textId="77777777" w:rsidR="00E43E56" w:rsidRDefault="00E43E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783CEF"/>
    <w:multiLevelType w:val="multilevel"/>
    <w:tmpl w:val="D020E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65B51"/>
    <w:rsid w:val="00082002"/>
    <w:rsid w:val="000D00BB"/>
    <w:rsid w:val="000D1361"/>
    <w:rsid w:val="00104F9C"/>
    <w:rsid w:val="001220A0"/>
    <w:rsid w:val="001D6DF2"/>
    <w:rsid w:val="0026086F"/>
    <w:rsid w:val="00295545"/>
    <w:rsid w:val="0036439D"/>
    <w:rsid w:val="003D2D09"/>
    <w:rsid w:val="003E642F"/>
    <w:rsid w:val="004609CF"/>
    <w:rsid w:val="004E43C5"/>
    <w:rsid w:val="004E643F"/>
    <w:rsid w:val="004F6549"/>
    <w:rsid w:val="005240AF"/>
    <w:rsid w:val="00541A93"/>
    <w:rsid w:val="005572B7"/>
    <w:rsid w:val="00566D07"/>
    <w:rsid w:val="00587450"/>
    <w:rsid w:val="00595309"/>
    <w:rsid w:val="005A6CFF"/>
    <w:rsid w:val="005B0C9D"/>
    <w:rsid w:val="005D39DD"/>
    <w:rsid w:val="005D4C74"/>
    <w:rsid w:val="005F211D"/>
    <w:rsid w:val="00605D54"/>
    <w:rsid w:val="00626C19"/>
    <w:rsid w:val="006449FA"/>
    <w:rsid w:val="006510FB"/>
    <w:rsid w:val="00670152"/>
    <w:rsid w:val="006C0F24"/>
    <w:rsid w:val="006C70C9"/>
    <w:rsid w:val="006F39DE"/>
    <w:rsid w:val="007434CA"/>
    <w:rsid w:val="0075703F"/>
    <w:rsid w:val="00764DA0"/>
    <w:rsid w:val="0085051E"/>
    <w:rsid w:val="008521EC"/>
    <w:rsid w:val="0085721A"/>
    <w:rsid w:val="00861019"/>
    <w:rsid w:val="008734EB"/>
    <w:rsid w:val="0089259E"/>
    <w:rsid w:val="008A23AE"/>
    <w:rsid w:val="008B6FFF"/>
    <w:rsid w:val="008D4787"/>
    <w:rsid w:val="008E3E46"/>
    <w:rsid w:val="008F2865"/>
    <w:rsid w:val="009361C2"/>
    <w:rsid w:val="00945C07"/>
    <w:rsid w:val="0099645E"/>
    <w:rsid w:val="009E37D1"/>
    <w:rsid w:val="00A222CC"/>
    <w:rsid w:val="00A2283B"/>
    <w:rsid w:val="00A4312E"/>
    <w:rsid w:val="00A86E5C"/>
    <w:rsid w:val="00AC7B1E"/>
    <w:rsid w:val="00B525D7"/>
    <w:rsid w:val="00B846AD"/>
    <w:rsid w:val="00B85E03"/>
    <w:rsid w:val="00BD05FA"/>
    <w:rsid w:val="00BD6BCB"/>
    <w:rsid w:val="00C51F74"/>
    <w:rsid w:val="00C559F6"/>
    <w:rsid w:val="00C6366C"/>
    <w:rsid w:val="00C65B51"/>
    <w:rsid w:val="00D71B77"/>
    <w:rsid w:val="00E43E56"/>
    <w:rsid w:val="00E54A74"/>
    <w:rsid w:val="00E95AFC"/>
    <w:rsid w:val="00EF0258"/>
    <w:rsid w:val="00EF219F"/>
    <w:rsid w:val="00F23E4D"/>
    <w:rsid w:val="00F52492"/>
    <w:rsid w:val="00F96FC1"/>
    <w:rsid w:val="00FA5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57848"/>
  <w15:docId w15:val="{32449F15-D1EA-4C21-90D7-F873D8CC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64DA0"/>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764DA0"/>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764DA0"/>
    <w:pPr>
      <w:keepNext/>
      <w:keepLines/>
      <w:spacing w:before="320" w:after="80"/>
      <w:jc w:val="both"/>
      <w:outlineLvl w:val="2"/>
    </w:pPr>
    <w:rPr>
      <w:rFonts w:ascii="Times New Roman" w:hAnsi="Times New Roman"/>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F39DE"/>
    <w:pPr>
      <w:tabs>
        <w:tab w:val="center" w:pos="4680"/>
        <w:tab w:val="right" w:pos="9360"/>
      </w:tabs>
      <w:spacing w:line="240" w:lineRule="auto"/>
    </w:pPr>
  </w:style>
  <w:style w:type="character" w:customStyle="1" w:styleId="HeaderChar">
    <w:name w:val="Header Char"/>
    <w:basedOn w:val="DefaultParagraphFont"/>
    <w:link w:val="Header"/>
    <w:uiPriority w:val="99"/>
    <w:rsid w:val="006F39DE"/>
  </w:style>
  <w:style w:type="paragraph" w:styleId="Footer">
    <w:name w:val="footer"/>
    <w:basedOn w:val="Normal"/>
    <w:link w:val="FooterChar"/>
    <w:uiPriority w:val="99"/>
    <w:unhideWhenUsed/>
    <w:rsid w:val="006F39DE"/>
    <w:pPr>
      <w:tabs>
        <w:tab w:val="center" w:pos="4680"/>
        <w:tab w:val="right" w:pos="9360"/>
      </w:tabs>
      <w:spacing w:line="240" w:lineRule="auto"/>
    </w:pPr>
  </w:style>
  <w:style w:type="character" w:customStyle="1" w:styleId="FooterChar">
    <w:name w:val="Footer Char"/>
    <w:basedOn w:val="DefaultParagraphFont"/>
    <w:link w:val="Footer"/>
    <w:uiPriority w:val="99"/>
    <w:rsid w:val="006F39DE"/>
  </w:style>
  <w:style w:type="paragraph" w:styleId="TOCHeading">
    <w:name w:val="TOC Heading"/>
    <w:basedOn w:val="Heading1"/>
    <w:next w:val="Normal"/>
    <w:uiPriority w:val="39"/>
    <w:semiHidden/>
    <w:unhideWhenUsed/>
    <w:qFormat/>
    <w:rsid w:val="005A6CFF"/>
    <w:pPr>
      <w:spacing w:before="480" w:after="0"/>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A6CFF"/>
    <w:pPr>
      <w:spacing w:after="100"/>
    </w:pPr>
  </w:style>
  <w:style w:type="paragraph" w:styleId="TOC2">
    <w:name w:val="toc 2"/>
    <w:basedOn w:val="Normal"/>
    <w:next w:val="Normal"/>
    <w:autoRedefine/>
    <w:uiPriority w:val="39"/>
    <w:unhideWhenUsed/>
    <w:rsid w:val="005A6CFF"/>
    <w:pPr>
      <w:spacing w:after="100"/>
      <w:ind w:left="220"/>
    </w:pPr>
  </w:style>
  <w:style w:type="paragraph" w:styleId="TOC3">
    <w:name w:val="toc 3"/>
    <w:basedOn w:val="Normal"/>
    <w:next w:val="Normal"/>
    <w:autoRedefine/>
    <w:uiPriority w:val="39"/>
    <w:unhideWhenUsed/>
    <w:rsid w:val="005A6CFF"/>
    <w:pPr>
      <w:spacing w:after="100"/>
      <w:ind w:left="440"/>
    </w:pPr>
  </w:style>
  <w:style w:type="character" w:styleId="Hyperlink">
    <w:name w:val="Hyperlink"/>
    <w:basedOn w:val="DefaultParagraphFont"/>
    <w:uiPriority w:val="99"/>
    <w:unhideWhenUsed/>
    <w:rsid w:val="005A6CFF"/>
    <w:rPr>
      <w:color w:val="0000FF" w:themeColor="hyperlink"/>
      <w:u w:val="single"/>
    </w:rPr>
  </w:style>
  <w:style w:type="paragraph" w:styleId="BalloonText">
    <w:name w:val="Balloon Text"/>
    <w:basedOn w:val="Normal"/>
    <w:link w:val="BalloonTextChar"/>
    <w:uiPriority w:val="99"/>
    <w:semiHidden/>
    <w:unhideWhenUsed/>
    <w:rsid w:val="005A6C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CFF"/>
    <w:rPr>
      <w:rFonts w:ascii="Tahoma" w:hAnsi="Tahoma" w:cs="Tahoma"/>
      <w:sz w:val="16"/>
      <w:szCs w:val="16"/>
    </w:rPr>
  </w:style>
  <w:style w:type="paragraph" w:styleId="NoSpacing">
    <w:name w:val="No Spacing"/>
    <w:link w:val="NoSpacingChar"/>
    <w:uiPriority w:val="1"/>
    <w:qFormat/>
    <w:rsid w:val="00566D07"/>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566D07"/>
    <w:rPr>
      <w:rFonts w:asciiTheme="minorHAnsi" w:eastAsiaTheme="minorEastAsia" w:hAnsiTheme="minorHAnsi" w:cstheme="minorBidi"/>
      <w:lang w:val="en-US"/>
    </w:rPr>
  </w:style>
  <w:style w:type="character" w:styleId="IntenseReference">
    <w:name w:val="Intense Reference"/>
    <w:basedOn w:val="DefaultParagraphFont"/>
    <w:uiPriority w:val="32"/>
    <w:qFormat/>
    <w:rsid w:val="00566D07"/>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C58C30-7F40-4338-9231-3A8B6289A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30</Pages>
  <Words>6774</Words>
  <Characters>38612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SAGAR CHAANDWANI</dc:creator>
  <cp:lastModifiedBy>Sagar Chaandwani (1906141)</cp:lastModifiedBy>
  <cp:revision>72</cp:revision>
  <dcterms:created xsi:type="dcterms:W3CDTF">2020-04-30T12:37:00Z</dcterms:created>
  <dcterms:modified xsi:type="dcterms:W3CDTF">2020-05-24T06:54:00Z</dcterms:modified>
</cp:coreProperties>
</file>