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E2AD4" w14:textId="2C26E8DA" w:rsidR="00AB736F" w:rsidRPr="0058616A" w:rsidRDefault="0058616A" w:rsidP="0058616A">
      <w:pPr>
        <w:spacing w:before="120" w:after="120"/>
        <w:jc w:val="center"/>
        <w:rPr>
          <w:rFonts w:asciiTheme="majorHAnsi" w:hAnsiTheme="majorHAnsi" w:cstheme="majorHAnsi"/>
          <w:b/>
          <w:sz w:val="32"/>
          <w:szCs w:val="32"/>
        </w:rPr>
      </w:pPr>
      <w:r w:rsidRPr="0058616A">
        <w:rPr>
          <w:rFonts w:asciiTheme="majorHAnsi" w:hAnsiTheme="majorHAnsi" w:cstheme="majorHAnsi"/>
          <w:b/>
          <w:sz w:val="32"/>
          <w:szCs w:val="32"/>
        </w:rPr>
        <w:t>Equity and Trusts</w:t>
      </w:r>
      <w:r w:rsidRPr="0058616A">
        <w:rPr>
          <w:rFonts w:asciiTheme="majorHAnsi" w:hAnsiTheme="majorHAnsi" w:cstheme="majorHAnsi"/>
          <w:b/>
          <w:sz w:val="32"/>
          <w:szCs w:val="32"/>
        </w:rPr>
        <w:t xml:space="preserve"> </w:t>
      </w:r>
      <w:r w:rsidRPr="0058616A">
        <w:rPr>
          <w:rFonts w:asciiTheme="majorHAnsi" w:hAnsiTheme="majorHAnsi" w:cstheme="majorHAnsi"/>
          <w:b/>
          <w:sz w:val="32"/>
          <w:szCs w:val="32"/>
        </w:rPr>
        <w:t>BMLW6005</w:t>
      </w:r>
    </w:p>
    <w:p w14:paraId="3DB5A18B" w14:textId="6BBFADB6" w:rsidR="0058616A" w:rsidRPr="0058616A" w:rsidRDefault="0058616A" w:rsidP="0058616A">
      <w:pPr>
        <w:jc w:val="center"/>
        <w:rPr>
          <w:rFonts w:asciiTheme="majorHAnsi" w:hAnsiTheme="majorHAnsi" w:cstheme="majorHAnsi"/>
          <w:b/>
          <w:sz w:val="32"/>
          <w:szCs w:val="32"/>
        </w:rPr>
      </w:pPr>
      <w:r w:rsidRPr="0058616A">
        <w:rPr>
          <w:rFonts w:asciiTheme="majorHAnsi" w:hAnsiTheme="majorHAnsi" w:cstheme="majorHAnsi"/>
          <w:b/>
          <w:sz w:val="32"/>
          <w:szCs w:val="32"/>
        </w:rPr>
        <w:t>EQUITY AND TRUSTS ASSESSMENT 2</w:t>
      </w:r>
    </w:p>
    <w:p w14:paraId="7ECF15FD" w14:textId="56154A08" w:rsidR="0058616A" w:rsidRDefault="0058616A" w:rsidP="0058616A">
      <w:pPr>
        <w:jc w:val="center"/>
        <w:rPr>
          <w:rFonts w:asciiTheme="majorHAnsi" w:hAnsiTheme="majorHAnsi" w:cstheme="majorHAnsi"/>
          <w:b/>
          <w:sz w:val="32"/>
          <w:szCs w:val="32"/>
        </w:rPr>
      </w:pPr>
      <w:r w:rsidRPr="0058616A">
        <w:rPr>
          <w:rFonts w:asciiTheme="majorHAnsi" w:hAnsiTheme="majorHAnsi" w:cstheme="majorHAnsi"/>
          <w:b/>
          <w:sz w:val="32"/>
          <w:szCs w:val="32"/>
        </w:rPr>
        <w:t>1801259 Stephen Emyr Harries</w:t>
      </w:r>
    </w:p>
    <w:p w14:paraId="09C602AE" w14:textId="0C6184A9" w:rsidR="0058616A" w:rsidRDefault="0058616A">
      <w:pPr>
        <w:rPr>
          <w:rFonts w:asciiTheme="majorHAnsi" w:hAnsiTheme="majorHAnsi" w:cstheme="majorHAnsi"/>
          <w:b/>
          <w:sz w:val="32"/>
          <w:szCs w:val="32"/>
        </w:rPr>
      </w:pPr>
      <w:r>
        <w:rPr>
          <w:rFonts w:asciiTheme="majorHAnsi" w:hAnsiTheme="majorHAnsi" w:cstheme="majorHAnsi"/>
          <w:b/>
          <w:sz w:val="32"/>
          <w:szCs w:val="32"/>
        </w:rPr>
        <w:br w:type="page"/>
      </w:r>
    </w:p>
    <w:p w14:paraId="6607AF10" w14:textId="4A397708" w:rsidR="0068792D" w:rsidRDefault="0068792D" w:rsidP="0068792D">
      <w:pPr>
        <w:spacing w:line="480" w:lineRule="auto"/>
        <w:rPr>
          <w:rFonts w:cstheme="minorHAnsi"/>
        </w:rPr>
      </w:pPr>
      <w:r>
        <w:rPr>
          <w:rFonts w:cstheme="minorHAnsi"/>
        </w:rPr>
        <w:lastRenderedPageBreak/>
        <w:t>Section 1</w:t>
      </w:r>
    </w:p>
    <w:p w14:paraId="1E4FB832" w14:textId="13029B2C" w:rsidR="00E22AF6" w:rsidRPr="0068792D" w:rsidRDefault="00E22AF6" w:rsidP="0068792D">
      <w:pPr>
        <w:spacing w:line="480" w:lineRule="auto"/>
        <w:rPr>
          <w:rFonts w:cstheme="minorHAnsi"/>
        </w:rPr>
      </w:pPr>
      <w:r w:rsidRPr="0068792D">
        <w:rPr>
          <w:rFonts w:cstheme="minorHAnsi"/>
        </w:rPr>
        <w:t xml:space="preserve">There are 2 main types of secret trust, fully secret and half secret. A fully secret trust would not appear to be on the will and the person that is the beneficiary would not appear to be one. Where a half trust still would protect the identity of the beneficiary but would be in the will simply showing the amount of the estate that is left for people unnamed. The problem with a secret will is it would not follow the families that are required when a will is made. Although this is when equality would step in and follow the maxim of equity does as </w:t>
      </w:r>
      <w:r w:rsidRPr="0068792D">
        <w:rPr>
          <w:rFonts w:cstheme="minorHAnsi"/>
        </w:rPr>
        <w:t>ought</w:t>
      </w:r>
      <w:r w:rsidRPr="0068792D">
        <w:rPr>
          <w:rFonts w:cstheme="minorHAnsi"/>
        </w:rPr>
        <w:t xml:space="preserve"> to be done as well as equity will not suffer a wrong without a remedy. this means that even though the legal requirements are not being followed the equitable remedy would be to allow it as it was the choice of the testator. (McDonald &amp; Street, 2013)</w:t>
      </w:r>
    </w:p>
    <w:p w14:paraId="735A1AF2" w14:textId="77777777" w:rsidR="00E22AF6" w:rsidRPr="00E22AF6" w:rsidRDefault="00E22AF6" w:rsidP="00E22AF6">
      <w:pPr>
        <w:spacing w:line="480" w:lineRule="auto"/>
        <w:rPr>
          <w:rFonts w:cstheme="minorHAnsi"/>
        </w:rPr>
      </w:pPr>
      <w:r w:rsidRPr="00E22AF6">
        <w:rPr>
          <w:rFonts w:cstheme="minorHAnsi"/>
        </w:rPr>
        <w:t>When a secret trust is made depending on if it is a fully secret trust or a half secret trust different rules guide the creation. In a fully secret trust, the aspects of the trust must be made clear before the testator’s death, this can be seen in the case of Wallgrave v Tebbs (1937) as well as in Re Boyes (1884). In contrast, when it is a half secret it would have to be agreed upon before the will is written, this can be seen in the case of Re Keen (1937) and Re Bateman (1970) furthermore it can also be seen that for a half secret will the informing of their trustees are a key aspect as otherwise, the trust would fail, this can be seen in the case of Re Colin Cooper (1939) (McDonald &amp; Street, 2013)</w:t>
      </w:r>
    </w:p>
    <w:p w14:paraId="62C8AC60" w14:textId="77777777" w:rsidR="00E22AF6" w:rsidRPr="00E22AF6" w:rsidRDefault="00E22AF6" w:rsidP="00E22AF6">
      <w:pPr>
        <w:spacing w:line="480" w:lineRule="auto"/>
        <w:rPr>
          <w:rFonts w:cstheme="minorHAnsi"/>
        </w:rPr>
      </w:pPr>
      <w:r w:rsidRPr="00E22AF6">
        <w:rPr>
          <w:rFonts w:cstheme="minorHAnsi"/>
        </w:rPr>
        <w:t xml:space="preserve">The first of the problems would be noncompliance with the Wills Act (1837) s9 that set out the formalities of a will and so as a result is not held to the same level of scrutiny but there are still requirements that are in place to be able to form a secret trust. This can be seen in the case of McCormick v Grogan (1896) in this case there must be a clear indication that the person wanted to create the trust and any ambiguity in the wording would fail to create the secret trust. Furthermore, it can be seen in the case of Re Snowden (1979) that unclear language that does not specify instructions would not be able to create a secret trust, this means demonstrates that there are rules </w:t>
      </w:r>
      <w:r w:rsidRPr="00E22AF6">
        <w:rPr>
          <w:rFonts w:cstheme="minorHAnsi"/>
        </w:rPr>
        <w:lastRenderedPageBreak/>
        <w:t>in place that are put into place to ensure that some aspects of the Wills act would have to be followed. (Virgo, 2020)</w:t>
      </w:r>
    </w:p>
    <w:p w14:paraId="4789BF75" w14:textId="77777777" w:rsidR="00E22AF6" w:rsidRPr="00E22AF6" w:rsidRDefault="00E22AF6" w:rsidP="00E22AF6">
      <w:pPr>
        <w:spacing w:line="480" w:lineRule="auto"/>
        <w:rPr>
          <w:rFonts w:cstheme="minorHAnsi"/>
        </w:rPr>
      </w:pPr>
      <w:r w:rsidRPr="00E22AF6">
        <w:rPr>
          <w:rFonts w:cstheme="minorHAnsi"/>
        </w:rPr>
        <w:t>A rebuttal that could be made against a secret trust having to follow the formalities would be from Blackwell v Blackwell (1929) In this case, the addition of the secret trust was not inherently part of the will but rather it was brought into the will using equity as a vehicle. This would mean that in some ways it was going around the Wills Act but in others, it would mean it was a separate concept that gains its power from the maxims of equity and as such would not need to follow the Wills Act. This would be a part of au dehors theory and as such is heavily debated ether way. Some people would argue that the fact that the secret will is using the framework of the will it would mean that it would have to follow the key printable of the will. While other people believe that it is more important to ensure that the intentions of the testator should be followed and the rigidity of the law was the reason that equity can operate in the way that it does, preventing this acceptance would be infected preventing equity from being able to function. Also, in au dehors it does not explain why there is a difference between full and half secret wills in the creation thereof (Ramjohn, 2015).</w:t>
      </w:r>
    </w:p>
    <w:p w14:paraId="0A82CA84" w14:textId="77777777" w:rsidR="00E22AF6" w:rsidRPr="00E22AF6" w:rsidRDefault="00E22AF6" w:rsidP="00E22AF6">
      <w:pPr>
        <w:spacing w:line="480" w:lineRule="auto"/>
        <w:rPr>
          <w:rFonts w:cstheme="minorHAnsi"/>
        </w:rPr>
      </w:pPr>
      <w:r w:rsidRPr="00E22AF6">
        <w:rPr>
          <w:rFonts w:cstheme="minorHAnsi"/>
        </w:rPr>
        <w:t>The first major issue that comes up would be the ability to commit fraud and the situation the trustee would be in when they receive the items in the will. As a result, they received them as a gift and had no other obligations. This would not work inequity as a result of equity not being able to a method of committing fraud and as such equity would then follow the law. This can be seen in the case of Rochefoucauld v Boustead (1897) where the trustee denied the existence of the trust based on not following formalities, this was seen as injustice and so resulted in the secret trust being enforced. (Bray, 2012)</w:t>
      </w:r>
    </w:p>
    <w:p w14:paraId="569FE9B7" w14:textId="77777777" w:rsidR="00E22AF6" w:rsidRPr="00E22AF6" w:rsidRDefault="00E22AF6" w:rsidP="00E22AF6">
      <w:pPr>
        <w:spacing w:line="480" w:lineRule="auto"/>
        <w:rPr>
          <w:rFonts w:cstheme="minorHAnsi"/>
        </w:rPr>
      </w:pPr>
      <w:r w:rsidRPr="00E22AF6">
        <w:rPr>
          <w:rFonts w:cstheme="minorHAnsi"/>
        </w:rPr>
        <w:t xml:space="preserve">Another argument that would be brought forward would be the legality of following agreements would not have to be followed and as they do not have legal merit the creation of a secret trust would be to remove the rules that are put into place in the Wills Act and they intentionally do this to perform illegal actions. A counterpoint to this argument would be from estoppel as a part of equity. </w:t>
      </w:r>
      <w:r w:rsidRPr="00E22AF6">
        <w:rPr>
          <w:rFonts w:cstheme="minorHAnsi"/>
        </w:rPr>
        <w:lastRenderedPageBreak/>
        <w:t>This is part of the requirements when making a secret trust that the trustee, as well as the secret beneficiary, know in advance what is happening with the will, they would also have documentation to prove they are a part of the will as a secret beneficiary, this can be seen in the case of Wallgrave v Tebbs (1855). Additionally, under this rule it would allow the will to be created by the sending of information as well as before the creation of the will, they may also designate someone else to act on them as can be seen in the case of Moss v Cooper (1861). This would mean under the principle of equity they would then be required to follow the wishes of the testator and failure to do so would mean they would be breaching the aspects of the will. This can be seen in the case of Kasperbauer v Griffith (2000) (Virgo, 2020) (Ramjohn, 2015)</w:t>
      </w:r>
    </w:p>
    <w:p w14:paraId="0A56EDEA" w14:textId="77777777" w:rsidR="00E22AF6" w:rsidRDefault="00E22AF6" w:rsidP="00E22AF6">
      <w:pPr>
        <w:spacing w:line="480" w:lineRule="auto"/>
        <w:rPr>
          <w:rFonts w:cstheme="minorHAnsi"/>
        </w:rPr>
      </w:pPr>
      <w:r w:rsidRPr="00E22AF6">
        <w:rPr>
          <w:rFonts w:cstheme="minorHAnsi"/>
        </w:rPr>
        <w:t xml:space="preserve">Furthermore, in the case of Moss v Cooper (1884) an active yes is not needed, as a result of this, a person may be acted to become a secret trustee as a result of a non-answer. This would be the result if you do not reply to clauses being used. Expanding upon the specific rules of the trustee, if they are not made aware of them then they would then have to keep the result of the will for the benefit of the estate of the beneficiary until a time they know what the conditions of the secret trust are. This is also having a time characteristic. This can be seen in Re Boyes (1884) whereas a result of the secret rest not being known about until after the death failed as a result. This is a demonstration that there are still limitations of a secret </w:t>
      </w:r>
      <w:r w:rsidRPr="00E22AF6">
        <w:rPr>
          <w:rFonts w:cstheme="minorHAnsi"/>
        </w:rPr>
        <w:t>trust,</w:t>
      </w:r>
      <w:r w:rsidRPr="00E22AF6">
        <w:rPr>
          <w:rFonts w:cstheme="minorHAnsi"/>
        </w:rPr>
        <w:t xml:space="preserve"> and they </w:t>
      </w:r>
      <w:proofErr w:type="gramStart"/>
      <w:r w:rsidRPr="00E22AF6">
        <w:rPr>
          <w:rFonts w:cstheme="minorHAnsi"/>
        </w:rPr>
        <w:t>have to</w:t>
      </w:r>
      <w:proofErr w:type="gramEnd"/>
      <w:r w:rsidRPr="00E22AF6">
        <w:rPr>
          <w:rFonts w:cstheme="minorHAnsi"/>
        </w:rPr>
        <w:t xml:space="preserve"> follow them, they may have different rules to a slandered trust that would be in a will they would still be regulated. (Ramjohn, 2015)</w:t>
      </w:r>
      <w:r w:rsidRPr="00E22AF6">
        <w:rPr>
          <w:rFonts w:cstheme="minorHAnsi"/>
        </w:rPr>
        <w:t xml:space="preserve"> </w:t>
      </w:r>
    </w:p>
    <w:p w14:paraId="32883BAD" w14:textId="77777777" w:rsidR="00E22AF6" w:rsidRDefault="00E22AF6">
      <w:pPr>
        <w:rPr>
          <w:rFonts w:cstheme="minorHAnsi"/>
        </w:rPr>
      </w:pPr>
      <w:r>
        <w:rPr>
          <w:rFonts w:cstheme="minorHAnsi"/>
        </w:rPr>
        <w:br w:type="page"/>
      </w:r>
    </w:p>
    <w:p w14:paraId="209DF63A" w14:textId="77777777" w:rsidR="0068792D" w:rsidRDefault="0068792D" w:rsidP="00E22AF6">
      <w:pPr>
        <w:spacing w:line="480" w:lineRule="auto"/>
        <w:rPr>
          <w:rFonts w:cstheme="minorHAnsi"/>
        </w:rPr>
      </w:pPr>
      <w:r>
        <w:rPr>
          <w:rFonts w:cstheme="minorHAnsi"/>
        </w:rPr>
        <w:lastRenderedPageBreak/>
        <w:t>Section 2</w:t>
      </w:r>
    </w:p>
    <w:p w14:paraId="071F0118" w14:textId="77777777" w:rsidR="00B761EE" w:rsidRDefault="00A52FD3" w:rsidP="00E22AF6">
      <w:pPr>
        <w:spacing w:line="480" w:lineRule="auto"/>
        <w:rPr>
          <w:rFonts w:cstheme="minorHAnsi"/>
        </w:rPr>
      </w:pPr>
      <w:r>
        <w:rPr>
          <w:rFonts w:cstheme="minorHAnsi"/>
        </w:rPr>
        <w:t xml:space="preserve">a. In this case the main aspect to look at would be the time frame of the required action, as can be seen in the case of </w:t>
      </w:r>
      <w:r w:rsidRPr="00B458B8">
        <w:rPr>
          <w:rFonts w:cstheme="minorHAnsi"/>
        </w:rPr>
        <w:t>Mussett v Bingle (1876)</w:t>
      </w:r>
      <w:r w:rsidRPr="00B458B8">
        <w:rPr>
          <w:rFonts w:cstheme="minorHAnsi"/>
        </w:rPr>
        <w:t xml:space="preserve"> </w:t>
      </w:r>
      <w:r>
        <w:rPr>
          <w:rFonts w:cstheme="minorHAnsi"/>
        </w:rPr>
        <w:t>in this case anything that is placed in trust must be for a stated amount of time and cannot be in perpetuity</w:t>
      </w:r>
      <w:r w:rsidR="00F73515">
        <w:rPr>
          <w:rFonts w:cstheme="minorHAnsi"/>
        </w:rPr>
        <w:t xml:space="preserve">, in the case of </w:t>
      </w:r>
      <w:r w:rsidR="00F73515" w:rsidRPr="00B458B8">
        <w:rPr>
          <w:rFonts w:cstheme="minorHAnsi"/>
        </w:rPr>
        <w:t xml:space="preserve">Re Astor’s Settlement Trusts </w:t>
      </w:r>
      <w:r w:rsidR="00F73515" w:rsidRPr="00B458B8">
        <w:rPr>
          <w:rFonts w:cstheme="minorHAnsi"/>
        </w:rPr>
        <w:t>(</w:t>
      </w:r>
      <w:r w:rsidR="00F73515" w:rsidRPr="00B458B8">
        <w:rPr>
          <w:rFonts w:cstheme="minorHAnsi"/>
        </w:rPr>
        <w:t>1952</w:t>
      </w:r>
      <w:r w:rsidR="00F73515" w:rsidRPr="00B458B8">
        <w:rPr>
          <w:rFonts w:cstheme="minorHAnsi"/>
        </w:rPr>
        <w:t xml:space="preserve">) </w:t>
      </w:r>
      <w:r w:rsidR="00F73515">
        <w:rPr>
          <w:rFonts w:cstheme="minorHAnsi"/>
        </w:rPr>
        <w:t xml:space="preserve">it can also be seen as a result of it not being for a charity it would also fail. There are 2 exceptions for this rule, they are for the creation and maintenance of a monument and for animals and pets. In this example it would be a monument and the maintenance there of. In the case of </w:t>
      </w:r>
      <w:r w:rsidR="00F73515" w:rsidRPr="00B458B8">
        <w:rPr>
          <w:rFonts w:cstheme="minorHAnsi"/>
        </w:rPr>
        <w:t xml:space="preserve">Re Endacott </w:t>
      </w:r>
      <w:r w:rsidR="00F73515" w:rsidRPr="00B458B8">
        <w:rPr>
          <w:rFonts w:cstheme="minorHAnsi"/>
        </w:rPr>
        <w:t>(</w:t>
      </w:r>
      <w:r w:rsidR="00F73515" w:rsidRPr="00B458B8">
        <w:rPr>
          <w:rFonts w:cstheme="minorHAnsi"/>
        </w:rPr>
        <w:t>1959</w:t>
      </w:r>
      <w:r w:rsidR="00F73515" w:rsidRPr="00B458B8">
        <w:rPr>
          <w:rFonts w:cstheme="minorHAnsi"/>
        </w:rPr>
        <w:t xml:space="preserve">) </w:t>
      </w:r>
      <w:r w:rsidR="00F73515">
        <w:rPr>
          <w:rFonts w:cstheme="minorHAnsi"/>
        </w:rPr>
        <w:t xml:space="preserve">it can also be seen that there are specific rules about it not being too vague. This would mean it was likely to pass </w:t>
      </w:r>
      <w:r w:rsidR="00B761EE">
        <w:rPr>
          <w:rFonts w:cstheme="minorHAnsi"/>
        </w:rPr>
        <w:t>reliant</w:t>
      </w:r>
      <w:r w:rsidR="00F73515">
        <w:rPr>
          <w:rFonts w:cstheme="minorHAnsi"/>
        </w:rPr>
        <w:t xml:space="preserve"> </w:t>
      </w:r>
      <w:r w:rsidR="00B761EE">
        <w:rPr>
          <w:rFonts w:cstheme="minorHAnsi"/>
        </w:rPr>
        <w:t xml:space="preserve">on the description being specific enough. Although it may also be seen as too vague in description and therefore fail depending on the ruling of the judge </w:t>
      </w:r>
      <w:sdt>
        <w:sdtPr>
          <w:rPr>
            <w:rFonts w:cstheme="minorHAnsi"/>
          </w:rPr>
          <w:id w:val="203677180"/>
          <w:citation/>
        </w:sdtPr>
        <w:sdtContent>
          <w:r w:rsidR="00B761EE">
            <w:rPr>
              <w:rFonts w:cstheme="minorHAnsi"/>
            </w:rPr>
            <w:fldChar w:fldCharType="begin"/>
          </w:r>
          <w:r w:rsidR="00B761EE">
            <w:rPr>
              <w:rFonts w:cstheme="minorHAnsi"/>
            </w:rPr>
            <w:instrText xml:space="preserve"> CITATION Ram15 \l 2057 </w:instrText>
          </w:r>
          <w:r w:rsidR="00B761EE">
            <w:rPr>
              <w:rFonts w:cstheme="minorHAnsi"/>
            </w:rPr>
            <w:fldChar w:fldCharType="separate"/>
          </w:r>
          <w:r w:rsidR="00B761EE" w:rsidRPr="00B761EE">
            <w:rPr>
              <w:rFonts w:cstheme="minorHAnsi"/>
              <w:noProof/>
            </w:rPr>
            <w:t>(Ramjohn, 2015)</w:t>
          </w:r>
          <w:r w:rsidR="00B761EE">
            <w:rPr>
              <w:rFonts w:cstheme="minorHAnsi"/>
            </w:rPr>
            <w:fldChar w:fldCharType="end"/>
          </w:r>
        </w:sdtContent>
      </w:sdt>
    </w:p>
    <w:p w14:paraId="18BA7E91" w14:textId="724B5516" w:rsidR="00B761EE" w:rsidRDefault="00B761EE" w:rsidP="00E22AF6">
      <w:pPr>
        <w:spacing w:line="480" w:lineRule="auto"/>
        <w:rPr>
          <w:rFonts w:cstheme="minorHAnsi"/>
        </w:rPr>
      </w:pPr>
      <w:r>
        <w:rPr>
          <w:rFonts w:cstheme="minorHAnsi"/>
        </w:rPr>
        <w:t>b.</w:t>
      </w:r>
      <w:r w:rsidR="005D61D1">
        <w:rPr>
          <w:rFonts w:cstheme="minorHAnsi"/>
        </w:rPr>
        <w:t xml:space="preserve"> In this case with </w:t>
      </w:r>
      <w:r w:rsidR="005D61D1" w:rsidRPr="00B458B8">
        <w:rPr>
          <w:rFonts w:cstheme="minorHAnsi"/>
        </w:rPr>
        <w:t xml:space="preserve">Re Baden (No 2) </w:t>
      </w:r>
      <w:r w:rsidR="005D61D1" w:rsidRPr="00B458B8">
        <w:rPr>
          <w:rFonts w:cstheme="minorHAnsi"/>
        </w:rPr>
        <w:t>(</w:t>
      </w:r>
      <w:r w:rsidR="005D61D1" w:rsidRPr="00B458B8">
        <w:rPr>
          <w:rFonts w:cstheme="minorHAnsi"/>
        </w:rPr>
        <w:t>1973</w:t>
      </w:r>
      <w:r w:rsidR="005D61D1" w:rsidRPr="00B458B8">
        <w:rPr>
          <w:rFonts w:cstheme="minorHAnsi"/>
        </w:rPr>
        <w:t xml:space="preserve">) </w:t>
      </w:r>
      <w:r w:rsidR="005D61D1">
        <w:rPr>
          <w:rFonts w:cstheme="minorHAnsi"/>
        </w:rPr>
        <w:t xml:space="preserve">there are their main tests that would be able to be used. The first test would be if there is any uncertainty in the class then the assumption not being in the class, this would pass as a result of first there being a time limit as well as the number of people that knew the testator. The second teats would be substantial numbers and allowing them, this would mean it would not matter how many friends </w:t>
      </w:r>
      <w:r w:rsidR="009875E7">
        <w:rPr>
          <w:rFonts w:cstheme="minorHAnsi"/>
        </w:rPr>
        <w:t xml:space="preserve">the testator had it they would be able to have them all as part of the trustees. Although it would be difficult to know with evidence whether a person was in this list or not, this could be the reason the test would fail, it would depend on what part of the </w:t>
      </w:r>
      <w:r w:rsidR="0072226B">
        <w:rPr>
          <w:rFonts w:cstheme="minorHAnsi"/>
        </w:rPr>
        <w:t>test</w:t>
      </w:r>
      <w:r w:rsidR="009875E7">
        <w:rPr>
          <w:rFonts w:cstheme="minorHAnsi"/>
        </w:rPr>
        <w:t xml:space="preserve"> would be used in this situation. </w:t>
      </w:r>
      <w:r w:rsidR="0072226B">
        <w:rPr>
          <w:rFonts w:cstheme="minorHAnsi"/>
        </w:rPr>
        <w:t xml:space="preserve">Furthermore, it may also not be a trust power that is given to the trustees, this can be seen with the case of </w:t>
      </w:r>
      <w:r w:rsidR="0072226B" w:rsidRPr="00B458B8">
        <w:rPr>
          <w:rFonts w:cstheme="minorHAnsi"/>
        </w:rPr>
        <w:t xml:space="preserve">Re Hay’s Settlement Trust </w:t>
      </w:r>
      <w:r w:rsidR="00FE39B9" w:rsidRPr="00B458B8">
        <w:rPr>
          <w:rFonts w:cstheme="minorHAnsi"/>
        </w:rPr>
        <w:t>(</w:t>
      </w:r>
      <w:r w:rsidR="0072226B" w:rsidRPr="00B458B8">
        <w:rPr>
          <w:rFonts w:cstheme="minorHAnsi"/>
        </w:rPr>
        <w:t>1982</w:t>
      </w:r>
      <w:r w:rsidR="00FE39B9" w:rsidRPr="00B458B8">
        <w:rPr>
          <w:rFonts w:cstheme="minorHAnsi"/>
        </w:rPr>
        <w:t>)</w:t>
      </w:r>
      <w:r w:rsidR="0072226B" w:rsidRPr="00B458B8">
        <w:rPr>
          <w:rFonts w:cstheme="minorHAnsi"/>
        </w:rPr>
        <w:t xml:space="preserve"> </w:t>
      </w:r>
      <w:r w:rsidR="0072226B">
        <w:rPr>
          <w:rFonts w:cstheme="minorHAnsi"/>
        </w:rPr>
        <w:t xml:space="preserve">in this case it was seen that as persons without legal </w:t>
      </w:r>
      <w:r w:rsidR="00FE39B9">
        <w:rPr>
          <w:rFonts w:cstheme="minorHAnsi"/>
        </w:rPr>
        <w:t>responsibility</w:t>
      </w:r>
      <w:r w:rsidR="0072226B">
        <w:rPr>
          <w:rFonts w:cstheme="minorHAnsi"/>
        </w:rPr>
        <w:t xml:space="preserve">. This would not apply as the people are trustees in the will. Although with the case of </w:t>
      </w:r>
      <w:r w:rsidR="00FE39B9" w:rsidRPr="00B458B8">
        <w:rPr>
          <w:rFonts w:cstheme="minorHAnsi"/>
        </w:rPr>
        <w:t>Megarry VC in Re Hay’s Settlement Trust</w:t>
      </w:r>
      <w:r w:rsidR="00FE39B9" w:rsidRPr="00B458B8">
        <w:rPr>
          <w:rFonts w:cstheme="minorHAnsi"/>
        </w:rPr>
        <w:t xml:space="preserve"> (1982) </w:t>
      </w:r>
      <w:r w:rsidR="00B458B8">
        <w:rPr>
          <w:rFonts w:cstheme="minorHAnsi"/>
        </w:rPr>
        <w:t>the</w:t>
      </w:r>
      <w:r w:rsidR="00FE39B9">
        <w:rPr>
          <w:rFonts w:cstheme="minorHAnsi"/>
        </w:rPr>
        <w:t xml:space="preserve"> term relations may be very ambiguous and would depend on if you would take relations to the absolute limit. It would be likely to pass although if a limit was placed on relations, it would be more likely </w:t>
      </w:r>
      <w:sdt>
        <w:sdtPr>
          <w:rPr>
            <w:rFonts w:cstheme="minorHAnsi"/>
          </w:rPr>
          <w:id w:val="2068834894"/>
          <w:citation/>
        </w:sdtPr>
        <w:sdtContent>
          <w:r w:rsidR="00FE39B9">
            <w:rPr>
              <w:rFonts w:cstheme="minorHAnsi"/>
            </w:rPr>
            <w:fldChar w:fldCharType="begin"/>
          </w:r>
          <w:r w:rsidR="00FE39B9">
            <w:rPr>
              <w:rFonts w:cstheme="minorHAnsi"/>
            </w:rPr>
            <w:instrText xml:space="preserve"> CITATION Ram15 \l 2057 </w:instrText>
          </w:r>
          <w:r w:rsidR="00FE39B9">
            <w:rPr>
              <w:rFonts w:cstheme="minorHAnsi"/>
            </w:rPr>
            <w:fldChar w:fldCharType="separate"/>
          </w:r>
          <w:r w:rsidR="00FE39B9" w:rsidRPr="00FE39B9">
            <w:rPr>
              <w:rFonts w:cstheme="minorHAnsi"/>
              <w:noProof/>
            </w:rPr>
            <w:t>(Ramjohn, 2015)</w:t>
          </w:r>
          <w:r w:rsidR="00FE39B9">
            <w:rPr>
              <w:rFonts w:cstheme="minorHAnsi"/>
            </w:rPr>
            <w:fldChar w:fldCharType="end"/>
          </w:r>
        </w:sdtContent>
      </w:sdt>
    </w:p>
    <w:p w14:paraId="65DD6B94" w14:textId="1BD193E9" w:rsidR="00B761EE" w:rsidRDefault="00B761EE" w:rsidP="00E22AF6">
      <w:pPr>
        <w:spacing w:line="480" w:lineRule="auto"/>
        <w:rPr>
          <w:rFonts w:cstheme="minorHAnsi"/>
        </w:rPr>
      </w:pPr>
      <w:r>
        <w:rPr>
          <w:rFonts w:cstheme="minorHAnsi"/>
        </w:rPr>
        <w:lastRenderedPageBreak/>
        <w:t>c.</w:t>
      </w:r>
      <w:r w:rsidR="00554432">
        <w:rPr>
          <w:rFonts w:cstheme="minorHAnsi"/>
        </w:rPr>
        <w:t xml:space="preserve"> In this case one of the trusties has been named to be able to add more trustees to the group, this can be seen in the </w:t>
      </w:r>
      <w:r w:rsidR="00554432" w:rsidRPr="00613735">
        <w:rPr>
          <w:rFonts w:cstheme="minorHAnsi"/>
        </w:rPr>
        <w:t>case of</w:t>
      </w:r>
      <w:r w:rsidR="00613735" w:rsidRPr="00613735">
        <w:rPr>
          <w:rFonts w:cstheme="minorHAnsi"/>
        </w:rPr>
        <w:t xml:space="preserve"> </w:t>
      </w:r>
      <w:r w:rsidR="00613735" w:rsidRPr="00613735">
        <w:rPr>
          <w:rFonts w:cstheme="minorHAnsi"/>
        </w:rPr>
        <w:t>Megarry VC in</w:t>
      </w:r>
      <w:r w:rsidR="00554432" w:rsidRPr="00613735">
        <w:rPr>
          <w:rFonts w:cstheme="minorHAnsi"/>
        </w:rPr>
        <w:t xml:space="preserve"> </w:t>
      </w:r>
      <w:r w:rsidR="00554432" w:rsidRPr="00613735">
        <w:rPr>
          <w:rFonts w:cstheme="minorHAnsi"/>
        </w:rPr>
        <w:t xml:space="preserve">Re Hay’s Settlement </w:t>
      </w:r>
      <w:r w:rsidR="00554432" w:rsidRPr="00B458B8">
        <w:rPr>
          <w:rFonts w:cstheme="minorHAnsi"/>
        </w:rPr>
        <w:t xml:space="preserve">Trusts </w:t>
      </w:r>
      <w:r w:rsidR="00554432" w:rsidRPr="00B458B8">
        <w:rPr>
          <w:rFonts w:cstheme="minorHAnsi"/>
        </w:rPr>
        <w:t>(</w:t>
      </w:r>
      <w:r w:rsidR="00554432" w:rsidRPr="00B458B8">
        <w:rPr>
          <w:rFonts w:cstheme="minorHAnsi"/>
        </w:rPr>
        <w:t>1982</w:t>
      </w:r>
      <w:r w:rsidR="00554432" w:rsidRPr="00B458B8">
        <w:rPr>
          <w:rFonts w:cstheme="minorHAnsi"/>
        </w:rPr>
        <w:t xml:space="preserve">) </w:t>
      </w:r>
      <w:r w:rsidR="00554432">
        <w:rPr>
          <w:rFonts w:cstheme="minorHAnsi"/>
        </w:rPr>
        <w:t xml:space="preserve">where it was seen that </w:t>
      </w:r>
      <w:r w:rsidR="007B21FE">
        <w:rPr>
          <w:rFonts w:cstheme="minorHAnsi"/>
        </w:rPr>
        <w:t xml:space="preserve">a trustee may not be able to delegate power to others unless they have been specifically set to do so. In this case this power was given to Vinnie and thus would be able to delegate the power to others. Although before the paintings are given to others, they have not been entrusted to anyone. This is a problem as can be seen in the case of </w:t>
      </w:r>
      <w:r w:rsidR="007B21FE" w:rsidRPr="007B21FE">
        <w:rPr>
          <w:rFonts w:cstheme="minorHAnsi"/>
        </w:rPr>
        <w:t>Morice v Bishop of Durham (1804)</w:t>
      </w:r>
      <w:r w:rsidR="007B21FE">
        <w:rPr>
          <w:rFonts w:cstheme="minorHAnsi"/>
        </w:rPr>
        <w:t xml:space="preserve"> in this case it failed as a result of there being no beneficiary to begin with. For this to work someone such as Vinnie would have to be named as a beneficiary to hold the paintings until a time they have been claimed by others.</w:t>
      </w:r>
    </w:p>
    <w:p w14:paraId="22E6EE7D" w14:textId="257D5006" w:rsidR="00B761EE" w:rsidRDefault="00B761EE" w:rsidP="00E22AF6">
      <w:pPr>
        <w:spacing w:line="480" w:lineRule="auto"/>
        <w:rPr>
          <w:rFonts w:cstheme="minorHAnsi"/>
        </w:rPr>
      </w:pPr>
      <w:r>
        <w:rPr>
          <w:rFonts w:cstheme="minorHAnsi"/>
        </w:rPr>
        <w:t>d.</w:t>
      </w:r>
      <w:r w:rsidR="00CF6680">
        <w:rPr>
          <w:rFonts w:cstheme="minorHAnsi"/>
        </w:rPr>
        <w:t xml:space="preserve"> In this case the first relevant case would be </w:t>
      </w:r>
      <w:r w:rsidR="00CF6680" w:rsidRPr="00B458B8">
        <w:rPr>
          <w:rFonts w:cstheme="minorHAnsi"/>
        </w:rPr>
        <w:t xml:space="preserve">R v District Auditor ex p West </w:t>
      </w:r>
      <w:r w:rsidR="00B458B8" w:rsidRPr="00B458B8">
        <w:rPr>
          <w:rFonts w:cstheme="minorHAnsi"/>
        </w:rPr>
        <w:t>York’s</w:t>
      </w:r>
      <w:r w:rsidR="00CF6680" w:rsidRPr="00B458B8">
        <w:rPr>
          <w:rFonts w:cstheme="minorHAnsi"/>
        </w:rPr>
        <w:t xml:space="preserve"> MCC</w:t>
      </w:r>
      <w:r w:rsidR="00CF6680" w:rsidRPr="00B458B8">
        <w:rPr>
          <w:rFonts w:cstheme="minorHAnsi"/>
        </w:rPr>
        <w:t xml:space="preserve"> (1986)</w:t>
      </w:r>
      <w:r w:rsidR="00CF6680">
        <w:rPr>
          <w:rFonts w:cstheme="minorHAnsi"/>
        </w:rPr>
        <w:t xml:space="preserve"> this is because in this case it can be seen as the testator wanted to make all West Yorkshire the beneficiaries of the will, this was seen to be too difficult to administrate and there fore would fail. In this case it </w:t>
      </w:r>
      <w:r w:rsidR="00CC66AC">
        <w:rPr>
          <w:rFonts w:cstheme="minorHAnsi"/>
        </w:rPr>
        <w:t xml:space="preserve">could be allowed as the trustees are holding it for people who live in Swansea rather than directly forming a trust for the people. Another case that would be relevant to this case would be </w:t>
      </w:r>
      <w:r w:rsidR="00CC66AC" w:rsidRPr="00B458B8">
        <w:rPr>
          <w:rFonts w:cstheme="minorHAnsi"/>
        </w:rPr>
        <w:t xml:space="preserve">McPhail v Doulton </w:t>
      </w:r>
      <w:r w:rsidR="00CC66AC" w:rsidRPr="00B458B8">
        <w:rPr>
          <w:rFonts w:cstheme="minorHAnsi"/>
        </w:rPr>
        <w:t>(</w:t>
      </w:r>
      <w:r w:rsidR="00CC66AC" w:rsidRPr="00B458B8">
        <w:rPr>
          <w:rFonts w:cstheme="minorHAnsi"/>
        </w:rPr>
        <w:t>1971</w:t>
      </w:r>
      <w:r w:rsidR="00CC66AC" w:rsidRPr="00B458B8">
        <w:rPr>
          <w:rFonts w:cstheme="minorHAnsi"/>
        </w:rPr>
        <w:t>)</w:t>
      </w:r>
      <w:r w:rsidR="00D73E55" w:rsidRPr="00B458B8">
        <w:rPr>
          <w:rFonts w:cstheme="minorHAnsi"/>
        </w:rPr>
        <w:t xml:space="preserve"> </w:t>
      </w:r>
      <w:r w:rsidR="00D73E55">
        <w:rPr>
          <w:rFonts w:cstheme="minorHAnsi"/>
        </w:rPr>
        <w:t>this would be relevant because the decision was made to use a is or is not teat, this looked whether you could distinguish whether a person was part of a certain group. This means it would be likely to pass as a result of inhabitants of Swansea are a very specific group of people and the trustees have been given absolute authority to divide the money as they will, again from this case this does not mean equal and so would be on the deaccession of the trustees.</w:t>
      </w:r>
      <w:r w:rsidR="00C050D5">
        <w:rPr>
          <w:rFonts w:cstheme="minorHAnsi"/>
        </w:rPr>
        <w:t xml:space="preserve"> Another case that would also be used would </w:t>
      </w:r>
      <w:r w:rsidR="00C050D5" w:rsidRPr="00B458B8">
        <w:rPr>
          <w:rFonts w:cstheme="minorHAnsi"/>
        </w:rPr>
        <w:t xml:space="preserve">be </w:t>
      </w:r>
      <w:r w:rsidR="00C050D5" w:rsidRPr="00B458B8">
        <w:rPr>
          <w:rFonts w:cstheme="minorHAnsi"/>
        </w:rPr>
        <w:t>Re Manisty’s Settlement Trusts</w:t>
      </w:r>
      <w:r w:rsidR="00C050D5" w:rsidRPr="00B458B8">
        <w:rPr>
          <w:rFonts w:cstheme="minorHAnsi"/>
        </w:rPr>
        <w:t xml:space="preserve"> (1974) </w:t>
      </w:r>
      <w:r w:rsidR="00C050D5">
        <w:rPr>
          <w:rFonts w:cstheme="minorHAnsi"/>
        </w:rPr>
        <w:t xml:space="preserve">this is allowed the trusteed to add more people to the beneficiary’s and it was seen that it cannot be invalid because it would be too wide in amount. This is thy it is likely to pass as a result of the president from other cases </w:t>
      </w:r>
      <w:sdt>
        <w:sdtPr>
          <w:rPr>
            <w:rFonts w:cstheme="minorHAnsi"/>
          </w:rPr>
          <w:id w:val="-181978885"/>
          <w:citation/>
        </w:sdtPr>
        <w:sdtContent>
          <w:r w:rsidR="00C050D5">
            <w:rPr>
              <w:rFonts w:cstheme="minorHAnsi"/>
            </w:rPr>
            <w:fldChar w:fldCharType="begin"/>
          </w:r>
          <w:r w:rsidR="00C050D5">
            <w:rPr>
              <w:rFonts w:cstheme="minorHAnsi"/>
            </w:rPr>
            <w:instrText xml:space="preserve"> CITATION Ram15 \l 2057 </w:instrText>
          </w:r>
          <w:r w:rsidR="00C050D5">
            <w:rPr>
              <w:rFonts w:cstheme="minorHAnsi"/>
            </w:rPr>
            <w:fldChar w:fldCharType="separate"/>
          </w:r>
          <w:r w:rsidR="00C050D5" w:rsidRPr="00C050D5">
            <w:rPr>
              <w:rFonts w:cstheme="minorHAnsi"/>
              <w:noProof/>
            </w:rPr>
            <w:t>(Ramjohn, 2015)</w:t>
          </w:r>
          <w:r w:rsidR="00C050D5">
            <w:rPr>
              <w:rFonts w:cstheme="minorHAnsi"/>
            </w:rPr>
            <w:fldChar w:fldCharType="end"/>
          </w:r>
        </w:sdtContent>
      </w:sdt>
    </w:p>
    <w:p w14:paraId="025C920F" w14:textId="0287E7CC" w:rsidR="00C21BFB" w:rsidRDefault="00B761EE" w:rsidP="00E22AF6">
      <w:pPr>
        <w:spacing w:line="480" w:lineRule="auto"/>
        <w:rPr>
          <w:rFonts w:cstheme="minorHAnsi"/>
        </w:rPr>
      </w:pPr>
      <w:r>
        <w:rPr>
          <w:rFonts w:cstheme="minorHAnsi"/>
        </w:rPr>
        <w:t>e.</w:t>
      </w:r>
      <w:r w:rsidR="00111F94">
        <w:rPr>
          <w:rFonts w:cstheme="minorHAnsi"/>
        </w:rPr>
        <w:t xml:space="preserve"> In this case the </w:t>
      </w:r>
      <w:r w:rsidR="00111F94" w:rsidRPr="00111F94">
        <w:rPr>
          <w:rFonts w:cstheme="minorHAnsi"/>
        </w:rPr>
        <w:t>testator</w:t>
      </w:r>
      <w:r w:rsidR="00111F94">
        <w:rPr>
          <w:rFonts w:cstheme="minorHAnsi"/>
        </w:rPr>
        <w:t xml:space="preserve"> had the intention to pay any debts he may have had while he was alive. Although the wording may have been inaccurate or unclear. This can be seen in the case of </w:t>
      </w:r>
      <w:r w:rsidR="00111F94" w:rsidRPr="00111F94">
        <w:rPr>
          <w:rFonts w:cstheme="minorHAnsi"/>
        </w:rPr>
        <w:t xml:space="preserve">Re Tuck </w:t>
      </w:r>
      <w:r w:rsidR="00111F94">
        <w:rPr>
          <w:rFonts w:cstheme="minorHAnsi"/>
        </w:rPr>
        <w:lastRenderedPageBreak/>
        <w:t>(</w:t>
      </w:r>
      <w:r w:rsidR="00111F94" w:rsidRPr="00111F94">
        <w:rPr>
          <w:rFonts w:cstheme="minorHAnsi"/>
        </w:rPr>
        <w:t>1978</w:t>
      </w:r>
      <w:r w:rsidR="00111F94">
        <w:rPr>
          <w:rFonts w:cstheme="minorHAnsi"/>
        </w:rPr>
        <w:t xml:space="preserve">) in this case as a result of poor working and unclear meanings it failed, the way this related to the case would be the unclear </w:t>
      </w:r>
      <w:r w:rsidR="00DD36D1">
        <w:rPr>
          <w:rFonts w:cstheme="minorHAnsi"/>
        </w:rPr>
        <w:t>wording</w:t>
      </w:r>
      <w:r w:rsidR="00111F94">
        <w:rPr>
          <w:rFonts w:cstheme="minorHAnsi"/>
        </w:rPr>
        <w:t xml:space="preserve"> making it more unlikely for the trust to pass</w:t>
      </w:r>
      <w:r w:rsidR="00DD36D1">
        <w:rPr>
          <w:rFonts w:cstheme="minorHAnsi"/>
        </w:rPr>
        <w:t xml:space="preserve">. Furthermore, it can also be seen in the case of </w:t>
      </w:r>
      <w:r w:rsidR="00DD36D1" w:rsidRPr="00B458B8">
        <w:rPr>
          <w:rFonts w:cstheme="minorHAnsi"/>
        </w:rPr>
        <w:t xml:space="preserve">Re Baden (No 2) </w:t>
      </w:r>
      <w:r w:rsidR="00DD36D1" w:rsidRPr="00B458B8">
        <w:rPr>
          <w:rFonts w:cstheme="minorHAnsi"/>
        </w:rPr>
        <w:t>(</w:t>
      </w:r>
      <w:r w:rsidR="00DD36D1" w:rsidRPr="00B458B8">
        <w:rPr>
          <w:rFonts w:cstheme="minorHAnsi"/>
        </w:rPr>
        <w:t>1973</w:t>
      </w:r>
      <w:r w:rsidR="00DD36D1" w:rsidRPr="00B458B8">
        <w:rPr>
          <w:rFonts w:cstheme="minorHAnsi"/>
        </w:rPr>
        <w:t>)</w:t>
      </w:r>
      <w:r w:rsidR="00DD36D1" w:rsidRPr="00B458B8">
        <w:rPr>
          <w:rFonts w:cstheme="minorHAnsi"/>
        </w:rPr>
        <w:t xml:space="preserve"> </w:t>
      </w:r>
      <w:r w:rsidR="00DD36D1">
        <w:rPr>
          <w:rFonts w:cstheme="minorHAnsi"/>
        </w:rPr>
        <w:t xml:space="preserve">that it would have to pass the 3 tests. The fist being un uncertainty the assumption would be not a part of the class, although the person making the decisions would be Walter and would be on his discretion. It may also be substantial in number but most importantly it would be very </w:t>
      </w:r>
      <w:r w:rsidR="00B458B8">
        <w:rPr>
          <w:rFonts w:cstheme="minorHAnsi"/>
        </w:rPr>
        <w:t>difficult</w:t>
      </w:r>
      <w:r w:rsidR="00DD36D1">
        <w:rPr>
          <w:rFonts w:cstheme="minorHAnsi"/>
        </w:rPr>
        <w:t xml:space="preserve"> to know who is and not in the class </w:t>
      </w:r>
      <w:r w:rsidR="00B458B8">
        <w:rPr>
          <w:rFonts w:cstheme="minorHAnsi"/>
        </w:rPr>
        <w:t>showing</w:t>
      </w:r>
      <w:r w:rsidR="00DD36D1">
        <w:rPr>
          <w:rFonts w:cstheme="minorHAnsi"/>
        </w:rPr>
        <w:t xml:space="preserve"> that there it would be hard to know </w:t>
      </w:r>
      <w:r w:rsidR="00B458B8">
        <w:rPr>
          <w:rFonts w:cstheme="minorHAnsi"/>
        </w:rPr>
        <w:t>whether</w:t>
      </w:r>
      <w:r w:rsidR="00DD36D1">
        <w:rPr>
          <w:rFonts w:cstheme="minorHAnsi"/>
        </w:rPr>
        <w:t xml:space="preserve"> the money is going to people that the </w:t>
      </w:r>
      <w:r w:rsidR="00DD36D1" w:rsidRPr="00DD36D1">
        <w:rPr>
          <w:rFonts w:cstheme="minorHAnsi"/>
        </w:rPr>
        <w:t>testator</w:t>
      </w:r>
      <w:r w:rsidR="00DD36D1" w:rsidRPr="00DD36D1">
        <w:rPr>
          <w:rFonts w:cstheme="minorHAnsi"/>
        </w:rPr>
        <w:t xml:space="preserve"> </w:t>
      </w:r>
      <w:r w:rsidR="00DD36D1">
        <w:rPr>
          <w:rFonts w:cstheme="minorHAnsi"/>
        </w:rPr>
        <w:t xml:space="preserve">wanted the money to go for. If it does not this would go against their wishes and could be fraudulent. This would mean equity would fail as a result of the maxims </w:t>
      </w:r>
      <w:r w:rsidR="00B458B8">
        <w:rPr>
          <w:rFonts w:cstheme="minorHAnsi"/>
        </w:rPr>
        <w:t>such as equity does what out to be done and equity cannot work in fraudulent cases. This would mean it would be unlikely to pass, to make it more likely there would have to be a need for proof, or a list od people provided by the testator.</w:t>
      </w:r>
      <w:r w:rsidR="00C21BFB">
        <w:rPr>
          <w:rFonts w:cstheme="minorHAnsi"/>
        </w:rPr>
        <w:br w:type="page"/>
      </w:r>
    </w:p>
    <w:p w14:paraId="0172A2A9" w14:textId="77777777" w:rsidR="0068792D" w:rsidRDefault="0068792D" w:rsidP="00E22AF6">
      <w:pPr>
        <w:spacing w:line="480" w:lineRule="auto"/>
        <w:rPr>
          <w:rFonts w:cstheme="minorHAnsi"/>
        </w:rPr>
      </w:pPr>
    </w:p>
    <w:sdt>
      <w:sdtPr>
        <w:id w:val="2008708846"/>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5FFC865E" w14:textId="1E04DEA1" w:rsidR="00C21BFB" w:rsidRDefault="00C21BFB">
          <w:pPr>
            <w:pStyle w:val="Heading1"/>
          </w:pPr>
          <w:r>
            <w:t>Bibliography</w:t>
          </w:r>
        </w:p>
        <w:sdt>
          <w:sdtPr>
            <w:id w:val="111145805"/>
            <w:bibliography/>
          </w:sdtPr>
          <w:sdtContent>
            <w:p w14:paraId="408D0095" w14:textId="77777777" w:rsidR="00C21BFB" w:rsidRDefault="00C21BFB" w:rsidP="00C21BF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Bray, J. (2012). </w:t>
              </w:r>
              <w:r>
                <w:rPr>
                  <w:i/>
                  <w:iCs/>
                  <w:noProof/>
                  <w:lang w:val="en-US"/>
                </w:rPr>
                <w:t>A student's guide to equity and trusts.</w:t>
              </w:r>
              <w:r>
                <w:rPr>
                  <w:noProof/>
                  <w:lang w:val="en-US"/>
                </w:rPr>
                <w:t xml:space="preserve"> Cambridge`: Camridge invirsity press.</w:t>
              </w:r>
            </w:p>
            <w:p w14:paraId="7C5C324F" w14:textId="77777777" w:rsidR="00C21BFB" w:rsidRDefault="00C21BFB" w:rsidP="00C21BFB">
              <w:pPr>
                <w:pStyle w:val="Bibliography"/>
                <w:ind w:left="720" w:hanging="720"/>
                <w:rPr>
                  <w:noProof/>
                  <w:lang w:val="en-US"/>
                </w:rPr>
              </w:pPr>
              <w:r>
                <w:rPr>
                  <w:noProof/>
                  <w:lang w:val="en-US"/>
                </w:rPr>
                <w:t xml:space="preserve">McDonald, I., &amp; Street, A. (2013). </w:t>
              </w:r>
              <w:r>
                <w:rPr>
                  <w:i/>
                  <w:iCs/>
                  <w:noProof/>
                  <w:lang w:val="en-US"/>
                </w:rPr>
                <w:t>Equity &amp; Trusts</w:t>
              </w:r>
              <w:r>
                <w:rPr>
                  <w:noProof/>
                  <w:lang w:val="en-US"/>
                </w:rPr>
                <w:t xml:space="preserve"> (3rd ed.). Oxford: Oxford university press.</w:t>
              </w:r>
            </w:p>
            <w:p w14:paraId="78030D43" w14:textId="77777777" w:rsidR="00C21BFB" w:rsidRDefault="00C21BFB" w:rsidP="00C21BFB">
              <w:pPr>
                <w:pStyle w:val="Bibliography"/>
                <w:ind w:left="720" w:hanging="720"/>
                <w:rPr>
                  <w:noProof/>
                  <w:lang w:val="en-US"/>
                </w:rPr>
              </w:pPr>
              <w:r>
                <w:rPr>
                  <w:noProof/>
                  <w:lang w:val="en-US"/>
                </w:rPr>
                <w:t xml:space="preserve">Ramjohn, M. (2015). </w:t>
              </w:r>
              <w:r>
                <w:rPr>
                  <w:i/>
                  <w:iCs/>
                  <w:noProof/>
                  <w:lang w:val="en-US"/>
                </w:rPr>
                <w:t>Unlocking wquity and trusts.</w:t>
              </w:r>
              <w:r>
                <w:rPr>
                  <w:noProof/>
                  <w:lang w:val="en-US"/>
                </w:rPr>
                <w:t xml:space="preserve"> Oxon: Routledge.</w:t>
              </w:r>
            </w:p>
            <w:p w14:paraId="2820BA41" w14:textId="77777777" w:rsidR="00C21BFB" w:rsidRDefault="00C21BFB" w:rsidP="00C21BFB">
              <w:pPr>
                <w:pStyle w:val="Bibliography"/>
                <w:ind w:left="720" w:hanging="720"/>
                <w:rPr>
                  <w:noProof/>
                  <w:lang w:val="en-US"/>
                </w:rPr>
              </w:pPr>
              <w:r>
                <w:rPr>
                  <w:noProof/>
                  <w:lang w:val="en-US"/>
                </w:rPr>
                <w:t xml:space="preserve">Virgo, G. (2020). </w:t>
              </w:r>
              <w:r>
                <w:rPr>
                  <w:i/>
                  <w:iCs/>
                  <w:noProof/>
                  <w:lang w:val="en-US"/>
                </w:rPr>
                <w:t>The Principles of Equity &amp; Trusts</w:t>
              </w:r>
              <w:r>
                <w:rPr>
                  <w:noProof/>
                  <w:lang w:val="en-US"/>
                </w:rPr>
                <w:t xml:space="preserve"> (4th ed.). Oxford: Oxford university press.</w:t>
              </w:r>
            </w:p>
            <w:p w14:paraId="75BBA0AF" w14:textId="3C763610" w:rsidR="00C21BFB" w:rsidRDefault="00C21BFB" w:rsidP="00C21BFB">
              <w:r>
                <w:rPr>
                  <w:b/>
                  <w:bCs/>
                  <w:noProof/>
                </w:rPr>
                <w:fldChar w:fldCharType="end"/>
              </w:r>
            </w:p>
          </w:sdtContent>
        </w:sdt>
      </w:sdtContent>
    </w:sdt>
    <w:p w14:paraId="02BCE86F" w14:textId="76573264" w:rsidR="00C21BFB" w:rsidRDefault="00C21BFB">
      <w:pPr>
        <w:rPr>
          <w:rFonts w:cstheme="minorHAnsi"/>
        </w:rPr>
      </w:pPr>
      <w:r>
        <w:rPr>
          <w:rFonts w:cstheme="minorHAnsi"/>
        </w:rPr>
        <w:br w:type="page"/>
      </w:r>
    </w:p>
    <w:p w14:paraId="0A351F91" w14:textId="51336E4C" w:rsidR="008D52D8" w:rsidRDefault="00C21BFB">
      <w:pPr>
        <w:rPr>
          <w:rFonts w:cstheme="minorHAnsi"/>
        </w:rPr>
      </w:pPr>
      <w:r>
        <w:rPr>
          <w:rFonts w:cstheme="minorHAnsi"/>
        </w:rPr>
        <w:lastRenderedPageBreak/>
        <w:t>Cases used</w:t>
      </w:r>
    </w:p>
    <w:p w14:paraId="0926DB72" w14:textId="17CC720E" w:rsidR="00C21BFB" w:rsidRDefault="00C21BFB" w:rsidP="00C21BFB">
      <w:pPr>
        <w:rPr>
          <w:rFonts w:cstheme="minorHAnsi"/>
        </w:rPr>
      </w:pPr>
      <w:r w:rsidRPr="00E22AF6">
        <w:rPr>
          <w:rFonts w:cstheme="minorHAnsi"/>
        </w:rPr>
        <w:t>Kasperbauer v Griffith (2000)</w:t>
      </w:r>
      <w:r w:rsidR="00E62C80">
        <w:rPr>
          <w:rFonts w:cstheme="minorHAnsi"/>
        </w:rPr>
        <w:t xml:space="preserve"> </w:t>
      </w:r>
      <w:r w:rsidR="00E62C80" w:rsidRPr="00E62C80">
        <w:rPr>
          <w:rFonts w:cstheme="minorHAnsi"/>
        </w:rPr>
        <w:t>WTLR 333</w:t>
      </w:r>
    </w:p>
    <w:p w14:paraId="55C3C455" w14:textId="43571B8F" w:rsidR="00613735" w:rsidRDefault="00613735" w:rsidP="00C21BFB">
      <w:pPr>
        <w:rPr>
          <w:rFonts w:cstheme="minorHAnsi"/>
        </w:rPr>
      </w:pPr>
      <w:r w:rsidRPr="00613735">
        <w:rPr>
          <w:rFonts w:cstheme="minorHAnsi"/>
        </w:rPr>
        <w:t xml:space="preserve">R v District Auditor ex p West </w:t>
      </w:r>
      <w:proofErr w:type="spellStart"/>
      <w:r w:rsidRPr="00613735">
        <w:rPr>
          <w:rFonts w:cstheme="minorHAnsi"/>
        </w:rPr>
        <w:t>Yorks</w:t>
      </w:r>
      <w:proofErr w:type="spellEnd"/>
      <w:r w:rsidRPr="00613735">
        <w:rPr>
          <w:rFonts w:cstheme="minorHAnsi"/>
        </w:rPr>
        <w:t xml:space="preserve"> MCC (1986</w:t>
      </w:r>
      <w:r>
        <w:rPr>
          <w:rFonts w:cstheme="minorHAnsi"/>
        </w:rPr>
        <w:t>)</w:t>
      </w:r>
      <w:r>
        <w:rPr>
          <w:rFonts w:cstheme="minorHAnsi"/>
        </w:rPr>
        <w:t xml:space="preserve"> </w:t>
      </w:r>
      <w:r w:rsidRPr="00613735">
        <w:rPr>
          <w:rFonts w:cstheme="minorHAnsi"/>
        </w:rPr>
        <w:t>RVR 24</w:t>
      </w:r>
    </w:p>
    <w:p w14:paraId="1E297053" w14:textId="4EF0D00E" w:rsidR="00613735" w:rsidRPr="00E22AF6" w:rsidRDefault="00613735" w:rsidP="00C21BFB">
      <w:pPr>
        <w:rPr>
          <w:rFonts w:cstheme="minorHAnsi"/>
        </w:rPr>
      </w:pPr>
      <w:r w:rsidRPr="00613735">
        <w:rPr>
          <w:rFonts w:cstheme="minorHAnsi"/>
        </w:rPr>
        <w:t>Megarry VC in Re Hay’s Settlement Trust (1982</w:t>
      </w:r>
      <w:r>
        <w:rPr>
          <w:rFonts w:cstheme="minorHAnsi"/>
        </w:rPr>
        <w:t>)</w:t>
      </w:r>
      <w:r w:rsidRPr="00613735">
        <w:rPr>
          <w:rFonts w:cstheme="minorHAnsi"/>
        </w:rPr>
        <w:t xml:space="preserve"> </w:t>
      </w:r>
      <w:r w:rsidRPr="00613735">
        <w:rPr>
          <w:rFonts w:cstheme="minorHAnsi"/>
        </w:rPr>
        <w:t>1 WLR 202</w:t>
      </w:r>
    </w:p>
    <w:p w14:paraId="460C367E" w14:textId="26FA6320" w:rsidR="00E22AF6" w:rsidRDefault="00E22AF6" w:rsidP="00E22AF6">
      <w:pPr>
        <w:rPr>
          <w:rFonts w:cstheme="minorHAnsi"/>
        </w:rPr>
      </w:pPr>
      <w:r w:rsidRPr="00E22AF6">
        <w:rPr>
          <w:rFonts w:cstheme="minorHAnsi"/>
        </w:rPr>
        <w:t>Re Snowden (1979)</w:t>
      </w:r>
      <w:r w:rsidR="00E62C80">
        <w:rPr>
          <w:rFonts w:cstheme="minorHAnsi"/>
        </w:rPr>
        <w:t xml:space="preserve"> </w:t>
      </w:r>
      <w:r w:rsidR="00E62C80" w:rsidRPr="00E62C80">
        <w:rPr>
          <w:rFonts w:cstheme="minorHAnsi"/>
        </w:rPr>
        <w:t>Ch. 528</w:t>
      </w:r>
    </w:p>
    <w:p w14:paraId="358D68D8" w14:textId="76F5DCBF" w:rsidR="00613735" w:rsidRDefault="00613735" w:rsidP="00E22AF6">
      <w:pPr>
        <w:rPr>
          <w:rFonts w:cstheme="minorHAnsi"/>
        </w:rPr>
      </w:pPr>
      <w:r w:rsidRPr="00E62C80">
        <w:rPr>
          <w:rFonts w:cstheme="minorHAnsi"/>
        </w:rPr>
        <w:t>Re Manisty’s Settlement Trusts (1974)</w:t>
      </w:r>
      <w:r w:rsidR="00E62C80" w:rsidRPr="00E62C80">
        <w:t xml:space="preserve"> </w:t>
      </w:r>
      <w:r w:rsidR="00E62C80" w:rsidRPr="00E62C80">
        <w:rPr>
          <w:rFonts w:cstheme="minorHAnsi"/>
        </w:rPr>
        <w:t>Ch 17</w:t>
      </w:r>
    </w:p>
    <w:p w14:paraId="097F76E0" w14:textId="583C6628" w:rsidR="00613735" w:rsidRPr="00E62C80" w:rsidRDefault="00613735" w:rsidP="00E22AF6">
      <w:pPr>
        <w:rPr>
          <w:rFonts w:cstheme="minorHAnsi"/>
        </w:rPr>
      </w:pPr>
      <w:r w:rsidRPr="00E62C80">
        <w:rPr>
          <w:rFonts w:cstheme="minorHAnsi"/>
        </w:rPr>
        <w:t>Re Baden (No 2) (1973)</w:t>
      </w:r>
      <w:r w:rsidR="00E62C80" w:rsidRPr="00E62C80">
        <w:rPr>
          <w:rFonts w:cstheme="minorHAnsi"/>
        </w:rPr>
        <w:t xml:space="preserve"> </w:t>
      </w:r>
      <w:r w:rsidR="00E62C80" w:rsidRPr="00E62C80">
        <w:rPr>
          <w:rFonts w:cstheme="minorHAnsi"/>
        </w:rPr>
        <w:t>Ch 9</w:t>
      </w:r>
    </w:p>
    <w:p w14:paraId="55E3646E" w14:textId="197227C4" w:rsidR="00613735" w:rsidRPr="00E62C80" w:rsidRDefault="00613735" w:rsidP="00E22AF6">
      <w:pPr>
        <w:rPr>
          <w:rFonts w:cstheme="minorHAnsi"/>
        </w:rPr>
      </w:pPr>
      <w:r w:rsidRPr="00E62C80">
        <w:rPr>
          <w:rFonts w:cstheme="minorHAnsi"/>
        </w:rPr>
        <w:t>McPhail v Doulton (1971)</w:t>
      </w:r>
      <w:r w:rsidR="00E62C80" w:rsidRPr="00E62C80">
        <w:rPr>
          <w:rFonts w:cstheme="minorHAnsi"/>
        </w:rPr>
        <w:t xml:space="preserve"> </w:t>
      </w:r>
      <w:r w:rsidR="00E62C80" w:rsidRPr="00E62C80">
        <w:rPr>
          <w:rFonts w:cstheme="minorHAnsi"/>
        </w:rPr>
        <w:t>AC 424</w:t>
      </w:r>
    </w:p>
    <w:p w14:paraId="6B69AD45" w14:textId="4D69140C" w:rsidR="00E22AF6" w:rsidRPr="00E62C80" w:rsidRDefault="00E22AF6" w:rsidP="00E22AF6">
      <w:pPr>
        <w:rPr>
          <w:rFonts w:cstheme="minorHAnsi"/>
        </w:rPr>
      </w:pPr>
      <w:r w:rsidRPr="00E62C80">
        <w:rPr>
          <w:rFonts w:cstheme="minorHAnsi"/>
        </w:rPr>
        <w:t>Re Bateman (1970)</w:t>
      </w:r>
      <w:r w:rsidR="00E62C80">
        <w:rPr>
          <w:rFonts w:cstheme="minorHAnsi"/>
        </w:rPr>
        <w:t xml:space="preserve"> </w:t>
      </w:r>
      <w:r w:rsidR="00E62C80" w:rsidRPr="00E62C80">
        <w:rPr>
          <w:rFonts w:cstheme="minorHAnsi"/>
        </w:rPr>
        <w:t>1 WLR 1463</w:t>
      </w:r>
    </w:p>
    <w:p w14:paraId="6490B1E3" w14:textId="6D035A2A" w:rsidR="00613735" w:rsidRPr="00E62C80" w:rsidRDefault="00613735" w:rsidP="00E22AF6">
      <w:pPr>
        <w:rPr>
          <w:rFonts w:cstheme="minorHAnsi"/>
        </w:rPr>
      </w:pPr>
      <w:r w:rsidRPr="00E62C80">
        <w:rPr>
          <w:rFonts w:cstheme="minorHAnsi"/>
        </w:rPr>
        <w:t>Re Endacott (1959)</w:t>
      </w:r>
      <w:r w:rsidR="00E62C80" w:rsidRPr="00E62C80">
        <w:rPr>
          <w:rFonts w:cstheme="minorHAnsi"/>
        </w:rPr>
        <w:t xml:space="preserve"> </w:t>
      </w:r>
      <w:r w:rsidR="00E62C80" w:rsidRPr="00E62C80">
        <w:rPr>
          <w:rFonts w:cstheme="minorHAnsi"/>
        </w:rPr>
        <w:t xml:space="preserve">EWCA </w:t>
      </w:r>
      <w:proofErr w:type="spellStart"/>
      <w:r w:rsidR="00E62C80" w:rsidRPr="00E62C80">
        <w:rPr>
          <w:rFonts w:cstheme="minorHAnsi"/>
        </w:rPr>
        <w:t>Civ</w:t>
      </w:r>
      <w:proofErr w:type="spellEnd"/>
      <w:r w:rsidR="00E62C80" w:rsidRPr="00E62C80">
        <w:rPr>
          <w:rFonts w:cstheme="minorHAnsi"/>
        </w:rPr>
        <w:t xml:space="preserve"> 5</w:t>
      </w:r>
    </w:p>
    <w:p w14:paraId="5B0BA140" w14:textId="38A30CB9" w:rsidR="00613735" w:rsidRPr="00E62C80" w:rsidRDefault="00613735" w:rsidP="00E22AF6">
      <w:pPr>
        <w:rPr>
          <w:rFonts w:cstheme="minorHAnsi"/>
        </w:rPr>
      </w:pPr>
      <w:r w:rsidRPr="00E62C80">
        <w:rPr>
          <w:rFonts w:cstheme="minorHAnsi"/>
        </w:rPr>
        <w:t>Re Astor’s Settlement Trusts (1952)</w:t>
      </w:r>
      <w:r w:rsidR="00E62C80" w:rsidRPr="00E62C80">
        <w:rPr>
          <w:rFonts w:cstheme="minorHAnsi"/>
        </w:rPr>
        <w:t xml:space="preserve"> </w:t>
      </w:r>
      <w:r w:rsidR="00E62C80" w:rsidRPr="00E62C80">
        <w:rPr>
          <w:rFonts w:cstheme="minorHAnsi"/>
        </w:rPr>
        <w:t>Ch 534</w:t>
      </w:r>
    </w:p>
    <w:p w14:paraId="5FFF20F4" w14:textId="49DFD555" w:rsidR="00E22AF6" w:rsidRPr="00E22AF6" w:rsidRDefault="00E22AF6" w:rsidP="00E22AF6">
      <w:pPr>
        <w:rPr>
          <w:rFonts w:cstheme="minorHAnsi"/>
        </w:rPr>
      </w:pPr>
      <w:r w:rsidRPr="00E22AF6">
        <w:rPr>
          <w:rFonts w:cstheme="minorHAnsi"/>
        </w:rPr>
        <w:t>Re Colin Cooper (1939)</w:t>
      </w:r>
      <w:r w:rsidR="00E62C80">
        <w:rPr>
          <w:rFonts w:cstheme="minorHAnsi"/>
        </w:rPr>
        <w:t xml:space="preserve"> </w:t>
      </w:r>
      <w:r w:rsidR="00E62C80" w:rsidRPr="00E62C80">
        <w:rPr>
          <w:rFonts w:cstheme="minorHAnsi"/>
        </w:rPr>
        <w:t>Ch 811</w:t>
      </w:r>
    </w:p>
    <w:p w14:paraId="43C2B929" w14:textId="6ED41383" w:rsidR="00E22AF6" w:rsidRPr="00E22AF6" w:rsidRDefault="00E22AF6" w:rsidP="00E22AF6">
      <w:pPr>
        <w:rPr>
          <w:rFonts w:cstheme="minorHAnsi"/>
        </w:rPr>
      </w:pPr>
      <w:r w:rsidRPr="00E22AF6">
        <w:rPr>
          <w:rFonts w:cstheme="minorHAnsi"/>
        </w:rPr>
        <w:t>Re Keen (1937)</w:t>
      </w:r>
      <w:r w:rsidR="00E62C80">
        <w:rPr>
          <w:rFonts w:cstheme="minorHAnsi"/>
        </w:rPr>
        <w:t xml:space="preserve"> </w:t>
      </w:r>
      <w:r w:rsidR="00E62C80" w:rsidRPr="00E62C80">
        <w:rPr>
          <w:rFonts w:cstheme="minorHAnsi"/>
        </w:rPr>
        <w:t>1 Ch. 236</w:t>
      </w:r>
    </w:p>
    <w:p w14:paraId="3FD279A3" w14:textId="20B1370F" w:rsidR="00E22AF6" w:rsidRPr="00E22AF6" w:rsidRDefault="00E22AF6" w:rsidP="00E22AF6">
      <w:pPr>
        <w:rPr>
          <w:rFonts w:cstheme="minorHAnsi"/>
        </w:rPr>
      </w:pPr>
      <w:r w:rsidRPr="00E22AF6">
        <w:rPr>
          <w:rFonts w:cstheme="minorHAnsi"/>
        </w:rPr>
        <w:t>Wallgrave v Tebbs (1937)</w:t>
      </w:r>
      <w:r w:rsidR="00E62C80">
        <w:rPr>
          <w:rFonts w:cstheme="minorHAnsi"/>
        </w:rPr>
        <w:t xml:space="preserve"> </w:t>
      </w:r>
      <w:r w:rsidR="00E62C80" w:rsidRPr="00E62C80">
        <w:rPr>
          <w:rFonts w:cstheme="minorHAnsi"/>
        </w:rPr>
        <w:t>2 K &amp; J 313</w:t>
      </w:r>
    </w:p>
    <w:p w14:paraId="203D9D44" w14:textId="0E63A34E" w:rsidR="00E22AF6" w:rsidRPr="00E22AF6" w:rsidRDefault="00E22AF6" w:rsidP="00E22AF6">
      <w:pPr>
        <w:rPr>
          <w:rFonts w:cstheme="minorHAnsi"/>
        </w:rPr>
      </w:pPr>
      <w:r w:rsidRPr="00E22AF6">
        <w:rPr>
          <w:rFonts w:cstheme="minorHAnsi"/>
        </w:rPr>
        <w:t>Blackwell v Blackwell (1929</w:t>
      </w:r>
      <w:r w:rsidRPr="00E22AF6">
        <w:rPr>
          <w:rFonts w:cstheme="minorHAnsi"/>
        </w:rPr>
        <w:t>)</w:t>
      </w:r>
      <w:r w:rsidR="00E62C80">
        <w:rPr>
          <w:rFonts w:cstheme="minorHAnsi"/>
        </w:rPr>
        <w:t xml:space="preserve"> </w:t>
      </w:r>
      <w:r w:rsidR="00E62C80" w:rsidRPr="00E62C80">
        <w:rPr>
          <w:rFonts w:cstheme="minorHAnsi"/>
        </w:rPr>
        <w:t>ac 318</w:t>
      </w:r>
    </w:p>
    <w:p w14:paraId="1DBB9C7A" w14:textId="46B0E606" w:rsidR="00E22AF6" w:rsidRPr="00E22AF6" w:rsidRDefault="00E22AF6" w:rsidP="00E22AF6">
      <w:pPr>
        <w:rPr>
          <w:rFonts w:cstheme="minorHAnsi"/>
        </w:rPr>
      </w:pPr>
      <w:r w:rsidRPr="00E22AF6">
        <w:rPr>
          <w:rFonts w:cstheme="minorHAnsi"/>
        </w:rPr>
        <w:t>Rochefoucauld v Boustead (1897)</w:t>
      </w:r>
      <w:r w:rsidR="00597B32">
        <w:rPr>
          <w:rFonts w:cstheme="minorHAnsi"/>
        </w:rPr>
        <w:t xml:space="preserve"> </w:t>
      </w:r>
      <w:r w:rsidR="00597B32" w:rsidRPr="00597B32">
        <w:rPr>
          <w:rFonts w:cstheme="minorHAnsi"/>
        </w:rPr>
        <w:t>1 Ch 196</w:t>
      </w:r>
    </w:p>
    <w:p w14:paraId="738C6EB3" w14:textId="08316B64" w:rsidR="00E22AF6" w:rsidRPr="00E22AF6" w:rsidRDefault="00E22AF6" w:rsidP="00E22AF6">
      <w:pPr>
        <w:rPr>
          <w:rFonts w:cstheme="minorHAnsi"/>
        </w:rPr>
      </w:pPr>
      <w:r w:rsidRPr="00E22AF6">
        <w:rPr>
          <w:rFonts w:cstheme="minorHAnsi"/>
        </w:rPr>
        <w:t>McCormick v Grogan (1896)</w:t>
      </w:r>
      <w:r w:rsidR="00597B32">
        <w:rPr>
          <w:rFonts w:cstheme="minorHAnsi"/>
        </w:rPr>
        <w:t xml:space="preserve"> </w:t>
      </w:r>
      <w:r w:rsidR="00597B32" w:rsidRPr="00597B32">
        <w:rPr>
          <w:rFonts w:cstheme="minorHAnsi"/>
        </w:rPr>
        <w:t>LR 4 HL 82</w:t>
      </w:r>
    </w:p>
    <w:p w14:paraId="110767EE" w14:textId="562891B6" w:rsidR="00E22AF6" w:rsidRPr="00E22AF6" w:rsidRDefault="00E22AF6" w:rsidP="00E22AF6">
      <w:pPr>
        <w:rPr>
          <w:rFonts w:cstheme="minorHAnsi"/>
        </w:rPr>
      </w:pPr>
      <w:r w:rsidRPr="00E22AF6">
        <w:rPr>
          <w:rFonts w:cstheme="minorHAnsi"/>
        </w:rPr>
        <w:t>Re Boyes (1884)</w:t>
      </w:r>
      <w:r w:rsidR="00597B32">
        <w:rPr>
          <w:rFonts w:cstheme="minorHAnsi"/>
        </w:rPr>
        <w:t xml:space="preserve"> </w:t>
      </w:r>
      <w:r w:rsidR="00597B32" w:rsidRPr="00597B32">
        <w:rPr>
          <w:rFonts w:cstheme="minorHAnsi"/>
        </w:rPr>
        <w:t>26 Ch. D. 531</w:t>
      </w:r>
    </w:p>
    <w:p w14:paraId="642AE303" w14:textId="1D2ABA0C" w:rsidR="00E22AF6" w:rsidRDefault="00E22AF6" w:rsidP="00E22AF6">
      <w:pPr>
        <w:rPr>
          <w:rFonts w:cstheme="minorHAnsi"/>
        </w:rPr>
      </w:pPr>
      <w:r w:rsidRPr="00E22AF6">
        <w:rPr>
          <w:rFonts w:cstheme="minorHAnsi"/>
        </w:rPr>
        <w:t>Moss v Cooper (1884)</w:t>
      </w:r>
      <w:r w:rsidR="00597B32">
        <w:rPr>
          <w:rFonts w:cstheme="minorHAnsi"/>
        </w:rPr>
        <w:t xml:space="preserve"> </w:t>
      </w:r>
      <w:r w:rsidR="00597B32" w:rsidRPr="00597B32">
        <w:rPr>
          <w:rFonts w:cstheme="minorHAnsi"/>
        </w:rPr>
        <w:t>70 E.R. 782</w:t>
      </w:r>
    </w:p>
    <w:p w14:paraId="0737D3A0" w14:textId="0B12DD65" w:rsidR="00613735" w:rsidRPr="00E62C80" w:rsidRDefault="00613735" w:rsidP="00E22AF6">
      <w:pPr>
        <w:rPr>
          <w:rFonts w:cstheme="minorHAnsi"/>
        </w:rPr>
      </w:pPr>
      <w:r w:rsidRPr="00E62C80">
        <w:rPr>
          <w:rFonts w:cstheme="minorHAnsi"/>
        </w:rPr>
        <w:t>Mussett v Bingle (1876)</w:t>
      </w:r>
      <w:r w:rsidR="00E62C80" w:rsidRPr="00E62C80">
        <w:rPr>
          <w:rFonts w:cstheme="minorHAnsi"/>
        </w:rPr>
        <w:t xml:space="preserve"> </w:t>
      </w:r>
      <w:r w:rsidR="00E62C80" w:rsidRPr="00E62C80">
        <w:rPr>
          <w:rFonts w:cstheme="minorHAnsi"/>
        </w:rPr>
        <w:t>WN 170</w:t>
      </w:r>
    </w:p>
    <w:p w14:paraId="191B1DCD" w14:textId="2181E85E" w:rsidR="00E22AF6" w:rsidRPr="00E22AF6" w:rsidRDefault="00E22AF6" w:rsidP="00E22AF6">
      <w:pPr>
        <w:rPr>
          <w:rFonts w:cstheme="minorHAnsi"/>
        </w:rPr>
      </w:pPr>
      <w:r w:rsidRPr="00E22AF6">
        <w:rPr>
          <w:rFonts w:cstheme="minorHAnsi"/>
        </w:rPr>
        <w:t>Moss v Cooper (1861)</w:t>
      </w:r>
      <w:r w:rsidR="00597B32">
        <w:rPr>
          <w:rFonts w:cstheme="minorHAnsi"/>
        </w:rPr>
        <w:t xml:space="preserve"> </w:t>
      </w:r>
      <w:r w:rsidR="00597B32" w:rsidRPr="00597B32">
        <w:rPr>
          <w:rFonts w:cstheme="minorHAnsi"/>
        </w:rPr>
        <w:t>70 E.R. 782</w:t>
      </w:r>
    </w:p>
    <w:p w14:paraId="14F6A4E3" w14:textId="18954812" w:rsidR="00E22AF6" w:rsidRDefault="00E22AF6" w:rsidP="00E22AF6">
      <w:pPr>
        <w:rPr>
          <w:rFonts w:cstheme="minorHAnsi"/>
        </w:rPr>
      </w:pPr>
      <w:r w:rsidRPr="00E22AF6">
        <w:rPr>
          <w:rFonts w:cstheme="minorHAnsi"/>
        </w:rPr>
        <w:t>Wallgrave v Tebbs (1855)</w:t>
      </w:r>
      <w:r w:rsidR="00597B32">
        <w:rPr>
          <w:rFonts w:cstheme="minorHAnsi"/>
        </w:rPr>
        <w:t xml:space="preserve"> </w:t>
      </w:r>
      <w:r w:rsidR="00597B32" w:rsidRPr="00597B32">
        <w:rPr>
          <w:rFonts w:cstheme="minorHAnsi"/>
        </w:rPr>
        <w:t>69 E.R. 800</w:t>
      </w:r>
    </w:p>
    <w:p w14:paraId="73FE6AD3" w14:textId="3C143D4B" w:rsidR="00B458B8" w:rsidRDefault="00B458B8" w:rsidP="00E22AF6">
      <w:pPr>
        <w:rPr>
          <w:rFonts w:cstheme="minorHAnsi"/>
        </w:rPr>
      </w:pPr>
    </w:p>
    <w:p w14:paraId="6F8040C2" w14:textId="26413C81" w:rsidR="00613735" w:rsidRDefault="00613735" w:rsidP="00E22AF6">
      <w:pPr>
        <w:rPr>
          <w:rFonts w:cstheme="minorHAnsi"/>
        </w:rPr>
      </w:pPr>
    </w:p>
    <w:p w14:paraId="2FBAD53D" w14:textId="77777777" w:rsidR="00613735" w:rsidRDefault="00613735" w:rsidP="00E22AF6">
      <w:pPr>
        <w:rPr>
          <w:rFonts w:cstheme="minorHAnsi"/>
        </w:rPr>
      </w:pPr>
    </w:p>
    <w:p w14:paraId="030A8E4D" w14:textId="77777777" w:rsidR="00B458B8" w:rsidRDefault="00B458B8">
      <w:pPr>
        <w:rPr>
          <w:rFonts w:cstheme="minorHAnsi"/>
        </w:rPr>
      </w:pPr>
    </w:p>
    <w:p w14:paraId="1EE93D39" w14:textId="77777777" w:rsidR="00B458B8" w:rsidRDefault="00B458B8">
      <w:pPr>
        <w:rPr>
          <w:rFonts w:cstheme="minorHAnsi"/>
        </w:rPr>
      </w:pPr>
    </w:p>
    <w:p w14:paraId="58795EA5" w14:textId="77777777" w:rsidR="00E22AF6" w:rsidRDefault="00E22AF6">
      <w:pPr>
        <w:rPr>
          <w:rFonts w:cstheme="minorHAnsi"/>
        </w:rPr>
      </w:pPr>
    </w:p>
    <w:p w14:paraId="1D5D89E4" w14:textId="77777777" w:rsidR="00C21BFB" w:rsidRDefault="00C21BFB">
      <w:pPr>
        <w:rPr>
          <w:rFonts w:cstheme="minorHAnsi"/>
        </w:rPr>
      </w:pPr>
      <w:r>
        <w:rPr>
          <w:rFonts w:cstheme="minorHAnsi"/>
        </w:rPr>
        <w:br w:type="page"/>
      </w:r>
    </w:p>
    <w:p w14:paraId="3FE85F77" w14:textId="2706F6B6" w:rsidR="00C21BFB" w:rsidRDefault="00C21BFB">
      <w:pPr>
        <w:rPr>
          <w:rFonts w:cstheme="minorHAnsi"/>
        </w:rPr>
      </w:pPr>
      <w:r>
        <w:rPr>
          <w:rFonts w:cstheme="minorHAnsi"/>
        </w:rPr>
        <w:lastRenderedPageBreak/>
        <w:t>Cases used</w:t>
      </w:r>
    </w:p>
    <w:p w14:paraId="1062896B" w14:textId="2A73E4E3" w:rsidR="00C21BFB" w:rsidRDefault="00B458B8">
      <w:pPr>
        <w:rPr>
          <w:rFonts w:cstheme="minorHAnsi"/>
        </w:rPr>
      </w:pPr>
      <w:r w:rsidRPr="00B458B8">
        <w:rPr>
          <w:rFonts w:cstheme="minorHAnsi"/>
        </w:rPr>
        <w:t>Wills Act (1837)</w:t>
      </w:r>
    </w:p>
    <w:sectPr w:rsidR="00C21B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F7AD6"/>
    <w:multiLevelType w:val="hybridMultilevel"/>
    <w:tmpl w:val="CE66DC00"/>
    <w:lvl w:ilvl="0" w:tplc="493E2E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846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F61"/>
    <w:rsid w:val="00027C4C"/>
    <w:rsid w:val="000D4B2A"/>
    <w:rsid w:val="00111F94"/>
    <w:rsid w:val="0014616E"/>
    <w:rsid w:val="0018540F"/>
    <w:rsid w:val="00193684"/>
    <w:rsid w:val="001A5120"/>
    <w:rsid w:val="00246B02"/>
    <w:rsid w:val="002503F6"/>
    <w:rsid w:val="002841D8"/>
    <w:rsid w:val="002B6E45"/>
    <w:rsid w:val="00301445"/>
    <w:rsid w:val="003148C1"/>
    <w:rsid w:val="0034051B"/>
    <w:rsid w:val="003C04D8"/>
    <w:rsid w:val="003F4B47"/>
    <w:rsid w:val="00554432"/>
    <w:rsid w:val="0058616A"/>
    <w:rsid w:val="00597B32"/>
    <w:rsid w:val="005A155A"/>
    <w:rsid w:val="005B6557"/>
    <w:rsid w:val="005D61D1"/>
    <w:rsid w:val="00613735"/>
    <w:rsid w:val="0062328A"/>
    <w:rsid w:val="006772BD"/>
    <w:rsid w:val="0068792D"/>
    <w:rsid w:val="006B2927"/>
    <w:rsid w:val="0072226B"/>
    <w:rsid w:val="007A3E60"/>
    <w:rsid w:val="007B21FE"/>
    <w:rsid w:val="008768AD"/>
    <w:rsid w:val="008D52D8"/>
    <w:rsid w:val="009875E7"/>
    <w:rsid w:val="009B2D50"/>
    <w:rsid w:val="00A52FD3"/>
    <w:rsid w:val="00AA50A8"/>
    <w:rsid w:val="00AB736F"/>
    <w:rsid w:val="00B43D5A"/>
    <w:rsid w:val="00B458B8"/>
    <w:rsid w:val="00B761EE"/>
    <w:rsid w:val="00BC3A79"/>
    <w:rsid w:val="00C050D5"/>
    <w:rsid w:val="00C21BFB"/>
    <w:rsid w:val="00CC66AC"/>
    <w:rsid w:val="00CF6680"/>
    <w:rsid w:val="00D73E55"/>
    <w:rsid w:val="00DD36D1"/>
    <w:rsid w:val="00DE4387"/>
    <w:rsid w:val="00E22AF6"/>
    <w:rsid w:val="00E62C80"/>
    <w:rsid w:val="00E64E1A"/>
    <w:rsid w:val="00ED2152"/>
    <w:rsid w:val="00F73515"/>
    <w:rsid w:val="00F81B7D"/>
    <w:rsid w:val="00FD1F61"/>
    <w:rsid w:val="00FE3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DD2A"/>
  <w15:chartTrackingRefBased/>
  <w15:docId w15:val="{1CDA9963-5BF5-4843-8492-C8EC81FDC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BF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BF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21BFB"/>
  </w:style>
  <w:style w:type="paragraph" w:styleId="ListParagraph">
    <w:name w:val="List Paragraph"/>
    <w:basedOn w:val="Normal"/>
    <w:uiPriority w:val="34"/>
    <w:qFormat/>
    <w:rsid w:val="006879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27701">
      <w:bodyDiv w:val="1"/>
      <w:marLeft w:val="0"/>
      <w:marRight w:val="0"/>
      <w:marTop w:val="0"/>
      <w:marBottom w:val="0"/>
      <w:divBdr>
        <w:top w:val="none" w:sz="0" w:space="0" w:color="auto"/>
        <w:left w:val="none" w:sz="0" w:space="0" w:color="auto"/>
        <w:bottom w:val="none" w:sz="0" w:space="0" w:color="auto"/>
        <w:right w:val="none" w:sz="0" w:space="0" w:color="auto"/>
      </w:divBdr>
    </w:div>
    <w:div w:id="54670072">
      <w:bodyDiv w:val="1"/>
      <w:marLeft w:val="0"/>
      <w:marRight w:val="0"/>
      <w:marTop w:val="0"/>
      <w:marBottom w:val="0"/>
      <w:divBdr>
        <w:top w:val="none" w:sz="0" w:space="0" w:color="auto"/>
        <w:left w:val="none" w:sz="0" w:space="0" w:color="auto"/>
        <w:bottom w:val="none" w:sz="0" w:space="0" w:color="auto"/>
        <w:right w:val="none" w:sz="0" w:space="0" w:color="auto"/>
      </w:divBdr>
    </w:div>
    <w:div w:id="235092325">
      <w:bodyDiv w:val="1"/>
      <w:marLeft w:val="0"/>
      <w:marRight w:val="0"/>
      <w:marTop w:val="0"/>
      <w:marBottom w:val="0"/>
      <w:divBdr>
        <w:top w:val="none" w:sz="0" w:space="0" w:color="auto"/>
        <w:left w:val="none" w:sz="0" w:space="0" w:color="auto"/>
        <w:bottom w:val="none" w:sz="0" w:space="0" w:color="auto"/>
        <w:right w:val="none" w:sz="0" w:space="0" w:color="auto"/>
      </w:divBdr>
    </w:div>
    <w:div w:id="275529538">
      <w:bodyDiv w:val="1"/>
      <w:marLeft w:val="0"/>
      <w:marRight w:val="0"/>
      <w:marTop w:val="0"/>
      <w:marBottom w:val="0"/>
      <w:divBdr>
        <w:top w:val="none" w:sz="0" w:space="0" w:color="auto"/>
        <w:left w:val="none" w:sz="0" w:space="0" w:color="auto"/>
        <w:bottom w:val="none" w:sz="0" w:space="0" w:color="auto"/>
        <w:right w:val="none" w:sz="0" w:space="0" w:color="auto"/>
      </w:divBdr>
    </w:div>
    <w:div w:id="568811177">
      <w:bodyDiv w:val="1"/>
      <w:marLeft w:val="0"/>
      <w:marRight w:val="0"/>
      <w:marTop w:val="0"/>
      <w:marBottom w:val="0"/>
      <w:divBdr>
        <w:top w:val="none" w:sz="0" w:space="0" w:color="auto"/>
        <w:left w:val="none" w:sz="0" w:space="0" w:color="auto"/>
        <w:bottom w:val="none" w:sz="0" w:space="0" w:color="auto"/>
        <w:right w:val="none" w:sz="0" w:space="0" w:color="auto"/>
      </w:divBdr>
    </w:div>
    <w:div w:id="742994292">
      <w:bodyDiv w:val="1"/>
      <w:marLeft w:val="0"/>
      <w:marRight w:val="0"/>
      <w:marTop w:val="0"/>
      <w:marBottom w:val="0"/>
      <w:divBdr>
        <w:top w:val="none" w:sz="0" w:space="0" w:color="auto"/>
        <w:left w:val="none" w:sz="0" w:space="0" w:color="auto"/>
        <w:bottom w:val="none" w:sz="0" w:space="0" w:color="auto"/>
        <w:right w:val="none" w:sz="0" w:space="0" w:color="auto"/>
      </w:divBdr>
    </w:div>
    <w:div w:id="745616677">
      <w:bodyDiv w:val="1"/>
      <w:marLeft w:val="0"/>
      <w:marRight w:val="0"/>
      <w:marTop w:val="0"/>
      <w:marBottom w:val="0"/>
      <w:divBdr>
        <w:top w:val="none" w:sz="0" w:space="0" w:color="auto"/>
        <w:left w:val="none" w:sz="0" w:space="0" w:color="auto"/>
        <w:bottom w:val="none" w:sz="0" w:space="0" w:color="auto"/>
        <w:right w:val="none" w:sz="0" w:space="0" w:color="auto"/>
      </w:divBdr>
    </w:div>
    <w:div w:id="974068850">
      <w:bodyDiv w:val="1"/>
      <w:marLeft w:val="0"/>
      <w:marRight w:val="0"/>
      <w:marTop w:val="0"/>
      <w:marBottom w:val="0"/>
      <w:divBdr>
        <w:top w:val="none" w:sz="0" w:space="0" w:color="auto"/>
        <w:left w:val="none" w:sz="0" w:space="0" w:color="auto"/>
        <w:bottom w:val="none" w:sz="0" w:space="0" w:color="auto"/>
        <w:right w:val="none" w:sz="0" w:space="0" w:color="auto"/>
      </w:divBdr>
    </w:div>
    <w:div w:id="1105155817">
      <w:bodyDiv w:val="1"/>
      <w:marLeft w:val="0"/>
      <w:marRight w:val="0"/>
      <w:marTop w:val="0"/>
      <w:marBottom w:val="0"/>
      <w:divBdr>
        <w:top w:val="none" w:sz="0" w:space="0" w:color="auto"/>
        <w:left w:val="none" w:sz="0" w:space="0" w:color="auto"/>
        <w:bottom w:val="none" w:sz="0" w:space="0" w:color="auto"/>
        <w:right w:val="none" w:sz="0" w:space="0" w:color="auto"/>
      </w:divBdr>
    </w:div>
    <w:div w:id="1237785056">
      <w:bodyDiv w:val="1"/>
      <w:marLeft w:val="0"/>
      <w:marRight w:val="0"/>
      <w:marTop w:val="0"/>
      <w:marBottom w:val="0"/>
      <w:divBdr>
        <w:top w:val="none" w:sz="0" w:space="0" w:color="auto"/>
        <w:left w:val="none" w:sz="0" w:space="0" w:color="auto"/>
        <w:bottom w:val="none" w:sz="0" w:space="0" w:color="auto"/>
        <w:right w:val="none" w:sz="0" w:space="0" w:color="auto"/>
      </w:divBdr>
    </w:div>
    <w:div w:id="1443066089">
      <w:bodyDiv w:val="1"/>
      <w:marLeft w:val="0"/>
      <w:marRight w:val="0"/>
      <w:marTop w:val="0"/>
      <w:marBottom w:val="0"/>
      <w:divBdr>
        <w:top w:val="none" w:sz="0" w:space="0" w:color="auto"/>
        <w:left w:val="none" w:sz="0" w:space="0" w:color="auto"/>
        <w:bottom w:val="none" w:sz="0" w:space="0" w:color="auto"/>
        <w:right w:val="none" w:sz="0" w:space="0" w:color="auto"/>
      </w:divBdr>
    </w:div>
    <w:div w:id="1568610584">
      <w:bodyDiv w:val="1"/>
      <w:marLeft w:val="0"/>
      <w:marRight w:val="0"/>
      <w:marTop w:val="0"/>
      <w:marBottom w:val="0"/>
      <w:divBdr>
        <w:top w:val="none" w:sz="0" w:space="0" w:color="auto"/>
        <w:left w:val="none" w:sz="0" w:space="0" w:color="auto"/>
        <w:bottom w:val="none" w:sz="0" w:space="0" w:color="auto"/>
        <w:right w:val="none" w:sz="0" w:space="0" w:color="auto"/>
      </w:divBdr>
    </w:div>
    <w:div w:id="175126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McD13</b:Tag>
    <b:SourceType>Book</b:SourceType>
    <b:Guid>{2E636D44-4411-44CA-A099-59B0FAE05B87}</b:Guid>
    <b:Title>Equity &amp; Trusts</b:Title>
    <b:Year>2013</b:Year>
    <b:Author>
      <b:Author>
        <b:NameList>
          <b:Person>
            <b:Last>McDonald</b:Last>
            <b:First>Iain</b:First>
          </b:Person>
          <b:Person>
            <b:Last>Street</b:Last>
            <b:First>Anne</b:First>
          </b:Person>
        </b:NameList>
      </b:Author>
    </b:Author>
    <b:City>Oxford</b:City>
    <b:Publisher>Oxford university press</b:Publisher>
    <b:Edition>3rd</b:Edition>
    <b:RefOrder>2</b:RefOrder>
  </b:Source>
  <b:Source>
    <b:Tag>Vir201</b:Tag>
    <b:SourceType>Book</b:SourceType>
    <b:Guid>{0AF93307-9CC2-450C-8BE9-CAED1B08FE1E}</b:Guid>
    <b:Author>
      <b:Author>
        <b:NameList>
          <b:Person>
            <b:Last>Virgo</b:Last>
            <b:First>Graham</b:First>
          </b:Person>
        </b:NameList>
      </b:Author>
    </b:Author>
    <b:Title>The Principles of Equity &amp; Trusts</b:Title>
    <b:Year>2020</b:Year>
    <b:City>Oxford</b:City>
    <b:Publisher>Oxford university press</b:Publisher>
    <b:Edition>4th</b:Edition>
    <b:RefOrder>3</b:RefOrder>
  </b:Source>
  <b:Source>
    <b:Tag>Bra12</b:Tag>
    <b:SourceType>Book</b:SourceType>
    <b:Guid>{883653F5-554B-4D6A-A778-DB5099E5DD1D}</b:Guid>
    <b:Author>
      <b:Author>
        <b:NameList>
          <b:Person>
            <b:Last>Bray</b:Last>
            <b:First>Judith</b:First>
          </b:Person>
        </b:NameList>
      </b:Author>
    </b:Author>
    <b:Title>A student's guide to equity and trusts</b:Title>
    <b:Year>2012</b:Year>
    <b:City>Cambridge`</b:City>
    <b:Publisher>Camridge invirsity press</b:Publisher>
    <b:RefOrder>4</b:RefOrder>
  </b:Source>
  <b:Source>
    <b:Tag>Ram15</b:Tag>
    <b:SourceType>Book</b:SourceType>
    <b:Guid>{C33506E2-1164-44B7-BBFD-663BF2AE6853}</b:Guid>
    <b:Author>
      <b:Author>
        <b:NameList>
          <b:Person>
            <b:Last>Ramjohn</b:Last>
            <b:First>Mohamed</b:First>
          </b:Person>
        </b:NameList>
      </b:Author>
    </b:Author>
    <b:Title>Unlocking wquity and trusts</b:Title>
    <b:Year>2015</b:Year>
    <b:City>Oxon</b:City>
    <b:Publisher>Routledge</b:Publisher>
    <b:RefOrder>1</b:RefOrder>
  </b:Source>
</b:Sources>
</file>

<file path=customXml/itemProps1.xml><?xml version="1.0" encoding="utf-8"?>
<ds:datastoreItem xmlns:ds="http://schemas.openxmlformats.org/officeDocument/2006/customXml" ds:itemID="{C6999095-AB85-4EFB-B77C-C50BBF005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1988</Words>
  <Characters>11337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Harries</dc:creator>
  <cp:keywords/>
  <dc:description/>
  <cp:lastModifiedBy>Emyr Harries</cp:lastModifiedBy>
  <cp:revision>2</cp:revision>
  <dcterms:created xsi:type="dcterms:W3CDTF">2022-04-08T22:49:00Z</dcterms:created>
  <dcterms:modified xsi:type="dcterms:W3CDTF">2022-04-08T22:49:00Z</dcterms:modified>
</cp:coreProperties>
</file>