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926" w:type="dxa"/>
        <w:jc w:val="center"/>
        <w:tblLook w:val="04A0" w:firstRow="1" w:lastRow="0" w:firstColumn="1" w:lastColumn="0" w:noHBand="0" w:noVBand="1"/>
      </w:tblPr>
      <w:tblGrid>
        <w:gridCol w:w="2785"/>
        <w:gridCol w:w="6141"/>
      </w:tblGrid>
      <w:tr w:rsidR="00C0139B" w:rsidRPr="008158F5" w14:paraId="35F07A80" w14:textId="77777777" w:rsidTr="00D10E44">
        <w:trPr>
          <w:trHeight w:val="680"/>
          <w:jc w:val="center"/>
        </w:trPr>
        <w:tc>
          <w:tcPr>
            <w:tcW w:w="2785" w:type="dxa"/>
            <w:tcBorders>
              <w:top w:val="single" w:sz="4" w:space="0" w:color="auto"/>
              <w:left w:val="single" w:sz="4" w:space="0" w:color="auto"/>
              <w:bottom w:val="single" w:sz="4" w:space="0" w:color="auto"/>
              <w:right w:val="single" w:sz="4" w:space="0" w:color="auto"/>
            </w:tcBorders>
            <w:noWrap/>
            <w:vAlign w:val="center"/>
            <w:hideMark/>
          </w:tcPr>
          <w:p w14:paraId="6D3C4AEF"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NAME</w:t>
            </w:r>
          </w:p>
        </w:tc>
        <w:tc>
          <w:tcPr>
            <w:tcW w:w="6141" w:type="dxa"/>
            <w:tcBorders>
              <w:top w:val="single" w:sz="4" w:space="0" w:color="auto"/>
              <w:left w:val="nil"/>
              <w:bottom w:val="single" w:sz="4" w:space="0" w:color="auto"/>
              <w:right w:val="single" w:sz="4" w:space="0" w:color="auto"/>
            </w:tcBorders>
            <w:noWrap/>
            <w:vAlign w:val="center"/>
            <w:hideMark/>
          </w:tcPr>
          <w:p w14:paraId="3D13A6BD" w14:textId="095B3A90"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VIVIAN BIOH</w:t>
            </w:r>
          </w:p>
        </w:tc>
      </w:tr>
      <w:tr w:rsidR="00C0139B" w:rsidRPr="008158F5" w14:paraId="3B13A01A"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598522B"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STUDENT No.</w:t>
            </w:r>
          </w:p>
        </w:tc>
        <w:tc>
          <w:tcPr>
            <w:tcW w:w="6141" w:type="dxa"/>
            <w:tcBorders>
              <w:top w:val="nil"/>
              <w:left w:val="nil"/>
              <w:bottom w:val="single" w:sz="4" w:space="0" w:color="auto"/>
              <w:right w:val="single" w:sz="4" w:space="0" w:color="auto"/>
            </w:tcBorders>
            <w:noWrap/>
            <w:vAlign w:val="center"/>
            <w:hideMark/>
          </w:tcPr>
          <w:p w14:paraId="1F953B60" w14:textId="73E29831"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2432999</w:t>
            </w:r>
          </w:p>
        </w:tc>
      </w:tr>
      <w:tr w:rsidR="00C0139B" w:rsidRPr="008158F5" w14:paraId="7856FEE4"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7AF1D132"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MODULE CODE</w:t>
            </w:r>
          </w:p>
        </w:tc>
        <w:tc>
          <w:tcPr>
            <w:tcW w:w="6141" w:type="dxa"/>
            <w:tcBorders>
              <w:top w:val="nil"/>
              <w:left w:val="nil"/>
              <w:bottom w:val="single" w:sz="4" w:space="0" w:color="auto"/>
              <w:right w:val="single" w:sz="4" w:space="0" w:color="auto"/>
            </w:tcBorders>
            <w:noWrap/>
            <w:vAlign w:val="center"/>
            <w:hideMark/>
          </w:tcPr>
          <w:p w14:paraId="29F35D82" w14:textId="5E8A384B"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BMP5016</w:t>
            </w:r>
          </w:p>
        </w:tc>
      </w:tr>
      <w:tr w:rsidR="00C0139B" w:rsidRPr="008158F5" w14:paraId="77648552"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3C7D79A6" w14:textId="77777777"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COURSE TITLE</w:t>
            </w:r>
          </w:p>
        </w:tc>
        <w:tc>
          <w:tcPr>
            <w:tcW w:w="6141" w:type="dxa"/>
            <w:tcBorders>
              <w:top w:val="nil"/>
              <w:left w:val="nil"/>
              <w:bottom w:val="single" w:sz="4" w:space="0" w:color="auto"/>
              <w:right w:val="single" w:sz="4" w:space="0" w:color="auto"/>
            </w:tcBorders>
            <w:noWrap/>
            <w:vAlign w:val="center"/>
            <w:hideMark/>
          </w:tcPr>
          <w:p w14:paraId="34B0A2DB" w14:textId="04D9C58F"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4E66E5">
              <w:rPr>
                <w:rFonts w:ascii="Arial" w:eastAsia="Calibri" w:hAnsi="Arial" w:cs="Arial"/>
                <w:b/>
                <w:bCs/>
                <w:kern w:val="0"/>
                <w:sz w:val="22"/>
                <w:szCs w:val="22"/>
                <w14:ligatures w14:val="none"/>
              </w:rPr>
              <w:t>BSc HEALTTH AND SOCIAL CARE</w:t>
            </w:r>
          </w:p>
        </w:tc>
      </w:tr>
      <w:tr w:rsidR="00984E73" w:rsidRPr="008158F5" w14:paraId="60F55075"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tcPr>
          <w:p w14:paraId="54F8C1A3" w14:textId="1AA48E14" w:rsidR="00984E73"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ASSIGMENT TITLE</w:t>
            </w:r>
          </w:p>
        </w:tc>
        <w:tc>
          <w:tcPr>
            <w:tcW w:w="6141" w:type="dxa"/>
            <w:tcBorders>
              <w:top w:val="nil"/>
              <w:left w:val="nil"/>
              <w:bottom w:val="single" w:sz="4" w:space="0" w:color="auto"/>
              <w:right w:val="single" w:sz="4" w:space="0" w:color="auto"/>
            </w:tcBorders>
            <w:noWrap/>
            <w:vAlign w:val="center"/>
          </w:tcPr>
          <w:p w14:paraId="66297EE0" w14:textId="5C436729" w:rsidR="00984E73"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COMPONENT 2 WRITTEN ASSIGMENT (REPORT)</w:t>
            </w:r>
          </w:p>
        </w:tc>
      </w:tr>
      <w:tr w:rsidR="00C0139B" w:rsidRPr="008158F5" w14:paraId="6B241642" w14:textId="77777777" w:rsidTr="00D10E44">
        <w:trPr>
          <w:trHeight w:val="680"/>
          <w:jc w:val="center"/>
        </w:trPr>
        <w:tc>
          <w:tcPr>
            <w:tcW w:w="2785" w:type="dxa"/>
            <w:tcBorders>
              <w:top w:val="nil"/>
              <w:left w:val="single" w:sz="4" w:space="0" w:color="auto"/>
              <w:bottom w:val="single" w:sz="4" w:space="0" w:color="auto"/>
              <w:right w:val="single" w:sz="4" w:space="0" w:color="auto"/>
            </w:tcBorders>
            <w:noWrap/>
            <w:vAlign w:val="center"/>
            <w:hideMark/>
          </w:tcPr>
          <w:p w14:paraId="665B8BDB" w14:textId="043CDDEC" w:rsidR="00C0139B" w:rsidRPr="008158F5" w:rsidRDefault="00984E73" w:rsidP="00D10E44">
            <w:pPr>
              <w:spacing w:line="360" w:lineRule="auto"/>
              <w:rPr>
                <w:rFonts w:ascii="Arial" w:eastAsia="Calibri" w:hAnsi="Arial" w:cs="Arial"/>
                <w:b/>
                <w:bCs/>
                <w:kern w:val="0"/>
                <w:sz w:val="22"/>
                <w:szCs w:val="22"/>
                <w14:ligatures w14:val="none"/>
              </w:rPr>
            </w:pPr>
            <w:r>
              <w:rPr>
                <w:rFonts w:ascii="Arial" w:eastAsia="Calibri" w:hAnsi="Arial" w:cs="Arial"/>
                <w:b/>
                <w:bCs/>
                <w:kern w:val="0"/>
                <w:sz w:val="22"/>
                <w:szCs w:val="22"/>
                <w14:ligatures w14:val="none"/>
              </w:rPr>
              <w:t>ECTURER’S NAME</w:t>
            </w:r>
          </w:p>
        </w:tc>
        <w:tc>
          <w:tcPr>
            <w:tcW w:w="6141" w:type="dxa"/>
            <w:tcBorders>
              <w:top w:val="nil"/>
              <w:left w:val="nil"/>
              <w:bottom w:val="single" w:sz="4" w:space="0" w:color="auto"/>
              <w:right w:val="single" w:sz="4" w:space="0" w:color="auto"/>
            </w:tcBorders>
            <w:noWrap/>
            <w:vAlign w:val="center"/>
            <w:hideMark/>
          </w:tcPr>
          <w:p w14:paraId="61112E24" w14:textId="494EB1B2" w:rsidR="00C0139B" w:rsidRPr="008158F5" w:rsidRDefault="00C0139B" w:rsidP="00D10E44">
            <w:pPr>
              <w:spacing w:line="360" w:lineRule="auto"/>
              <w:rPr>
                <w:rFonts w:ascii="Arial" w:eastAsia="Calibri" w:hAnsi="Arial" w:cs="Arial"/>
                <w:b/>
                <w:bCs/>
                <w:kern w:val="0"/>
                <w:sz w:val="22"/>
                <w:szCs w:val="22"/>
                <w14:ligatures w14:val="none"/>
              </w:rPr>
            </w:pPr>
            <w:r w:rsidRPr="008158F5">
              <w:rPr>
                <w:rFonts w:ascii="Arial" w:eastAsia="Calibri" w:hAnsi="Arial" w:cs="Arial"/>
                <w:b/>
                <w:bCs/>
                <w:kern w:val="0"/>
                <w:sz w:val="22"/>
                <w:szCs w:val="22"/>
                <w14:ligatures w14:val="none"/>
              </w:rPr>
              <w:t> </w:t>
            </w:r>
            <w:r w:rsidR="00984E73">
              <w:rPr>
                <w:rFonts w:ascii="Arial" w:eastAsia="Calibri" w:hAnsi="Arial" w:cs="Arial"/>
                <w:b/>
                <w:bCs/>
                <w:kern w:val="0"/>
                <w:sz w:val="22"/>
                <w:szCs w:val="22"/>
                <w14:ligatures w14:val="none"/>
              </w:rPr>
              <w:t>AZIDA ZAINOL</w:t>
            </w:r>
          </w:p>
        </w:tc>
      </w:tr>
    </w:tbl>
    <w:p w14:paraId="123A5057" w14:textId="77777777" w:rsidR="00AF422D" w:rsidRDefault="00AF422D"/>
    <w:p w14:paraId="551EBF4C" w14:textId="77777777" w:rsidR="00C0139B" w:rsidRDefault="00C0139B"/>
    <w:p w14:paraId="15942847" w14:textId="77777777" w:rsidR="00C0139B" w:rsidRDefault="00C0139B"/>
    <w:p w14:paraId="1850BDF6" w14:textId="77777777" w:rsidR="00C0139B" w:rsidRDefault="00C0139B"/>
    <w:p w14:paraId="0D4267BB" w14:textId="77777777" w:rsidR="00C0139B" w:rsidRDefault="00C0139B"/>
    <w:p w14:paraId="4D5A9881" w14:textId="77777777" w:rsidR="00C0139B" w:rsidRDefault="00C0139B"/>
    <w:p w14:paraId="447B8840" w14:textId="77777777" w:rsidR="00C0139B" w:rsidRDefault="00C0139B"/>
    <w:p w14:paraId="3785977A" w14:textId="77777777" w:rsidR="00C0139B" w:rsidRDefault="00C0139B"/>
    <w:p w14:paraId="7412337B" w14:textId="77777777" w:rsidR="00C0139B" w:rsidRDefault="00C0139B"/>
    <w:p w14:paraId="3C2CF640" w14:textId="77777777" w:rsidR="00C0139B" w:rsidRDefault="00C0139B"/>
    <w:p w14:paraId="41A37A22" w14:textId="77777777" w:rsidR="00C0139B" w:rsidRDefault="00C0139B"/>
    <w:p w14:paraId="5873BA2F" w14:textId="77777777" w:rsidR="00C0139B" w:rsidRDefault="00C0139B"/>
    <w:p w14:paraId="0D7F4B8C" w14:textId="77777777" w:rsidR="00C0139B" w:rsidRDefault="00C0139B"/>
    <w:p w14:paraId="7E8C0D22" w14:textId="77777777" w:rsidR="00C0139B" w:rsidRDefault="00C0139B"/>
    <w:p w14:paraId="16CDEF93" w14:textId="77777777" w:rsidR="00C0139B" w:rsidRDefault="00C0139B"/>
    <w:p w14:paraId="620FD0F3" w14:textId="77777777" w:rsidR="00C0139B" w:rsidRDefault="00C0139B"/>
    <w:p w14:paraId="29D7F43E" w14:textId="77777777" w:rsidR="00C0139B" w:rsidRDefault="00C0139B"/>
    <w:p w14:paraId="0C3422E2" w14:textId="77777777" w:rsidR="00C0139B" w:rsidRDefault="00C0139B"/>
    <w:p w14:paraId="46C0B4A4" w14:textId="77777777" w:rsidR="00C0139B" w:rsidRDefault="00C0139B"/>
    <w:p w14:paraId="05482D9C" w14:textId="5A5B56B6" w:rsidR="00C0139B" w:rsidRDefault="00C0139B" w:rsidP="00C0139B">
      <w:pPr>
        <w:jc w:val="center"/>
        <w:rPr>
          <w:rFonts w:ascii="Arial" w:hAnsi="Arial" w:cs="Arial"/>
          <w:b/>
          <w:bCs/>
          <w:sz w:val="22"/>
          <w:szCs w:val="22"/>
        </w:rPr>
      </w:pPr>
      <w:r w:rsidRPr="00C0139B">
        <w:rPr>
          <w:rFonts w:ascii="Arial" w:hAnsi="Arial" w:cs="Arial"/>
          <w:b/>
          <w:bCs/>
          <w:sz w:val="22"/>
          <w:szCs w:val="22"/>
        </w:rPr>
        <w:t>C</w:t>
      </w:r>
      <w:r w:rsidR="0083102B">
        <w:rPr>
          <w:rFonts w:ascii="Arial" w:hAnsi="Arial" w:cs="Arial"/>
          <w:b/>
          <w:bCs/>
          <w:sz w:val="22"/>
          <w:szCs w:val="22"/>
        </w:rPr>
        <w:t>OMPONENT</w:t>
      </w:r>
      <w:r w:rsidRPr="00C0139B">
        <w:rPr>
          <w:rFonts w:ascii="Arial" w:hAnsi="Arial" w:cs="Arial"/>
          <w:b/>
          <w:bCs/>
          <w:sz w:val="22"/>
          <w:szCs w:val="22"/>
        </w:rPr>
        <w:t xml:space="preserve"> 2</w:t>
      </w:r>
    </w:p>
    <w:p w14:paraId="777972D6" w14:textId="25168448" w:rsidR="0083102B" w:rsidRDefault="0083102B" w:rsidP="00C0139B">
      <w:pPr>
        <w:jc w:val="center"/>
        <w:rPr>
          <w:rFonts w:ascii="Arial" w:hAnsi="Arial" w:cs="Arial"/>
          <w:b/>
          <w:bCs/>
          <w:sz w:val="22"/>
          <w:szCs w:val="22"/>
        </w:rPr>
      </w:pPr>
      <w:r w:rsidRPr="0083102B">
        <w:rPr>
          <w:rFonts w:ascii="Arial" w:hAnsi="Arial" w:cs="Arial"/>
          <w:b/>
          <w:bCs/>
          <w:sz w:val="22"/>
          <w:szCs w:val="22"/>
        </w:rPr>
        <w:t>Evaluation of Person-</w:t>
      </w:r>
      <w:r w:rsidR="004E66E5" w:rsidRPr="0083102B">
        <w:rPr>
          <w:rFonts w:ascii="Arial" w:hAnsi="Arial" w:cs="Arial"/>
          <w:b/>
          <w:bCs/>
          <w:sz w:val="22"/>
          <w:szCs w:val="22"/>
        </w:rPr>
        <w:t>Centered</w:t>
      </w:r>
      <w:r w:rsidRPr="0083102B">
        <w:rPr>
          <w:rFonts w:ascii="Arial" w:hAnsi="Arial" w:cs="Arial"/>
          <w:b/>
          <w:bCs/>
          <w:sz w:val="22"/>
          <w:szCs w:val="22"/>
        </w:rPr>
        <w:t xml:space="preserve"> Care and Partnership Working in UK Health and Social Care</w:t>
      </w:r>
    </w:p>
    <w:p w14:paraId="17CE431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Introduction</w:t>
      </w:r>
    </w:p>
    <w:p w14:paraId="5EEFAB8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Person-centered care (PCC) and partnership working (PW) sit at the core of contemporary health and social care practice in the United Kingdom. As care needs grow increasingly complex</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shaped by ageing populations, multimorbidity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widening health inequalities</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the ability of services to respond in ways that are both individually tailored and collaboratively delivered has never been more important. </w:t>
      </w:r>
    </w:p>
    <w:p w14:paraId="2B955242"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Person-Centered Care: Definition, Benefits</w:t>
      </w:r>
      <w:r>
        <w:rPr>
          <w:rFonts w:ascii="Arial" w:eastAsia="Times New Roman" w:hAnsi="Arial" w:cs="Arial"/>
          <w:b/>
          <w:bCs/>
          <w:kern w:val="0"/>
          <w:sz w:val="22"/>
          <w:szCs w:val="22"/>
          <w14:ligatures w14:val="none"/>
        </w:rPr>
        <w:t xml:space="preserve"> and </w:t>
      </w:r>
      <w:r w:rsidRPr="00627A8A">
        <w:rPr>
          <w:rFonts w:ascii="Arial" w:eastAsia="Times New Roman" w:hAnsi="Arial" w:cs="Arial"/>
          <w:b/>
          <w:bCs/>
          <w:kern w:val="0"/>
          <w:sz w:val="22"/>
          <w:szCs w:val="22"/>
          <w14:ligatures w14:val="none"/>
        </w:rPr>
        <w:t>Limitations</w:t>
      </w:r>
    </w:p>
    <w:p w14:paraId="1A81887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Person-centered care is an approach that places the individual at the center of all care planning and delivery, treating them as an active participant rather than a passive recipient. </w:t>
      </w:r>
      <w:r>
        <w:rPr>
          <w:rFonts w:ascii="Arial" w:eastAsia="Times New Roman" w:hAnsi="Arial" w:cs="Arial"/>
          <w:kern w:val="0"/>
          <w:sz w:val="22"/>
          <w:szCs w:val="22"/>
          <w14:ligatures w14:val="none"/>
        </w:rPr>
        <w:t xml:space="preserve">Person-centered care is divined as a </w:t>
      </w:r>
      <w:r w:rsidRPr="00627A8A">
        <w:rPr>
          <w:rFonts w:ascii="Arial" w:eastAsia="Times New Roman" w:hAnsi="Arial" w:cs="Arial"/>
          <w:kern w:val="0"/>
          <w:sz w:val="22"/>
          <w:szCs w:val="22"/>
          <w14:ligatures w14:val="none"/>
        </w:rPr>
        <w:t>care that is respectful of and responsive to individual preferences, needs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values, ensuring that those values guide all clinical and social decisions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Foundation (2016</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Rather than focusing exclusively on diagnosis and treatment, PCC considers the whole person</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their life circumstances, emotional state, cultural background</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personal goals.</w:t>
      </w:r>
    </w:p>
    <w:p w14:paraId="765E0D6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benefits of PCC are well documented. </w:t>
      </w:r>
      <w:r>
        <w:rPr>
          <w:rFonts w:ascii="Arial" w:eastAsia="Times New Roman" w:hAnsi="Arial" w:cs="Arial"/>
          <w:kern w:val="0"/>
          <w:sz w:val="22"/>
          <w:szCs w:val="22"/>
          <w14:ligatures w14:val="none"/>
        </w:rPr>
        <w:t>P</w:t>
      </w:r>
      <w:r w:rsidRPr="00627A8A">
        <w:rPr>
          <w:rFonts w:ascii="Arial" w:eastAsia="Times New Roman" w:hAnsi="Arial" w:cs="Arial"/>
          <w:kern w:val="0"/>
          <w:sz w:val="22"/>
          <w:szCs w:val="22"/>
          <w14:ligatures w14:val="none"/>
        </w:rPr>
        <w:t>erson-centered approaches improve patient satisfaction, increase treatment adherence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lead to better health outcomes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Coulter and Ellins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2007</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When individuals feel genuinely heard and involved in decisions about their care, they are more likely to engage positively with recommended interventions. PCC also supports dignity and autonomy, values that are central to the Care Act 2014.</w:t>
      </w:r>
    </w:p>
    <w:p w14:paraId="113635F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However, PCC is not without limitations. Implementing it consistently within resource-constrained NHS settings is a persistent challenge. Time pressures, high caseloads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organizational cultures that remain task-oriented can undermine even the most well-intentioned practitioners (Edvardsson </w:t>
      </w:r>
      <w:r w:rsidRPr="00225E6C">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20</w:t>
      </w:r>
      <w:r>
        <w:rPr>
          <w:rFonts w:ascii="Arial" w:eastAsia="Times New Roman" w:hAnsi="Arial" w:cs="Arial"/>
          <w:kern w:val="0"/>
          <w:sz w:val="22"/>
          <w:szCs w:val="22"/>
          <w14:ligatures w14:val="none"/>
        </w:rPr>
        <w:t>08</w:t>
      </w:r>
      <w:r w:rsidRPr="00627A8A">
        <w:rPr>
          <w:rFonts w:ascii="Arial" w:eastAsia="Times New Roman" w:hAnsi="Arial" w:cs="Arial"/>
          <w:kern w:val="0"/>
          <w:sz w:val="22"/>
          <w:szCs w:val="22"/>
          <w14:ligatures w14:val="none"/>
        </w:rPr>
        <w:t>). There is also a risk that PCC can be interpreted superficially</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reduced to a box-ticking exercise around patient preferences rather than representing a genuine shift in the power dynamic between professional and service user. Furthermore, for individuals with cognitive impairments or limited capacity, operationalizing PCC requires additional safeguards and careful navigation of legal frameworks such as the Mental Capacity Act 2005.</w:t>
      </w:r>
    </w:p>
    <w:p w14:paraId="67C1FCA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lastRenderedPageBreak/>
        <w:t>Theory Underpinning Person-Centered Care: McCormack and McCance's Person-Centered Practice Framework</w:t>
      </w:r>
    </w:p>
    <w:p w14:paraId="18069964"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Several theoretical models underpin PCC, but McCormack and McCance's</w:t>
      </w:r>
      <w:r>
        <w:rPr>
          <w:rFonts w:ascii="Arial" w:eastAsia="Times New Roman" w:hAnsi="Arial" w:cs="Arial"/>
          <w:kern w:val="0"/>
          <w:sz w:val="22"/>
          <w:szCs w:val="22"/>
          <w14:ligatures w14:val="none"/>
        </w:rPr>
        <w:t xml:space="preserve"> (2010)</w:t>
      </w:r>
      <w:r w:rsidRPr="00627A8A">
        <w:rPr>
          <w:rFonts w:ascii="Arial" w:eastAsia="Times New Roman" w:hAnsi="Arial" w:cs="Arial"/>
          <w:kern w:val="0"/>
          <w:sz w:val="22"/>
          <w:szCs w:val="22"/>
          <w14:ligatures w14:val="none"/>
        </w:rPr>
        <w:t xml:space="preserve"> Person-Centered Practice Framework is among the most widely applied in UK health and social care. Originally developed in the context of nursing, the framework has since been adopted across a range of care settings and professions.</w:t>
      </w:r>
    </w:p>
    <w:p w14:paraId="50375B6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framework is structured around four interconnected components. The first concerns the prerequisites</w:t>
      </w:r>
      <w:r>
        <w:rPr>
          <w:rFonts w:ascii="Arial" w:eastAsia="Times New Roman" w:hAnsi="Arial" w:cs="Arial"/>
          <w:kern w:val="0"/>
          <w:sz w:val="22"/>
          <w:szCs w:val="22"/>
          <w14:ligatures w14:val="none"/>
        </w:rPr>
        <w:t xml:space="preserve"> such as</w:t>
      </w:r>
      <w:r w:rsidRPr="00627A8A">
        <w:rPr>
          <w:rFonts w:ascii="Arial" w:eastAsia="Times New Roman" w:hAnsi="Arial" w:cs="Arial"/>
          <w:kern w:val="0"/>
          <w:sz w:val="22"/>
          <w:szCs w:val="22"/>
          <w14:ligatures w14:val="none"/>
        </w:rPr>
        <w:t xml:space="preserve"> the attributes of the practitioner, including professional competence, interpersonal skills, commitment to the job</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self-awareness. </w:t>
      </w:r>
      <w:r>
        <w:rPr>
          <w:rFonts w:ascii="Arial" w:eastAsia="Times New Roman" w:hAnsi="Arial" w:cs="Arial"/>
          <w:kern w:val="0"/>
          <w:sz w:val="22"/>
          <w:szCs w:val="22"/>
          <w14:ligatures w14:val="none"/>
        </w:rPr>
        <w:t>P</w:t>
      </w:r>
      <w:r w:rsidRPr="00627A8A">
        <w:rPr>
          <w:rFonts w:ascii="Arial" w:eastAsia="Times New Roman" w:hAnsi="Arial" w:cs="Arial"/>
          <w:kern w:val="0"/>
          <w:sz w:val="22"/>
          <w:szCs w:val="22"/>
          <w14:ligatures w14:val="none"/>
        </w:rPr>
        <w:t>erson-centered practice cannot be delivered by a practitioner who lacks self-knowledge, because effective engagement with another person's values and beliefs requires an understanding of one's own</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McCormack and McCance</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2010</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The second component addresses the care environment, recognizing that organizational culture, skill mix, power dynamics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systems for decision-making all shape whether PCC can be genuinely enacted. The third component focuses on person-centered processes </w:t>
      </w:r>
      <w:r>
        <w:rPr>
          <w:rFonts w:ascii="Arial" w:eastAsia="Times New Roman" w:hAnsi="Arial" w:cs="Arial"/>
          <w:kern w:val="0"/>
          <w:sz w:val="22"/>
          <w:szCs w:val="22"/>
          <w14:ligatures w14:val="none"/>
        </w:rPr>
        <w:t>which is</w:t>
      </w:r>
      <w:r w:rsidRPr="00627A8A">
        <w:rPr>
          <w:rFonts w:ascii="Arial" w:eastAsia="Times New Roman" w:hAnsi="Arial" w:cs="Arial"/>
          <w:kern w:val="0"/>
          <w:sz w:val="22"/>
          <w:szCs w:val="22"/>
          <w14:ligatures w14:val="none"/>
        </w:rPr>
        <w:t xml:space="preserve"> the actual practices through which care is delivered, including working with the person's beliefs and values, shared decision-making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engaging authentically rather than performing care tasks. The fourth component is the expected outcomes: a therapeutic culture, staff satisfaction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above all, the experience of care that is felt as good by the person receiving it.</w:t>
      </w:r>
    </w:p>
    <w:p w14:paraId="76BB7D73"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What makes this framework particularly valuable is its honesty about context. Unlike approaches that treat PCC as purely a practitioner skill, McCormack and McCance (2010) acknowledge that the environment in which care is delivered either enables or obstructs person-centered practice. This systems-level thinking is important when evaluating why PCC remains inconsistently applied despite broad policy endorsement</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it aligns with findings from </w:t>
      </w:r>
      <w:r w:rsidRPr="00225E6C">
        <w:rPr>
          <w:rFonts w:ascii="Arial" w:eastAsia="Times New Roman" w:hAnsi="Arial" w:cs="Arial"/>
          <w:kern w:val="0"/>
          <w:sz w:val="22"/>
          <w:szCs w:val="22"/>
          <w14:ligatures w14:val="none"/>
        </w:rPr>
        <w:t>Niessen</w:t>
      </w:r>
      <w:r w:rsidRPr="00627A8A">
        <w:rPr>
          <w:rFonts w:ascii="Arial" w:eastAsia="Times New Roman" w:hAnsi="Arial" w:cs="Arial"/>
          <w:kern w:val="0"/>
          <w:sz w:val="22"/>
          <w:szCs w:val="22"/>
          <w14:ligatures w14:val="none"/>
        </w:rPr>
        <w:t xml:space="preserve"> (2011), who identified workplace culture as one of the most significant determinants of care quality.</w:t>
      </w:r>
    </w:p>
    <w:p w14:paraId="11C89399"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Ethical Fundamentals of Health and Social Care</w:t>
      </w:r>
    </w:p>
    <w:p w14:paraId="56D320E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Ethics in health and social care is not a peripheral concern</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it is foundational to every professional interaction, care decision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policy development. The most widely used ethical framework in health and social care remains the four principles approach</w:t>
      </w:r>
      <w:r>
        <w:rPr>
          <w:rFonts w:ascii="Arial" w:eastAsia="Times New Roman" w:hAnsi="Arial" w:cs="Arial"/>
          <w:kern w:val="0"/>
          <w:sz w:val="22"/>
          <w:szCs w:val="22"/>
          <w14:ligatures w14:val="none"/>
        </w:rPr>
        <w:t xml:space="preserve"> which are</w:t>
      </w:r>
      <w:r w:rsidRPr="00627A8A">
        <w:rPr>
          <w:rFonts w:ascii="Arial" w:eastAsia="Times New Roman" w:hAnsi="Arial" w:cs="Arial"/>
          <w:kern w:val="0"/>
          <w:sz w:val="22"/>
          <w:szCs w:val="22"/>
          <w14:ligatures w14:val="none"/>
        </w:rPr>
        <w:t xml:space="preserve"> autonomy, beneficence, non-maleficence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justice</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Beauchamp and Childress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1994</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7CA34E2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Autonomy refers to the individual's right to make informed decisions about their own care. In practice, this means professionals must provide sufficient, accessible information, check understanding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respect decisions even when they differ from professional recommendations. Beneficence requires that practitioners act in the best interests of the individual, while non-maleficence demands that potential harm is always weighed carefully against anticipated benefit. Justice concerns the fair and equitable distribution of care resources and opportunities.</w:t>
      </w:r>
    </w:p>
    <w:p w14:paraId="1FFB475B"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These principles do not operate in isolation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tensions between them are common. A person's autonomous decision to refuse treatment may conflict with the professional's duty of beneficence. Allocating limited palliative care resources raises questions of justice that no single principle can resolve alone. </w:t>
      </w:r>
      <w:r>
        <w:rPr>
          <w:rFonts w:ascii="Arial" w:eastAsia="Times New Roman" w:hAnsi="Arial" w:cs="Arial"/>
          <w:kern w:val="0"/>
          <w:sz w:val="22"/>
          <w:szCs w:val="22"/>
          <w14:ligatures w14:val="none"/>
        </w:rPr>
        <w:t>N</w:t>
      </w:r>
      <w:r w:rsidRPr="00627A8A">
        <w:rPr>
          <w:rFonts w:ascii="Arial" w:eastAsia="Times New Roman" w:hAnsi="Arial" w:cs="Arial"/>
          <w:kern w:val="0"/>
          <w:sz w:val="22"/>
          <w:szCs w:val="22"/>
          <w14:ligatures w14:val="none"/>
        </w:rPr>
        <w:t>avigating these tensions requires practitioners to develop genuine moral agency</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reflective, values-driven orientation toward ethical practice that goes beyond procedural compliance</w:t>
      </w:r>
      <w:r>
        <w:rPr>
          <w:rFonts w:ascii="Arial" w:eastAsia="Times New Roman" w:hAnsi="Arial" w:cs="Arial"/>
          <w:kern w:val="0"/>
          <w:sz w:val="22"/>
          <w:szCs w:val="22"/>
          <w14:ligatures w14:val="none"/>
        </w:rPr>
        <w:t xml:space="preserve"> (Banks, 2020)</w:t>
      </w:r>
      <w:r w:rsidRPr="00627A8A">
        <w:rPr>
          <w:rFonts w:ascii="Arial" w:eastAsia="Times New Roman" w:hAnsi="Arial" w:cs="Arial"/>
          <w:kern w:val="0"/>
          <w:sz w:val="22"/>
          <w:szCs w:val="22"/>
          <w14:ligatures w14:val="none"/>
        </w:rPr>
        <w:t>.</w:t>
      </w:r>
    </w:p>
    <w:p w14:paraId="05ED1F4A"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Professional codes of conduct reinforce these principles institutionally. The NMC </w:t>
      </w:r>
      <w:r>
        <w:rPr>
          <w:rFonts w:ascii="Arial" w:eastAsia="Times New Roman" w:hAnsi="Arial" w:cs="Arial"/>
          <w:kern w:val="0"/>
          <w:sz w:val="22"/>
          <w:szCs w:val="22"/>
          <w14:ligatures w14:val="none"/>
        </w:rPr>
        <w:t>(2018) Code</w:t>
      </w:r>
      <w:r w:rsidRPr="00627A8A">
        <w:rPr>
          <w:rFonts w:ascii="Arial" w:eastAsia="Times New Roman" w:hAnsi="Arial" w:cs="Arial"/>
          <w:kern w:val="0"/>
          <w:sz w:val="22"/>
          <w:szCs w:val="22"/>
          <w14:ligatures w14:val="none"/>
        </w:rPr>
        <w:t xml:space="preserve"> and the HCPC </w:t>
      </w:r>
      <w:r>
        <w:rPr>
          <w:rFonts w:ascii="Arial" w:eastAsia="Times New Roman" w:hAnsi="Arial" w:cs="Arial"/>
          <w:kern w:val="0"/>
          <w:sz w:val="22"/>
          <w:szCs w:val="22"/>
          <w14:ligatures w14:val="none"/>
        </w:rPr>
        <w:t xml:space="preserve">(2016) </w:t>
      </w:r>
      <w:r w:rsidRPr="00627A8A">
        <w:rPr>
          <w:rFonts w:ascii="Arial" w:eastAsia="Times New Roman" w:hAnsi="Arial" w:cs="Arial"/>
          <w:kern w:val="0"/>
          <w:sz w:val="22"/>
          <w:szCs w:val="22"/>
          <w14:ligatures w14:val="none"/>
        </w:rPr>
        <w:t>Standards both set clear expectations around honesty, respect for dignity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the maintenance of professional boundaries. The Human Rights Act 1998 further embeds ethical obligations in a legal framework, protecting individuals' rights to life, dignity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private and family life within care settings.</w:t>
      </w:r>
    </w:p>
    <w:p w14:paraId="74D61A5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Evaluation of Partnership Working in Health and Social Care</w:t>
      </w:r>
    </w:p>
    <w:p w14:paraId="54BC9DB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Partnership working refers to the collaborative practice of different agencies, professionals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service users working together toward shared goals. In health and social care, this typically involves cooperation between NHS trusts, local authorities, third-sector organizations, informal carers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the individuals receiving care themselves.</w:t>
      </w:r>
    </w:p>
    <w:p w14:paraId="62FB8544"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case for partnership working is compelling. </w:t>
      </w:r>
      <w:r>
        <w:rPr>
          <w:rFonts w:ascii="Arial" w:eastAsia="Times New Roman" w:hAnsi="Arial" w:cs="Arial"/>
          <w:kern w:val="0"/>
          <w:sz w:val="22"/>
          <w:szCs w:val="22"/>
          <w14:ligatures w14:val="none"/>
        </w:rPr>
        <w:t>C</w:t>
      </w:r>
      <w:r w:rsidRPr="00627A8A">
        <w:rPr>
          <w:rFonts w:ascii="Arial" w:eastAsia="Times New Roman" w:hAnsi="Arial" w:cs="Arial"/>
          <w:kern w:val="0"/>
          <w:sz w:val="22"/>
          <w:szCs w:val="22"/>
          <w14:ligatures w14:val="none"/>
        </w:rPr>
        <w:t>omplex care needs</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which span health, social, housing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community domains cannot be adequately addressed by any single organization or profession acting alone. Integrated, collaborative approaches reduce duplication, improve care transitions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produce better outcomes for individuals with multiple and long-term conditions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Glasby and Dickinson</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2014</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A</w:t>
      </w:r>
      <w:r w:rsidRPr="00627A8A">
        <w:rPr>
          <w:rFonts w:ascii="Arial" w:eastAsia="Times New Roman" w:hAnsi="Arial" w:cs="Arial"/>
          <w:kern w:val="0"/>
          <w:sz w:val="22"/>
          <w:szCs w:val="22"/>
          <w14:ligatures w14:val="none"/>
        </w:rPr>
        <w:t>reas where health and social care integration was most advanced demonstrated measurably lower rates of avoidable hospital admissions and better patient experience scores</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 xml:space="preserve">Reed </w:t>
      </w:r>
      <w:r w:rsidRPr="008725C0">
        <w:rPr>
          <w:rFonts w:ascii="Arial" w:eastAsia="Times New Roman" w:hAnsi="Arial" w:cs="Arial"/>
          <w:i/>
          <w:iCs/>
          <w:kern w:val="0"/>
          <w:sz w:val="22"/>
          <w:szCs w:val="22"/>
          <w14:ligatures w14:val="none"/>
        </w:rPr>
        <w:t>et al</w:t>
      </w:r>
      <w:r w:rsidRPr="008725C0">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sidRPr="008725C0">
        <w:rPr>
          <w:rFonts w:ascii="Arial" w:eastAsia="Times New Roman" w:hAnsi="Arial" w:cs="Arial"/>
          <w:kern w:val="0"/>
          <w:sz w:val="22"/>
          <w:szCs w:val="22"/>
          <w14:ligatures w14:val="none"/>
        </w:rPr>
        <w:t>2016</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6634715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Nevertheless, partnership working faces significant structural and cultural barriers. Differences in organizational culture, professional language, information-sharing protocols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funding streams can all impede genuine collaboration (</w:t>
      </w:r>
      <w:proofErr w:type="spellStart"/>
      <w:r w:rsidRPr="00627A8A">
        <w:rPr>
          <w:rFonts w:ascii="Arial" w:eastAsia="Times New Roman" w:hAnsi="Arial" w:cs="Arial"/>
          <w:kern w:val="0"/>
          <w:sz w:val="22"/>
          <w:szCs w:val="22"/>
          <w14:ligatures w14:val="none"/>
        </w:rPr>
        <w:t>D'Amour</w:t>
      </w:r>
      <w:proofErr w:type="spellEnd"/>
      <w:r w:rsidRPr="00627A8A">
        <w:rPr>
          <w:rFonts w:ascii="Arial" w:eastAsia="Times New Roman" w:hAnsi="Arial" w:cs="Arial"/>
          <w:kern w:val="0"/>
          <w:sz w:val="22"/>
          <w:szCs w:val="22"/>
          <w14:ligatures w14:val="none"/>
        </w:rPr>
        <w:t xml:space="preserve"> </w:t>
      </w:r>
      <w:r w:rsidRPr="004773A3">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xml:space="preserve">., 2005). </w:t>
      </w:r>
      <w:r>
        <w:rPr>
          <w:rFonts w:ascii="Arial" w:eastAsia="Times New Roman" w:hAnsi="Arial" w:cs="Arial"/>
          <w:kern w:val="0"/>
          <w:sz w:val="22"/>
          <w:szCs w:val="22"/>
          <w14:ligatures w14:val="none"/>
        </w:rPr>
        <w:t>B</w:t>
      </w:r>
      <w:r w:rsidRPr="00627A8A">
        <w:rPr>
          <w:rFonts w:ascii="Arial" w:eastAsia="Times New Roman" w:hAnsi="Arial" w:cs="Arial"/>
          <w:kern w:val="0"/>
          <w:sz w:val="22"/>
          <w:szCs w:val="22"/>
          <w14:ligatures w14:val="none"/>
        </w:rPr>
        <w:t xml:space="preserve">oundary problem </w:t>
      </w:r>
      <w:r>
        <w:rPr>
          <w:rFonts w:ascii="Arial" w:eastAsia="Times New Roman" w:hAnsi="Arial" w:cs="Arial"/>
          <w:kern w:val="0"/>
          <w:sz w:val="22"/>
          <w:szCs w:val="22"/>
          <w14:ligatures w14:val="none"/>
        </w:rPr>
        <w:t>which is</w:t>
      </w:r>
      <w:r w:rsidRPr="00627A8A">
        <w:rPr>
          <w:rFonts w:ascii="Arial" w:eastAsia="Times New Roman" w:hAnsi="Arial" w:cs="Arial"/>
          <w:kern w:val="0"/>
          <w:sz w:val="22"/>
          <w:szCs w:val="22"/>
          <w14:ligatures w14:val="none"/>
        </w:rPr>
        <w:t xml:space="preserve"> the tendency of professional groups to protect their areas of expertise and resist the blurring of roles that effective partnership demands</w:t>
      </w:r>
      <w:r>
        <w:rPr>
          <w:rFonts w:ascii="Arial" w:eastAsia="Times New Roman" w:hAnsi="Arial" w:cs="Arial"/>
          <w:kern w:val="0"/>
          <w:sz w:val="22"/>
          <w:szCs w:val="22"/>
          <w14:ligatures w14:val="none"/>
        </w:rPr>
        <w:t xml:space="preserve"> (Hudson, 2002)</w:t>
      </w:r>
      <w:r w:rsidRPr="00627A8A">
        <w:rPr>
          <w:rFonts w:ascii="Arial" w:eastAsia="Times New Roman" w:hAnsi="Arial" w:cs="Arial"/>
          <w:kern w:val="0"/>
          <w:sz w:val="22"/>
          <w:szCs w:val="22"/>
          <w14:ligatures w14:val="none"/>
        </w:rPr>
        <w:t>. Power imbalances between organizations, particularly between the NHS and local authorities, can further complicate efforts to build truly equitable partnerships.</w:t>
      </w:r>
    </w:p>
    <w:p w14:paraId="04ED2F8A"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Partnership Working in Practice: Palliative Care Settings</w:t>
      </w:r>
    </w:p>
    <w:p w14:paraId="1A456A32"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Palliative care offers one of the clearest and most instructive examples of partnership working in a practical health and social care setting. Individuals approaching the end of life typically have needs that are simultaneously medical, psychological, social</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spiritual needs that no single discipline can address comprehensively.</w:t>
      </w:r>
    </w:p>
    <w:p w14:paraId="7407C85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In practice, effective palliative care involves multi-disciplinary teams (MDTs) comprising doctors, nurses, social workers, chaplains, physiotherapists, occupational therapists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community volunteers working in coordinated ways around the individual and their family. NICE (2019) guidance on end-of-life care explicitly recommends MDT working as best practice, emphasizing that care plans should be developed collaboratively and reviewed regularly as the person's condition evolves.</w:t>
      </w:r>
    </w:p>
    <w:p w14:paraId="699CC88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Third-sector organizations such as hospices and charities like Marie Curie play a critical partnership role, providing both direct care and community support that statutory services alone cannot deliver. Integrating these services requires clear communication channels, agreed referral pathways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shared care records elements that the NHS Long Term Plan (</w:t>
      </w:r>
      <w:proofErr w:type="spellStart"/>
      <w:r w:rsidRPr="00F2119B">
        <w:rPr>
          <w:rFonts w:ascii="Arial" w:eastAsia="Times New Roman" w:hAnsi="Arial" w:cs="Arial"/>
          <w:kern w:val="0"/>
          <w:sz w:val="22"/>
          <w:szCs w:val="22"/>
          <w14:ligatures w14:val="none"/>
        </w:rPr>
        <w:t>Alderwick</w:t>
      </w:r>
      <w:proofErr w:type="spellEnd"/>
      <w:r>
        <w:rPr>
          <w:rFonts w:ascii="Arial" w:eastAsia="Times New Roman" w:hAnsi="Arial" w:cs="Arial"/>
          <w:kern w:val="0"/>
          <w:sz w:val="22"/>
          <w:szCs w:val="22"/>
          <w14:ligatures w14:val="none"/>
        </w:rPr>
        <w:t xml:space="preserve"> </w:t>
      </w:r>
      <w:r w:rsidRPr="00F2119B">
        <w:rPr>
          <w:rFonts w:ascii="Arial" w:eastAsia="Times New Roman" w:hAnsi="Arial" w:cs="Arial"/>
          <w:kern w:val="0"/>
          <w:sz w:val="22"/>
          <w:szCs w:val="22"/>
          <w14:ligatures w14:val="none"/>
        </w:rPr>
        <w:t>and Dixon, 2019</w:t>
      </w:r>
      <w:r w:rsidRPr="00627A8A">
        <w:rPr>
          <w:rFonts w:ascii="Arial" w:eastAsia="Times New Roman" w:hAnsi="Arial" w:cs="Arial"/>
          <w:kern w:val="0"/>
          <w:sz w:val="22"/>
          <w:szCs w:val="22"/>
          <w14:ligatures w14:val="none"/>
        </w:rPr>
        <w:t>) committed to developing through integrated care systems. When partnership working functions well in palliative settings, individuals are more likely to die in their preferred place, families receive adequate support</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the burden on acute hospital services is reduced (Gomes </w:t>
      </w:r>
      <w:r w:rsidRPr="00F2119B">
        <w:rPr>
          <w:rFonts w:ascii="Arial" w:eastAsia="Times New Roman" w:hAnsi="Arial" w:cs="Arial"/>
          <w:i/>
          <w:iCs/>
          <w:kern w:val="0"/>
          <w:sz w:val="22"/>
          <w:szCs w:val="22"/>
          <w14:ligatures w14:val="none"/>
        </w:rPr>
        <w:t>et al</w:t>
      </w:r>
      <w:r w:rsidRPr="00627A8A">
        <w:rPr>
          <w:rFonts w:ascii="Arial" w:eastAsia="Times New Roman" w:hAnsi="Arial" w:cs="Arial"/>
          <w:kern w:val="0"/>
          <w:sz w:val="22"/>
          <w:szCs w:val="22"/>
          <w14:ligatures w14:val="none"/>
        </w:rPr>
        <w:t>., 2013).</w:t>
      </w:r>
    </w:p>
    <w:p w14:paraId="3EC6D69D"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Critical Examination of Policy and Legislation in Relation to PCC and Partnership Working</w:t>
      </w:r>
    </w:p>
    <w:p w14:paraId="6D24158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legislative and policy framework surrounding PCC and partnership working in the UK is, on paper, extensive and well-intentioned. However, a critical examination reveals a persistent and troubling gap between what legislation promises and what is consistently delivered in practice.</w:t>
      </w:r>
    </w:p>
    <w:p w14:paraId="1C59F937"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The Care Act 2014 represented a significant step forward, consolidating adult social care law and placing individual wellbeing at its statutory center. It introduced a duty on local authorities to promote integration with NHS services and established a clearer framework for assessment, eligibility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care planning. In theory, this created the conditions for genuine PCC and collaborative working. In practice, however, implementation has been heavily constrained by austerity-driven cuts to local authority budgets. </w:t>
      </w:r>
      <w:r>
        <w:rPr>
          <w:rFonts w:ascii="Arial" w:eastAsia="Times New Roman" w:hAnsi="Arial" w:cs="Arial"/>
          <w:kern w:val="0"/>
          <w:sz w:val="22"/>
          <w:szCs w:val="22"/>
          <w14:ligatures w14:val="none"/>
        </w:rPr>
        <w:t>A</w:t>
      </w:r>
      <w:r w:rsidRPr="00627A8A">
        <w:rPr>
          <w:rFonts w:ascii="Arial" w:eastAsia="Times New Roman" w:hAnsi="Arial" w:cs="Arial"/>
          <w:kern w:val="0"/>
          <w:sz w:val="22"/>
          <w:szCs w:val="22"/>
          <w14:ligatures w14:val="none"/>
        </w:rPr>
        <w:t>dult social care in England faced a funding gap of approximately £1.5 billion by 2023, making it increasingly difficult for local authorities to fulfil their Care Act duties in full</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Health Foundation</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2020</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Legislation without adequate resourcing</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risks becoming aspirational rather than operational</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framework that describes what good care should look like without creating the conditions in which it can reliably be delivered</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Humphries</w:t>
      </w:r>
      <w:r>
        <w:rPr>
          <w:rFonts w:ascii="Arial" w:eastAsia="Times New Roman" w:hAnsi="Arial" w:cs="Arial"/>
          <w:kern w:val="0"/>
          <w:sz w:val="22"/>
          <w:szCs w:val="22"/>
          <w14:ligatures w14:val="none"/>
        </w:rPr>
        <w:t xml:space="preserve">, </w:t>
      </w:r>
      <w:r w:rsidRPr="00E25496">
        <w:rPr>
          <w:rFonts w:ascii="Arial" w:eastAsia="Times New Roman" w:hAnsi="Arial" w:cs="Arial"/>
          <w:kern w:val="0"/>
          <w:sz w:val="22"/>
          <w:szCs w:val="22"/>
          <w14:ligatures w14:val="none"/>
        </w:rPr>
        <w:t>2015</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w:t>
      </w:r>
    </w:p>
    <w:p w14:paraId="42BA767E"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The Mental Capacity Act 2005 similarly represents sound legislative intent. Its emphasis on supported decision-making, the presumption of capacity</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best interest determinations directly underpins PCC. Yet implementation has been uneven. The House of Lords Select Committee (2014) conducted a post-legislative scrutiny of the Act and found that its principles were poorly understood and inconsistently applied across health and social care settings, with many practitioners defaulting to paternalistic decision-making rather than genuinely supporting individuals to exercise their autonomy. This finding is significant because it illustrates that legislative reform, however well-designed, does not automatically translate into changed professional practice without corresponding investment in training, supervision</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organizational culture change.</w:t>
      </w:r>
    </w:p>
    <w:p w14:paraId="06608C81"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Health and Social Care Act 2012 introduced structural reforms intended to drive integration and patient involvement through clinical commissioning groups. However, the reforms were widely criticized for increasing fragmentation rather than reducing it. </w:t>
      </w:r>
      <w:r>
        <w:rPr>
          <w:rFonts w:ascii="Arial" w:eastAsia="Times New Roman" w:hAnsi="Arial" w:cs="Arial"/>
          <w:kern w:val="0"/>
          <w:sz w:val="22"/>
          <w:szCs w:val="22"/>
          <w14:ligatures w14:val="none"/>
        </w:rPr>
        <w:t>T</w:t>
      </w:r>
      <w:r w:rsidRPr="00627A8A">
        <w:rPr>
          <w:rFonts w:ascii="Arial" w:eastAsia="Times New Roman" w:hAnsi="Arial" w:cs="Arial"/>
          <w:kern w:val="0"/>
          <w:sz w:val="22"/>
          <w:szCs w:val="22"/>
          <w14:ligatures w14:val="none"/>
        </w:rPr>
        <w:t>he marketisation elements of the Act created competitive dynamics between providers that actively undermined the collaborative relationships partnership working requires</w:t>
      </w:r>
      <w:r>
        <w:rPr>
          <w:rFonts w:ascii="Arial" w:eastAsia="Times New Roman" w:hAnsi="Arial" w:cs="Arial"/>
          <w:kern w:val="0"/>
          <w:sz w:val="22"/>
          <w:szCs w:val="22"/>
          <w14:ligatures w14:val="none"/>
        </w:rPr>
        <w:t xml:space="preserve"> (</w:t>
      </w:r>
      <w:proofErr w:type="spellStart"/>
      <w:r>
        <w:rPr>
          <w:rFonts w:ascii="Arial" w:eastAsia="Times New Roman" w:hAnsi="Arial" w:cs="Arial"/>
          <w:kern w:val="0"/>
          <w:sz w:val="22"/>
          <w:szCs w:val="22"/>
          <w14:ligatures w14:val="none"/>
        </w:rPr>
        <w:t>Exworthy</w:t>
      </w:r>
      <w:proofErr w:type="spellEnd"/>
      <w:r>
        <w:rPr>
          <w:rFonts w:ascii="Arial" w:eastAsia="Times New Roman" w:hAnsi="Arial" w:cs="Arial"/>
          <w:kern w:val="0"/>
          <w:sz w:val="22"/>
          <w:szCs w:val="22"/>
          <w14:ligatures w14:val="none"/>
        </w:rPr>
        <w:t xml:space="preserve"> </w:t>
      </w:r>
      <w:r w:rsidRPr="00E25496">
        <w:rPr>
          <w:rFonts w:ascii="Arial" w:eastAsia="Times New Roman" w:hAnsi="Arial" w:cs="Arial"/>
          <w:i/>
          <w:iCs/>
          <w:kern w:val="0"/>
          <w:sz w:val="22"/>
          <w:szCs w:val="22"/>
          <w14:ligatures w14:val="none"/>
        </w:rPr>
        <w:t>et al</w:t>
      </w:r>
      <w:r>
        <w:rPr>
          <w:rFonts w:ascii="Arial" w:eastAsia="Times New Roman" w:hAnsi="Arial" w:cs="Arial"/>
          <w:kern w:val="0"/>
          <w:sz w:val="22"/>
          <w:szCs w:val="22"/>
          <w14:ligatures w14:val="none"/>
        </w:rPr>
        <w:t>., 2016)</w:t>
      </w:r>
      <w:r w:rsidRPr="00627A8A">
        <w:rPr>
          <w:rFonts w:ascii="Arial" w:eastAsia="Times New Roman" w:hAnsi="Arial" w:cs="Arial"/>
          <w:kern w:val="0"/>
          <w:sz w:val="22"/>
          <w:szCs w:val="22"/>
          <w14:ligatures w14:val="none"/>
        </w:rPr>
        <w:t>. The internal market logic embedded in the 2012 Act sat in fundamental tension with the integration agenda it simultaneously promoted</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a contradiction that took a decade and further legislation to begin addressing.</w:t>
      </w:r>
    </w:p>
    <w:p w14:paraId="40FAE457"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 xml:space="preserve">The Health and Care Act 2022 attempted to correct this trajectory by establishing Integrated Care Systems (ICSs) as statutory bodies across England, bringing NHS organizations and local authorities into formal partnership structures with shared budgets and joint accountability. This is </w:t>
      </w:r>
      <w:r w:rsidRPr="00627A8A">
        <w:rPr>
          <w:rFonts w:ascii="Arial" w:eastAsia="Times New Roman" w:hAnsi="Arial" w:cs="Arial"/>
          <w:kern w:val="0"/>
          <w:sz w:val="22"/>
          <w:szCs w:val="22"/>
          <w14:ligatures w14:val="none"/>
        </w:rPr>
        <w:lastRenderedPageBreak/>
        <w:t>arguably the most significant structural step toward genuine health and social care integration in a generation. However, early evaluations have raised concerns.</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ICSs were launched against a backdrop of severe workforce shortages, pandemic recovery pressures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inadequate social care funding</w:t>
      </w:r>
      <w:r>
        <w:rPr>
          <w:rFonts w:ascii="Arial" w:eastAsia="Times New Roman" w:hAnsi="Arial" w:cs="Arial"/>
          <w:kern w:val="0"/>
          <w:sz w:val="22"/>
          <w:szCs w:val="22"/>
          <w14:ligatures w14:val="none"/>
        </w:rPr>
        <w:t>,</w:t>
      </w:r>
      <w:r w:rsidRPr="00627A8A">
        <w:rPr>
          <w:rFonts w:ascii="Arial" w:eastAsia="Times New Roman" w:hAnsi="Arial" w:cs="Arial"/>
          <w:kern w:val="0"/>
          <w:sz w:val="22"/>
          <w:szCs w:val="22"/>
          <w14:ligatures w14:val="none"/>
        </w:rPr>
        <w:t xml:space="preserve"> conditions that make meaningful integration exceptionally difficult regardless of structural intent</w:t>
      </w:r>
      <w:r>
        <w:rPr>
          <w:rFonts w:ascii="Arial" w:eastAsia="Times New Roman" w:hAnsi="Arial" w:cs="Arial"/>
          <w:kern w:val="0"/>
          <w:sz w:val="22"/>
          <w:szCs w:val="22"/>
          <w14:ligatures w14:val="none"/>
        </w:rPr>
        <w:t xml:space="preserve"> (Charles, 2022)</w:t>
      </w:r>
      <w:r w:rsidRPr="00627A8A">
        <w:rPr>
          <w:rFonts w:ascii="Arial" w:eastAsia="Times New Roman" w:hAnsi="Arial" w:cs="Arial"/>
          <w:kern w:val="0"/>
          <w:sz w:val="22"/>
          <w:szCs w:val="22"/>
          <w14:ligatures w14:val="none"/>
        </w:rPr>
        <w:t>. The risk, as with previous reforms, is that a well-designed policy architecture is undermined by the realities of under-resourced implementation.</w:t>
      </w:r>
    </w:p>
    <w:p w14:paraId="7416AF46"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What emerges from this critical examination is a consistent pattern: UK health and social care legislation has progressively embedded PCC and partnership working as statutory expectations, but the translation of those expectations into sustained, equitable practice has repeatedly been compromised by funding constraints, workforce pressures, cultural resistance</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structural contradictions within the policy landscape itself. Effective policy in this area must therefore address not only what services should do but also whether they are sufficiently resourced, culturally supported</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structurally coherent enough to do it.</w:t>
      </w:r>
    </w:p>
    <w:p w14:paraId="254F102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b/>
          <w:bCs/>
          <w:kern w:val="0"/>
          <w:sz w:val="22"/>
          <w:szCs w:val="22"/>
          <w14:ligatures w14:val="none"/>
        </w:rPr>
        <w:t>Recommendations for Future Development</w:t>
      </w:r>
    </w:p>
    <w:p w14:paraId="652CA95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Several concrete recommendations emerge from this evaluation.</w:t>
      </w:r>
    </w:p>
    <w:p w14:paraId="7D6A9A98"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First, investment in workforce development is essential. PCC and effective partnership working require practitioners who are not only clinically skilled but also trained in communication, ethical reasoning</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interprofessional collaboration. </w:t>
      </w:r>
      <w:r>
        <w:rPr>
          <w:rFonts w:ascii="Arial" w:eastAsia="Times New Roman" w:hAnsi="Arial" w:cs="Arial"/>
          <w:kern w:val="0"/>
          <w:sz w:val="22"/>
          <w:szCs w:val="22"/>
          <w14:ligatures w14:val="none"/>
        </w:rPr>
        <w:t xml:space="preserve">NHS </w:t>
      </w:r>
      <w:r w:rsidRPr="00627A8A">
        <w:rPr>
          <w:rFonts w:ascii="Arial" w:eastAsia="Times New Roman" w:hAnsi="Arial" w:cs="Arial"/>
          <w:kern w:val="0"/>
          <w:sz w:val="22"/>
          <w:szCs w:val="22"/>
          <w14:ligatures w14:val="none"/>
        </w:rPr>
        <w:t>England (2017) has called for these competencies to be embedded more consistently in pre-registration training across all health and social care disciplines.</w:t>
      </w:r>
    </w:p>
    <w:p w14:paraId="7DB9A76F"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Second, digital infrastructure must be developed to support integrated care. Shared care records, accessible to all relevant professionals and to service users themselves, would significantly reduce the information-sharing barriers that currently fragment care. The NHS Long Term Plan (</w:t>
      </w:r>
      <w:proofErr w:type="spellStart"/>
      <w:r w:rsidRPr="000314BB">
        <w:rPr>
          <w:rFonts w:ascii="Arial" w:eastAsia="Times New Roman" w:hAnsi="Arial" w:cs="Arial"/>
          <w:kern w:val="0"/>
          <w:sz w:val="22"/>
          <w:szCs w:val="22"/>
          <w14:ligatures w14:val="none"/>
        </w:rPr>
        <w:t>Alderwick</w:t>
      </w:r>
      <w:proofErr w:type="spellEnd"/>
      <w:r>
        <w:rPr>
          <w:rFonts w:ascii="Arial" w:eastAsia="Times New Roman" w:hAnsi="Arial" w:cs="Arial"/>
          <w:kern w:val="0"/>
          <w:sz w:val="22"/>
          <w:szCs w:val="22"/>
          <w14:ligatures w14:val="none"/>
        </w:rPr>
        <w:t xml:space="preserve"> </w:t>
      </w:r>
      <w:r w:rsidRPr="000314BB">
        <w:rPr>
          <w:rFonts w:ascii="Arial" w:eastAsia="Times New Roman" w:hAnsi="Arial" w:cs="Arial"/>
          <w:kern w:val="0"/>
          <w:sz w:val="22"/>
          <w:szCs w:val="22"/>
          <w14:ligatures w14:val="none"/>
        </w:rPr>
        <w:t>and Dixon, 2019</w:t>
      </w:r>
      <w:r w:rsidRPr="00627A8A">
        <w:rPr>
          <w:rFonts w:ascii="Arial" w:eastAsia="Times New Roman" w:hAnsi="Arial" w:cs="Arial"/>
          <w:kern w:val="0"/>
          <w:sz w:val="22"/>
          <w:szCs w:val="22"/>
          <w14:ligatures w14:val="none"/>
        </w:rPr>
        <w:t>) identified this as a priority, but progress has been slower than required.</w:t>
      </w:r>
    </w:p>
    <w:p w14:paraId="56595505"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t>Third, service user involvement in the design and evaluation of care services needs to move beyond tokenism. Co-production</w:t>
      </w:r>
      <w:r>
        <w:rPr>
          <w:rFonts w:ascii="Arial" w:eastAsia="Times New Roman" w:hAnsi="Arial" w:cs="Arial"/>
          <w:kern w:val="0"/>
          <w:sz w:val="22"/>
          <w:szCs w:val="22"/>
          <w14:ligatures w14:val="none"/>
        </w:rPr>
        <w:t>, a</w:t>
      </w:r>
      <w:r w:rsidRPr="00627A8A">
        <w:rPr>
          <w:rFonts w:ascii="Arial" w:eastAsia="Times New Roman" w:hAnsi="Arial" w:cs="Arial"/>
          <w:kern w:val="0"/>
          <w:sz w:val="22"/>
          <w:szCs w:val="22"/>
          <w14:ligatures w14:val="none"/>
        </w:rPr>
        <w:t xml:space="preserve"> genuine collaboration between professionals and those with lived experience has been shown to produce more effective and acceptable services (Bovaird, 2007)</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should be embedded in commissioning frameworks.</w:t>
      </w:r>
    </w:p>
    <w:p w14:paraId="3C1F78DC" w14:textId="77777777" w:rsidR="00540783" w:rsidRPr="00627A8A"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sidRPr="00627A8A">
        <w:rPr>
          <w:rFonts w:ascii="Arial" w:eastAsia="Times New Roman" w:hAnsi="Arial" w:cs="Arial"/>
          <w:kern w:val="0"/>
          <w:sz w:val="22"/>
          <w:szCs w:val="22"/>
          <w14:ligatures w14:val="none"/>
        </w:rPr>
        <w:lastRenderedPageBreak/>
        <w:t xml:space="preserve">Fourth, the chronic underfunding of social care must be addressed as a matter of urgency. No amount of legislative or structural reform will deliver person-centered, integrated care if social care services remain financially unsustainable. The Health and Care Act 2022 </w:t>
      </w:r>
      <w:proofErr w:type="gramStart"/>
      <w:r w:rsidRPr="00627A8A">
        <w:rPr>
          <w:rFonts w:ascii="Arial" w:eastAsia="Times New Roman" w:hAnsi="Arial" w:cs="Arial"/>
          <w:kern w:val="0"/>
          <w:sz w:val="22"/>
          <w:szCs w:val="22"/>
          <w14:ligatures w14:val="none"/>
        </w:rPr>
        <w:t>represents</w:t>
      </w:r>
      <w:proofErr w:type="gramEnd"/>
      <w:r w:rsidRPr="00627A8A">
        <w:rPr>
          <w:rFonts w:ascii="Arial" w:eastAsia="Times New Roman" w:hAnsi="Arial" w:cs="Arial"/>
          <w:kern w:val="0"/>
          <w:sz w:val="22"/>
          <w:szCs w:val="22"/>
          <w14:ligatures w14:val="none"/>
        </w:rPr>
        <w:t xml:space="preserve"> a step forward, but long-term, ring-fenced investment is needed to translate its ambitions into consistent reality.</w:t>
      </w:r>
    </w:p>
    <w:p w14:paraId="182AFDC3" w14:textId="612D9CC8" w:rsidR="00097C90" w:rsidRDefault="00540783" w:rsidP="00540783">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Lastly, a</w:t>
      </w:r>
      <w:r w:rsidRPr="00627A8A">
        <w:rPr>
          <w:rFonts w:ascii="Arial" w:eastAsia="Times New Roman" w:hAnsi="Arial" w:cs="Arial"/>
          <w:kern w:val="0"/>
          <w:sz w:val="22"/>
          <w:szCs w:val="22"/>
          <w14:ligatures w14:val="none"/>
        </w:rPr>
        <w:t xml:space="preserve"> national programme of cultural change within health and social care organizations is needed</w:t>
      </w:r>
      <w:r>
        <w:rPr>
          <w:rFonts w:ascii="Arial" w:eastAsia="Times New Roman" w:hAnsi="Arial" w:cs="Arial"/>
          <w:kern w:val="0"/>
          <w:sz w:val="22"/>
          <w:szCs w:val="22"/>
          <w14:ligatures w14:val="none"/>
        </w:rPr>
        <w:t xml:space="preserve">, </w:t>
      </w:r>
      <w:r w:rsidRPr="00627A8A">
        <w:rPr>
          <w:rFonts w:ascii="Arial" w:eastAsia="Times New Roman" w:hAnsi="Arial" w:cs="Arial"/>
          <w:kern w:val="0"/>
          <w:sz w:val="22"/>
          <w:szCs w:val="22"/>
          <w14:ligatures w14:val="none"/>
        </w:rPr>
        <w:t>one that moves beyond policy compliance toward embedding PCC and partnership values into professional identity, supervision frameworks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 xml:space="preserve">organizational leadership. </w:t>
      </w:r>
      <w:r>
        <w:rPr>
          <w:rFonts w:ascii="Arial" w:eastAsia="Times New Roman" w:hAnsi="Arial" w:cs="Arial"/>
          <w:kern w:val="0"/>
          <w:sz w:val="22"/>
          <w:szCs w:val="22"/>
          <w14:ligatures w14:val="none"/>
        </w:rPr>
        <w:t>W</w:t>
      </w:r>
      <w:r w:rsidRPr="00627A8A">
        <w:rPr>
          <w:rFonts w:ascii="Arial" w:eastAsia="Times New Roman" w:hAnsi="Arial" w:cs="Arial"/>
          <w:kern w:val="0"/>
          <w:sz w:val="22"/>
          <w:szCs w:val="22"/>
          <w14:ligatures w14:val="none"/>
        </w:rPr>
        <w:t>orkplace culture is ultimately the medium through which all policy intentions must pass</w:t>
      </w:r>
      <w:r>
        <w:rPr>
          <w:rFonts w:ascii="Arial" w:eastAsia="Times New Roman" w:hAnsi="Arial" w:cs="Arial"/>
          <w:kern w:val="0"/>
          <w:sz w:val="22"/>
          <w:szCs w:val="22"/>
          <w14:ligatures w14:val="none"/>
        </w:rPr>
        <w:t xml:space="preserve"> and </w:t>
      </w:r>
      <w:r w:rsidRPr="00627A8A">
        <w:rPr>
          <w:rFonts w:ascii="Arial" w:eastAsia="Times New Roman" w:hAnsi="Arial" w:cs="Arial"/>
          <w:kern w:val="0"/>
          <w:sz w:val="22"/>
          <w:szCs w:val="22"/>
          <w14:ligatures w14:val="none"/>
        </w:rPr>
        <w:t>without attending to culture, even the best-designed legislative frameworks will fall short</w:t>
      </w:r>
      <w:r>
        <w:rPr>
          <w:rFonts w:ascii="Arial" w:eastAsia="Times New Roman" w:hAnsi="Arial" w:cs="Arial"/>
          <w:kern w:val="0"/>
          <w:sz w:val="22"/>
          <w:szCs w:val="22"/>
          <w14:ligatures w14:val="none"/>
        </w:rPr>
        <w:t xml:space="preserve"> (Niessen, 2011)</w:t>
      </w:r>
      <w:r w:rsidRPr="00627A8A">
        <w:rPr>
          <w:rFonts w:ascii="Arial" w:eastAsia="Times New Roman" w:hAnsi="Arial" w:cs="Arial"/>
          <w:kern w:val="0"/>
          <w:sz w:val="22"/>
          <w:szCs w:val="22"/>
          <w14:ligatures w14:val="none"/>
        </w:rPr>
        <w:t>.</w:t>
      </w:r>
    </w:p>
    <w:p w14:paraId="1A3A00D2"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72BA2905"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10EDD154"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201F728"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5580C5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365A418"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696F2F43"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47C56B2D"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47CB093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269B1E1A"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20C0127E"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17AEACF6"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37CF563B" w14:textId="77777777" w:rsidR="004E66E5" w:rsidRDefault="004E66E5" w:rsidP="00540783">
      <w:pPr>
        <w:spacing w:before="100" w:beforeAutospacing="1" w:after="100" w:afterAutospacing="1" w:line="360" w:lineRule="auto"/>
        <w:jc w:val="both"/>
        <w:rPr>
          <w:rFonts w:ascii="Arial" w:eastAsia="Times New Roman" w:hAnsi="Arial" w:cs="Arial"/>
          <w:kern w:val="0"/>
          <w:sz w:val="22"/>
          <w:szCs w:val="22"/>
          <w14:ligatures w14:val="none"/>
        </w:rPr>
      </w:pPr>
    </w:p>
    <w:p w14:paraId="08EDCD4D" w14:textId="232E0700" w:rsidR="00540783" w:rsidRDefault="00540783" w:rsidP="00540783">
      <w:pPr>
        <w:spacing w:before="100" w:beforeAutospacing="1" w:after="100" w:afterAutospacing="1" w:line="360" w:lineRule="auto"/>
        <w:jc w:val="both"/>
        <w:rPr>
          <w:rFonts w:ascii="Arial" w:eastAsia="Times New Roman" w:hAnsi="Arial" w:cs="Arial"/>
          <w:b/>
          <w:bCs/>
          <w:kern w:val="0"/>
          <w:sz w:val="22"/>
          <w:szCs w:val="22"/>
          <w14:ligatures w14:val="none"/>
        </w:rPr>
      </w:pPr>
      <w:r w:rsidRPr="00540783">
        <w:rPr>
          <w:rFonts w:ascii="Arial" w:eastAsia="Times New Roman" w:hAnsi="Arial" w:cs="Arial"/>
          <w:b/>
          <w:bCs/>
          <w:kern w:val="0"/>
          <w:sz w:val="22"/>
          <w:szCs w:val="22"/>
          <w14:ligatures w14:val="none"/>
        </w:rPr>
        <w:lastRenderedPageBreak/>
        <w:t>References</w:t>
      </w:r>
    </w:p>
    <w:p w14:paraId="7D995152" w14:textId="77777777" w:rsidR="00540783" w:rsidRDefault="00540783" w:rsidP="00540783">
      <w:pPr>
        <w:spacing w:line="360" w:lineRule="auto"/>
        <w:jc w:val="both"/>
        <w:rPr>
          <w:rFonts w:ascii="Arial" w:hAnsi="Arial" w:cs="Arial"/>
          <w:color w:val="222222"/>
          <w:sz w:val="22"/>
          <w:szCs w:val="22"/>
          <w:shd w:val="clear" w:color="auto" w:fill="FFFFFF"/>
        </w:rPr>
      </w:pPr>
      <w:proofErr w:type="spellStart"/>
      <w:r w:rsidRPr="00F74813">
        <w:rPr>
          <w:rFonts w:ascii="Arial" w:hAnsi="Arial" w:cs="Arial"/>
          <w:color w:val="222222"/>
          <w:sz w:val="22"/>
          <w:szCs w:val="22"/>
          <w:shd w:val="clear" w:color="auto" w:fill="FFFFFF"/>
        </w:rPr>
        <w:t>Alderwick</w:t>
      </w:r>
      <w:proofErr w:type="spellEnd"/>
      <w:r w:rsidRPr="00F74813">
        <w:rPr>
          <w:rFonts w:ascii="Arial" w:hAnsi="Arial" w:cs="Arial"/>
          <w:color w:val="222222"/>
          <w:sz w:val="22"/>
          <w:szCs w:val="22"/>
          <w:shd w:val="clear" w:color="auto" w:fill="FFFFFF"/>
        </w:rPr>
        <w:t>, H. and Dixon, J., 2019. The NHS long term plan. </w:t>
      </w:r>
      <w:proofErr w:type="spellStart"/>
      <w:r w:rsidRPr="00F74813">
        <w:rPr>
          <w:rFonts w:ascii="Arial" w:hAnsi="Arial" w:cs="Arial"/>
          <w:i/>
          <w:iCs/>
          <w:color w:val="222222"/>
          <w:sz w:val="22"/>
          <w:szCs w:val="22"/>
          <w:shd w:val="clear" w:color="auto" w:fill="FFFFFF"/>
        </w:rPr>
        <w:t>bmj</w:t>
      </w:r>
      <w:proofErr w:type="spellEnd"/>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364</w:t>
      </w:r>
      <w:r w:rsidRPr="00F74813">
        <w:rPr>
          <w:rFonts w:ascii="Arial" w:hAnsi="Arial" w:cs="Arial"/>
          <w:color w:val="222222"/>
          <w:sz w:val="22"/>
          <w:szCs w:val="22"/>
          <w:shd w:val="clear" w:color="auto" w:fill="FFFFFF"/>
        </w:rPr>
        <w:t>.</w:t>
      </w:r>
    </w:p>
    <w:p w14:paraId="7DD1B69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Banks, S., 2020. </w:t>
      </w:r>
      <w:r w:rsidRPr="00DE1844">
        <w:rPr>
          <w:rFonts w:ascii="Arial" w:hAnsi="Arial" w:cs="Arial"/>
          <w:i/>
          <w:iCs/>
          <w:color w:val="222222"/>
          <w:sz w:val="22"/>
          <w:szCs w:val="22"/>
          <w:shd w:val="clear" w:color="auto" w:fill="FFFFFF"/>
        </w:rPr>
        <w:t>Ethics and values in social work</w:t>
      </w:r>
      <w:r w:rsidRPr="00DE1844">
        <w:rPr>
          <w:rFonts w:ascii="Arial" w:hAnsi="Arial" w:cs="Arial"/>
          <w:color w:val="222222"/>
          <w:sz w:val="22"/>
          <w:szCs w:val="22"/>
          <w:shd w:val="clear" w:color="auto" w:fill="FFFFFF"/>
        </w:rPr>
        <w:t>. Bloomsbury Publishing.</w:t>
      </w:r>
    </w:p>
    <w:p w14:paraId="7157A0B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Beauchamp, T.L. and Childress, J.F., 1994. </w:t>
      </w:r>
      <w:r w:rsidRPr="00DE1844">
        <w:rPr>
          <w:rFonts w:ascii="Arial" w:hAnsi="Arial" w:cs="Arial"/>
          <w:i/>
          <w:iCs/>
          <w:color w:val="222222"/>
          <w:sz w:val="22"/>
          <w:szCs w:val="22"/>
          <w:shd w:val="clear" w:color="auto" w:fill="FFFFFF"/>
        </w:rPr>
        <w:t>Principles of biomedical ethics</w:t>
      </w:r>
      <w:r w:rsidRPr="00DE1844">
        <w:rPr>
          <w:rFonts w:ascii="Arial" w:hAnsi="Arial" w:cs="Arial"/>
          <w:color w:val="222222"/>
          <w:sz w:val="22"/>
          <w:szCs w:val="22"/>
          <w:shd w:val="clear" w:color="auto" w:fill="FFFFFF"/>
        </w:rPr>
        <w:t xml:space="preserve">. </w:t>
      </w:r>
      <w:proofErr w:type="spellStart"/>
      <w:r w:rsidRPr="00DE1844">
        <w:rPr>
          <w:rFonts w:ascii="Arial" w:hAnsi="Arial" w:cs="Arial"/>
          <w:color w:val="222222"/>
          <w:sz w:val="22"/>
          <w:szCs w:val="22"/>
          <w:shd w:val="clear" w:color="auto" w:fill="FFFFFF"/>
        </w:rPr>
        <w:t>Edicoes</w:t>
      </w:r>
      <w:proofErr w:type="spellEnd"/>
      <w:r w:rsidRPr="00DE1844">
        <w:rPr>
          <w:rFonts w:ascii="Arial" w:hAnsi="Arial" w:cs="Arial"/>
          <w:color w:val="222222"/>
          <w:sz w:val="22"/>
          <w:szCs w:val="22"/>
          <w:shd w:val="clear" w:color="auto" w:fill="FFFFFF"/>
        </w:rPr>
        <w:t xml:space="preserve"> Loyola.</w:t>
      </w:r>
    </w:p>
    <w:p w14:paraId="49BE6EAB" w14:textId="77777777" w:rsidR="00540783" w:rsidRPr="00476F07" w:rsidRDefault="00540783" w:rsidP="00540783">
      <w:pPr>
        <w:spacing w:line="360" w:lineRule="auto"/>
        <w:jc w:val="both"/>
        <w:rPr>
          <w:rFonts w:ascii="Arial" w:hAnsi="Arial" w:cs="Arial"/>
          <w:color w:val="222222"/>
          <w:sz w:val="22"/>
          <w:szCs w:val="22"/>
          <w:shd w:val="clear" w:color="auto" w:fill="FFFFFF"/>
        </w:rPr>
      </w:pPr>
      <w:r w:rsidRPr="00120A2E">
        <w:rPr>
          <w:rFonts w:ascii="Arial" w:hAnsi="Arial" w:cs="Arial"/>
          <w:color w:val="222222"/>
          <w:sz w:val="22"/>
          <w:szCs w:val="22"/>
          <w:shd w:val="clear" w:color="auto" w:fill="FFFFFF"/>
        </w:rPr>
        <w:t>Bovaird, T., 2007. Beyond engagement and participation: User and community coproduction of public services. </w:t>
      </w:r>
      <w:r w:rsidRPr="00120A2E">
        <w:rPr>
          <w:rFonts w:ascii="Arial" w:hAnsi="Arial" w:cs="Arial"/>
          <w:i/>
          <w:iCs/>
          <w:color w:val="222222"/>
          <w:sz w:val="22"/>
          <w:szCs w:val="22"/>
          <w:shd w:val="clear" w:color="auto" w:fill="FFFFFF"/>
        </w:rPr>
        <w:t>Public administration review</w:t>
      </w:r>
      <w:r w:rsidRPr="00120A2E">
        <w:rPr>
          <w:rFonts w:ascii="Arial" w:hAnsi="Arial" w:cs="Arial"/>
          <w:color w:val="222222"/>
          <w:sz w:val="22"/>
          <w:szCs w:val="22"/>
          <w:shd w:val="clear" w:color="auto" w:fill="FFFFFF"/>
        </w:rPr>
        <w:t>, </w:t>
      </w:r>
      <w:r w:rsidRPr="00120A2E">
        <w:rPr>
          <w:rFonts w:ascii="Arial" w:hAnsi="Arial" w:cs="Arial"/>
          <w:i/>
          <w:iCs/>
          <w:color w:val="222222"/>
          <w:sz w:val="22"/>
          <w:szCs w:val="22"/>
          <w:shd w:val="clear" w:color="auto" w:fill="FFFFFF"/>
        </w:rPr>
        <w:t>67</w:t>
      </w:r>
      <w:r w:rsidRPr="00120A2E">
        <w:rPr>
          <w:rFonts w:ascii="Arial" w:hAnsi="Arial" w:cs="Arial"/>
          <w:color w:val="222222"/>
          <w:sz w:val="22"/>
          <w:szCs w:val="22"/>
          <w:shd w:val="clear" w:color="auto" w:fill="FFFFFF"/>
        </w:rPr>
        <w:t>(5), pp.846-860.</w:t>
      </w:r>
    </w:p>
    <w:p w14:paraId="29A86147" w14:textId="77777777" w:rsidR="00540783" w:rsidRDefault="00540783" w:rsidP="00540783">
      <w:pPr>
        <w:spacing w:line="360" w:lineRule="auto"/>
        <w:jc w:val="both"/>
        <w:rPr>
          <w:rFonts w:ascii="Arial" w:hAnsi="Arial" w:cs="Arial"/>
          <w:color w:val="222222"/>
          <w:sz w:val="22"/>
          <w:szCs w:val="22"/>
          <w:shd w:val="clear" w:color="auto" w:fill="FFFFFF"/>
        </w:rPr>
      </w:pPr>
      <w:r w:rsidRPr="005A462C">
        <w:rPr>
          <w:rFonts w:ascii="Arial" w:hAnsi="Arial" w:cs="Arial"/>
          <w:color w:val="222222"/>
          <w:sz w:val="22"/>
          <w:szCs w:val="22"/>
          <w:shd w:val="clear" w:color="auto" w:fill="FFFFFF"/>
        </w:rPr>
        <w:t xml:space="preserve">Charles, A. (2022) </w:t>
      </w:r>
      <w:r w:rsidRPr="005A462C">
        <w:rPr>
          <w:rFonts w:ascii="Arial" w:hAnsi="Arial" w:cs="Arial"/>
          <w:i/>
          <w:iCs/>
          <w:color w:val="222222"/>
          <w:sz w:val="22"/>
          <w:szCs w:val="22"/>
          <w:shd w:val="clear" w:color="auto" w:fill="FFFFFF"/>
        </w:rPr>
        <w:t>Integrated care systems explained</w:t>
      </w:r>
      <w:r w:rsidRPr="005A462C">
        <w:rPr>
          <w:rFonts w:ascii="Arial" w:hAnsi="Arial" w:cs="Arial"/>
          <w:color w:val="222222"/>
          <w:sz w:val="22"/>
          <w:szCs w:val="22"/>
          <w:shd w:val="clear" w:color="auto" w:fill="FFFFFF"/>
        </w:rPr>
        <w:t xml:space="preserve">. The King's Fund. Available at: </w:t>
      </w:r>
      <w:hyperlink r:id="rId4" w:tgtFrame="_new" w:history="1">
        <w:r w:rsidRPr="005A462C">
          <w:rPr>
            <w:rStyle w:val="Hyperlink"/>
            <w:rFonts w:ascii="Arial" w:hAnsi="Arial" w:cs="Arial"/>
            <w:sz w:val="22"/>
            <w:szCs w:val="22"/>
            <w:shd w:val="clear" w:color="auto" w:fill="FFFFFF"/>
          </w:rPr>
          <w:t>https://www.kingsfund.org.uk/insight-and-analysis/long-reads/integrated-care-systems-explained</w:t>
        </w:r>
      </w:hyperlink>
      <w:r w:rsidRPr="005A462C">
        <w:rPr>
          <w:rFonts w:ascii="Arial" w:hAnsi="Arial" w:cs="Arial"/>
          <w:color w:val="222222"/>
          <w:sz w:val="22"/>
          <w:szCs w:val="22"/>
          <w:shd w:val="clear" w:color="auto" w:fill="FFFFFF"/>
        </w:rPr>
        <w:t xml:space="preserve"> (Accessed: 11 June 2026).</w:t>
      </w:r>
    </w:p>
    <w:p w14:paraId="3BA89B63"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Coulter, A. and Ellins, J., 2007. Effectiveness of strategies for informing, educating, and involving patients. </w:t>
      </w:r>
      <w:proofErr w:type="spellStart"/>
      <w:r w:rsidRPr="00476F07">
        <w:rPr>
          <w:rFonts w:ascii="Arial" w:hAnsi="Arial" w:cs="Arial"/>
          <w:i/>
          <w:iCs/>
          <w:color w:val="222222"/>
          <w:sz w:val="22"/>
          <w:szCs w:val="22"/>
          <w:shd w:val="clear" w:color="auto" w:fill="FFFFFF"/>
        </w:rPr>
        <w:t>Bmj</w:t>
      </w:r>
      <w:proofErr w:type="spellEnd"/>
      <w:r w:rsidRPr="00476F07">
        <w:rPr>
          <w:rFonts w:ascii="Arial" w:hAnsi="Arial" w:cs="Arial"/>
          <w:color w:val="222222"/>
          <w:sz w:val="22"/>
          <w:szCs w:val="22"/>
          <w:shd w:val="clear" w:color="auto" w:fill="FFFFFF"/>
        </w:rPr>
        <w:t>, </w:t>
      </w:r>
      <w:r w:rsidRPr="00476F07">
        <w:rPr>
          <w:rFonts w:ascii="Arial" w:hAnsi="Arial" w:cs="Arial"/>
          <w:i/>
          <w:iCs/>
          <w:color w:val="222222"/>
          <w:sz w:val="22"/>
          <w:szCs w:val="22"/>
          <w:shd w:val="clear" w:color="auto" w:fill="FFFFFF"/>
        </w:rPr>
        <w:t>335</w:t>
      </w:r>
      <w:r w:rsidRPr="00476F07">
        <w:rPr>
          <w:rFonts w:ascii="Arial" w:hAnsi="Arial" w:cs="Arial"/>
          <w:color w:val="222222"/>
          <w:sz w:val="22"/>
          <w:szCs w:val="22"/>
          <w:shd w:val="clear" w:color="auto" w:fill="FFFFFF"/>
        </w:rPr>
        <w:t>(7609), pp.24-27.</w:t>
      </w:r>
    </w:p>
    <w:p w14:paraId="4E5E0074"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D'amour, D., Ferrada-Videla, M., San Martin Rodriguez, L. and Beaulieu, M.D., 2005. The conceptual basis for interprofessional collaboration: Core concepts and theoretical frameworks. </w:t>
      </w:r>
      <w:r w:rsidRPr="00DE1844">
        <w:rPr>
          <w:rFonts w:ascii="Arial" w:hAnsi="Arial" w:cs="Arial"/>
          <w:i/>
          <w:iCs/>
          <w:color w:val="222222"/>
          <w:sz w:val="22"/>
          <w:szCs w:val="22"/>
          <w:shd w:val="clear" w:color="auto" w:fill="FFFFFF"/>
        </w:rPr>
        <w:t>Journal of interprofessional care</w:t>
      </w:r>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19</w:t>
      </w:r>
      <w:r w:rsidRPr="00DE1844">
        <w:rPr>
          <w:rFonts w:ascii="Arial" w:hAnsi="Arial" w:cs="Arial"/>
          <w:color w:val="222222"/>
          <w:sz w:val="22"/>
          <w:szCs w:val="22"/>
          <w:shd w:val="clear" w:color="auto" w:fill="FFFFFF"/>
        </w:rPr>
        <w:t>(sup1), pp.116-131.</w:t>
      </w:r>
    </w:p>
    <w:p w14:paraId="074433AB"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Edvardsson, D., Winblad, B. and Sandman, P.O., 2008.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 of people with severe Alzheimer's disease: current status and ways forward. </w:t>
      </w:r>
      <w:r w:rsidRPr="00476F07">
        <w:rPr>
          <w:rFonts w:ascii="Arial" w:hAnsi="Arial" w:cs="Arial"/>
          <w:i/>
          <w:iCs/>
          <w:color w:val="222222"/>
          <w:sz w:val="22"/>
          <w:szCs w:val="22"/>
          <w:shd w:val="clear" w:color="auto" w:fill="FFFFFF"/>
        </w:rPr>
        <w:t>the Lancet neurology</w:t>
      </w:r>
      <w:r w:rsidRPr="00476F07">
        <w:rPr>
          <w:rFonts w:ascii="Arial" w:hAnsi="Arial" w:cs="Arial"/>
          <w:color w:val="222222"/>
          <w:sz w:val="22"/>
          <w:szCs w:val="22"/>
          <w:shd w:val="clear" w:color="auto" w:fill="FFFFFF"/>
        </w:rPr>
        <w:t>, </w:t>
      </w:r>
      <w:r w:rsidRPr="00476F07">
        <w:rPr>
          <w:rFonts w:ascii="Arial" w:hAnsi="Arial" w:cs="Arial"/>
          <w:i/>
          <w:iCs/>
          <w:color w:val="222222"/>
          <w:sz w:val="22"/>
          <w:szCs w:val="22"/>
          <w:shd w:val="clear" w:color="auto" w:fill="FFFFFF"/>
        </w:rPr>
        <w:t>7</w:t>
      </w:r>
      <w:r w:rsidRPr="00476F07">
        <w:rPr>
          <w:rFonts w:ascii="Arial" w:hAnsi="Arial" w:cs="Arial"/>
          <w:color w:val="222222"/>
          <w:sz w:val="22"/>
          <w:szCs w:val="22"/>
          <w:shd w:val="clear" w:color="auto" w:fill="FFFFFF"/>
        </w:rPr>
        <w:t>(4), pp.362-367.</w:t>
      </w:r>
    </w:p>
    <w:p w14:paraId="5E7ECC36" w14:textId="77777777" w:rsidR="00540783" w:rsidRDefault="00540783" w:rsidP="00540783">
      <w:pPr>
        <w:spacing w:line="360" w:lineRule="auto"/>
        <w:jc w:val="both"/>
        <w:rPr>
          <w:rFonts w:ascii="Arial" w:hAnsi="Arial" w:cs="Arial"/>
          <w:color w:val="222222"/>
          <w:sz w:val="22"/>
          <w:szCs w:val="22"/>
          <w:shd w:val="clear" w:color="auto" w:fill="FFFFFF"/>
        </w:rPr>
      </w:pPr>
      <w:r w:rsidRPr="005A462C">
        <w:rPr>
          <w:rFonts w:ascii="Arial" w:hAnsi="Arial" w:cs="Arial"/>
          <w:color w:val="222222"/>
          <w:sz w:val="22"/>
          <w:szCs w:val="22"/>
          <w:shd w:val="clear" w:color="auto" w:fill="FFFFFF"/>
        </w:rPr>
        <w:t>England, N.H.S., 2017. Multi-professional framework for advanced clinical practice in England. </w:t>
      </w:r>
      <w:r w:rsidRPr="005A462C">
        <w:rPr>
          <w:rFonts w:ascii="Arial" w:hAnsi="Arial" w:cs="Arial"/>
          <w:i/>
          <w:iCs/>
          <w:color w:val="222222"/>
          <w:sz w:val="22"/>
          <w:szCs w:val="22"/>
          <w:shd w:val="clear" w:color="auto" w:fill="FFFFFF"/>
        </w:rPr>
        <w:t>London: Health Education England</w:t>
      </w:r>
      <w:r w:rsidRPr="005A462C">
        <w:rPr>
          <w:rFonts w:ascii="Arial" w:hAnsi="Arial" w:cs="Arial"/>
          <w:color w:val="222222"/>
          <w:sz w:val="22"/>
          <w:szCs w:val="22"/>
          <w:shd w:val="clear" w:color="auto" w:fill="FFFFFF"/>
        </w:rPr>
        <w:t>, </w:t>
      </w:r>
      <w:r w:rsidRPr="005A462C">
        <w:rPr>
          <w:rFonts w:ascii="Arial" w:hAnsi="Arial" w:cs="Arial"/>
          <w:i/>
          <w:iCs/>
          <w:color w:val="222222"/>
          <w:sz w:val="22"/>
          <w:szCs w:val="22"/>
          <w:shd w:val="clear" w:color="auto" w:fill="FFFFFF"/>
        </w:rPr>
        <w:t>12</w:t>
      </w:r>
      <w:r w:rsidRPr="005A462C">
        <w:rPr>
          <w:rFonts w:ascii="Arial" w:hAnsi="Arial" w:cs="Arial"/>
          <w:color w:val="222222"/>
          <w:sz w:val="22"/>
          <w:szCs w:val="22"/>
          <w:shd w:val="clear" w:color="auto" w:fill="FFFFFF"/>
        </w:rPr>
        <w:t>.</w:t>
      </w:r>
    </w:p>
    <w:p w14:paraId="416D0A16" w14:textId="77777777" w:rsidR="00540783" w:rsidRDefault="00540783" w:rsidP="00540783">
      <w:pPr>
        <w:spacing w:line="360" w:lineRule="auto"/>
        <w:jc w:val="both"/>
        <w:rPr>
          <w:rFonts w:ascii="Arial" w:hAnsi="Arial" w:cs="Arial"/>
          <w:color w:val="222222"/>
          <w:sz w:val="22"/>
          <w:szCs w:val="22"/>
          <w:shd w:val="clear" w:color="auto" w:fill="FFFFFF"/>
        </w:rPr>
      </w:pPr>
      <w:proofErr w:type="spellStart"/>
      <w:r w:rsidRPr="00F74813">
        <w:rPr>
          <w:rFonts w:ascii="Arial" w:hAnsi="Arial" w:cs="Arial"/>
          <w:color w:val="222222"/>
          <w:sz w:val="22"/>
          <w:szCs w:val="22"/>
          <w:shd w:val="clear" w:color="auto" w:fill="FFFFFF"/>
        </w:rPr>
        <w:t>Exworthy</w:t>
      </w:r>
      <w:proofErr w:type="spellEnd"/>
      <w:r w:rsidRPr="00F74813">
        <w:rPr>
          <w:rFonts w:ascii="Arial" w:hAnsi="Arial" w:cs="Arial"/>
          <w:color w:val="222222"/>
          <w:sz w:val="22"/>
          <w:szCs w:val="22"/>
          <w:shd w:val="clear" w:color="auto" w:fill="FFFFFF"/>
        </w:rPr>
        <w:t>, M. and Mannion, R., 2016. Evaluating the impact of NHS reforms–policy, process and power. In </w:t>
      </w:r>
      <w:r w:rsidRPr="00F74813">
        <w:rPr>
          <w:rFonts w:ascii="Arial" w:hAnsi="Arial" w:cs="Arial"/>
          <w:i/>
          <w:iCs/>
          <w:color w:val="222222"/>
          <w:sz w:val="22"/>
          <w:szCs w:val="22"/>
          <w:shd w:val="clear" w:color="auto" w:fill="FFFFFF"/>
        </w:rPr>
        <w:t>Dismantling the NHS?</w:t>
      </w:r>
      <w:r w:rsidRPr="00F74813">
        <w:rPr>
          <w:rFonts w:ascii="Arial" w:hAnsi="Arial" w:cs="Arial"/>
          <w:color w:val="222222"/>
          <w:sz w:val="22"/>
          <w:szCs w:val="22"/>
          <w:shd w:val="clear" w:color="auto" w:fill="FFFFFF"/>
        </w:rPr>
        <w:t> (pp. 3-16). Policy Press.</w:t>
      </w:r>
    </w:p>
    <w:p w14:paraId="0F28B900" w14:textId="77777777" w:rsidR="00540783" w:rsidRPr="00476F07"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Foundation, H., 2016.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 Made Simple: What Everyone should Know about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Care.</w:t>
      </w:r>
    </w:p>
    <w:p w14:paraId="284DE1A9"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Glasby, J. and Dickinson, H., 2014. </w:t>
      </w:r>
      <w:r w:rsidRPr="00DE1844">
        <w:rPr>
          <w:rFonts w:ascii="Arial" w:hAnsi="Arial" w:cs="Arial"/>
          <w:i/>
          <w:iCs/>
          <w:color w:val="222222"/>
          <w:sz w:val="22"/>
          <w:szCs w:val="22"/>
          <w:shd w:val="clear" w:color="auto" w:fill="FFFFFF"/>
        </w:rPr>
        <w:t xml:space="preserve">Partnership working in health and social care: what is integrated care and how can we deliver </w:t>
      </w:r>
      <w:proofErr w:type="gramStart"/>
      <w:r w:rsidRPr="00DE1844">
        <w:rPr>
          <w:rFonts w:ascii="Arial" w:hAnsi="Arial" w:cs="Arial"/>
          <w:i/>
          <w:iCs/>
          <w:color w:val="222222"/>
          <w:sz w:val="22"/>
          <w:szCs w:val="22"/>
          <w:shd w:val="clear" w:color="auto" w:fill="FFFFFF"/>
        </w:rPr>
        <w:t>it?</w:t>
      </w:r>
      <w:r w:rsidRPr="00DE1844">
        <w:rPr>
          <w:rFonts w:ascii="Arial" w:hAnsi="Arial" w:cs="Arial"/>
          <w:color w:val="222222"/>
          <w:sz w:val="22"/>
          <w:szCs w:val="22"/>
          <w:shd w:val="clear" w:color="auto" w:fill="FFFFFF"/>
        </w:rPr>
        <w:t>.</w:t>
      </w:r>
      <w:proofErr w:type="gramEnd"/>
      <w:r w:rsidRPr="00DE1844">
        <w:rPr>
          <w:rFonts w:ascii="Arial" w:hAnsi="Arial" w:cs="Arial"/>
          <w:color w:val="222222"/>
          <w:sz w:val="22"/>
          <w:szCs w:val="22"/>
          <w:shd w:val="clear" w:color="auto" w:fill="FFFFFF"/>
        </w:rPr>
        <w:t xml:space="preserve"> Policy Press.</w:t>
      </w:r>
    </w:p>
    <w:p w14:paraId="4ED6CDC3"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 xml:space="preserve">Gomes, B., </w:t>
      </w:r>
      <w:proofErr w:type="spellStart"/>
      <w:r w:rsidRPr="00F74813">
        <w:rPr>
          <w:rFonts w:ascii="Arial" w:hAnsi="Arial" w:cs="Arial"/>
          <w:color w:val="222222"/>
          <w:sz w:val="22"/>
          <w:szCs w:val="22"/>
          <w:shd w:val="clear" w:color="auto" w:fill="FFFFFF"/>
        </w:rPr>
        <w:t>Calanzani</w:t>
      </w:r>
      <w:proofErr w:type="spellEnd"/>
      <w:r w:rsidRPr="00F74813">
        <w:rPr>
          <w:rFonts w:ascii="Arial" w:hAnsi="Arial" w:cs="Arial"/>
          <w:color w:val="222222"/>
          <w:sz w:val="22"/>
          <w:szCs w:val="22"/>
          <w:shd w:val="clear" w:color="auto" w:fill="FFFFFF"/>
        </w:rPr>
        <w:t>, N., Gysels, M., Hall, S. and Higginson, I.J., 2013. Heterogeneity and changes in preferences for dying at home: a systematic review. </w:t>
      </w:r>
      <w:r w:rsidRPr="00F74813">
        <w:rPr>
          <w:rFonts w:ascii="Arial" w:hAnsi="Arial" w:cs="Arial"/>
          <w:i/>
          <w:iCs/>
          <w:color w:val="222222"/>
          <w:sz w:val="22"/>
          <w:szCs w:val="22"/>
          <w:shd w:val="clear" w:color="auto" w:fill="FFFFFF"/>
        </w:rPr>
        <w:t>BMC palliative care</w:t>
      </w:r>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12</w:t>
      </w:r>
      <w:r w:rsidRPr="00F74813">
        <w:rPr>
          <w:rFonts w:ascii="Arial" w:hAnsi="Arial" w:cs="Arial"/>
          <w:color w:val="222222"/>
          <w:sz w:val="22"/>
          <w:szCs w:val="22"/>
          <w:shd w:val="clear" w:color="auto" w:fill="FFFFFF"/>
        </w:rPr>
        <w:t>(1), p.7.</w:t>
      </w:r>
    </w:p>
    <w:p w14:paraId="21A0829D"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lastRenderedPageBreak/>
        <w:t>Health &amp; Care Professions Council</w:t>
      </w:r>
      <w:r>
        <w:rPr>
          <w:rFonts w:ascii="Arial" w:hAnsi="Arial" w:cs="Arial"/>
          <w:color w:val="222222"/>
          <w:sz w:val="22"/>
          <w:szCs w:val="22"/>
          <w:shd w:val="clear" w:color="auto" w:fill="FFFFFF"/>
        </w:rPr>
        <w:t xml:space="preserve"> (HCPC)</w:t>
      </w:r>
      <w:r w:rsidRPr="00DE1844">
        <w:rPr>
          <w:rFonts w:ascii="Arial" w:hAnsi="Arial" w:cs="Arial"/>
          <w:color w:val="222222"/>
          <w:sz w:val="22"/>
          <w:szCs w:val="22"/>
          <w:shd w:val="clear" w:color="auto" w:fill="FFFFFF"/>
        </w:rPr>
        <w:t>, 2012. </w:t>
      </w:r>
      <w:r w:rsidRPr="00DE1844">
        <w:rPr>
          <w:rFonts w:ascii="Arial" w:hAnsi="Arial" w:cs="Arial"/>
          <w:i/>
          <w:iCs/>
          <w:color w:val="222222"/>
          <w:sz w:val="22"/>
          <w:szCs w:val="22"/>
          <w:shd w:val="clear" w:color="auto" w:fill="FFFFFF"/>
        </w:rPr>
        <w:t>Standards of conduct, performance and ethics</w:t>
      </w:r>
      <w:r w:rsidRPr="00DE1844">
        <w:rPr>
          <w:rFonts w:ascii="Arial" w:hAnsi="Arial" w:cs="Arial"/>
          <w:color w:val="222222"/>
          <w:sz w:val="22"/>
          <w:szCs w:val="22"/>
          <w:shd w:val="clear" w:color="auto" w:fill="FFFFFF"/>
        </w:rPr>
        <w:t>. Health &amp; Care Professions Council.</w:t>
      </w:r>
    </w:p>
    <w:p w14:paraId="25BF9388"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House of Lords Select Committee, 2014. Mental Capacity Act 2005: post-legislative scrutiny. </w:t>
      </w:r>
      <w:r w:rsidRPr="00F74813">
        <w:rPr>
          <w:rFonts w:ascii="Arial" w:hAnsi="Arial" w:cs="Arial"/>
          <w:i/>
          <w:iCs/>
          <w:color w:val="222222"/>
          <w:sz w:val="22"/>
          <w:szCs w:val="22"/>
          <w:shd w:val="clear" w:color="auto" w:fill="FFFFFF"/>
        </w:rPr>
        <w:t>London: The Stationery Office</w:t>
      </w:r>
      <w:r w:rsidRPr="00F74813">
        <w:rPr>
          <w:rFonts w:ascii="Arial" w:hAnsi="Arial" w:cs="Arial"/>
          <w:color w:val="222222"/>
          <w:sz w:val="22"/>
          <w:szCs w:val="22"/>
          <w:shd w:val="clear" w:color="auto" w:fill="FFFFFF"/>
        </w:rPr>
        <w:t>.</w:t>
      </w:r>
    </w:p>
    <w:p w14:paraId="418BA1B9"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 xml:space="preserve">Hudson, B., 2002. </w:t>
      </w:r>
      <w:proofErr w:type="spellStart"/>
      <w:r w:rsidRPr="00DE1844">
        <w:rPr>
          <w:rFonts w:ascii="Arial" w:hAnsi="Arial" w:cs="Arial"/>
          <w:color w:val="222222"/>
          <w:sz w:val="22"/>
          <w:szCs w:val="22"/>
          <w:shd w:val="clear" w:color="auto" w:fill="FFFFFF"/>
        </w:rPr>
        <w:t>Interprofessionality</w:t>
      </w:r>
      <w:proofErr w:type="spellEnd"/>
      <w:r w:rsidRPr="00DE1844">
        <w:rPr>
          <w:rFonts w:ascii="Arial" w:hAnsi="Arial" w:cs="Arial"/>
          <w:color w:val="222222"/>
          <w:sz w:val="22"/>
          <w:szCs w:val="22"/>
          <w:shd w:val="clear" w:color="auto" w:fill="FFFFFF"/>
        </w:rPr>
        <w:t xml:space="preserve"> in health and social care: the Achilles' heel of </w:t>
      </w:r>
      <w:proofErr w:type="gramStart"/>
      <w:r w:rsidRPr="00DE1844">
        <w:rPr>
          <w:rFonts w:ascii="Arial" w:hAnsi="Arial" w:cs="Arial"/>
          <w:color w:val="222222"/>
          <w:sz w:val="22"/>
          <w:szCs w:val="22"/>
          <w:shd w:val="clear" w:color="auto" w:fill="FFFFFF"/>
        </w:rPr>
        <w:t>partnership?.</w:t>
      </w:r>
      <w:proofErr w:type="gramEnd"/>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Journal of interprofessional care</w:t>
      </w:r>
      <w:r w:rsidRPr="00DE1844">
        <w:rPr>
          <w:rFonts w:ascii="Arial" w:hAnsi="Arial" w:cs="Arial"/>
          <w:color w:val="222222"/>
          <w:sz w:val="22"/>
          <w:szCs w:val="22"/>
          <w:shd w:val="clear" w:color="auto" w:fill="FFFFFF"/>
        </w:rPr>
        <w:t>, </w:t>
      </w:r>
      <w:r w:rsidRPr="00DE1844">
        <w:rPr>
          <w:rFonts w:ascii="Arial" w:hAnsi="Arial" w:cs="Arial"/>
          <w:i/>
          <w:iCs/>
          <w:color w:val="222222"/>
          <w:sz w:val="22"/>
          <w:szCs w:val="22"/>
          <w:shd w:val="clear" w:color="auto" w:fill="FFFFFF"/>
        </w:rPr>
        <w:t>16</w:t>
      </w:r>
      <w:r w:rsidRPr="00DE1844">
        <w:rPr>
          <w:rFonts w:ascii="Arial" w:hAnsi="Arial" w:cs="Arial"/>
          <w:color w:val="222222"/>
          <w:sz w:val="22"/>
          <w:szCs w:val="22"/>
          <w:shd w:val="clear" w:color="auto" w:fill="FFFFFF"/>
        </w:rPr>
        <w:t>(1), pp.7-17.</w:t>
      </w:r>
    </w:p>
    <w:p w14:paraId="24C7FD77"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Humphries, R., 2015. Integrated health and social care in England–Progress and prospects. </w:t>
      </w:r>
      <w:r w:rsidRPr="00F74813">
        <w:rPr>
          <w:rFonts w:ascii="Arial" w:hAnsi="Arial" w:cs="Arial"/>
          <w:i/>
          <w:iCs/>
          <w:color w:val="222222"/>
          <w:sz w:val="22"/>
          <w:szCs w:val="22"/>
          <w:shd w:val="clear" w:color="auto" w:fill="FFFFFF"/>
        </w:rPr>
        <w:t>Health policy</w:t>
      </w:r>
      <w:r w:rsidRPr="00F74813">
        <w:rPr>
          <w:rFonts w:ascii="Arial" w:hAnsi="Arial" w:cs="Arial"/>
          <w:color w:val="222222"/>
          <w:sz w:val="22"/>
          <w:szCs w:val="22"/>
          <w:shd w:val="clear" w:color="auto" w:fill="FFFFFF"/>
        </w:rPr>
        <w:t>, </w:t>
      </w:r>
      <w:r w:rsidRPr="00F74813">
        <w:rPr>
          <w:rFonts w:ascii="Arial" w:hAnsi="Arial" w:cs="Arial"/>
          <w:i/>
          <w:iCs/>
          <w:color w:val="222222"/>
          <w:sz w:val="22"/>
          <w:szCs w:val="22"/>
          <w:shd w:val="clear" w:color="auto" w:fill="FFFFFF"/>
        </w:rPr>
        <w:t>119</w:t>
      </w:r>
      <w:r w:rsidRPr="00F74813">
        <w:rPr>
          <w:rFonts w:ascii="Arial" w:hAnsi="Arial" w:cs="Arial"/>
          <w:color w:val="222222"/>
          <w:sz w:val="22"/>
          <w:szCs w:val="22"/>
          <w:shd w:val="clear" w:color="auto" w:fill="FFFFFF"/>
        </w:rPr>
        <w:t>(7), pp.856-859.</w:t>
      </w:r>
    </w:p>
    <w:p w14:paraId="27538E1B"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McCormack, B. and McCance, T., 2010. Person-</w:t>
      </w:r>
      <w:proofErr w:type="spellStart"/>
      <w:r w:rsidRPr="00476F07">
        <w:rPr>
          <w:rFonts w:ascii="Arial" w:hAnsi="Arial" w:cs="Arial"/>
          <w:color w:val="222222"/>
          <w:sz w:val="22"/>
          <w:szCs w:val="22"/>
          <w:shd w:val="clear" w:color="auto" w:fill="FFFFFF"/>
        </w:rPr>
        <w:t>centred</w:t>
      </w:r>
      <w:proofErr w:type="spellEnd"/>
      <w:r w:rsidRPr="00476F07">
        <w:rPr>
          <w:rFonts w:ascii="Arial" w:hAnsi="Arial" w:cs="Arial"/>
          <w:color w:val="222222"/>
          <w:sz w:val="22"/>
          <w:szCs w:val="22"/>
          <w:shd w:val="clear" w:color="auto" w:fill="FFFFFF"/>
        </w:rPr>
        <w:t xml:space="preserve"> nursing. </w:t>
      </w:r>
      <w:r w:rsidRPr="00476F07">
        <w:rPr>
          <w:rFonts w:ascii="Arial" w:hAnsi="Arial" w:cs="Arial"/>
          <w:i/>
          <w:iCs/>
          <w:color w:val="222222"/>
          <w:sz w:val="22"/>
          <w:szCs w:val="22"/>
          <w:shd w:val="clear" w:color="auto" w:fill="FFFFFF"/>
        </w:rPr>
        <w:t>Theory and practice</w:t>
      </w:r>
      <w:r w:rsidRPr="00476F07">
        <w:rPr>
          <w:rFonts w:ascii="Arial" w:hAnsi="Arial" w:cs="Arial"/>
          <w:color w:val="222222"/>
          <w:sz w:val="22"/>
          <w:szCs w:val="22"/>
          <w:shd w:val="clear" w:color="auto" w:fill="FFFFFF"/>
        </w:rPr>
        <w:t>, p.2010.</w:t>
      </w:r>
    </w:p>
    <w:p w14:paraId="4B7F6D69" w14:textId="77777777" w:rsid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National Institute for Health and Care Excellence (N.I.C.E), 2019. End of life care for adults: service delivery. </w:t>
      </w:r>
      <w:r w:rsidRPr="00F74813">
        <w:rPr>
          <w:rFonts w:ascii="Arial" w:hAnsi="Arial" w:cs="Arial"/>
          <w:i/>
          <w:iCs/>
          <w:color w:val="222222"/>
          <w:sz w:val="22"/>
          <w:szCs w:val="22"/>
          <w:shd w:val="clear" w:color="auto" w:fill="FFFFFF"/>
        </w:rPr>
        <w:t>Methods</w:t>
      </w:r>
      <w:r w:rsidRPr="00F74813">
        <w:rPr>
          <w:rFonts w:ascii="Arial" w:hAnsi="Arial" w:cs="Arial"/>
          <w:color w:val="222222"/>
          <w:sz w:val="22"/>
          <w:szCs w:val="22"/>
          <w:shd w:val="clear" w:color="auto" w:fill="FFFFFF"/>
        </w:rPr>
        <w:t>.</w:t>
      </w:r>
    </w:p>
    <w:p w14:paraId="7295398C" w14:textId="77777777" w:rsidR="00540783" w:rsidRDefault="00540783" w:rsidP="00540783">
      <w:pPr>
        <w:spacing w:line="360" w:lineRule="auto"/>
        <w:jc w:val="both"/>
        <w:rPr>
          <w:rFonts w:ascii="Arial" w:hAnsi="Arial" w:cs="Arial"/>
          <w:color w:val="222222"/>
          <w:sz w:val="22"/>
          <w:szCs w:val="22"/>
          <w:shd w:val="clear" w:color="auto" w:fill="FFFFFF"/>
        </w:rPr>
      </w:pPr>
      <w:r w:rsidRPr="00476F07">
        <w:rPr>
          <w:rFonts w:ascii="Arial" w:hAnsi="Arial" w:cs="Arial"/>
          <w:color w:val="222222"/>
          <w:sz w:val="22"/>
          <w:szCs w:val="22"/>
          <w:shd w:val="clear" w:color="auto" w:fill="FFFFFF"/>
        </w:rPr>
        <w:t>Niessen, T., 2011. Effective workplace culture: the attributes, enabling factors and consequences of a new concept ‘Towards a complexified notion of workplace culture’.</w:t>
      </w:r>
    </w:p>
    <w:p w14:paraId="61CD98FB"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Nursing and Midwifery Council (Great Britain), 2018. </w:t>
      </w:r>
      <w:r w:rsidRPr="00DE1844">
        <w:rPr>
          <w:rFonts w:ascii="Arial" w:hAnsi="Arial" w:cs="Arial"/>
          <w:i/>
          <w:iCs/>
          <w:color w:val="222222"/>
          <w:sz w:val="22"/>
          <w:szCs w:val="22"/>
          <w:shd w:val="clear" w:color="auto" w:fill="FFFFFF"/>
        </w:rPr>
        <w:t xml:space="preserve">The code: professional standards of practice and </w:t>
      </w:r>
      <w:proofErr w:type="spellStart"/>
      <w:r w:rsidRPr="00DE1844">
        <w:rPr>
          <w:rFonts w:ascii="Arial" w:hAnsi="Arial" w:cs="Arial"/>
          <w:i/>
          <w:iCs/>
          <w:color w:val="222222"/>
          <w:sz w:val="22"/>
          <w:szCs w:val="22"/>
          <w:shd w:val="clear" w:color="auto" w:fill="FFFFFF"/>
        </w:rPr>
        <w:t>behaviour</w:t>
      </w:r>
      <w:proofErr w:type="spellEnd"/>
      <w:r w:rsidRPr="00DE1844">
        <w:rPr>
          <w:rFonts w:ascii="Arial" w:hAnsi="Arial" w:cs="Arial"/>
          <w:i/>
          <w:iCs/>
          <w:color w:val="222222"/>
          <w:sz w:val="22"/>
          <w:szCs w:val="22"/>
          <w:shd w:val="clear" w:color="auto" w:fill="FFFFFF"/>
        </w:rPr>
        <w:t xml:space="preserve"> for nurses, midwives and nursing associates</w:t>
      </w:r>
      <w:r w:rsidRPr="00DE1844">
        <w:rPr>
          <w:rFonts w:ascii="Arial" w:hAnsi="Arial" w:cs="Arial"/>
          <w:color w:val="222222"/>
          <w:sz w:val="22"/>
          <w:szCs w:val="22"/>
          <w:shd w:val="clear" w:color="auto" w:fill="FFFFFF"/>
        </w:rPr>
        <w:t>. NMC.</w:t>
      </w:r>
    </w:p>
    <w:p w14:paraId="2772CF65" w14:textId="77777777" w:rsidR="00540783" w:rsidRDefault="00540783" w:rsidP="00540783">
      <w:pPr>
        <w:spacing w:line="360" w:lineRule="auto"/>
        <w:jc w:val="both"/>
        <w:rPr>
          <w:rFonts w:ascii="Arial" w:hAnsi="Arial" w:cs="Arial"/>
          <w:color w:val="222222"/>
          <w:sz w:val="22"/>
          <w:szCs w:val="22"/>
          <w:shd w:val="clear" w:color="auto" w:fill="FFFFFF"/>
        </w:rPr>
      </w:pPr>
      <w:r w:rsidRPr="00DE1844">
        <w:rPr>
          <w:rFonts w:ascii="Arial" w:hAnsi="Arial" w:cs="Arial"/>
          <w:color w:val="222222"/>
          <w:sz w:val="22"/>
          <w:szCs w:val="22"/>
          <w:shd w:val="clear" w:color="auto" w:fill="FFFFFF"/>
        </w:rPr>
        <w:t>Reed, S., Oung, C., Davies, J., Dayan, M. and Scobie, S., 2021. </w:t>
      </w:r>
      <w:r w:rsidRPr="00DE1844">
        <w:rPr>
          <w:rFonts w:ascii="Arial" w:hAnsi="Arial" w:cs="Arial"/>
          <w:i/>
          <w:iCs/>
          <w:color w:val="222222"/>
          <w:sz w:val="22"/>
          <w:szCs w:val="22"/>
          <w:shd w:val="clear" w:color="auto" w:fill="FFFFFF"/>
        </w:rPr>
        <w:t>Integrating health and social care: A comparison of policy and progress across the four countries of the UK, London: Nuffield Trust</w:t>
      </w:r>
      <w:r w:rsidRPr="00DE1844">
        <w:rPr>
          <w:rFonts w:ascii="Arial" w:hAnsi="Arial" w:cs="Arial"/>
          <w:color w:val="222222"/>
          <w:sz w:val="22"/>
          <w:szCs w:val="22"/>
          <w:shd w:val="clear" w:color="auto" w:fill="FFFFFF"/>
        </w:rPr>
        <w:t> [online]</w:t>
      </w:r>
    </w:p>
    <w:p w14:paraId="7ECC1F6F" w14:textId="20A992C3" w:rsidR="00540783" w:rsidRPr="00540783" w:rsidRDefault="00540783" w:rsidP="00540783">
      <w:pPr>
        <w:spacing w:line="360" w:lineRule="auto"/>
        <w:jc w:val="both"/>
        <w:rPr>
          <w:rFonts w:ascii="Arial" w:hAnsi="Arial" w:cs="Arial"/>
          <w:color w:val="222222"/>
          <w:sz w:val="22"/>
          <w:szCs w:val="22"/>
          <w:shd w:val="clear" w:color="auto" w:fill="FFFFFF"/>
        </w:rPr>
      </w:pPr>
      <w:r w:rsidRPr="00F74813">
        <w:rPr>
          <w:rFonts w:ascii="Arial" w:hAnsi="Arial" w:cs="Arial"/>
          <w:color w:val="222222"/>
          <w:sz w:val="22"/>
          <w:szCs w:val="22"/>
          <w:shd w:val="clear" w:color="auto" w:fill="FFFFFF"/>
        </w:rPr>
        <w:t xml:space="preserve">The Health Foundation (2020) </w:t>
      </w:r>
      <w:r w:rsidRPr="00F74813">
        <w:rPr>
          <w:rFonts w:ascii="Arial" w:hAnsi="Arial" w:cs="Arial"/>
          <w:i/>
          <w:iCs/>
          <w:color w:val="222222"/>
          <w:sz w:val="22"/>
          <w:szCs w:val="22"/>
          <w:shd w:val="clear" w:color="auto" w:fill="FFFFFF"/>
        </w:rPr>
        <w:t>Spending Review 2020</w:t>
      </w:r>
      <w:r w:rsidRPr="00F74813">
        <w:rPr>
          <w:rFonts w:ascii="Arial" w:hAnsi="Arial" w:cs="Arial"/>
          <w:color w:val="222222"/>
          <w:sz w:val="22"/>
          <w:szCs w:val="22"/>
          <w:shd w:val="clear" w:color="auto" w:fill="FFFFFF"/>
        </w:rPr>
        <w:t xml:space="preserve">. London: The Health Foundation. Available at: </w:t>
      </w:r>
      <w:hyperlink r:id="rId5" w:tgtFrame="_new" w:history="1">
        <w:r w:rsidRPr="00F74813">
          <w:rPr>
            <w:rStyle w:val="Hyperlink"/>
            <w:rFonts w:ascii="Arial" w:hAnsi="Arial" w:cs="Arial"/>
            <w:sz w:val="22"/>
            <w:szCs w:val="22"/>
            <w:shd w:val="clear" w:color="auto" w:fill="FFFFFF"/>
          </w:rPr>
          <w:t>https://www.health.org.uk/reports-and-analysis/briefings/spending-review-2020</w:t>
        </w:r>
      </w:hyperlink>
      <w:r w:rsidRPr="00F74813">
        <w:rPr>
          <w:rFonts w:ascii="Arial" w:hAnsi="Arial" w:cs="Arial"/>
          <w:color w:val="222222"/>
          <w:sz w:val="22"/>
          <w:szCs w:val="22"/>
          <w:shd w:val="clear" w:color="auto" w:fill="FFFFFF"/>
        </w:rPr>
        <w:t xml:space="preserve"> (Accessed: 11 June 2026).</w:t>
      </w:r>
    </w:p>
    <w:p w14:paraId="00579D34" w14:textId="77777777" w:rsidR="00C0139B" w:rsidRPr="00C0139B" w:rsidRDefault="00C0139B" w:rsidP="00C0139B">
      <w:pPr>
        <w:jc w:val="center"/>
        <w:rPr>
          <w:rFonts w:ascii="Arial" w:hAnsi="Arial" w:cs="Arial"/>
          <w:b/>
          <w:bCs/>
          <w:sz w:val="22"/>
          <w:szCs w:val="22"/>
        </w:rPr>
      </w:pPr>
    </w:p>
    <w:sectPr w:rsidR="00C0139B" w:rsidRPr="00C013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UzNTE1NbYwMzAzMzdT0lEKTi0uzszPAykwrAUA5lNuQywAAAA="/>
  </w:docVars>
  <w:rsids>
    <w:rsidRoot w:val="009E44BE"/>
    <w:rsid w:val="000314BB"/>
    <w:rsid w:val="00065E04"/>
    <w:rsid w:val="00097C90"/>
    <w:rsid w:val="00225E6C"/>
    <w:rsid w:val="002E5450"/>
    <w:rsid w:val="00375A7E"/>
    <w:rsid w:val="0048715D"/>
    <w:rsid w:val="004B68CA"/>
    <w:rsid w:val="004E66E5"/>
    <w:rsid w:val="00540783"/>
    <w:rsid w:val="0083102B"/>
    <w:rsid w:val="008B4F65"/>
    <w:rsid w:val="00926295"/>
    <w:rsid w:val="00984E73"/>
    <w:rsid w:val="009C124F"/>
    <w:rsid w:val="009E44BE"/>
    <w:rsid w:val="00AF422D"/>
    <w:rsid w:val="00C0139B"/>
    <w:rsid w:val="00F21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A126A"/>
  <w15:chartTrackingRefBased/>
  <w15:docId w15:val="{0D64FF42-1F8A-45C6-B844-886D42AA2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39B"/>
  </w:style>
  <w:style w:type="paragraph" w:styleId="Heading1">
    <w:name w:val="heading 1"/>
    <w:basedOn w:val="Normal"/>
    <w:next w:val="Normal"/>
    <w:link w:val="Heading1Char"/>
    <w:uiPriority w:val="9"/>
    <w:qFormat/>
    <w:rsid w:val="009E44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44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44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44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44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44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4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4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4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4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44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44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44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44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44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4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4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4BE"/>
    <w:rPr>
      <w:rFonts w:eastAsiaTheme="majorEastAsia" w:cstheme="majorBidi"/>
      <w:color w:val="272727" w:themeColor="text1" w:themeTint="D8"/>
    </w:rPr>
  </w:style>
  <w:style w:type="paragraph" w:styleId="Title">
    <w:name w:val="Title"/>
    <w:basedOn w:val="Normal"/>
    <w:next w:val="Normal"/>
    <w:link w:val="TitleChar"/>
    <w:uiPriority w:val="10"/>
    <w:qFormat/>
    <w:rsid w:val="009E4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4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4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4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4BE"/>
    <w:pPr>
      <w:spacing w:before="160"/>
      <w:jc w:val="center"/>
    </w:pPr>
    <w:rPr>
      <w:i/>
      <w:iCs/>
      <w:color w:val="404040" w:themeColor="text1" w:themeTint="BF"/>
    </w:rPr>
  </w:style>
  <w:style w:type="character" w:customStyle="1" w:styleId="QuoteChar">
    <w:name w:val="Quote Char"/>
    <w:basedOn w:val="DefaultParagraphFont"/>
    <w:link w:val="Quote"/>
    <w:uiPriority w:val="29"/>
    <w:rsid w:val="009E44BE"/>
    <w:rPr>
      <w:i/>
      <w:iCs/>
      <w:color w:val="404040" w:themeColor="text1" w:themeTint="BF"/>
    </w:rPr>
  </w:style>
  <w:style w:type="paragraph" w:styleId="ListParagraph">
    <w:name w:val="List Paragraph"/>
    <w:basedOn w:val="Normal"/>
    <w:uiPriority w:val="34"/>
    <w:qFormat/>
    <w:rsid w:val="009E44BE"/>
    <w:pPr>
      <w:ind w:left="720"/>
      <w:contextualSpacing/>
    </w:pPr>
  </w:style>
  <w:style w:type="character" w:styleId="IntenseEmphasis">
    <w:name w:val="Intense Emphasis"/>
    <w:basedOn w:val="DefaultParagraphFont"/>
    <w:uiPriority w:val="21"/>
    <w:qFormat/>
    <w:rsid w:val="009E44BE"/>
    <w:rPr>
      <w:i/>
      <w:iCs/>
      <w:color w:val="2F5496" w:themeColor="accent1" w:themeShade="BF"/>
    </w:rPr>
  </w:style>
  <w:style w:type="paragraph" w:styleId="IntenseQuote">
    <w:name w:val="Intense Quote"/>
    <w:basedOn w:val="Normal"/>
    <w:next w:val="Normal"/>
    <w:link w:val="IntenseQuoteChar"/>
    <w:uiPriority w:val="30"/>
    <w:qFormat/>
    <w:rsid w:val="009E44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44BE"/>
    <w:rPr>
      <w:i/>
      <w:iCs/>
      <w:color w:val="2F5496" w:themeColor="accent1" w:themeShade="BF"/>
    </w:rPr>
  </w:style>
  <w:style w:type="character" w:styleId="IntenseReference">
    <w:name w:val="Intense Reference"/>
    <w:basedOn w:val="DefaultParagraphFont"/>
    <w:uiPriority w:val="32"/>
    <w:qFormat/>
    <w:rsid w:val="009E44BE"/>
    <w:rPr>
      <w:b/>
      <w:bCs/>
      <w:smallCaps/>
      <w:color w:val="2F5496" w:themeColor="accent1" w:themeShade="BF"/>
      <w:spacing w:val="5"/>
    </w:rPr>
  </w:style>
  <w:style w:type="character" w:styleId="Hyperlink">
    <w:name w:val="Hyperlink"/>
    <w:basedOn w:val="DefaultParagraphFont"/>
    <w:uiPriority w:val="99"/>
    <w:unhideWhenUsed/>
    <w:rsid w:val="005407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health.org.uk/reports-and-analysis/briefings/spending-review-2020" TargetMode="External"/><Relationship Id="rId4" Type="http://schemas.openxmlformats.org/officeDocument/2006/relationships/hyperlink" Target="https://www.kingsfund.org.uk/insight-and-analysis/long-reads/integrated-care-system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2941</Words>
  <Characters>16769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vivian Bioh</cp:lastModifiedBy>
  <cp:revision>9</cp:revision>
  <dcterms:created xsi:type="dcterms:W3CDTF">2026-06-11T12:29:00Z</dcterms:created>
  <dcterms:modified xsi:type="dcterms:W3CDTF">2026-07-20T11:18:00Z</dcterms:modified>
</cp:coreProperties>
</file>